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839"/>
        <w:gridCol w:w="5517"/>
      </w:tblGrid>
      <w:tr w:rsidR="00C8586A" w:rsidRPr="005E6358" w14:paraId="1D8F963B" w14:textId="77777777" w:rsidTr="008B0B82">
        <w:trPr>
          <w:trHeight w:val="985"/>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E2171E7" w14:textId="77777777" w:rsidR="00C8586A" w:rsidRPr="00264C07" w:rsidRDefault="00C8586A" w:rsidP="000B696F">
            <w:pPr>
              <w:jc w:val="center"/>
              <w:rPr>
                <w:b/>
                <w:color w:val="000000" w:themeColor="text1"/>
                <w:sz w:val="28"/>
                <w:szCs w:val="28"/>
              </w:rPr>
            </w:pPr>
            <w:bookmarkStart w:id="0" w:name="_GoBack"/>
            <w:bookmarkEnd w:id="0"/>
          </w:p>
          <w:p w14:paraId="141B904D" w14:textId="77777777" w:rsidR="00C8586A" w:rsidRPr="005E6358" w:rsidRDefault="00C8586A" w:rsidP="000B696F">
            <w:pPr>
              <w:jc w:val="center"/>
              <w:rPr>
                <w:b/>
                <w:color w:val="000000" w:themeColor="text1"/>
                <w:sz w:val="32"/>
                <w:szCs w:val="28"/>
              </w:rPr>
            </w:pPr>
            <w:r w:rsidRPr="005E6358">
              <w:rPr>
                <w:b/>
                <w:color w:val="000000" w:themeColor="text1"/>
                <w:sz w:val="32"/>
                <w:szCs w:val="28"/>
              </w:rPr>
              <w:t>БРОШЮРА ИССЛЕДОВАТЕЛЯ</w:t>
            </w:r>
          </w:p>
          <w:p w14:paraId="007B8450" w14:textId="77777777" w:rsidR="00C8586A" w:rsidRPr="005E6358" w:rsidRDefault="00C8586A" w:rsidP="000B696F">
            <w:pPr>
              <w:jc w:val="center"/>
              <w:rPr>
                <w:b/>
                <w:color w:val="000000" w:themeColor="text1"/>
                <w:sz w:val="28"/>
                <w:szCs w:val="28"/>
                <w:lang w:eastAsia="en-US"/>
              </w:rPr>
            </w:pPr>
          </w:p>
        </w:tc>
      </w:tr>
      <w:tr w:rsidR="00C8586A" w:rsidRPr="005E6358" w14:paraId="440EA7B7" w14:textId="77777777" w:rsidTr="008B0B82">
        <w:trPr>
          <w:trHeight w:val="177"/>
        </w:trPr>
        <w:tc>
          <w:tcPr>
            <w:tcW w:w="3839" w:type="dxa"/>
            <w:tcBorders>
              <w:top w:val="thinThickSmallGap" w:sz="24" w:space="0" w:color="auto"/>
              <w:left w:val="thinThickSmallGap" w:sz="24" w:space="0" w:color="auto"/>
              <w:bottom w:val="nil"/>
              <w:right w:val="nil"/>
            </w:tcBorders>
          </w:tcPr>
          <w:p w14:paraId="28830C82" w14:textId="77777777" w:rsidR="00C8586A" w:rsidRPr="00BA2D96" w:rsidRDefault="00C8586A" w:rsidP="000B696F">
            <w:pPr>
              <w:jc w:val="left"/>
              <w:rPr>
                <w:b/>
                <w:color w:val="000000" w:themeColor="text1"/>
                <w:sz w:val="14"/>
                <w:lang w:val="en-US"/>
              </w:rPr>
            </w:pPr>
          </w:p>
        </w:tc>
        <w:tc>
          <w:tcPr>
            <w:tcW w:w="5517" w:type="dxa"/>
            <w:tcBorders>
              <w:top w:val="thinThickSmallGap" w:sz="24" w:space="0" w:color="auto"/>
              <w:left w:val="nil"/>
              <w:bottom w:val="nil"/>
              <w:right w:val="thickThinSmallGap" w:sz="24" w:space="0" w:color="auto"/>
            </w:tcBorders>
          </w:tcPr>
          <w:p w14:paraId="4683A99C" w14:textId="77777777" w:rsidR="00C8586A" w:rsidRPr="00BA2D96" w:rsidRDefault="00C8586A" w:rsidP="000B696F">
            <w:pPr>
              <w:jc w:val="left"/>
              <w:rPr>
                <w:b/>
                <w:color w:val="000000" w:themeColor="text1"/>
                <w:sz w:val="14"/>
                <w:lang w:val="en-US"/>
              </w:rPr>
            </w:pPr>
          </w:p>
        </w:tc>
      </w:tr>
      <w:tr w:rsidR="00C8586A" w:rsidRPr="005E6358" w14:paraId="14553450" w14:textId="77777777" w:rsidTr="008B0B82">
        <w:trPr>
          <w:trHeight w:val="439"/>
        </w:trPr>
        <w:tc>
          <w:tcPr>
            <w:tcW w:w="3839" w:type="dxa"/>
            <w:tcBorders>
              <w:top w:val="nil"/>
              <w:left w:val="thinThickSmallGap" w:sz="24" w:space="0" w:color="auto"/>
              <w:bottom w:val="nil"/>
              <w:right w:val="nil"/>
            </w:tcBorders>
          </w:tcPr>
          <w:p w14:paraId="0144F824" w14:textId="77777777" w:rsidR="00C8586A" w:rsidRPr="005E6358" w:rsidRDefault="00BF01A9" w:rsidP="000B696F">
            <w:pPr>
              <w:jc w:val="left"/>
              <w:rPr>
                <w:color w:val="000000" w:themeColor="text1"/>
                <w:lang w:eastAsia="en-US"/>
              </w:rPr>
            </w:pPr>
            <w:r w:rsidRPr="00876EAE">
              <w:rPr>
                <w:b/>
              </w:rPr>
              <w:t>Код п</w:t>
            </w:r>
            <w:r w:rsidR="00C8586A" w:rsidRPr="00876EAE">
              <w:rPr>
                <w:b/>
              </w:rPr>
              <w:t>родукт</w:t>
            </w:r>
            <w:r w:rsidRPr="00876EAE">
              <w:rPr>
                <w:b/>
              </w:rPr>
              <w:t>а</w:t>
            </w:r>
            <w:r w:rsidR="00C8586A" w:rsidRPr="00876EAE">
              <w:rPr>
                <w:b/>
              </w:rPr>
              <w:t>:</w:t>
            </w:r>
          </w:p>
        </w:tc>
        <w:tc>
          <w:tcPr>
            <w:tcW w:w="5517" w:type="dxa"/>
            <w:tcBorders>
              <w:top w:val="nil"/>
              <w:left w:val="nil"/>
              <w:bottom w:val="nil"/>
              <w:right w:val="thickThinSmallGap" w:sz="24" w:space="0" w:color="auto"/>
            </w:tcBorders>
          </w:tcPr>
          <w:p w14:paraId="4DF03CB1" w14:textId="5DA31226" w:rsidR="00C8586A" w:rsidRPr="008B0B82" w:rsidRDefault="00AD3C2C" w:rsidP="008509F4">
            <w:pPr>
              <w:jc w:val="left"/>
              <w:rPr>
                <w:color w:val="000000" w:themeColor="text1"/>
                <w:highlight w:val="yellow"/>
                <w:lang w:val="en-US" w:eastAsia="en-US"/>
              </w:rPr>
            </w:pPr>
            <w:r w:rsidRPr="008B0B82">
              <w:rPr>
                <w:color w:val="000000"/>
                <w:shd w:val="clear" w:color="auto" w:fill="FFFFFF"/>
              </w:rPr>
              <w:t xml:space="preserve">DT-ETR </w:t>
            </w:r>
            <w:r w:rsidR="00E729EF">
              <w:rPr>
                <w:color w:val="000000"/>
                <w:shd w:val="clear" w:color="auto" w:fill="FFFFFF"/>
              </w:rPr>
              <w:t>(</w:t>
            </w:r>
            <w:r w:rsidR="00E729EF" w:rsidRPr="00876EAE">
              <w:rPr>
                <w:shd w:val="clear" w:color="auto" w:fill="FFFFFF"/>
              </w:rPr>
              <w:t>J05630</w:t>
            </w:r>
            <w:r w:rsidR="00E729EF">
              <w:rPr>
                <w:shd w:val="clear" w:color="auto" w:fill="FFFFFF"/>
              </w:rPr>
              <w:t>)</w:t>
            </w:r>
          </w:p>
        </w:tc>
      </w:tr>
      <w:tr w:rsidR="00C8586A" w:rsidRPr="005E6358" w14:paraId="2792A7AE" w14:textId="77777777" w:rsidTr="008B0B82">
        <w:trPr>
          <w:trHeight w:val="388"/>
        </w:trPr>
        <w:tc>
          <w:tcPr>
            <w:tcW w:w="3839" w:type="dxa"/>
            <w:tcBorders>
              <w:top w:val="nil"/>
              <w:left w:val="thinThickSmallGap" w:sz="24" w:space="0" w:color="auto"/>
              <w:bottom w:val="nil"/>
              <w:right w:val="nil"/>
            </w:tcBorders>
          </w:tcPr>
          <w:p w14:paraId="23C4901F" w14:textId="77777777" w:rsidR="00C8586A" w:rsidRPr="005E6358" w:rsidRDefault="00C8586A" w:rsidP="000B696F">
            <w:pPr>
              <w:jc w:val="left"/>
              <w:rPr>
                <w:b/>
                <w:color w:val="000000" w:themeColor="text1"/>
              </w:rPr>
            </w:pPr>
            <w:r w:rsidRPr="005E6358">
              <w:rPr>
                <w:b/>
                <w:color w:val="000000" w:themeColor="text1"/>
              </w:rPr>
              <w:t>МНН:</w:t>
            </w:r>
          </w:p>
        </w:tc>
        <w:tc>
          <w:tcPr>
            <w:tcW w:w="5517" w:type="dxa"/>
            <w:tcBorders>
              <w:top w:val="nil"/>
              <w:left w:val="nil"/>
              <w:bottom w:val="nil"/>
              <w:right w:val="thickThinSmallGap" w:sz="24" w:space="0" w:color="auto"/>
            </w:tcBorders>
          </w:tcPr>
          <w:p w14:paraId="46D9AB6F" w14:textId="280FAC16" w:rsidR="00C8586A" w:rsidRPr="008B0B82" w:rsidRDefault="00033D39" w:rsidP="000B696F">
            <w:pPr>
              <w:pStyle w:val="OT"/>
              <w:spacing w:after="0"/>
              <w:rPr>
                <w:sz w:val="24"/>
                <w:szCs w:val="24"/>
                <w:highlight w:val="yellow"/>
                <w:lang w:val="en-US"/>
              </w:rPr>
            </w:pPr>
            <w:r w:rsidRPr="008B0B82">
              <w:rPr>
                <w:sz w:val="24"/>
                <w:szCs w:val="24"/>
              </w:rPr>
              <w:t>Э</w:t>
            </w:r>
            <w:r w:rsidRPr="008B0B82">
              <w:rPr>
                <w:sz w:val="24"/>
                <w:szCs w:val="24"/>
                <w:lang w:val="en-US"/>
              </w:rPr>
              <w:t>травирин</w:t>
            </w:r>
          </w:p>
        </w:tc>
      </w:tr>
      <w:tr w:rsidR="00C8586A" w:rsidRPr="005E6358" w14:paraId="27A96549" w14:textId="77777777" w:rsidTr="008B0B82">
        <w:trPr>
          <w:trHeight w:val="394"/>
        </w:trPr>
        <w:tc>
          <w:tcPr>
            <w:tcW w:w="3839" w:type="dxa"/>
            <w:tcBorders>
              <w:top w:val="nil"/>
              <w:left w:val="thinThickSmallGap" w:sz="24" w:space="0" w:color="auto"/>
              <w:bottom w:val="nil"/>
              <w:right w:val="nil"/>
            </w:tcBorders>
          </w:tcPr>
          <w:p w14:paraId="40377655" w14:textId="77777777" w:rsidR="00C8586A" w:rsidRPr="005E6358" w:rsidRDefault="00C8586A" w:rsidP="000B696F">
            <w:pPr>
              <w:jc w:val="left"/>
              <w:rPr>
                <w:b/>
                <w:color w:val="000000" w:themeColor="text1"/>
              </w:rPr>
            </w:pPr>
            <w:r w:rsidRPr="0078186A">
              <w:rPr>
                <w:b/>
              </w:rPr>
              <w:t>Торговое название</w:t>
            </w:r>
          </w:p>
        </w:tc>
        <w:tc>
          <w:tcPr>
            <w:tcW w:w="5517" w:type="dxa"/>
            <w:tcBorders>
              <w:top w:val="nil"/>
              <w:left w:val="nil"/>
              <w:bottom w:val="nil"/>
              <w:right w:val="thickThinSmallGap" w:sz="24" w:space="0" w:color="auto"/>
            </w:tcBorders>
          </w:tcPr>
          <w:p w14:paraId="2AC37698" w14:textId="2E956B79" w:rsidR="00C8586A" w:rsidRPr="008B0B82" w:rsidRDefault="00E729EF" w:rsidP="000B696F">
            <w:pPr>
              <w:rPr>
                <w:rFonts w:eastAsia="Calibri"/>
                <w:color w:val="000000" w:themeColor="text1"/>
                <w:highlight w:val="yellow"/>
              </w:rPr>
            </w:pPr>
            <w:r>
              <w:t>ЭТРАВИРИН</w:t>
            </w:r>
          </w:p>
        </w:tc>
      </w:tr>
      <w:tr w:rsidR="00284823" w:rsidRPr="005E6358" w14:paraId="0691A925" w14:textId="77777777" w:rsidTr="008B0B82">
        <w:trPr>
          <w:trHeight w:val="474"/>
        </w:trPr>
        <w:tc>
          <w:tcPr>
            <w:tcW w:w="3839" w:type="dxa"/>
            <w:tcBorders>
              <w:top w:val="nil"/>
              <w:left w:val="thinThickSmallGap" w:sz="24" w:space="0" w:color="auto"/>
              <w:bottom w:val="nil"/>
              <w:right w:val="nil"/>
            </w:tcBorders>
            <w:hideMark/>
          </w:tcPr>
          <w:p w14:paraId="289F609C" w14:textId="77777777" w:rsidR="00C8586A" w:rsidRPr="005E6358" w:rsidRDefault="00C8586A" w:rsidP="000B696F">
            <w:pPr>
              <w:jc w:val="left"/>
              <w:rPr>
                <w:b/>
                <w:color w:val="000000" w:themeColor="text1"/>
              </w:rPr>
            </w:pPr>
            <w:r w:rsidRPr="005E6358">
              <w:rPr>
                <w:b/>
                <w:color w:val="000000" w:themeColor="text1"/>
              </w:rPr>
              <w:t>Лекарственная форма:</w:t>
            </w:r>
          </w:p>
        </w:tc>
        <w:tc>
          <w:tcPr>
            <w:tcW w:w="5517" w:type="dxa"/>
            <w:tcBorders>
              <w:top w:val="nil"/>
              <w:left w:val="nil"/>
              <w:bottom w:val="nil"/>
              <w:right w:val="thickThinSmallGap" w:sz="24" w:space="0" w:color="auto"/>
            </w:tcBorders>
            <w:hideMark/>
          </w:tcPr>
          <w:p w14:paraId="054A1844" w14:textId="2BB1917F" w:rsidR="004541CE" w:rsidRPr="008B0B82" w:rsidRDefault="00FE28B3" w:rsidP="008B0B82">
            <w:pPr>
              <w:pStyle w:val="OT"/>
              <w:tabs>
                <w:tab w:val="center" w:pos="2225"/>
              </w:tabs>
              <w:spacing w:after="0"/>
              <w:rPr>
                <w:sz w:val="24"/>
                <w:szCs w:val="24"/>
                <w:highlight w:val="yellow"/>
              </w:rPr>
            </w:pPr>
            <w:r w:rsidRPr="008B0B82">
              <w:rPr>
                <w:sz w:val="24"/>
                <w:szCs w:val="24"/>
              </w:rPr>
              <w:t>Т</w:t>
            </w:r>
            <w:r w:rsidR="006F1840" w:rsidRPr="008B0B82">
              <w:rPr>
                <w:sz w:val="24"/>
                <w:szCs w:val="24"/>
              </w:rPr>
              <w:t>аблетки</w:t>
            </w:r>
            <w:r w:rsidR="00FD65E7">
              <w:rPr>
                <w:sz w:val="24"/>
                <w:szCs w:val="24"/>
              </w:rPr>
              <w:tab/>
            </w:r>
          </w:p>
        </w:tc>
      </w:tr>
      <w:tr w:rsidR="00284823" w:rsidRPr="005E6358" w14:paraId="7A7CDD29" w14:textId="77777777" w:rsidTr="008B0B82">
        <w:trPr>
          <w:trHeight w:val="1557"/>
        </w:trPr>
        <w:tc>
          <w:tcPr>
            <w:tcW w:w="3839" w:type="dxa"/>
            <w:tcBorders>
              <w:top w:val="nil"/>
              <w:left w:val="thinThickSmallGap" w:sz="24" w:space="0" w:color="auto"/>
              <w:bottom w:val="nil"/>
              <w:right w:val="nil"/>
            </w:tcBorders>
          </w:tcPr>
          <w:p w14:paraId="1D12AC03" w14:textId="77777777" w:rsidR="00C8586A" w:rsidRPr="005E6358" w:rsidRDefault="00C8586A" w:rsidP="000B696F">
            <w:pPr>
              <w:jc w:val="left"/>
              <w:rPr>
                <w:rFonts w:eastAsia="Times New Roman"/>
                <w:b/>
                <w:color w:val="000000" w:themeColor="text1"/>
                <w:lang w:eastAsia="en-US"/>
              </w:rPr>
            </w:pPr>
            <w:r w:rsidRPr="005E6358">
              <w:rPr>
                <w:b/>
                <w:color w:val="000000" w:themeColor="text1"/>
              </w:rPr>
              <w:t>Показание:</w:t>
            </w:r>
          </w:p>
          <w:p w14:paraId="705DB213" w14:textId="77777777" w:rsidR="00C8586A" w:rsidRPr="005E6358" w:rsidRDefault="00C8586A" w:rsidP="000B696F">
            <w:pPr>
              <w:jc w:val="left"/>
              <w:rPr>
                <w:color w:val="000000" w:themeColor="text1"/>
                <w:lang w:eastAsia="en-US"/>
              </w:rPr>
            </w:pPr>
          </w:p>
        </w:tc>
        <w:tc>
          <w:tcPr>
            <w:tcW w:w="5517" w:type="dxa"/>
            <w:tcBorders>
              <w:top w:val="nil"/>
              <w:left w:val="nil"/>
              <w:bottom w:val="nil"/>
              <w:right w:val="thickThinSmallGap" w:sz="24" w:space="0" w:color="auto"/>
            </w:tcBorders>
          </w:tcPr>
          <w:p w14:paraId="55856B94" w14:textId="1552A9AF" w:rsidR="00C8586A" w:rsidRPr="008B0B82" w:rsidRDefault="00B63F88" w:rsidP="000B696F">
            <w:pPr>
              <w:pStyle w:val="OT"/>
              <w:spacing w:after="0"/>
              <w:rPr>
                <w:bCs/>
                <w:sz w:val="24"/>
                <w:szCs w:val="24"/>
                <w:highlight w:val="yellow"/>
              </w:rPr>
            </w:pPr>
            <w:r w:rsidRPr="008B0B82">
              <w:rPr>
                <w:sz w:val="24"/>
                <w:szCs w:val="24"/>
              </w:rPr>
              <w:t>лечение инфекции ВИЧ-1 у взрослых, которые ранее получали антиретровирусные препараты, и детей с 2 лет, которые ранее получали антиретровирусные препараты</w:t>
            </w:r>
            <w:r w:rsidR="004B36EA" w:rsidRPr="008B0B82">
              <w:rPr>
                <w:sz w:val="24"/>
                <w:szCs w:val="24"/>
              </w:rPr>
              <w:t xml:space="preserve">. </w:t>
            </w:r>
          </w:p>
        </w:tc>
      </w:tr>
      <w:tr w:rsidR="00C8586A" w:rsidRPr="005E6358" w14:paraId="04F85B15" w14:textId="77777777" w:rsidTr="008B0B82">
        <w:trPr>
          <w:trHeight w:val="720"/>
        </w:trPr>
        <w:tc>
          <w:tcPr>
            <w:tcW w:w="3839" w:type="dxa"/>
            <w:tcBorders>
              <w:top w:val="nil"/>
              <w:left w:val="thinThickSmallGap" w:sz="24" w:space="0" w:color="auto"/>
              <w:bottom w:val="nil"/>
              <w:right w:val="nil"/>
            </w:tcBorders>
          </w:tcPr>
          <w:p w14:paraId="233D6A47" w14:textId="77777777" w:rsidR="00C8586A" w:rsidRPr="005E6358" w:rsidRDefault="00C8586A" w:rsidP="000B696F">
            <w:pPr>
              <w:jc w:val="left"/>
              <w:rPr>
                <w:rFonts w:eastAsia="Calibri"/>
                <w:b/>
                <w:color w:val="000000" w:themeColor="text1"/>
                <w:lang w:eastAsia="en-US"/>
              </w:rPr>
            </w:pPr>
            <w:r w:rsidRPr="00876EAE">
              <w:rPr>
                <w:rFonts w:eastAsia="Calibri"/>
                <w:b/>
              </w:rPr>
              <w:t>Идентификационный номер протокола клинического исследования:</w:t>
            </w:r>
          </w:p>
        </w:tc>
        <w:tc>
          <w:tcPr>
            <w:tcW w:w="5517" w:type="dxa"/>
            <w:tcBorders>
              <w:top w:val="nil"/>
              <w:left w:val="nil"/>
              <w:bottom w:val="nil"/>
              <w:right w:val="thickThinSmallGap" w:sz="24" w:space="0" w:color="auto"/>
            </w:tcBorders>
            <w:hideMark/>
          </w:tcPr>
          <w:p w14:paraId="0622ED5A" w14:textId="34B7CCCB" w:rsidR="00C8586A" w:rsidRPr="008B0B82" w:rsidRDefault="00AD3C2C" w:rsidP="000B696F">
            <w:pPr>
              <w:rPr>
                <w:rFonts w:eastAsia="Calibri"/>
                <w:color w:val="000000" w:themeColor="text1"/>
                <w:highlight w:val="yellow"/>
                <w:lang w:eastAsia="en-US"/>
              </w:rPr>
            </w:pPr>
            <w:r w:rsidRPr="008B0B82">
              <w:rPr>
                <w:color w:val="000000"/>
                <w:shd w:val="clear" w:color="auto" w:fill="FFFFFF"/>
              </w:rPr>
              <w:t>CJ05630128</w:t>
            </w:r>
          </w:p>
        </w:tc>
      </w:tr>
      <w:tr w:rsidR="00C8586A" w:rsidRPr="005E6358" w14:paraId="5BB3E9EB" w14:textId="77777777" w:rsidTr="008B0B82">
        <w:trPr>
          <w:trHeight w:val="461"/>
        </w:trPr>
        <w:tc>
          <w:tcPr>
            <w:tcW w:w="3839" w:type="dxa"/>
            <w:tcBorders>
              <w:top w:val="nil"/>
              <w:left w:val="thinThickSmallGap" w:sz="24" w:space="0" w:color="auto"/>
              <w:bottom w:val="nil"/>
              <w:right w:val="nil"/>
            </w:tcBorders>
          </w:tcPr>
          <w:p w14:paraId="46CAEFBF" w14:textId="77777777" w:rsidR="00C8586A" w:rsidRPr="005E6358" w:rsidRDefault="00C8586A" w:rsidP="000B696F">
            <w:pPr>
              <w:jc w:val="left"/>
              <w:rPr>
                <w:rFonts w:eastAsia="Times New Roman"/>
                <w:b/>
                <w:bCs/>
                <w:iCs/>
                <w:color w:val="000000" w:themeColor="text1"/>
                <w:lang w:eastAsia="en-US"/>
              </w:rPr>
            </w:pPr>
            <w:r w:rsidRPr="005E6358">
              <w:rPr>
                <w:b/>
                <w:color w:val="000000" w:themeColor="text1"/>
              </w:rPr>
              <w:t>Номер версии:</w:t>
            </w:r>
          </w:p>
        </w:tc>
        <w:tc>
          <w:tcPr>
            <w:tcW w:w="5517" w:type="dxa"/>
            <w:tcBorders>
              <w:top w:val="nil"/>
              <w:left w:val="nil"/>
              <w:bottom w:val="nil"/>
              <w:right w:val="thickThinSmallGap" w:sz="24" w:space="0" w:color="auto"/>
            </w:tcBorders>
            <w:hideMark/>
          </w:tcPr>
          <w:p w14:paraId="725C5849" w14:textId="77777777" w:rsidR="00C8586A" w:rsidRPr="008B0B82" w:rsidRDefault="00D927FE" w:rsidP="000B696F">
            <w:pPr>
              <w:pStyle w:val="OT"/>
              <w:spacing w:after="0"/>
              <w:rPr>
                <w:b/>
                <w:bCs/>
                <w:iCs/>
                <w:sz w:val="24"/>
                <w:szCs w:val="24"/>
                <w:lang w:eastAsia="en-US"/>
              </w:rPr>
            </w:pPr>
            <w:r w:rsidRPr="008B0B82">
              <w:rPr>
                <w:sz w:val="24"/>
                <w:szCs w:val="24"/>
              </w:rPr>
              <w:t>1.0</w:t>
            </w:r>
          </w:p>
        </w:tc>
      </w:tr>
      <w:tr w:rsidR="00C8586A" w:rsidRPr="005E6358" w14:paraId="4E07BC59" w14:textId="77777777" w:rsidTr="008B0B82">
        <w:trPr>
          <w:trHeight w:val="425"/>
        </w:trPr>
        <w:tc>
          <w:tcPr>
            <w:tcW w:w="3839" w:type="dxa"/>
            <w:tcBorders>
              <w:top w:val="nil"/>
              <w:left w:val="thinThickSmallGap" w:sz="24" w:space="0" w:color="auto"/>
              <w:bottom w:val="nil"/>
              <w:right w:val="nil"/>
            </w:tcBorders>
            <w:hideMark/>
          </w:tcPr>
          <w:p w14:paraId="2021D0E3" w14:textId="77777777" w:rsidR="00C8586A" w:rsidRPr="008B0B82" w:rsidRDefault="00C8586A" w:rsidP="000B696F">
            <w:pPr>
              <w:rPr>
                <w:rFonts w:eastAsia="Calibri"/>
                <w:b/>
                <w:lang w:eastAsia="en-US"/>
              </w:rPr>
            </w:pPr>
            <w:r w:rsidRPr="008B0B82">
              <w:rPr>
                <w:rFonts w:eastAsia="Calibri"/>
                <w:b/>
              </w:rPr>
              <w:t>Дата версии:</w:t>
            </w:r>
          </w:p>
        </w:tc>
        <w:tc>
          <w:tcPr>
            <w:tcW w:w="5517" w:type="dxa"/>
            <w:tcBorders>
              <w:top w:val="nil"/>
              <w:left w:val="nil"/>
              <w:bottom w:val="nil"/>
              <w:right w:val="thickThinSmallGap" w:sz="24" w:space="0" w:color="auto"/>
            </w:tcBorders>
            <w:hideMark/>
          </w:tcPr>
          <w:p w14:paraId="4C575940" w14:textId="459B4A05" w:rsidR="00C8586A" w:rsidRPr="008B0B82" w:rsidRDefault="00181DF4">
            <w:pPr>
              <w:pStyle w:val="OT"/>
              <w:spacing w:after="0"/>
              <w:rPr>
                <w:rFonts w:eastAsia="Calibri"/>
                <w:sz w:val="24"/>
                <w:szCs w:val="24"/>
                <w:lang w:val="en-US" w:eastAsia="en-US"/>
              </w:rPr>
            </w:pPr>
            <w:r>
              <w:rPr>
                <w:sz w:val="24"/>
                <w:szCs w:val="24"/>
                <w:shd w:val="clear" w:color="auto" w:fill="FFFFFF"/>
              </w:rPr>
              <w:t>25</w:t>
            </w:r>
            <w:r w:rsidR="00AC5B9F">
              <w:rPr>
                <w:sz w:val="24"/>
                <w:szCs w:val="24"/>
                <w:shd w:val="clear" w:color="auto" w:fill="FFFFFF"/>
              </w:rPr>
              <w:t xml:space="preserve"> октября </w:t>
            </w:r>
            <w:r w:rsidR="00AD3C2C" w:rsidRPr="008B0B82">
              <w:rPr>
                <w:sz w:val="24"/>
                <w:szCs w:val="24"/>
                <w:shd w:val="clear" w:color="auto" w:fill="FFFFFF"/>
              </w:rPr>
              <w:t>2022 г.</w:t>
            </w:r>
          </w:p>
        </w:tc>
      </w:tr>
      <w:tr w:rsidR="00C8586A" w:rsidRPr="005E6358" w14:paraId="1B4A57B1" w14:textId="77777777" w:rsidTr="008B0B82">
        <w:trPr>
          <w:trHeight w:val="455"/>
        </w:trPr>
        <w:tc>
          <w:tcPr>
            <w:tcW w:w="3839" w:type="dxa"/>
            <w:tcBorders>
              <w:top w:val="nil"/>
              <w:left w:val="thinThickSmallGap" w:sz="24" w:space="0" w:color="auto"/>
              <w:bottom w:val="nil"/>
              <w:right w:val="nil"/>
            </w:tcBorders>
            <w:hideMark/>
          </w:tcPr>
          <w:p w14:paraId="19D182D8" w14:textId="77777777" w:rsidR="00C8586A" w:rsidRPr="005E6358" w:rsidRDefault="00C8586A" w:rsidP="000B696F">
            <w:pPr>
              <w:jc w:val="left"/>
              <w:rPr>
                <w:b/>
                <w:bCs/>
                <w:iCs/>
                <w:color w:val="000000" w:themeColor="text1"/>
                <w:lang w:eastAsia="en-US"/>
              </w:rPr>
            </w:pPr>
            <w:r w:rsidRPr="005E6358">
              <w:rPr>
                <w:b/>
                <w:color w:val="000000" w:themeColor="text1"/>
              </w:rPr>
              <w:t>Заменяет предыдущую версию номер:</w:t>
            </w:r>
          </w:p>
        </w:tc>
        <w:tc>
          <w:tcPr>
            <w:tcW w:w="5517" w:type="dxa"/>
            <w:tcBorders>
              <w:top w:val="nil"/>
              <w:left w:val="nil"/>
              <w:bottom w:val="nil"/>
              <w:right w:val="thickThinSmallGap" w:sz="24" w:space="0" w:color="auto"/>
            </w:tcBorders>
            <w:hideMark/>
          </w:tcPr>
          <w:p w14:paraId="15954A26" w14:textId="1A93D242" w:rsidR="00C8586A" w:rsidRPr="008B0B82" w:rsidRDefault="008812B3" w:rsidP="000B696F">
            <w:pPr>
              <w:pStyle w:val="OT"/>
              <w:spacing w:after="0"/>
              <w:rPr>
                <w:b/>
                <w:bCs/>
                <w:iCs/>
                <w:sz w:val="24"/>
                <w:szCs w:val="24"/>
                <w:lang w:eastAsia="en-US"/>
              </w:rPr>
            </w:pPr>
            <w:r w:rsidRPr="008B0B82">
              <w:rPr>
                <w:sz w:val="24"/>
                <w:szCs w:val="24"/>
              </w:rPr>
              <w:t>Не применимо</w:t>
            </w:r>
            <w:r w:rsidR="00AC5B9F">
              <w:rPr>
                <w:sz w:val="24"/>
                <w:szCs w:val="24"/>
              </w:rPr>
              <w:t>.</w:t>
            </w:r>
            <w:r w:rsidRPr="008B0B82">
              <w:rPr>
                <w:sz w:val="24"/>
                <w:szCs w:val="24"/>
              </w:rPr>
              <w:t xml:space="preserve"> </w:t>
            </w:r>
          </w:p>
        </w:tc>
      </w:tr>
      <w:tr w:rsidR="00C8586A" w:rsidRPr="005E6358" w14:paraId="58F17C69" w14:textId="77777777" w:rsidTr="008B0B82">
        <w:trPr>
          <w:trHeight w:val="503"/>
        </w:trPr>
        <w:tc>
          <w:tcPr>
            <w:tcW w:w="3839" w:type="dxa"/>
            <w:tcBorders>
              <w:top w:val="nil"/>
              <w:left w:val="thinThickSmallGap" w:sz="24" w:space="0" w:color="auto"/>
              <w:bottom w:val="nil"/>
              <w:right w:val="nil"/>
            </w:tcBorders>
          </w:tcPr>
          <w:p w14:paraId="0E12EA82" w14:textId="77777777" w:rsidR="00C8586A" w:rsidRPr="005E6358" w:rsidRDefault="00C8586A" w:rsidP="000B696F">
            <w:pPr>
              <w:jc w:val="left"/>
              <w:rPr>
                <w:b/>
                <w:color w:val="000000" w:themeColor="text1"/>
              </w:rPr>
            </w:pPr>
            <w:r w:rsidRPr="005E6358">
              <w:rPr>
                <w:b/>
                <w:color w:val="000000" w:themeColor="text1"/>
              </w:rPr>
              <w:t>Дата предыдущей версии:</w:t>
            </w:r>
          </w:p>
        </w:tc>
        <w:tc>
          <w:tcPr>
            <w:tcW w:w="5517" w:type="dxa"/>
            <w:tcBorders>
              <w:top w:val="nil"/>
              <w:left w:val="nil"/>
              <w:bottom w:val="nil"/>
              <w:right w:val="thickThinSmallGap" w:sz="24" w:space="0" w:color="auto"/>
            </w:tcBorders>
          </w:tcPr>
          <w:p w14:paraId="06BB4277" w14:textId="6CC08044" w:rsidR="00C8586A" w:rsidRPr="00A76175" w:rsidRDefault="008812B3" w:rsidP="000B696F">
            <w:pPr>
              <w:pStyle w:val="OT"/>
              <w:spacing w:after="0"/>
              <w:rPr>
                <w:sz w:val="24"/>
                <w:szCs w:val="24"/>
              </w:rPr>
            </w:pPr>
            <w:r w:rsidRPr="008B0B82">
              <w:rPr>
                <w:sz w:val="24"/>
                <w:szCs w:val="24"/>
              </w:rPr>
              <w:t>Не применимо</w:t>
            </w:r>
            <w:r w:rsidR="00AC5B9F">
              <w:rPr>
                <w:sz w:val="24"/>
                <w:szCs w:val="24"/>
              </w:rPr>
              <w:t>.</w:t>
            </w:r>
          </w:p>
        </w:tc>
      </w:tr>
      <w:tr w:rsidR="00C8586A" w:rsidRPr="005E6358" w14:paraId="637103B6" w14:textId="77777777" w:rsidTr="008B0B82">
        <w:trPr>
          <w:trHeight w:val="1819"/>
        </w:trPr>
        <w:tc>
          <w:tcPr>
            <w:tcW w:w="3839" w:type="dxa"/>
            <w:tcBorders>
              <w:top w:val="single" w:sz="4" w:space="0" w:color="auto"/>
              <w:left w:val="thinThickSmallGap" w:sz="24" w:space="0" w:color="auto"/>
              <w:bottom w:val="nil"/>
              <w:right w:val="nil"/>
            </w:tcBorders>
            <w:vAlign w:val="center"/>
          </w:tcPr>
          <w:p w14:paraId="433EB64A" w14:textId="77777777" w:rsidR="00C8586A" w:rsidRPr="005E6358" w:rsidRDefault="00C8586A" w:rsidP="000B696F">
            <w:pPr>
              <w:jc w:val="left"/>
              <w:rPr>
                <w:rFonts w:eastAsia="Calibri"/>
                <w:b/>
                <w:color w:val="000000" w:themeColor="text1"/>
              </w:rPr>
            </w:pPr>
            <w:r w:rsidRPr="005E6358">
              <w:rPr>
                <w:rFonts w:eastAsia="Calibri"/>
                <w:b/>
                <w:color w:val="000000" w:themeColor="text1"/>
              </w:rPr>
              <w:t>Наименование/имя и адрес спонсора (монитора) клинического исследования:</w:t>
            </w:r>
          </w:p>
          <w:p w14:paraId="57E40F2C" w14:textId="77777777" w:rsidR="00C8586A" w:rsidRPr="005E6358" w:rsidRDefault="00C8586A" w:rsidP="000B696F">
            <w:pPr>
              <w:rPr>
                <w:rFonts w:eastAsia="Calibri"/>
                <w:color w:val="000000" w:themeColor="text1"/>
                <w:lang w:eastAsia="en-US"/>
              </w:rPr>
            </w:pPr>
          </w:p>
        </w:tc>
        <w:tc>
          <w:tcPr>
            <w:tcW w:w="5517" w:type="dxa"/>
            <w:tcBorders>
              <w:top w:val="single" w:sz="4" w:space="0" w:color="auto"/>
              <w:left w:val="nil"/>
              <w:bottom w:val="nil"/>
              <w:right w:val="thickThinSmallGap" w:sz="24" w:space="0" w:color="auto"/>
            </w:tcBorders>
            <w:vAlign w:val="center"/>
            <w:hideMark/>
          </w:tcPr>
          <w:p w14:paraId="3882C1DE" w14:textId="77777777" w:rsidR="00FE28B3" w:rsidRPr="00BC15E0" w:rsidRDefault="00FE28B3" w:rsidP="000B696F">
            <w:pPr>
              <w:pStyle w:val="OT"/>
              <w:spacing w:after="0"/>
              <w:rPr>
                <w:rFonts w:eastAsia="Calibri"/>
              </w:rPr>
            </w:pPr>
            <w:r w:rsidRPr="00BC15E0">
              <w:rPr>
                <w:rFonts w:eastAsia="Calibri"/>
              </w:rPr>
              <w:t xml:space="preserve">АО «Р-Фарм», Россия </w:t>
            </w:r>
          </w:p>
          <w:p w14:paraId="0B542D54" w14:textId="77777777" w:rsidR="00FE28B3" w:rsidRPr="00BC15E0" w:rsidRDefault="00FE28B3" w:rsidP="000B696F">
            <w:pPr>
              <w:pStyle w:val="OT"/>
              <w:spacing w:after="0"/>
              <w:rPr>
                <w:rFonts w:eastAsia="Calibri"/>
              </w:rPr>
            </w:pPr>
            <w:r w:rsidRPr="00BC15E0">
              <w:rPr>
                <w:rFonts w:eastAsia="Calibri"/>
              </w:rPr>
              <w:t xml:space="preserve">Юридический адрес: </w:t>
            </w:r>
            <w:r w:rsidRPr="00BC15E0">
              <w:t>123154, Москва, ул.  Берзарина, д. 19, корп. 1.</w:t>
            </w:r>
          </w:p>
          <w:p w14:paraId="375BB487" w14:textId="77777777" w:rsidR="00FE28B3" w:rsidRPr="00BC15E0" w:rsidRDefault="00FE28B3" w:rsidP="000B696F">
            <w:pPr>
              <w:pStyle w:val="OT"/>
              <w:spacing w:after="0"/>
              <w:rPr>
                <w:rFonts w:eastAsia="Calibri"/>
              </w:rPr>
            </w:pPr>
            <w:r w:rsidRPr="00BC15E0">
              <w:rPr>
                <w:rFonts w:eastAsia="Calibri"/>
              </w:rPr>
              <w:t>Тел.: +7 (495) 956-79-37, факс: +7 (495) 956-79-38.</w:t>
            </w:r>
          </w:p>
          <w:p w14:paraId="56D5CEF2" w14:textId="23562012" w:rsidR="00C8586A" w:rsidRPr="009C3C3E" w:rsidRDefault="00FE28B3" w:rsidP="000B696F">
            <w:pPr>
              <w:pStyle w:val="OT"/>
              <w:spacing w:after="0"/>
              <w:rPr>
                <w:rFonts w:eastAsia="Calibri"/>
                <w:lang w:eastAsia="en-US"/>
              </w:rPr>
            </w:pPr>
            <w:r w:rsidRPr="00BC15E0">
              <w:rPr>
                <w:rFonts w:eastAsia="Calibri"/>
              </w:rPr>
              <w:t xml:space="preserve">Эл. почта: </w:t>
            </w:r>
            <w:r w:rsidRPr="00BC15E0">
              <w:rPr>
                <w:lang w:val="en-US"/>
              </w:rPr>
              <w:t>info</w:t>
            </w:r>
            <w:r w:rsidRPr="00BC15E0">
              <w:t>@</w:t>
            </w:r>
            <w:r w:rsidRPr="00BC15E0">
              <w:rPr>
                <w:lang w:val="en-US"/>
              </w:rPr>
              <w:t>rpharm</w:t>
            </w:r>
            <w:r w:rsidRPr="00BC15E0">
              <w:t>.</w:t>
            </w:r>
            <w:r w:rsidRPr="00BC15E0">
              <w:rPr>
                <w:lang w:val="en-US"/>
              </w:rPr>
              <w:t>ru</w:t>
            </w:r>
          </w:p>
        </w:tc>
      </w:tr>
      <w:tr w:rsidR="00C8586A" w:rsidRPr="005E6358" w14:paraId="5FEE16C7" w14:textId="77777777" w:rsidTr="008B0B82">
        <w:trPr>
          <w:trHeight w:val="2188"/>
        </w:trPr>
        <w:tc>
          <w:tcPr>
            <w:tcW w:w="3839" w:type="dxa"/>
            <w:tcBorders>
              <w:top w:val="single" w:sz="4" w:space="0" w:color="auto"/>
              <w:left w:val="thinThickSmallGap" w:sz="24" w:space="0" w:color="auto"/>
              <w:bottom w:val="nil"/>
              <w:right w:val="nil"/>
            </w:tcBorders>
          </w:tcPr>
          <w:p w14:paraId="688B454C" w14:textId="77777777" w:rsidR="008B0B82" w:rsidRDefault="008B0B82" w:rsidP="000B696F">
            <w:pPr>
              <w:jc w:val="left"/>
              <w:rPr>
                <w:rFonts w:eastAsia="Calibri"/>
                <w:b/>
                <w:color w:val="000000" w:themeColor="text1"/>
              </w:rPr>
            </w:pPr>
          </w:p>
          <w:p w14:paraId="01A8493E" w14:textId="7927022C" w:rsidR="00C8586A" w:rsidRPr="005E6358" w:rsidRDefault="00C8586A" w:rsidP="000B696F">
            <w:pPr>
              <w:jc w:val="left"/>
              <w:rPr>
                <w:rFonts w:eastAsia="Calibri"/>
                <w:color w:val="000000" w:themeColor="text1"/>
                <w:lang w:eastAsia="en-US"/>
              </w:rPr>
            </w:pPr>
            <w:r w:rsidRPr="005E6358">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517" w:type="dxa"/>
            <w:tcBorders>
              <w:top w:val="single" w:sz="4" w:space="0" w:color="auto"/>
              <w:left w:val="nil"/>
              <w:bottom w:val="nil"/>
              <w:right w:val="thickThinSmallGap" w:sz="24" w:space="0" w:color="auto"/>
            </w:tcBorders>
          </w:tcPr>
          <w:p w14:paraId="615016A7" w14:textId="77777777" w:rsidR="00152BB2" w:rsidRDefault="00152BB2" w:rsidP="00152BB2">
            <w:pPr>
              <w:rPr>
                <w:rFonts w:eastAsia="Calibri"/>
                <w:b/>
              </w:rPr>
            </w:pPr>
          </w:p>
          <w:p w14:paraId="388443F0" w14:textId="5C05B07A" w:rsidR="00152BB2" w:rsidRPr="00411150" w:rsidRDefault="00152BB2" w:rsidP="00152BB2">
            <w:pPr>
              <w:rPr>
                <w:rFonts w:eastAsia="Calibri"/>
                <w:b/>
              </w:rPr>
            </w:pPr>
            <w:r>
              <w:rPr>
                <w:rFonts w:eastAsia="Calibri"/>
                <w:b/>
              </w:rPr>
              <w:t>Никольская Мария Викторовна</w:t>
            </w:r>
          </w:p>
          <w:p w14:paraId="452F20E9" w14:textId="77777777" w:rsidR="00152BB2" w:rsidRPr="00411150" w:rsidRDefault="00152BB2" w:rsidP="00152BB2">
            <w:pPr>
              <w:rPr>
                <w:rFonts w:eastAsia="Calibri"/>
              </w:rPr>
            </w:pPr>
            <w:r w:rsidRPr="00411150">
              <w:rPr>
                <w:rFonts w:eastAsia="Calibri"/>
              </w:rPr>
              <w:t xml:space="preserve">Руководитель отдела медицинской </w:t>
            </w:r>
            <w:r>
              <w:rPr>
                <w:rFonts w:eastAsia="Calibri"/>
              </w:rPr>
              <w:t xml:space="preserve">документации ДДКР Медицинской дирекции </w:t>
            </w:r>
            <w:r w:rsidRPr="00411150">
              <w:rPr>
                <w:rFonts w:eastAsia="Calibri"/>
              </w:rPr>
              <w:t>АО «Р-Фарм»</w:t>
            </w:r>
          </w:p>
          <w:p w14:paraId="3C0E5280" w14:textId="77777777" w:rsidR="00152BB2" w:rsidRPr="00D17A40" w:rsidRDefault="00152BB2" w:rsidP="00152BB2">
            <w:pPr>
              <w:rPr>
                <w:rFonts w:eastAsia="Calibri"/>
                <w:sz w:val="20"/>
                <w:szCs w:val="20"/>
              </w:rPr>
            </w:pPr>
            <w:r w:rsidRPr="00D17A40">
              <w:rPr>
                <w:rFonts w:eastAsia="Calibri"/>
                <w:sz w:val="20"/>
                <w:szCs w:val="20"/>
              </w:rPr>
              <w:t xml:space="preserve">Адрес: Россия, 123154, Москва, Ленинский проспект, </w:t>
            </w:r>
            <w:r w:rsidRPr="00D17A40">
              <w:rPr>
                <w:rFonts w:eastAsia="Calibri"/>
                <w:sz w:val="20"/>
                <w:szCs w:val="20"/>
                <w:lang w:eastAsia="ru-RU"/>
              </w:rPr>
              <w:t>111, к1</w:t>
            </w:r>
            <w:r w:rsidRPr="00D17A40">
              <w:rPr>
                <w:rFonts w:eastAsia="Calibri"/>
                <w:sz w:val="20"/>
                <w:szCs w:val="20"/>
              </w:rPr>
              <w:t>.</w:t>
            </w:r>
          </w:p>
          <w:p w14:paraId="0C7FD9C3" w14:textId="77777777" w:rsidR="00152BB2" w:rsidRPr="00D17A40" w:rsidRDefault="00152BB2" w:rsidP="00152BB2">
            <w:pPr>
              <w:rPr>
                <w:rFonts w:eastAsia="Calibri"/>
                <w:sz w:val="20"/>
                <w:szCs w:val="20"/>
              </w:rPr>
            </w:pPr>
            <w:r w:rsidRPr="00D17A40">
              <w:rPr>
                <w:rFonts w:eastAsia="Calibri"/>
                <w:sz w:val="20"/>
                <w:szCs w:val="20"/>
              </w:rPr>
              <w:t>Тел.: +7 (495) 956-79-37, моб.: +7 (921) 327-35-73.</w:t>
            </w:r>
          </w:p>
          <w:p w14:paraId="1E167E0A" w14:textId="33805731" w:rsidR="00BC5FDB" w:rsidRPr="00BC5FDB" w:rsidRDefault="00152BB2" w:rsidP="000B696F">
            <w:pPr>
              <w:pStyle w:val="OT"/>
              <w:spacing w:after="0"/>
              <w:rPr>
                <w:rFonts w:eastAsia="Calibri"/>
                <w:lang w:val="de-DE" w:eastAsia="en-US"/>
              </w:rPr>
            </w:pPr>
            <w:r w:rsidRPr="00D17A40">
              <w:rPr>
                <w:rFonts w:eastAsia="Calibri"/>
                <w:sz w:val="20"/>
              </w:rPr>
              <w:t xml:space="preserve">Эл. почта: </w:t>
            </w:r>
            <w:r w:rsidRPr="00D17A40">
              <w:rPr>
                <w:sz w:val="20"/>
              </w:rPr>
              <w:t>mv.nikolskaya@rpharm.ru</w:t>
            </w:r>
            <w:r w:rsidR="00BC5FDB">
              <w:rPr>
                <w:rFonts w:eastAsia="Calibri"/>
                <w:lang w:val="de-DE" w:eastAsia="en-US"/>
              </w:rPr>
              <w:tab/>
            </w:r>
          </w:p>
        </w:tc>
      </w:tr>
      <w:tr w:rsidR="00284823" w:rsidRPr="005E6358" w14:paraId="55669C8F" w14:textId="77777777" w:rsidTr="008B0B82">
        <w:trPr>
          <w:trHeight w:val="1425"/>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146C6DB" w:rsidR="00C8586A" w:rsidRPr="00AB01E2" w:rsidRDefault="00C8586A" w:rsidP="000B696F">
            <w:pPr>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sidR="00FE28B3">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02DAFA6B" w14:textId="3A29027F" w:rsidR="00A76175" w:rsidRPr="00A76175" w:rsidRDefault="00E30437" w:rsidP="00A76175">
      <w:pPr>
        <w:pStyle w:val="12"/>
        <w:spacing w:before="0" w:after="0" w:line="240" w:lineRule="auto"/>
        <w:rPr>
          <w:rFonts w:cs="Times New Roman"/>
          <w:b w:val="0"/>
          <w:noProof/>
          <w:color w:val="000000" w:themeColor="text1"/>
          <w:szCs w:val="24"/>
        </w:rPr>
      </w:pPr>
      <w:bookmarkStart w:id="1" w:name="_Hlk484253716"/>
      <w:bookmarkStart w:id="2" w:name="_Toc117179153"/>
      <w:bookmarkEnd w:id="1"/>
      <w:r w:rsidRPr="005E6358">
        <w:rPr>
          <w:rFonts w:cs="Times New Roman"/>
          <w:color w:val="000000" w:themeColor="text1"/>
          <w:szCs w:val="24"/>
        </w:rPr>
        <w:t>СОДЕРЖАНИЕ</w:t>
      </w:r>
      <w:bookmarkEnd w:id="2"/>
      <w:r w:rsidR="005C3F89" w:rsidRPr="002947DD">
        <w:rPr>
          <w:bCs w:val="0"/>
          <w:color w:val="000000" w:themeColor="text1"/>
        </w:rPr>
        <w:fldChar w:fldCharType="begin"/>
      </w:r>
      <w:r w:rsidR="00B30F15" w:rsidRPr="00086C50">
        <w:rPr>
          <w:color w:val="000000" w:themeColor="text1"/>
        </w:rPr>
        <w:instrText xml:space="preserve"> TOC \o "1-5" \h \z \u </w:instrText>
      </w:r>
      <w:r w:rsidR="005C3F89" w:rsidRPr="002947DD">
        <w:rPr>
          <w:bCs w:val="0"/>
          <w:color w:val="000000" w:themeColor="text1"/>
        </w:rPr>
        <w:fldChar w:fldCharType="separate"/>
      </w:r>
    </w:p>
    <w:p w14:paraId="25C59B16" w14:textId="11A43DDA" w:rsidR="00A76175" w:rsidRPr="00A76175" w:rsidRDefault="00DB42CD" w:rsidP="00A76175">
      <w:pPr>
        <w:pStyle w:val="14"/>
        <w:rPr>
          <w:rFonts w:eastAsiaTheme="minorEastAsia"/>
          <w:noProof/>
          <w:lang w:eastAsia="ru-RU"/>
        </w:rPr>
      </w:pPr>
      <w:hyperlink w:anchor="_Toc117179154" w:history="1">
        <w:r w:rsidR="00A76175" w:rsidRPr="00A76175">
          <w:rPr>
            <w:rStyle w:val="aa"/>
            <w:noProof/>
          </w:rPr>
          <w:t>ЛИСТ СОГЛАСОВАНИЯ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_Toc117179154 \h </w:instrText>
        </w:r>
        <w:r w:rsidR="00A76175" w:rsidRPr="00A76175">
          <w:rPr>
            <w:noProof/>
            <w:webHidden/>
          </w:rPr>
        </w:r>
        <w:r w:rsidR="00A76175" w:rsidRPr="00A76175">
          <w:rPr>
            <w:noProof/>
            <w:webHidden/>
          </w:rPr>
          <w:fldChar w:fldCharType="separate"/>
        </w:r>
        <w:r w:rsidR="00421CA0">
          <w:rPr>
            <w:noProof/>
            <w:webHidden/>
          </w:rPr>
          <w:t>5</w:t>
        </w:r>
        <w:r w:rsidR="00A76175" w:rsidRPr="00A76175">
          <w:rPr>
            <w:noProof/>
            <w:webHidden/>
          </w:rPr>
          <w:fldChar w:fldCharType="end"/>
        </w:r>
      </w:hyperlink>
    </w:p>
    <w:p w14:paraId="28DB6806" w14:textId="16A32ADC" w:rsidR="00A76175" w:rsidRPr="00A76175" w:rsidRDefault="00DB42CD" w:rsidP="00A76175">
      <w:pPr>
        <w:pStyle w:val="14"/>
        <w:rPr>
          <w:rFonts w:eastAsiaTheme="minorEastAsia"/>
          <w:noProof/>
          <w:lang w:eastAsia="ru-RU"/>
        </w:rPr>
      </w:pPr>
      <w:hyperlink w:anchor="_Toc117179155" w:history="1">
        <w:r w:rsidR="00A76175" w:rsidRPr="00A76175">
          <w:rPr>
            <w:rStyle w:val="aa"/>
            <w:noProof/>
          </w:rPr>
          <w:t>СПИСОК СОКРАЩЕНИЙ</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_Toc117179155 \h </w:instrText>
        </w:r>
        <w:r w:rsidR="00A76175" w:rsidRPr="00A76175">
          <w:rPr>
            <w:noProof/>
            <w:webHidden/>
          </w:rPr>
        </w:r>
        <w:r w:rsidR="00A76175" w:rsidRPr="00A76175">
          <w:rPr>
            <w:noProof/>
            <w:webHidden/>
          </w:rPr>
          <w:fldChar w:fldCharType="separate"/>
        </w:r>
        <w:r w:rsidR="00421CA0">
          <w:rPr>
            <w:noProof/>
            <w:webHidden/>
          </w:rPr>
          <w:t>6</w:t>
        </w:r>
        <w:r w:rsidR="00A76175" w:rsidRPr="00A76175">
          <w:rPr>
            <w:noProof/>
            <w:webHidden/>
          </w:rPr>
          <w:fldChar w:fldCharType="end"/>
        </w:r>
      </w:hyperlink>
    </w:p>
    <w:p w14:paraId="04326E2C" w14:textId="0A03769C" w:rsidR="00A76175" w:rsidRPr="00A76175" w:rsidRDefault="00DB42CD" w:rsidP="00A76175">
      <w:pPr>
        <w:pStyle w:val="14"/>
        <w:rPr>
          <w:rFonts w:eastAsiaTheme="minorEastAsia"/>
          <w:noProof/>
          <w:lang w:eastAsia="ru-RU"/>
        </w:rPr>
      </w:pPr>
      <w:hyperlink w:anchor="_Toc117179156" w:history="1">
        <w:r w:rsidR="00A76175" w:rsidRPr="00A76175">
          <w:rPr>
            <w:rStyle w:val="aa"/>
            <w:noProof/>
          </w:rPr>
          <w:t>ИСТОРИЯ ДОКУМЕНТА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_Toc117179156 \h </w:instrText>
        </w:r>
        <w:r w:rsidR="00A76175" w:rsidRPr="00A76175">
          <w:rPr>
            <w:noProof/>
            <w:webHidden/>
          </w:rPr>
        </w:r>
        <w:r w:rsidR="00A76175" w:rsidRPr="00A76175">
          <w:rPr>
            <w:noProof/>
            <w:webHidden/>
          </w:rPr>
          <w:fldChar w:fldCharType="separate"/>
        </w:r>
        <w:r w:rsidR="00421CA0">
          <w:rPr>
            <w:noProof/>
            <w:webHidden/>
          </w:rPr>
          <w:t>9</w:t>
        </w:r>
        <w:r w:rsidR="00A76175" w:rsidRPr="00A76175">
          <w:rPr>
            <w:noProof/>
            <w:webHidden/>
          </w:rPr>
          <w:fldChar w:fldCharType="end"/>
        </w:r>
      </w:hyperlink>
    </w:p>
    <w:p w14:paraId="1DB9461C" w14:textId="1E99E6E0" w:rsidR="00A76175" w:rsidRPr="00A76175" w:rsidRDefault="00DB42CD" w:rsidP="00A76175">
      <w:pPr>
        <w:pStyle w:val="14"/>
        <w:rPr>
          <w:rFonts w:eastAsiaTheme="minorEastAsia"/>
          <w:noProof/>
          <w:lang w:eastAsia="ru-RU"/>
        </w:rPr>
      </w:pPr>
      <w:hyperlink w:anchor="_Toc117179157" w:history="1">
        <w:r w:rsidR="00A76175" w:rsidRPr="00A76175">
          <w:rPr>
            <w:rStyle w:val="aa"/>
            <w:noProof/>
          </w:rPr>
          <w:t>РЕЗЮМЕ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_Toc117179157 \h </w:instrText>
        </w:r>
        <w:r w:rsidR="00A76175" w:rsidRPr="00A76175">
          <w:rPr>
            <w:noProof/>
            <w:webHidden/>
          </w:rPr>
        </w:r>
        <w:r w:rsidR="00A76175" w:rsidRPr="00A76175">
          <w:rPr>
            <w:noProof/>
            <w:webHidden/>
          </w:rPr>
          <w:fldChar w:fldCharType="separate"/>
        </w:r>
        <w:r w:rsidR="00421CA0">
          <w:rPr>
            <w:noProof/>
            <w:webHidden/>
          </w:rPr>
          <w:t>10</w:t>
        </w:r>
        <w:r w:rsidR="00A76175" w:rsidRPr="00A76175">
          <w:rPr>
            <w:noProof/>
            <w:webHidden/>
          </w:rPr>
          <w:fldChar w:fldCharType="end"/>
        </w:r>
      </w:hyperlink>
    </w:p>
    <w:p w14:paraId="67C35585" w14:textId="13AE03CB" w:rsidR="00A76175" w:rsidRPr="00A76175" w:rsidRDefault="00DB42CD" w:rsidP="00A76175">
      <w:pPr>
        <w:pStyle w:val="14"/>
        <w:rPr>
          <w:rFonts w:eastAsiaTheme="minorEastAsia"/>
          <w:noProof/>
          <w:lang w:eastAsia="ru-RU"/>
        </w:rPr>
      </w:pPr>
      <w:hyperlink w:anchor="_Toc117179158" w:history="1">
        <w:r w:rsidR="00A76175" w:rsidRPr="00A76175">
          <w:rPr>
            <w:rStyle w:val="aa"/>
            <w:noProof/>
          </w:rPr>
          <w:t>1. ВВЕДЕНИЕ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_Toc117179158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4BB4B5BE" w14:textId="4ECDCE40" w:rsidR="00A76175" w:rsidRPr="00A76175" w:rsidRDefault="00DB42CD" w:rsidP="00A76175">
      <w:pPr>
        <w:pStyle w:val="21"/>
        <w:rPr>
          <w:rFonts w:eastAsiaTheme="minorEastAsia"/>
          <w:noProof/>
          <w:lang w:eastAsia="ru-RU"/>
        </w:rPr>
      </w:pPr>
      <w:hyperlink w:anchor="_Toc117179159" w:history="1">
        <w:r w:rsidR="00A76175" w:rsidRPr="00A76175">
          <w:rPr>
            <w:rStyle w:val="aa"/>
            <w:noProof/>
          </w:rPr>
          <w:t>1.1. Химическое название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_Toc117179159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6EAD1F79" w14:textId="5B3B0402" w:rsidR="00A76175" w:rsidRPr="00A76175" w:rsidRDefault="00DB42CD" w:rsidP="00A76175">
      <w:pPr>
        <w:pStyle w:val="21"/>
        <w:rPr>
          <w:rFonts w:eastAsiaTheme="minorEastAsia"/>
          <w:noProof/>
          <w:lang w:eastAsia="ru-RU"/>
        </w:rPr>
      </w:pPr>
      <w:hyperlink w:anchor="_Toc117179160" w:history="1">
        <w:r w:rsidR="00A76175" w:rsidRPr="00A76175">
          <w:rPr>
            <w:rStyle w:val="aa"/>
            <w:noProof/>
          </w:rPr>
          <w:t>1.2. Международное непатентованное название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_Toc117179160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029D62EA" w14:textId="1722F811" w:rsidR="00A76175" w:rsidRPr="00A76175" w:rsidRDefault="00DB42CD" w:rsidP="00A76175">
      <w:pPr>
        <w:pStyle w:val="21"/>
        <w:rPr>
          <w:rFonts w:eastAsiaTheme="minorEastAsia"/>
          <w:noProof/>
          <w:lang w:eastAsia="ru-RU"/>
        </w:rPr>
      </w:pPr>
      <w:hyperlink w:anchor="_Toc117179161" w:history="1">
        <w:r w:rsidR="00A76175" w:rsidRPr="00A76175">
          <w:rPr>
            <w:rStyle w:val="aa"/>
            <w:noProof/>
          </w:rPr>
          <w:t>1.3. Торговое название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_Toc117179161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6AE86B85" w14:textId="5FB25D1A" w:rsidR="00A76175" w:rsidRPr="00A76175" w:rsidRDefault="00DB42CD" w:rsidP="00A76175">
      <w:pPr>
        <w:pStyle w:val="21"/>
        <w:rPr>
          <w:rFonts w:eastAsiaTheme="minorEastAsia"/>
          <w:noProof/>
          <w:lang w:eastAsia="ru-RU"/>
        </w:rPr>
      </w:pPr>
      <w:hyperlink w:anchor="_Toc117179162" w:history="1">
        <w:r w:rsidR="00A76175" w:rsidRPr="00A76175">
          <w:rPr>
            <w:rStyle w:val="aa"/>
            <w:noProof/>
          </w:rPr>
          <w:t>1.4. Активные ингредиенты</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_Toc117179162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7171B637" w14:textId="110A7D9F" w:rsidR="00A76175" w:rsidRPr="00A76175" w:rsidRDefault="00DB42CD" w:rsidP="00A76175">
      <w:pPr>
        <w:pStyle w:val="21"/>
        <w:rPr>
          <w:rFonts w:eastAsiaTheme="minorEastAsia"/>
          <w:noProof/>
          <w:lang w:eastAsia="ru-RU"/>
        </w:rPr>
      </w:pPr>
      <w:hyperlink w:anchor="_Toc117179163" w:history="1">
        <w:r w:rsidR="00A76175" w:rsidRPr="00A76175">
          <w:rPr>
            <w:rStyle w:val="aa"/>
            <w:noProof/>
          </w:rPr>
          <w:t>1.5. Фармакологическая группа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_Toc117179163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3268584A" w14:textId="797084D6" w:rsidR="00A76175" w:rsidRPr="00A76175" w:rsidRDefault="00DB42CD" w:rsidP="00A76175">
      <w:pPr>
        <w:pStyle w:val="21"/>
        <w:rPr>
          <w:rFonts w:eastAsiaTheme="minorEastAsia"/>
          <w:noProof/>
          <w:lang w:eastAsia="ru-RU"/>
        </w:rPr>
      </w:pPr>
      <w:hyperlink w:anchor="_Toc117179164" w:history="1">
        <w:r w:rsidR="00A76175" w:rsidRPr="00A76175">
          <w:rPr>
            <w:rStyle w:val="aa"/>
            <w:noProof/>
          </w:rPr>
          <w:t>1.6. Код по АТХ</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_Toc117179164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680FCF8B" w14:textId="559DC038" w:rsidR="00A76175" w:rsidRPr="00A76175" w:rsidRDefault="00DB42CD" w:rsidP="00A76175">
      <w:pPr>
        <w:pStyle w:val="21"/>
        <w:rPr>
          <w:rFonts w:eastAsiaTheme="minorEastAsia"/>
          <w:noProof/>
          <w:lang w:eastAsia="ru-RU"/>
        </w:rPr>
      </w:pPr>
      <w:hyperlink w:anchor="_Toc117179165" w:history="1">
        <w:r w:rsidR="00A76175" w:rsidRPr="00A76175">
          <w:rPr>
            <w:rStyle w:val="aa"/>
            <w:noProof/>
          </w:rPr>
          <w:t>1.7.</w:t>
        </w:r>
        <w:r w:rsidR="00A76175" w:rsidRPr="00A76175">
          <w:rPr>
            <w:rFonts w:eastAsiaTheme="minorEastAsia"/>
            <w:noProof/>
            <w:lang w:eastAsia="ru-RU"/>
          </w:rPr>
          <w:tab/>
        </w:r>
        <w:r w:rsidR="00A76175" w:rsidRPr="00A76175">
          <w:rPr>
            <w:rStyle w:val="aa"/>
            <w:noProof/>
          </w:rPr>
          <w:t>Обоснование для изучения исследуемого препарата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_Toc117179165 \h </w:instrText>
        </w:r>
        <w:r w:rsidR="00A76175" w:rsidRPr="00A76175">
          <w:rPr>
            <w:noProof/>
            <w:webHidden/>
          </w:rPr>
        </w:r>
        <w:r w:rsidR="00A76175" w:rsidRPr="00A76175">
          <w:rPr>
            <w:noProof/>
            <w:webHidden/>
          </w:rPr>
          <w:fldChar w:fldCharType="separate"/>
        </w:r>
        <w:r w:rsidR="00421CA0">
          <w:rPr>
            <w:noProof/>
            <w:webHidden/>
          </w:rPr>
          <w:t>13</w:t>
        </w:r>
        <w:r w:rsidR="00A76175" w:rsidRPr="00A76175">
          <w:rPr>
            <w:noProof/>
            <w:webHidden/>
          </w:rPr>
          <w:fldChar w:fldCharType="end"/>
        </w:r>
      </w:hyperlink>
    </w:p>
    <w:p w14:paraId="4199FE55" w14:textId="1AB44CE6" w:rsidR="00A76175" w:rsidRPr="00A76175" w:rsidRDefault="00DB42CD" w:rsidP="00A76175">
      <w:pPr>
        <w:pStyle w:val="31"/>
        <w:rPr>
          <w:rFonts w:eastAsiaTheme="minorEastAsia"/>
          <w:lang w:eastAsia="ru-RU"/>
        </w:rPr>
      </w:pPr>
      <w:hyperlink w:anchor="_Toc117179166" w:history="1">
        <w:r w:rsidR="00A76175" w:rsidRPr="00A76175">
          <w:rPr>
            <w:rStyle w:val="aa"/>
          </w:rPr>
          <w:t>1.7.1. Общие сведения о заболевании</w:t>
        </w:r>
        <w:r w:rsidR="00A76175" w:rsidRPr="00A76175">
          <w:rPr>
            <w:webHidden/>
          </w:rPr>
          <w:tab/>
        </w:r>
        <w:r w:rsidR="00A76175" w:rsidRPr="00A76175">
          <w:rPr>
            <w:webHidden/>
          </w:rPr>
          <w:fldChar w:fldCharType="begin"/>
        </w:r>
        <w:r w:rsidR="00A76175" w:rsidRPr="00A76175">
          <w:rPr>
            <w:webHidden/>
          </w:rPr>
          <w:instrText xml:space="preserve"> PAGEREF _Toc117179166 \h </w:instrText>
        </w:r>
        <w:r w:rsidR="00A76175" w:rsidRPr="00A76175">
          <w:rPr>
            <w:webHidden/>
          </w:rPr>
        </w:r>
        <w:r w:rsidR="00A76175" w:rsidRPr="00A76175">
          <w:rPr>
            <w:webHidden/>
          </w:rPr>
          <w:fldChar w:fldCharType="separate"/>
        </w:r>
        <w:r w:rsidR="00421CA0">
          <w:rPr>
            <w:webHidden/>
          </w:rPr>
          <w:t>13</w:t>
        </w:r>
        <w:r w:rsidR="00A76175" w:rsidRPr="00A76175">
          <w:rPr>
            <w:webHidden/>
          </w:rPr>
          <w:fldChar w:fldCharType="end"/>
        </w:r>
      </w:hyperlink>
    </w:p>
    <w:p w14:paraId="4BBEDFDD" w14:textId="22E76FA9" w:rsidR="00A76175" w:rsidRPr="00A76175" w:rsidRDefault="00DB42CD" w:rsidP="00A76175">
      <w:pPr>
        <w:pStyle w:val="31"/>
        <w:rPr>
          <w:rFonts w:eastAsiaTheme="minorEastAsia"/>
          <w:lang w:eastAsia="ru-RU"/>
        </w:rPr>
      </w:pPr>
      <w:hyperlink w:anchor="_Toc117179167" w:history="1">
        <w:r w:rsidR="00A76175" w:rsidRPr="00A76175">
          <w:rPr>
            <w:rStyle w:val="aa"/>
          </w:rPr>
          <w:t>1.7.2. Существующие варианты терапии</w:t>
        </w:r>
        <w:r w:rsidR="00A76175" w:rsidRPr="00A76175">
          <w:rPr>
            <w:webHidden/>
          </w:rPr>
          <w:tab/>
        </w:r>
        <w:r w:rsidR="00A76175" w:rsidRPr="00A76175">
          <w:rPr>
            <w:webHidden/>
          </w:rPr>
          <w:fldChar w:fldCharType="begin"/>
        </w:r>
        <w:r w:rsidR="00A76175" w:rsidRPr="00A76175">
          <w:rPr>
            <w:webHidden/>
          </w:rPr>
          <w:instrText xml:space="preserve"> PAGEREF _Toc117179167 \h </w:instrText>
        </w:r>
        <w:r w:rsidR="00A76175" w:rsidRPr="00A76175">
          <w:rPr>
            <w:webHidden/>
          </w:rPr>
        </w:r>
        <w:r w:rsidR="00A76175" w:rsidRPr="00A76175">
          <w:rPr>
            <w:webHidden/>
          </w:rPr>
          <w:fldChar w:fldCharType="separate"/>
        </w:r>
        <w:r w:rsidR="00421CA0">
          <w:rPr>
            <w:webHidden/>
          </w:rPr>
          <w:t>17</w:t>
        </w:r>
        <w:r w:rsidR="00A76175" w:rsidRPr="00A76175">
          <w:rPr>
            <w:webHidden/>
          </w:rPr>
          <w:fldChar w:fldCharType="end"/>
        </w:r>
      </w:hyperlink>
    </w:p>
    <w:p w14:paraId="749F0B15" w14:textId="2EC52E6E" w:rsidR="00A76175" w:rsidRPr="00A76175" w:rsidRDefault="00DB42CD" w:rsidP="00A76175">
      <w:pPr>
        <w:pStyle w:val="31"/>
        <w:rPr>
          <w:rFonts w:eastAsiaTheme="minorEastAsia"/>
          <w:lang w:eastAsia="ru-RU"/>
        </w:rPr>
      </w:pPr>
      <w:hyperlink w:anchor="_Toc117179168" w:history="1">
        <w:r w:rsidR="00A76175" w:rsidRPr="00A76175">
          <w:rPr>
            <w:rStyle w:val="aa"/>
          </w:rPr>
          <w:t>1.7.3.</w:t>
        </w:r>
        <w:r w:rsidR="00A76175" w:rsidRPr="00A76175">
          <w:rPr>
            <w:rFonts w:eastAsiaTheme="minorEastAsia"/>
            <w:lang w:eastAsia="ru-RU"/>
          </w:rPr>
          <w:tab/>
        </w:r>
        <w:r w:rsidR="00A76175" w:rsidRPr="00A76175">
          <w:rPr>
            <w:rStyle w:val="aa"/>
          </w:rPr>
          <w:t>Вводная информация по исследуемой терапии</w:t>
        </w:r>
        <w:r w:rsidR="00A76175" w:rsidRPr="00A76175">
          <w:rPr>
            <w:webHidden/>
          </w:rPr>
          <w:tab/>
        </w:r>
        <w:r w:rsidR="00A76175" w:rsidRPr="00A76175">
          <w:rPr>
            <w:webHidden/>
          </w:rPr>
          <w:fldChar w:fldCharType="begin"/>
        </w:r>
        <w:r w:rsidR="00A76175" w:rsidRPr="00A76175">
          <w:rPr>
            <w:webHidden/>
          </w:rPr>
          <w:instrText xml:space="preserve"> PAGEREF _Toc117179168 \h </w:instrText>
        </w:r>
        <w:r w:rsidR="00A76175" w:rsidRPr="00A76175">
          <w:rPr>
            <w:webHidden/>
          </w:rPr>
        </w:r>
        <w:r w:rsidR="00A76175" w:rsidRPr="00A76175">
          <w:rPr>
            <w:webHidden/>
          </w:rPr>
          <w:fldChar w:fldCharType="separate"/>
        </w:r>
        <w:r w:rsidR="00421CA0">
          <w:rPr>
            <w:webHidden/>
          </w:rPr>
          <w:t>19</w:t>
        </w:r>
        <w:r w:rsidR="00A76175" w:rsidRPr="00A76175">
          <w:rPr>
            <w:webHidden/>
          </w:rPr>
          <w:fldChar w:fldCharType="end"/>
        </w:r>
      </w:hyperlink>
    </w:p>
    <w:p w14:paraId="147910C1" w14:textId="3ECADD0C" w:rsidR="00A76175" w:rsidRPr="00A76175" w:rsidRDefault="00DB42CD" w:rsidP="00A76175">
      <w:pPr>
        <w:pStyle w:val="21"/>
        <w:rPr>
          <w:rFonts w:eastAsiaTheme="minorEastAsia"/>
          <w:noProof/>
          <w:lang w:eastAsia="ru-RU"/>
        </w:rPr>
      </w:pPr>
      <w:hyperlink w:anchor="_Toc117179169" w:history="1">
        <w:r w:rsidR="00A76175" w:rsidRPr="00A76175">
          <w:rPr>
            <w:rStyle w:val="aa"/>
            <w:noProof/>
          </w:rPr>
          <w:t>1.8.</w:t>
        </w:r>
        <w:r w:rsidR="00A76175" w:rsidRPr="00A76175">
          <w:rPr>
            <w:rFonts w:eastAsiaTheme="minorEastAsia"/>
            <w:noProof/>
            <w:lang w:eastAsia="ru-RU"/>
          </w:rPr>
          <w:tab/>
        </w:r>
        <w:r w:rsidR="00A76175" w:rsidRPr="00A76175">
          <w:rPr>
            <w:rStyle w:val="aa"/>
            <w:noProof/>
          </w:rPr>
          <w:t>Ожидаемые показания к применению</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_Toc117179169 \h </w:instrText>
        </w:r>
        <w:r w:rsidR="00A76175" w:rsidRPr="00A76175">
          <w:rPr>
            <w:noProof/>
            <w:webHidden/>
          </w:rPr>
        </w:r>
        <w:r w:rsidR="00A76175" w:rsidRPr="00A76175">
          <w:rPr>
            <w:noProof/>
            <w:webHidden/>
          </w:rPr>
          <w:fldChar w:fldCharType="separate"/>
        </w:r>
        <w:r w:rsidR="00421CA0">
          <w:rPr>
            <w:noProof/>
            <w:webHidden/>
          </w:rPr>
          <w:t>21</w:t>
        </w:r>
        <w:r w:rsidR="00A76175" w:rsidRPr="00A76175">
          <w:rPr>
            <w:noProof/>
            <w:webHidden/>
          </w:rPr>
          <w:fldChar w:fldCharType="end"/>
        </w:r>
      </w:hyperlink>
    </w:p>
    <w:p w14:paraId="038473CA" w14:textId="516797DB" w:rsidR="00A76175" w:rsidRPr="00A76175" w:rsidRDefault="00DB42CD" w:rsidP="00A76175">
      <w:pPr>
        <w:pStyle w:val="21"/>
        <w:rPr>
          <w:rFonts w:eastAsiaTheme="minorEastAsia"/>
          <w:noProof/>
          <w:lang w:eastAsia="ru-RU"/>
        </w:rPr>
      </w:pPr>
      <w:hyperlink w:anchor="_Toc117179170" w:history="1">
        <w:r w:rsidR="00A76175" w:rsidRPr="00A76175">
          <w:rPr>
            <w:rStyle w:val="aa"/>
            <w:noProof/>
          </w:rPr>
          <w:t>Список</w:t>
        </w:r>
        <w:r w:rsidR="00A76175" w:rsidRPr="00A76175">
          <w:rPr>
            <w:rStyle w:val="aa"/>
            <w:noProof/>
            <w:lang w:val="en-US"/>
          </w:rPr>
          <w:t xml:space="preserve"> </w:t>
        </w:r>
        <w:r w:rsidR="00A76175" w:rsidRPr="00A76175">
          <w:rPr>
            <w:rStyle w:val="aa"/>
            <w:noProof/>
          </w:rPr>
          <w:t>литературы</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_Toc117179170 \h </w:instrText>
        </w:r>
        <w:r w:rsidR="00A76175" w:rsidRPr="00A76175">
          <w:rPr>
            <w:noProof/>
            <w:webHidden/>
          </w:rPr>
        </w:r>
        <w:r w:rsidR="00A76175" w:rsidRPr="00A76175">
          <w:rPr>
            <w:noProof/>
            <w:webHidden/>
          </w:rPr>
          <w:fldChar w:fldCharType="separate"/>
        </w:r>
        <w:r w:rsidR="00421CA0">
          <w:rPr>
            <w:noProof/>
            <w:webHidden/>
          </w:rPr>
          <w:t>21</w:t>
        </w:r>
        <w:r w:rsidR="00A76175" w:rsidRPr="00A76175">
          <w:rPr>
            <w:noProof/>
            <w:webHidden/>
          </w:rPr>
          <w:fldChar w:fldCharType="end"/>
        </w:r>
      </w:hyperlink>
    </w:p>
    <w:p w14:paraId="0B5ABE4A" w14:textId="47322C9A" w:rsidR="00A76175" w:rsidRPr="00A76175" w:rsidRDefault="00DB42CD" w:rsidP="00A76175">
      <w:pPr>
        <w:pStyle w:val="14"/>
        <w:tabs>
          <w:tab w:val="left" w:pos="720"/>
        </w:tabs>
        <w:rPr>
          <w:rFonts w:eastAsiaTheme="minorEastAsia"/>
          <w:noProof/>
          <w:lang w:eastAsia="ru-RU"/>
        </w:rPr>
      </w:pPr>
      <w:hyperlink w:anchor="_Toc117179171" w:history="1">
        <w:r w:rsidR="00A76175" w:rsidRPr="00A76175">
          <w:rPr>
            <w:rStyle w:val="aa"/>
            <w:noProof/>
          </w:rPr>
          <w:t>2.</w:t>
        </w:r>
        <w:r w:rsidR="00A76175" w:rsidRPr="00A76175">
          <w:rPr>
            <w:rFonts w:eastAsiaTheme="minorEastAsia"/>
            <w:noProof/>
            <w:lang w:eastAsia="ru-RU"/>
          </w:rPr>
          <w:tab/>
        </w:r>
        <w:r w:rsidR="00A76175" w:rsidRPr="00A76175">
          <w:rPr>
            <w:rStyle w:val="aa"/>
            <w:noProof/>
          </w:rPr>
          <w:t>ФИЗИЧЕСКИЕ, ХИМИЧЕСКИЕ И ФАРМАЦЕВТИЧЕСКИЕ СВОЙСТВА И ЛЕКАРСТВЕННАЯ ФОРМА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_Toc117179171 \h </w:instrText>
        </w:r>
        <w:r w:rsidR="00A76175" w:rsidRPr="00A76175">
          <w:rPr>
            <w:noProof/>
            <w:webHidden/>
          </w:rPr>
        </w:r>
        <w:r w:rsidR="00A76175" w:rsidRPr="00A76175">
          <w:rPr>
            <w:noProof/>
            <w:webHidden/>
          </w:rPr>
          <w:fldChar w:fldCharType="separate"/>
        </w:r>
        <w:r w:rsidR="00421CA0">
          <w:rPr>
            <w:noProof/>
            <w:webHidden/>
          </w:rPr>
          <w:t>23</w:t>
        </w:r>
        <w:r w:rsidR="00A76175" w:rsidRPr="00A76175">
          <w:rPr>
            <w:noProof/>
            <w:webHidden/>
          </w:rPr>
          <w:fldChar w:fldCharType="end"/>
        </w:r>
      </w:hyperlink>
    </w:p>
    <w:p w14:paraId="3342CF50" w14:textId="48A65DD6" w:rsidR="00A76175" w:rsidRPr="00A76175" w:rsidRDefault="00DB42CD" w:rsidP="00A76175">
      <w:pPr>
        <w:pStyle w:val="21"/>
        <w:rPr>
          <w:rFonts w:eastAsiaTheme="minorEastAsia"/>
          <w:noProof/>
          <w:lang w:eastAsia="ru-RU"/>
        </w:rPr>
      </w:pPr>
      <w:hyperlink w:anchor="_Toc117179172" w:history="1">
        <w:r w:rsidR="00A76175" w:rsidRPr="00A76175">
          <w:rPr>
            <w:rStyle w:val="aa"/>
            <w:noProof/>
          </w:rPr>
          <w:t>2.1. Описание свойств исследуемого препарата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_Toc117179172 \h </w:instrText>
        </w:r>
        <w:r w:rsidR="00A76175" w:rsidRPr="00A76175">
          <w:rPr>
            <w:noProof/>
            <w:webHidden/>
          </w:rPr>
        </w:r>
        <w:r w:rsidR="00A76175" w:rsidRPr="00A76175">
          <w:rPr>
            <w:noProof/>
            <w:webHidden/>
          </w:rPr>
          <w:fldChar w:fldCharType="separate"/>
        </w:r>
        <w:r w:rsidR="00421CA0">
          <w:rPr>
            <w:noProof/>
            <w:webHidden/>
          </w:rPr>
          <w:t>23</w:t>
        </w:r>
        <w:r w:rsidR="00A76175" w:rsidRPr="00A76175">
          <w:rPr>
            <w:noProof/>
            <w:webHidden/>
          </w:rPr>
          <w:fldChar w:fldCharType="end"/>
        </w:r>
      </w:hyperlink>
    </w:p>
    <w:p w14:paraId="2517ECE8" w14:textId="0FA2E39C" w:rsidR="00A76175" w:rsidRPr="00A76175" w:rsidRDefault="00DB42CD" w:rsidP="00A76175">
      <w:pPr>
        <w:pStyle w:val="31"/>
        <w:rPr>
          <w:rFonts w:eastAsiaTheme="minorEastAsia"/>
          <w:lang w:eastAsia="ru-RU"/>
        </w:rPr>
      </w:pPr>
      <w:hyperlink w:anchor="_Toc117179173" w:history="1">
        <w:r w:rsidR="00A76175" w:rsidRPr="00A76175">
          <w:rPr>
            <w:rStyle w:val="aa"/>
          </w:rPr>
          <w:t>2.1.1. Химическая формула</w:t>
        </w:r>
        <w:r w:rsidR="00A76175" w:rsidRPr="00A76175">
          <w:rPr>
            <w:webHidden/>
          </w:rPr>
          <w:tab/>
        </w:r>
        <w:r w:rsidR="00A76175" w:rsidRPr="00A76175">
          <w:rPr>
            <w:webHidden/>
          </w:rPr>
          <w:fldChar w:fldCharType="begin"/>
        </w:r>
        <w:r w:rsidR="00A76175" w:rsidRPr="00A76175">
          <w:rPr>
            <w:webHidden/>
          </w:rPr>
          <w:instrText xml:space="preserve"> PAGEREF _Toc117179173 \h </w:instrText>
        </w:r>
        <w:r w:rsidR="00A76175" w:rsidRPr="00A76175">
          <w:rPr>
            <w:webHidden/>
          </w:rPr>
        </w:r>
        <w:r w:rsidR="00A76175" w:rsidRPr="00A76175">
          <w:rPr>
            <w:webHidden/>
          </w:rPr>
          <w:fldChar w:fldCharType="separate"/>
        </w:r>
        <w:r w:rsidR="00421CA0">
          <w:rPr>
            <w:webHidden/>
          </w:rPr>
          <w:t>23</w:t>
        </w:r>
        <w:r w:rsidR="00A76175" w:rsidRPr="00A76175">
          <w:rPr>
            <w:webHidden/>
          </w:rPr>
          <w:fldChar w:fldCharType="end"/>
        </w:r>
      </w:hyperlink>
    </w:p>
    <w:p w14:paraId="21E846A4" w14:textId="604EEE7B" w:rsidR="00A76175" w:rsidRPr="00A76175" w:rsidRDefault="00DB42CD" w:rsidP="00A76175">
      <w:pPr>
        <w:pStyle w:val="31"/>
        <w:rPr>
          <w:rFonts w:eastAsiaTheme="minorEastAsia"/>
          <w:lang w:eastAsia="ru-RU"/>
        </w:rPr>
      </w:pPr>
      <w:hyperlink w:anchor="_Toc117179174" w:history="1">
        <w:r w:rsidR="00A76175" w:rsidRPr="00A76175">
          <w:rPr>
            <w:rStyle w:val="aa"/>
          </w:rPr>
          <w:t>2.1.2. Структурная формула</w:t>
        </w:r>
        <w:r w:rsidR="00A76175" w:rsidRPr="00A76175">
          <w:rPr>
            <w:webHidden/>
          </w:rPr>
          <w:tab/>
        </w:r>
        <w:r w:rsidR="00A76175" w:rsidRPr="00A76175">
          <w:rPr>
            <w:webHidden/>
          </w:rPr>
          <w:fldChar w:fldCharType="begin"/>
        </w:r>
        <w:r w:rsidR="00A76175" w:rsidRPr="00A76175">
          <w:rPr>
            <w:webHidden/>
          </w:rPr>
          <w:instrText xml:space="preserve"> PAGEREF _Toc117179174 \h </w:instrText>
        </w:r>
        <w:r w:rsidR="00A76175" w:rsidRPr="00A76175">
          <w:rPr>
            <w:webHidden/>
          </w:rPr>
        </w:r>
        <w:r w:rsidR="00A76175" w:rsidRPr="00A76175">
          <w:rPr>
            <w:webHidden/>
          </w:rPr>
          <w:fldChar w:fldCharType="separate"/>
        </w:r>
        <w:r w:rsidR="00421CA0">
          <w:rPr>
            <w:webHidden/>
          </w:rPr>
          <w:t>23</w:t>
        </w:r>
        <w:r w:rsidR="00A76175" w:rsidRPr="00A76175">
          <w:rPr>
            <w:webHidden/>
          </w:rPr>
          <w:fldChar w:fldCharType="end"/>
        </w:r>
      </w:hyperlink>
    </w:p>
    <w:p w14:paraId="66EACA8E" w14:textId="5FBD09D5" w:rsidR="00A76175" w:rsidRPr="00A76175" w:rsidRDefault="00DB42CD" w:rsidP="00A76175">
      <w:pPr>
        <w:pStyle w:val="31"/>
        <w:rPr>
          <w:rFonts w:eastAsiaTheme="minorEastAsia"/>
          <w:lang w:eastAsia="ru-RU"/>
        </w:rPr>
      </w:pPr>
      <w:hyperlink w:anchor="_Toc117179175" w:history="1">
        <w:r w:rsidR="00A76175" w:rsidRPr="00A76175">
          <w:rPr>
            <w:rStyle w:val="aa"/>
          </w:rPr>
          <w:t>2.1.3. Физико-химические и фармацевтические свойства</w:t>
        </w:r>
        <w:r w:rsidR="00A76175" w:rsidRPr="00A76175">
          <w:rPr>
            <w:webHidden/>
          </w:rPr>
          <w:tab/>
        </w:r>
        <w:r w:rsidR="00A76175" w:rsidRPr="00A76175">
          <w:rPr>
            <w:webHidden/>
          </w:rPr>
          <w:fldChar w:fldCharType="begin"/>
        </w:r>
        <w:r w:rsidR="00A76175" w:rsidRPr="00A76175">
          <w:rPr>
            <w:webHidden/>
          </w:rPr>
          <w:instrText xml:space="preserve"> PAGEREF _Toc117179175 \h </w:instrText>
        </w:r>
        <w:r w:rsidR="00A76175" w:rsidRPr="00A76175">
          <w:rPr>
            <w:webHidden/>
          </w:rPr>
        </w:r>
        <w:r w:rsidR="00A76175" w:rsidRPr="00A76175">
          <w:rPr>
            <w:webHidden/>
          </w:rPr>
          <w:fldChar w:fldCharType="separate"/>
        </w:r>
        <w:r w:rsidR="00421CA0">
          <w:rPr>
            <w:webHidden/>
          </w:rPr>
          <w:t>23</w:t>
        </w:r>
        <w:r w:rsidR="00A76175" w:rsidRPr="00A76175">
          <w:rPr>
            <w:webHidden/>
          </w:rPr>
          <w:fldChar w:fldCharType="end"/>
        </w:r>
      </w:hyperlink>
    </w:p>
    <w:p w14:paraId="5869A6A4" w14:textId="13B64CA3" w:rsidR="00A76175" w:rsidRPr="00A76175" w:rsidRDefault="00DB42CD" w:rsidP="00A76175">
      <w:pPr>
        <w:pStyle w:val="31"/>
        <w:rPr>
          <w:rFonts w:eastAsiaTheme="minorEastAsia"/>
          <w:lang w:eastAsia="ru-RU"/>
        </w:rPr>
      </w:pPr>
      <w:hyperlink w:anchor="_Toc117179176" w:history="1">
        <w:r w:rsidR="00A76175" w:rsidRPr="00A76175">
          <w:rPr>
            <w:rStyle w:val="aa"/>
          </w:rPr>
          <w:t>2.2.1. Название лекарственной формы</w:t>
        </w:r>
        <w:r w:rsidR="00A76175" w:rsidRPr="00A76175">
          <w:rPr>
            <w:webHidden/>
          </w:rPr>
          <w:tab/>
        </w:r>
        <w:r w:rsidR="00A76175" w:rsidRPr="00A76175">
          <w:rPr>
            <w:webHidden/>
          </w:rPr>
          <w:fldChar w:fldCharType="begin"/>
        </w:r>
        <w:r w:rsidR="00A76175" w:rsidRPr="00A76175">
          <w:rPr>
            <w:webHidden/>
          </w:rPr>
          <w:instrText xml:space="preserve"> PAGEREF _Toc117179176 \h </w:instrText>
        </w:r>
        <w:r w:rsidR="00A76175" w:rsidRPr="00A76175">
          <w:rPr>
            <w:webHidden/>
          </w:rPr>
        </w:r>
        <w:r w:rsidR="00A76175" w:rsidRPr="00A76175">
          <w:rPr>
            <w:webHidden/>
          </w:rPr>
          <w:fldChar w:fldCharType="separate"/>
        </w:r>
        <w:r w:rsidR="00421CA0">
          <w:rPr>
            <w:webHidden/>
          </w:rPr>
          <w:t>23</w:t>
        </w:r>
        <w:r w:rsidR="00A76175" w:rsidRPr="00A76175">
          <w:rPr>
            <w:webHidden/>
          </w:rPr>
          <w:fldChar w:fldCharType="end"/>
        </w:r>
      </w:hyperlink>
    </w:p>
    <w:p w14:paraId="682AC17C" w14:textId="3870FB96" w:rsidR="00A76175" w:rsidRPr="00A76175" w:rsidRDefault="00DB42CD" w:rsidP="00A76175">
      <w:pPr>
        <w:pStyle w:val="31"/>
        <w:rPr>
          <w:rFonts w:eastAsiaTheme="minorEastAsia"/>
          <w:lang w:eastAsia="ru-RU"/>
        </w:rPr>
      </w:pPr>
      <w:hyperlink w:anchor="_Toc117179177" w:history="1">
        <w:r w:rsidR="00A76175" w:rsidRPr="00A76175">
          <w:rPr>
            <w:rStyle w:val="aa"/>
          </w:rPr>
          <w:t>2.2.2. Описание лекарственной формы</w:t>
        </w:r>
        <w:r w:rsidR="00A76175" w:rsidRPr="00A76175">
          <w:rPr>
            <w:webHidden/>
          </w:rPr>
          <w:tab/>
        </w:r>
        <w:r w:rsidR="00A76175" w:rsidRPr="00A76175">
          <w:rPr>
            <w:webHidden/>
          </w:rPr>
          <w:fldChar w:fldCharType="begin"/>
        </w:r>
        <w:r w:rsidR="00A76175" w:rsidRPr="00A76175">
          <w:rPr>
            <w:webHidden/>
          </w:rPr>
          <w:instrText xml:space="preserve"> PAGEREF _Toc117179177 \h </w:instrText>
        </w:r>
        <w:r w:rsidR="00A76175" w:rsidRPr="00A76175">
          <w:rPr>
            <w:webHidden/>
          </w:rPr>
        </w:r>
        <w:r w:rsidR="00A76175" w:rsidRPr="00A76175">
          <w:rPr>
            <w:webHidden/>
          </w:rPr>
          <w:fldChar w:fldCharType="separate"/>
        </w:r>
        <w:r w:rsidR="00421CA0">
          <w:rPr>
            <w:webHidden/>
          </w:rPr>
          <w:t>23</w:t>
        </w:r>
        <w:r w:rsidR="00A76175" w:rsidRPr="00A76175">
          <w:rPr>
            <w:webHidden/>
          </w:rPr>
          <w:fldChar w:fldCharType="end"/>
        </w:r>
      </w:hyperlink>
    </w:p>
    <w:p w14:paraId="4B4D9F11" w14:textId="13BD8C3C" w:rsidR="00A76175" w:rsidRPr="00A76175" w:rsidRDefault="00DB42CD" w:rsidP="00A76175">
      <w:pPr>
        <w:pStyle w:val="31"/>
        <w:rPr>
          <w:rFonts w:eastAsiaTheme="minorEastAsia"/>
          <w:lang w:eastAsia="ru-RU"/>
        </w:rPr>
      </w:pPr>
      <w:hyperlink w:anchor="_Toc117179178" w:history="1">
        <w:r w:rsidR="00A76175" w:rsidRPr="00A76175">
          <w:rPr>
            <w:rStyle w:val="aa"/>
          </w:rPr>
          <w:t>2.2.3. Состав лекарственной формы</w:t>
        </w:r>
        <w:r w:rsidR="00A76175" w:rsidRPr="00A76175">
          <w:rPr>
            <w:webHidden/>
          </w:rPr>
          <w:tab/>
        </w:r>
        <w:r w:rsidR="00A76175" w:rsidRPr="00A76175">
          <w:rPr>
            <w:webHidden/>
          </w:rPr>
          <w:fldChar w:fldCharType="begin"/>
        </w:r>
        <w:r w:rsidR="00A76175" w:rsidRPr="00A76175">
          <w:rPr>
            <w:webHidden/>
          </w:rPr>
          <w:instrText xml:space="preserve"> PAGEREF _Toc117179178 \h </w:instrText>
        </w:r>
        <w:r w:rsidR="00A76175" w:rsidRPr="00A76175">
          <w:rPr>
            <w:webHidden/>
          </w:rPr>
        </w:r>
        <w:r w:rsidR="00A76175" w:rsidRPr="00A76175">
          <w:rPr>
            <w:webHidden/>
          </w:rPr>
          <w:fldChar w:fldCharType="separate"/>
        </w:r>
        <w:r w:rsidR="00421CA0">
          <w:rPr>
            <w:webHidden/>
          </w:rPr>
          <w:t>24</w:t>
        </w:r>
        <w:r w:rsidR="00A76175" w:rsidRPr="00A76175">
          <w:rPr>
            <w:webHidden/>
          </w:rPr>
          <w:fldChar w:fldCharType="end"/>
        </w:r>
      </w:hyperlink>
    </w:p>
    <w:p w14:paraId="7BDC3407" w14:textId="0F063CEC" w:rsidR="00A76175" w:rsidRPr="00A76175" w:rsidRDefault="00DB42CD" w:rsidP="00A76175">
      <w:pPr>
        <w:pStyle w:val="31"/>
        <w:rPr>
          <w:rFonts w:eastAsiaTheme="minorEastAsia"/>
          <w:lang w:eastAsia="ru-RU"/>
        </w:rPr>
      </w:pPr>
      <w:hyperlink w:anchor="_Toc117179179" w:history="1">
        <w:r w:rsidR="00A76175" w:rsidRPr="00A76175">
          <w:rPr>
            <w:rStyle w:val="aa"/>
          </w:rPr>
          <w:t>2.2.4 Форма выпуска</w:t>
        </w:r>
        <w:r w:rsidR="00A76175" w:rsidRPr="00A76175">
          <w:rPr>
            <w:webHidden/>
          </w:rPr>
          <w:tab/>
        </w:r>
        <w:r w:rsidR="00A76175" w:rsidRPr="00A76175">
          <w:rPr>
            <w:webHidden/>
          </w:rPr>
          <w:fldChar w:fldCharType="begin"/>
        </w:r>
        <w:r w:rsidR="00A76175" w:rsidRPr="00A76175">
          <w:rPr>
            <w:webHidden/>
          </w:rPr>
          <w:instrText xml:space="preserve"> PAGEREF _Toc117179179 \h </w:instrText>
        </w:r>
        <w:r w:rsidR="00A76175" w:rsidRPr="00A76175">
          <w:rPr>
            <w:webHidden/>
          </w:rPr>
        </w:r>
        <w:r w:rsidR="00A76175" w:rsidRPr="00A76175">
          <w:rPr>
            <w:webHidden/>
          </w:rPr>
          <w:fldChar w:fldCharType="separate"/>
        </w:r>
        <w:r w:rsidR="00421CA0">
          <w:rPr>
            <w:webHidden/>
          </w:rPr>
          <w:t>28</w:t>
        </w:r>
        <w:r w:rsidR="00A76175" w:rsidRPr="00A76175">
          <w:rPr>
            <w:webHidden/>
          </w:rPr>
          <w:fldChar w:fldCharType="end"/>
        </w:r>
      </w:hyperlink>
    </w:p>
    <w:p w14:paraId="49C4DD1D" w14:textId="2101A39D" w:rsidR="00A76175" w:rsidRPr="00A76175" w:rsidRDefault="00DB42CD" w:rsidP="00A76175">
      <w:pPr>
        <w:pStyle w:val="31"/>
        <w:rPr>
          <w:rFonts w:eastAsiaTheme="minorEastAsia"/>
          <w:lang w:eastAsia="ru-RU"/>
        </w:rPr>
      </w:pPr>
      <w:hyperlink w:anchor="_Toc117179180" w:history="1">
        <w:r w:rsidR="00A76175" w:rsidRPr="00A76175">
          <w:rPr>
            <w:rStyle w:val="aa"/>
          </w:rPr>
          <w:t>2.3.1 Условия хранения и транспортировки</w:t>
        </w:r>
        <w:r w:rsidR="00A76175" w:rsidRPr="00A76175">
          <w:rPr>
            <w:webHidden/>
          </w:rPr>
          <w:tab/>
        </w:r>
        <w:r w:rsidR="00A76175" w:rsidRPr="00A76175">
          <w:rPr>
            <w:webHidden/>
          </w:rPr>
          <w:fldChar w:fldCharType="begin"/>
        </w:r>
        <w:r w:rsidR="00A76175" w:rsidRPr="00A76175">
          <w:rPr>
            <w:webHidden/>
          </w:rPr>
          <w:instrText xml:space="preserve"> PAGEREF _Toc117179180 \h </w:instrText>
        </w:r>
        <w:r w:rsidR="00A76175" w:rsidRPr="00A76175">
          <w:rPr>
            <w:webHidden/>
          </w:rPr>
        </w:r>
        <w:r w:rsidR="00A76175" w:rsidRPr="00A76175">
          <w:rPr>
            <w:webHidden/>
          </w:rPr>
          <w:fldChar w:fldCharType="separate"/>
        </w:r>
        <w:r w:rsidR="00421CA0">
          <w:rPr>
            <w:webHidden/>
          </w:rPr>
          <w:t>29</w:t>
        </w:r>
        <w:r w:rsidR="00A76175" w:rsidRPr="00A76175">
          <w:rPr>
            <w:webHidden/>
          </w:rPr>
          <w:fldChar w:fldCharType="end"/>
        </w:r>
      </w:hyperlink>
    </w:p>
    <w:p w14:paraId="20638305" w14:textId="71D38569" w:rsidR="00A76175" w:rsidRPr="00A76175" w:rsidRDefault="00DB42CD" w:rsidP="00A76175">
      <w:pPr>
        <w:pStyle w:val="31"/>
        <w:rPr>
          <w:rFonts w:eastAsiaTheme="minorEastAsia"/>
          <w:lang w:eastAsia="ru-RU"/>
        </w:rPr>
      </w:pPr>
      <w:hyperlink w:anchor="_Toc117179181" w:history="1">
        <w:r w:rsidR="00A76175" w:rsidRPr="00A76175">
          <w:rPr>
            <w:rStyle w:val="aa"/>
          </w:rPr>
          <w:t>2.3.2. Срок годности</w:t>
        </w:r>
        <w:r w:rsidR="00A76175" w:rsidRPr="00A76175">
          <w:rPr>
            <w:webHidden/>
          </w:rPr>
          <w:tab/>
        </w:r>
        <w:r w:rsidR="00A76175" w:rsidRPr="00A76175">
          <w:rPr>
            <w:webHidden/>
          </w:rPr>
          <w:fldChar w:fldCharType="begin"/>
        </w:r>
        <w:r w:rsidR="00A76175" w:rsidRPr="00A76175">
          <w:rPr>
            <w:webHidden/>
          </w:rPr>
          <w:instrText xml:space="preserve"> PAGEREF _Toc117179181 \h </w:instrText>
        </w:r>
        <w:r w:rsidR="00A76175" w:rsidRPr="00A76175">
          <w:rPr>
            <w:webHidden/>
          </w:rPr>
        </w:r>
        <w:r w:rsidR="00A76175" w:rsidRPr="00A76175">
          <w:rPr>
            <w:webHidden/>
          </w:rPr>
          <w:fldChar w:fldCharType="separate"/>
        </w:r>
        <w:r w:rsidR="00421CA0">
          <w:rPr>
            <w:webHidden/>
          </w:rPr>
          <w:t>29</w:t>
        </w:r>
        <w:r w:rsidR="00A76175" w:rsidRPr="00A76175">
          <w:rPr>
            <w:webHidden/>
          </w:rPr>
          <w:fldChar w:fldCharType="end"/>
        </w:r>
      </w:hyperlink>
    </w:p>
    <w:p w14:paraId="24A6165C" w14:textId="1CF9CFEC" w:rsidR="00A76175" w:rsidRPr="00A76175" w:rsidRDefault="00DB42CD" w:rsidP="00A76175">
      <w:pPr>
        <w:pStyle w:val="31"/>
        <w:rPr>
          <w:rFonts w:eastAsiaTheme="minorEastAsia"/>
          <w:lang w:eastAsia="ru-RU"/>
        </w:rPr>
      </w:pPr>
      <w:hyperlink w:anchor="_Toc117179182" w:history="1">
        <w:r w:rsidR="00A76175" w:rsidRPr="00A76175">
          <w:rPr>
            <w:rStyle w:val="aa"/>
          </w:rPr>
          <w:t>2.3.3. Правила по обращению с препаратом</w:t>
        </w:r>
        <w:r w:rsidR="00A76175" w:rsidRPr="00A76175">
          <w:rPr>
            <w:webHidden/>
          </w:rPr>
          <w:tab/>
        </w:r>
        <w:r w:rsidR="00A76175" w:rsidRPr="00A76175">
          <w:rPr>
            <w:webHidden/>
          </w:rPr>
          <w:fldChar w:fldCharType="begin"/>
        </w:r>
        <w:r w:rsidR="00A76175" w:rsidRPr="00A76175">
          <w:rPr>
            <w:webHidden/>
          </w:rPr>
          <w:instrText xml:space="preserve"> PAGEREF _Toc117179182 \h </w:instrText>
        </w:r>
        <w:r w:rsidR="00A76175" w:rsidRPr="00A76175">
          <w:rPr>
            <w:webHidden/>
          </w:rPr>
        </w:r>
        <w:r w:rsidR="00A76175" w:rsidRPr="00A76175">
          <w:rPr>
            <w:webHidden/>
          </w:rPr>
          <w:fldChar w:fldCharType="separate"/>
        </w:r>
        <w:r w:rsidR="00421CA0">
          <w:rPr>
            <w:webHidden/>
          </w:rPr>
          <w:t>29</w:t>
        </w:r>
        <w:r w:rsidR="00A76175" w:rsidRPr="00A76175">
          <w:rPr>
            <w:webHidden/>
          </w:rPr>
          <w:fldChar w:fldCharType="end"/>
        </w:r>
      </w:hyperlink>
    </w:p>
    <w:p w14:paraId="12B47C19" w14:textId="267BD89A" w:rsidR="00A76175" w:rsidRPr="00A76175" w:rsidRDefault="00DB42CD" w:rsidP="00A76175">
      <w:pPr>
        <w:pStyle w:val="21"/>
        <w:rPr>
          <w:rFonts w:eastAsiaTheme="minorEastAsia"/>
          <w:noProof/>
          <w:lang w:eastAsia="ru-RU"/>
        </w:rPr>
      </w:pPr>
      <w:hyperlink w:anchor="_Toc117179183" w:history="1">
        <w:r w:rsidR="00A76175" w:rsidRPr="00A76175">
          <w:rPr>
            <w:rStyle w:val="aa"/>
            <w:noProof/>
          </w:rPr>
          <w:t>Список</w:t>
        </w:r>
        <w:r w:rsidR="00A76175" w:rsidRPr="00A76175">
          <w:rPr>
            <w:rStyle w:val="aa"/>
            <w:noProof/>
            <w:lang w:val="en-US"/>
          </w:rPr>
          <w:t xml:space="preserve"> </w:t>
        </w:r>
        <w:r w:rsidR="00A76175" w:rsidRPr="00A76175">
          <w:rPr>
            <w:rStyle w:val="aa"/>
            <w:noProof/>
          </w:rPr>
          <w:t>литературы</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_Toc117179183 \h </w:instrText>
        </w:r>
        <w:r w:rsidR="00A76175" w:rsidRPr="00A76175">
          <w:rPr>
            <w:noProof/>
            <w:webHidden/>
          </w:rPr>
        </w:r>
        <w:r w:rsidR="00A76175" w:rsidRPr="00A76175">
          <w:rPr>
            <w:noProof/>
            <w:webHidden/>
          </w:rPr>
          <w:fldChar w:fldCharType="separate"/>
        </w:r>
        <w:r w:rsidR="00421CA0">
          <w:rPr>
            <w:noProof/>
            <w:webHidden/>
          </w:rPr>
          <w:t>29</w:t>
        </w:r>
        <w:r w:rsidR="00A76175" w:rsidRPr="00A76175">
          <w:rPr>
            <w:noProof/>
            <w:webHidden/>
          </w:rPr>
          <w:fldChar w:fldCharType="end"/>
        </w:r>
      </w:hyperlink>
    </w:p>
    <w:p w14:paraId="31099929" w14:textId="4A61FC44" w:rsidR="00A76175" w:rsidRPr="00A76175" w:rsidRDefault="00DB42CD" w:rsidP="00A76175">
      <w:pPr>
        <w:pStyle w:val="14"/>
        <w:rPr>
          <w:rFonts w:eastAsiaTheme="minorEastAsia"/>
          <w:noProof/>
          <w:lang w:eastAsia="ru-RU"/>
        </w:rPr>
      </w:pPr>
      <w:hyperlink w:anchor="_Toc117179184" w:history="1">
        <w:r w:rsidR="00A76175" w:rsidRPr="00A76175">
          <w:rPr>
            <w:rStyle w:val="aa"/>
            <w:noProof/>
          </w:rPr>
          <w:t>3. РЕЗУЛЬТАТЫ ДОКЛИНИЧЕСКИХ ИССЛЕДОВАНИЙ</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_Toc117179184 \h </w:instrText>
        </w:r>
        <w:r w:rsidR="00A76175" w:rsidRPr="00A76175">
          <w:rPr>
            <w:noProof/>
            <w:webHidden/>
          </w:rPr>
        </w:r>
        <w:r w:rsidR="00A76175" w:rsidRPr="00A76175">
          <w:rPr>
            <w:noProof/>
            <w:webHidden/>
          </w:rPr>
          <w:fldChar w:fldCharType="separate"/>
        </w:r>
        <w:r w:rsidR="00421CA0">
          <w:rPr>
            <w:noProof/>
            <w:webHidden/>
          </w:rPr>
          <w:t>30</w:t>
        </w:r>
        <w:r w:rsidR="00A76175" w:rsidRPr="00A76175">
          <w:rPr>
            <w:noProof/>
            <w:webHidden/>
          </w:rPr>
          <w:fldChar w:fldCharType="end"/>
        </w:r>
      </w:hyperlink>
    </w:p>
    <w:p w14:paraId="584577B6" w14:textId="23BD7762" w:rsidR="00A76175" w:rsidRPr="00A76175" w:rsidRDefault="00DB42CD" w:rsidP="00A76175">
      <w:pPr>
        <w:pStyle w:val="21"/>
        <w:rPr>
          <w:rFonts w:eastAsiaTheme="minorEastAsia"/>
          <w:noProof/>
          <w:lang w:eastAsia="ru-RU"/>
        </w:rPr>
      </w:pPr>
      <w:hyperlink w:anchor="_Toc117179185" w:history="1">
        <w:r w:rsidR="00A76175" w:rsidRPr="00A76175">
          <w:rPr>
            <w:rStyle w:val="aa"/>
            <w:noProof/>
          </w:rPr>
          <w:t>Введение и резюме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_Toc117179185 \h </w:instrText>
        </w:r>
        <w:r w:rsidR="00A76175" w:rsidRPr="00A76175">
          <w:rPr>
            <w:noProof/>
            <w:webHidden/>
          </w:rPr>
        </w:r>
        <w:r w:rsidR="00A76175" w:rsidRPr="00A76175">
          <w:rPr>
            <w:noProof/>
            <w:webHidden/>
          </w:rPr>
          <w:fldChar w:fldCharType="separate"/>
        </w:r>
        <w:r w:rsidR="00421CA0">
          <w:rPr>
            <w:noProof/>
            <w:webHidden/>
          </w:rPr>
          <w:t>30</w:t>
        </w:r>
        <w:r w:rsidR="00A76175" w:rsidRPr="00A76175">
          <w:rPr>
            <w:noProof/>
            <w:webHidden/>
          </w:rPr>
          <w:fldChar w:fldCharType="end"/>
        </w:r>
      </w:hyperlink>
    </w:p>
    <w:p w14:paraId="7C0E5555" w14:textId="437B3B55" w:rsidR="00A76175" w:rsidRPr="00A76175" w:rsidRDefault="00DB42CD" w:rsidP="00A76175">
      <w:pPr>
        <w:pStyle w:val="21"/>
        <w:rPr>
          <w:rFonts w:eastAsiaTheme="minorEastAsia"/>
          <w:noProof/>
          <w:lang w:eastAsia="ru-RU"/>
        </w:rPr>
      </w:pPr>
      <w:hyperlink w:anchor="_Toc117179186" w:history="1">
        <w:r w:rsidR="00A76175" w:rsidRPr="00A76175">
          <w:rPr>
            <w:rStyle w:val="aa"/>
            <w:noProof/>
          </w:rPr>
          <w:t>3.1 Доклиническая фармакология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_Toc117179186 \h </w:instrText>
        </w:r>
        <w:r w:rsidR="00A76175" w:rsidRPr="00A76175">
          <w:rPr>
            <w:noProof/>
            <w:webHidden/>
          </w:rPr>
        </w:r>
        <w:r w:rsidR="00A76175" w:rsidRPr="00A76175">
          <w:rPr>
            <w:noProof/>
            <w:webHidden/>
          </w:rPr>
          <w:fldChar w:fldCharType="separate"/>
        </w:r>
        <w:r w:rsidR="00421CA0">
          <w:rPr>
            <w:noProof/>
            <w:webHidden/>
          </w:rPr>
          <w:t>31</w:t>
        </w:r>
        <w:r w:rsidR="00A76175" w:rsidRPr="00A76175">
          <w:rPr>
            <w:noProof/>
            <w:webHidden/>
          </w:rPr>
          <w:fldChar w:fldCharType="end"/>
        </w:r>
      </w:hyperlink>
    </w:p>
    <w:p w14:paraId="4CECA460" w14:textId="058FFD0F" w:rsidR="00A76175" w:rsidRPr="00A76175" w:rsidRDefault="00DB42CD" w:rsidP="00A76175">
      <w:pPr>
        <w:pStyle w:val="31"/>
        <w:rPr>
          <w:rFonts w:eastAsiaTheme="minorEastAsia"/>
          <w:lang w:eastAsia="ru-RU"/>
        </w:rPr>
      </w:pPr>
      <w:hyperlink w:anchor="_Toc117179187" w:history="1">
        <w:r w:rsidR="00A76175" w:rsidRPr="00A76175">
          <w:rPr>
            <w:rStyle w:val="aa"/>
          </w:rPr>
          <w:t>3.1.1. Механизм действия</w:t>
        </w:r>
        <w:r w:rsidR="00A76175" w:rsidRPr="00A76175">
          <w:rPr>
            <w:webHidden/>
          </w:rPr>
          <w:tab/>
        </w:r>
        <w:r w:rsidR="00A76175" w:rsidRPr="00A76175">
          <w:rPr>
            <w:webHidden/>
          </w:rPr>
          <w:fldChar w:fldCharType="begin"/>
        </w:r>
        <w:r w:rsidR="00A76175" w:rsidRPr="00A76175">
          <w:rPr>
            <w:webHidden/>
          </w:rPr>
          <w:instrText xml:space="preserve"> PAGEREF _Toc117179187 \h </w:instrText>
        </w:r>
        <w:r w:rsidR="00A76175" w:rsidRPr="00A76175">
          <w:rPr>
            <w:webHidden/>
          </w:rPr>
        </w:r>
        <w:r w:rsidR="00A76175" w:rsidRPr="00A76175">
          <w:rPr>
            <w:webHidden/>
          </w:rPr>
          <w:fldChar w:fldCharType="separate"/>
        </w:r>
        <w:r w:rsidR="00421CA0">
          <w:rPr>
            <w:webHidden/>
          </w:rPr>
          <w:t>31</w:t>
        </w:r>
        <w:r w:rsidR="00A76175" w:rsidRPr="00A76175">
          <w:rPr>
            <w:webHidden/>
          </w:rPr>
          <w:fldChar w:fldCharType="end"/>
        </w:r>
      </w:hyperlink>
    </w:p>
    <w:p w14:paraId="2D6AD284" w14:textId="02DA0B6D" w:rsidR="00A76175" w:rsidRPr="00A76175" w:rsidRDefault="00DB42CD" w:rsidP="00A76175">
      <w:pPr>
        <w:pStyle w:val="41"/>
        <w:tabs>
          <w:tab w:val="right" w:leader="dot" w:pos="9346"/>
        </w:tabs>
        <w:rPr>
          <w:rFonts w:eastAsiaTheme="minorEastAsia"/>
          <w:noProof/>
          <w:lang w:eastAsia="ru-RU"/>
        </w:rPr>
      </w:pPr>
      <w:hyperlink w:anchor="_Toc117179188" w:history="1">
        <w:r w:rsidR="00A76175" w:rsidRPr="00A76175">
          <w:rPr>
            <w:rStyle w:val="aa"/>
            <w:noProof/>
          </w:rPr>
          <w:t xml:space="preserve">3.1.2.1. Первичная фармакодинамика </w:t>
        </w:r>
        <w:r w:rsidR="00A76175" w:rsidRPr="00A76175">
          <w:rPr>
            <w:rStyle w:val="aa"/>
            <w:i/>
            <w:noProof/>
          </w:rPr>
          <w:t>in vitro</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_Toc117179188 \h </w:instrText>
        </w:r>
        <w:r w:rsidR="00A76175" w:rsidRPr="00A76175">
          <w:rPr>
            <w:noProof/>
            <w:webHidden/>
          </w:rPr>
        </w:r>
        <w:r w:rsidR="00A76175" w:rsidRPr="00A76175">
          <w:rPr>
            <w:noProof/>
            <w:webHidden/>
          </w:rPr>
          <w:fldChar w:fldCharType="separate"/>
        </w:r>
        <w:r w:rsidR="00421CA0">
          <w:rPr>
            <w:noProof/>
            <w:webHidden/>
          </w:rPr>
          <w:t>32</w:t>
        </w:r>
        <w:r w:rsidR="00A76175" w:rsidRPr="00A76175">
          <w:rPr>
            <w:noProof/>
            <w:webHidden/>
          </w:rPr>
          <w:fldChar w:fldCharType="end"/>
        </w:r>
      </w:hyperlink>
    </w:p>
    <w:p w14:paraId="761ACB0C" w14:textId="6AC4E714" w:rsidR="00A76175" w:rsidRPr="00A76175" w:rsidRDefault="00DB42CD" w:rsidP="00A76175">
      <w:pPr>
        <w:pStyle w:val="41"/>
        <w:tabs>
          <w:tab w:val="right" w:leader="dot" w:pos="9346"/>
        </w:tabs>
        <w:rPr>
          <w:rFonts w:eastAsiaTheme="minorEastAsia"/>
          <w:noProof/>
          <w:lang w:eastAsia="ru-RU"/>
        </w:rPr>
      </w:pPr>
      <w:hyperlink w:anchor="_Toc117179189" w:history="1">
        <w:r w:rsidR="00A76175" w:rsidRPr="00A76175">
          <w:rPr>
            <w:rStyle w:val="aa"/>
            <w:noProof/>
          </w:rPr>
          <w:t xml:space="preserve">3.1.2.2. Первичная фармакодинамика </w:t>
        </w:r>
        <w:r w:rsidR="00A76175" w:rsidRPr="00A76175">
          <w:rPr>
            <w:rStyle w:val="aa"/>
            <w:i/>
            <w:noProof/>
          </w:rPr>
          <w:t>in vivo</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_Toc117179189 \h </w:instrText>
        </w:r>
        <w:r w:rsidR="00A76175" w:rsidRPr="00A76175">
          <w:rPr>
            <w:noProof/>
            <w:webHidden/>
          </w:rPr>
        </w:r>
        <w:r w:rsidR="00A76175" w:rsidRPr="00A76175">
          <w:rPr>
            <w:noProof/>
            <w:webHidden/>
          </w:rPr>
          <w:fldChar w:fldCharType="separate"/>
        </w:r>
        <w:r w:rsidR="00421CA0">
          <w:rPr>
            <w:noProof/>
            <w:webHidden/>
          </w:rPr>
          <w:t>34</w:t>
        </w:r>
        <w:r w:rsidR="00A76175" w:rsidRPr="00A76175">
          <w:rPr>
            <w:noProof/>
            <w:webHidden/>
          </w:rPr>
          <w:fldChar w:fldCharType="end"/>
        </w:r>
      </w:hyperlink>
    </w:p>
    <w:p w14:paraId="7CEC74EE" w14:textId="2998ECE8" w:rsidR="00A76175" w:rsidRPr="00A76175" w:rsidRDefault="00DB42CD" w:rsidP="00A76175">
      <w:pPr>
        <w:pStyle w:val="31"/>
        <w:rPr>
          <w:rFonts w:eastAsiaTheme="minorEastAsia"/>
          <w:lang w:eastAsia="ru-RU"/>
        </w:rPr>
      </w:pPr>
      <w:hyperlink w:anchor="_Toc117179190" w:history="1">
        <w:r w:rsidR="00A76175" w:rsidRPr="00A76175">
          <w:rPr>
            <w:rStyle w:val="aa"/>
          </w:rPr>
          <w:t>3.1.3. Вторичная фармакодинамика</w:t>
        </w:r>
        <w:r w:rsidR="00A76175" w:rsidRPr="00A76175">
          <w:rPr>
            <w:webHidden/>
          </w:rPr>
          <w:tab/>
        </w:r>
        <w:r w:rsidR="00A76175" w:rsidRPr="00A76175">
          <w:rPr>
            <w:webHidden/>
          </w:rPr>
          <w:fldChar w:fldCharType="begin"/>
        </w:r>
        <w:r w:rsidR="00A76175" w:rsidRPr="00A76175">
          <w:rPr>
            <w:webHidden/>
          </w:rPr>
          <w:instrText xml:space="preserve"> PAGEREF _Toc117179190 \h </w:instrText>
        </w:r>
        <w:r w:rsidR="00A76175" w:rsidRPr="00A76175">
          <w:rPr>
            <w:webHidden/>
          </w:rPr>
        </w:r>
        <w:r w:rsidR="00A76175" w:rsidRPr="00A76175">
          <w:rPr>
            <w:webHidden/>
          </w:rPr>
          <w:fldChar w:fldCharType="separate"/>
        </w:r>
        <w:r w:rsidR="00421CA0">
          <w:rPr>
            <w:webHidden/>
          </w:rPr>
          <w:t>34</w:t>
        </w:r>
        <w:r w:rsidR="00A76175" w:rsidRPr="00A76175">
          <w:rPr>
            <w:webHidden/>
          </w:rPr>
          <w:fldChar w:fldCharType="end"/>
        </w:r>
      </w:hyperlink>
    </w:p>
    <w:p w14:paraId="164ECC1E" w14:textId="32E2A44D" w:rsidR="00A76175" w:rsidRPr="00A76175" w:rsidRDefault="00DB42CD" w:rsidP="00A76175">
      <w:pPr>
        <w:pStyle w:val="31"/>
        <w:rPr>
          <w:rFonts w:eastAsiaTheme="minorEastAsia"/>
          <w:lang w:eastAsia="ru-RU"/>
        </w:rPr>
      </w:pPr>
      <w:hyperlink w:anchor="_Toc117179191" w:history="1">
        <w:r w:rsidR="00A76175" w:rsidRPr="00A76175">
          <w:rPr>
            <w:rStyle w:val="aa"/>
          </w:rPr>
          <w:t>3.1.4. Фармакологическая безопасность</w:t>
        </w:r>
        <w:r w:rsidR="00A76175" w:rsidRPr="00A76175">
          <w:rPr>
            <w:webHidden/>
          </w:rPr>
          <w:tab/>
        </w:r>
        <w:r w:rsidR="00A76175" w:rsidRPr="00A76175">
          <w:rPr>
            <w:webHidden/>
          </w:rPr>
          <w:fldChar w:fldCharType="begin"/>
        </w:r>
        <w:r w:rsidR="00A76175" w:rsidRPr="00A76175">
          <w:rPr>
            <w:webHidden/>
          </w:rPr>
          <w:instrText xml:space="preserve"> PAGEREF _Toc117179191 \h </w:instrText>
        </w:r>
        <w:r w:rsidR="00A76175" w:rsidRPr="00A76175">
          <w:rPr>
            <w:webHidden/>
          </w:rPr>
        </w:r>
        <w:r w:rsidR="00A76175" w:rsidRPr="00A76175">
          <w:rPr>
            <w:webHidden/>
          </w:rPr>
          <w:fldChar w:fldCharType="separate"/>
        </w:r>
        <w:r w:rsidR="00421CA0">
          <w:rPr>
            <w:webHidden/>
          </w:rPr>
          <w:t>35</w:t>
        </w:r>
        <w:r w:rsidR="00A76175" w:rsidRPr="00A76175">
          <w:rPr>
            <w:webHidden/>
          </w:rPr>
          <w:fldChar w:fldCharType="end"/>
        </w:r>
      </w:hyperlink>
    </w:p>
    <w:p w14:paraId="67F965E6" w14:textId="23A05C9B" w:rsidR="00A76175" w:rsidRPr="00A76175" w:rsidRDefault="00DB42CD" w:rsidP="00A76175">
      <w:pPr>
        <w:pStyle w:val="31"/>
        <w:rPr>
          <w:rFonts w:eastAsiaTheme="minorEastAsia"/>
          <w:lang w:eastAsia="ru-RU"/>
        </w:rPr>
      </w:pPr>
      <w:hyperlink w:anchor="_Toc117179192" w:history="1">
        <w:r w:rsidR="00A76175" w:rsidRPr="00A76175">
          <w:rPr>
            <w:rStyle w:val="aa"/>
          </w:rPr>
          <w:t>3.1.5. Фармакодинамические лекарственные взаимодействия</w:t>
        </w:r>
        <w:r w:rsidR="00A76175" w:rsidRPr="00A76175">
          <w:rPr>
            <w:webHidden/>
          </w:rPr>
          <w:tab/>
        </w:r>
        <w:r w:rsidR="00A76175" w:rsidRPr="00A76175">
          <w:rPr>
            <w:webHidden/>
          </w:rPr>
          <w:fldChar w:fldCharType="begin"/>
        </w:r>
        <w:r w:rsidR="00A76175" w:rsidRPr="00A76175">
          <w:rPr>
            <w:webHidden/>
          </w:rPr>
          <w:instrText xml:space="preserve"> PAGEREF _Toc117179192 \h </w:instrText>
        </w:r>
        <w:r w:rsidR="00A76175" w:rsidRPr="00A76175">
          <w:rPr>
            <w:webHidden/>
          </w:rPr>
        </w:r>
        <w:r w:rsidR="00A76175" w:rsidRPr="00A76175">
          <w:rPr>
            <w:webHidden/>
          </w:rPr>
          <w:fldChar w:fldCharType="separate"/>
        </w:r>
        <w:r w:rsidR="00421CA0">
          <w:rPr>
            <w:webHidden/>
          </w:rPr>
          <w:t>37</w:t>
        </w:r>
        <w:r w:rsidR="00A76175" w:rsidRPr="00A76175">
          <w:rPr>
            <w:webHidden/>
          </w:rPr>
          <w:fldChar w:fldCharType="end"/>
        </w:r>
      </w:hyperlink>
    </w:p>
    <w:p w14:paraId="65C721F0" w14:textId="74AC46C2" w:rsidR="00A76175" w:rsidRPr="00A76175" w:rsidRDefault="00DB42CD" w:rsidP="00A76175">
      <w:pPr>
        <w:pStyle w:val="21"/>
        <w:rPr>
          <w:rFonts w:eastAsiaTheme="minorEastAsia"/>
          <w:noProof/>
          <w:lang w:eastAsia="ru-RU"/>
        </w:rPr>
      </w:pPr>
      <w:hyperlink w:anchor="_Toc117179193" w:history="1">
        <w:r w:rsidR="00A76175" w:rsidRPr="00A76175">
          <w:rPr>
            <w:rStyle w:val="aa"/>
            <w:noProof/>
          </w:rPr>
          <w:t>3.2. Доклиническая фармакокинетика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_Toc117179193 \h </w:instrText>
        </w:r>
        <w:r w:rsidR="00A76175" w:rsidRPr="00A76175">
          <w:rPr>
            <w:noProof/>
            <w:webHidden/>
          </w:rPr>
        </w:r>
        <w:r w:rsidR="00A76175" w:rsidRPr="00A76175">
          <w:rPr>
            <w:noProof/>
            <w:webHidden/>
          </w:rPr>
          <w:fldChar w:fldCharType="separate"/>
        </w:r>
        <w:r w:rsidR="00421CA0">
          <w:rPr>
            <w:noProof/>
            <w:webHidden/>
          </w:rPr>
          <w:t>38</w:t>
        </w:r>
        <w:r w:rsidR="00A76175" w:rsidRPr="00A76175">
          <w:rPr>
            <w:noProof/>
            <w:webHidden/>
          </w:rPr>
          <w:fldChar w:fldCharType="end"/>
        </w:r>
      </w:hyperlink>
    </w:p>
    <w:p w14:paraId="236DD7EB" w14:textId="7AC88CBD" w:rsidR="00A76175" w:rsidRPr="00A76175" w:rsidRDefault="00DB42CD" w:rsidP="00A76175">
      <w:pPr>
        <w:pStyle w:val="31"/>
        <w:rPr>
          <w:rFonts w:eastAsiaTheme="minorEastAsia"/>
          <w:lang w:eastAsia="ru-RU"/>
        </w:rPr>
      </w:pPr>
      <w:hyperlink w:anchor="_Toc117179194" w:history="1">
        <w:r w:rsidR="00A76175" w:rsidRPr="00A76175">
          <w:rPr>
            <w:rStyle w:val="aa"/>
          </w:rPr>
          <w:t xml:space="preserve">3.2.1. </w:t>
        </w:r>
        <w:r w:rsidR="00A76175" w:rsidRPr="00A76175">
          <w:rPr>
            <w:rStyle w:val="aa"/>
            <w:bCs/>
            <w:iCs/>
          </w:rPr>
          <w:t>Всасывание</w:t>
        </w:r>
        <w:r w:rsidR="00A76175" w:rsidRPr="00A76175">
          <w:rPr>
            <w:webHidden/>
          </w:rPr>
          <w:tab/>
        </w:r>
        <w:r w:rsidR="00A76175" w:rsidRPr="00A76175">
          <w:rPr>
            <w:webHidden/>
          </w:rPr>
          <w:fldChar w:fldCharType="begin"/>
        </w:r>
        <w:r w:rsidR="00A76175" w:rsidRPr="00A76175">
          <w:rPr>
            <w:webHidden/>
          </w:rPr>
          <w:instrText xml:space="preserve"> PAGEREF _Toc117179194 \h </w:instrText>
        </w:r>
        <w:r w:rsidR="00A76175" w:rsidRPr="00A76175">
          <w:rPr>
            <w:webHidden/>
          </w:rPr>
        </w:r>
        <w:r w:rsidR="00A76175" w:rsidRPr="00A76175">
          <w:rPr>
            <w:webHidden/>
          </w:rPr>
          <w:fldChar w:fldCharType="separate"/>
        </w:r>
        <w:r w:rsidR="00421CA0">
          <w:rPr>
            <w:webHidden/>
          </w:rPr>
          <w:t>38</w:t>
        </w:r>
        <w:r w:rsidR="00A76175" w:rsidRPr="00A76175">
          <w:rPr>
            <w:webHidden/>
          </w:rPr>
          <w:fldChar w:fldCharType="end"/>
        </w:r>
      </w:hyperlink>
    </w:p>
    <w:p w14:paraId="48012325" w14:textId="7D98EA9F" w:rsidR="00A76175" w:rsidRPr="00A76175" w:rsidRDefault="00DB42CD" w:rsidP="00A76175">
      <w:pPr>
        <w:pStyle w:val="31"/>
        <w:rPr>
          <w:rFonts w:eastAsiaTheme="minorEastAsia"/>
          <w:lang w:eastAsia="ru-RU"/>
        </w:rPr>
      </w:pPr>
      <w:hyperlink w:anchor="_Toc117179195" w:history="1">
        <w:r w:rsidR="00A76175" w:rsidRPr="00A76175">
          <w:rPr>
            <w:rStyle w:val="aa"/>
          </w:rPr>
          <w:t xml:space="preserve">3.2.2. </w:t>
        </w:r>
        <w:r w:rsidR="00A76175" w:rsidRPr="00A76175">
          <w:rPr>
            <w:rStyle w:val="aa"/>
            <w:bCs/>
          </w:rPr>
          <w:t>Распределение</w:t>
        </w:r>
        <w:r w:rsidR="00A76175" w:rsidRPr="00A76175">
          <w:rPr>
            <w:webHidden/>
          </w:rPr>
          <w:tab/>
        </w:r>
        <w:r w:rsidR="00A76175" w:rsidRPr="00A76175">
          <w:rPr>
            <w:webHidden/>
          </w:rPr>
          <w:fldChar w:fldCharType="begin"/>
        </w:r>
        <w:r w:rsidR="00A76175" w:rsidRPr="00A76175">
          <w:rPr>
            <w:webHidden/>
          </w:rPr>
          <w:instrText xml:space="preserve"> PAGEREF _Toc117179195 \h </w:instrText>
        </w:r>
        <w:r w:rsidR="00A76175" w:rsidRPr="00A76175">
          <w:rPr>
            <w:webHidden/>
          </w:rPr>
        </w:r>
        <w:r w:rsidR="00A76175" w:rsidRPr="00A76175">
          <w:rPr>
            <w:webHidden/>
          </w:rPr>
          <w:fldChar w:fldCharType="separate"/>
        </w:r>
        <w:r w:rsidR="00421CA0">
          <w:rPr>
            <w:webHidden/>
          </w:rPr>
          <w:t>39</w:t>
        </w:r>
        <w:r w:rsidR="00A76175" w:rsidRPr="00A76175">
          <w:rPr>
            <w:webHidden/>
          </w:rPr>
          <w:fldChar w:fldCharType="end"/>
        </w:r>
      </w:hyperlink>
    </w:p>
    <w:p w14:paraId="6EAE14EF" w14:textId="37166815" w:rsidR="00A76175" w:rsidRPr="00A76175" w:rsidRDefault="00DB42CD" w:rsidP="00A76175">
      <w:pPr>
        <w:pStyle w:val="31"/>
        <w:rPr>
          <w:rFonts w:eastAsiaTheme="minorEastAsia"/>
          <w:lang w:eastAsia="ru-RU"/>
        </w:rPr>
      </w:pPr>
      <w:hyperlink w:anchor="_Toc117179196" w:history="1">
        <w:r w:rsidR="00A76175" w:rsidRPr="00A76175">
          <w:rPr>
            <w:rStyle w:val="aa"/>
          </w:rPr>
          <w:t xml:space="preserve">3.2.3. </w:t>
        </w:r>
        <w:r w:rsidR="00A76175" w:rsidRPr="00A76175">
          <w:rPr>
            <w:rStyle w:val="aa"/>
            <w:bCs/>
          </w:rPr>
          <w:t>Метаболизм</w:t>
        </w:r>
        <w:r w:rsidR="00A76175" w:rsidRPr="00A76175">
          <w:rPr>
            <w:webHidden/>
          </w:rPr>
          <w:tab/>
        </w:r>
        <w:r w:rsidR="00A76175" w:rsidRPr="00A76175">
          <w:rPr>
            <w:webHidden/>
          </w:rPr>
          <w:fldChar w:fldCharType="begin"/>
        </w:r>
        <w:r w:rsidR="00A76175" w:rsidRPr="00A76175">
          <w:rPr>
            <w:webHidden/>
          </w:rPr>
          <w:instrText xml:space="preserve"> PAGEREF _Toc117179196 \h </w:instrText>
        </w:r>
        <w:r w:rsidR="00A76175" w:rsidRPr="00A76175">
          <w:rPr>
            <w:webHidden/>
          </w:rPr>
        </w:r>
        <w:r w:rsidR="00A76175" w:rsidRPr="00A76175">
          <w:rPr>
            <w:webHidden/>
          </w:rPr>
          <w:fldChar w:fldCharType="separate"/>
        </w:r>
        <w:r w:rsidR="00421CA0">
          <w:rPr>
            <w:webHidden/>
          </w:rPr>
          <w:t>39</w:t>
        </w:r>
        <w:r w:rsidR="00A76175" w:rsidRPr="00A76175">
          <w:rPr>
            <w:webHidden/>
          </w:rPr>
          <w:fldChar w:fldCharType="end"/>
        </w:r>
      </w:hyperlink>
    </w:p>
    <w:p w14:paraId="27661481" w14:textId="1AD46AF5" w:rsidR="00A76175" w:rsidRPr="00A76175" w:rsidRDefault="00DB42CD" w:rsidP="00A76175">
      <w:pPr>
        <w:pStyle w:val="31"/>
        <w:rPr>
          <w:rFonts w:eastAsiaTheme="minorEastAsia"/>
          <w:lang w:eastAsia="ru-RU"/>
        </w:rPr>
      </w:pPr>
      <w:hyperlink w:anchor="_Toc117179197" w:history="1">
        <w:r w:rsidR="00A76175" w:rsidRPr="00A76175">
          <w:rPr>
            <w:rStyle w:val="aa"/>
          </w:rPr>
          <w:t xml:space="preserve">3.2.4. </w:t>
        </w:r>
        <w:r w:rsidR="00A76175" w:rsidRPr="00A76175">
          <w:rPr>
            <w:rStyle w:val="aa"/>
            <w:bCs/>
          </w:rPr>
          <w:t>Выведение</w:t>
        </w:r>
        <w:r w:rsidR="00A76175" w:rsidRPr="00A76175">
          <w:rPr>
            <w:webHidden/>
          </w:rPr>
          <w:tab/>
        </w:r>
        <w:r w:rsidR="00A76175" w:rsidRPr="00A76175">
          <w:rPr>
            <w:webHidden/>
          </w:rPr>
          <w:fldChar w:fldCharType="begin"/>
        </w:r>
        <w:r w:rsidR="00A76175" w:rsidRPr="00A76175">
          <w:rPr>
            <w:webHidden/>
          </w:rPr>
          <w:instrText xml:space="preserve"> PAGEREF _Toc117179197 \h </w:instrText>
        </w:r>
        <w:r w:rsidR="00A76175" w:rsidRPr="00A76175">
          <w:rPr>
            <w:webHidden/>
          </w:rPr>
        </w:r>
        <w:r w:rsidR="00A76175" w:rsidRPr="00A76175">
          <w:rPr>
            <w:webHidden/>
          </w:rPr>
          <w:fldChar w:fldCharType="separate"/>
        </w:r>
        <w:r w:rsidR="00421CA0">
          <w:rPr>
            <w:webHidden/>
          </w:rPr>
          <w:t>40</w:t>
        </w:r>
        <w:r w:rsidR="00A76175" w:rsidRPr="00A76175">
          <w:rPr>
            <w:webHidden/>
          </w:rPr>
          <w:fldChar w:fldCharType="end"/>
        </w:r>
      </w:hyperlink>
    </w:p>
    <w:p w14:paraId="122D6020" w14:textId="1D76073A" w:rsidR="00A76175" w:rsidRPr="00A76175" w:rsidRDefault="00DB42CD" w:rsidP="00A76175">
      <w:pPr>
        <w:pStyle w:val="31"/>
        <w:rPr>
          <w:rFonts w:eastAsiaTheme="minorEastAsia"/>
          <w:lang w:eastAsia="ru-RU"/>
        </w:rPr>
      </w:pPr>
      <w:hyperlink w:anchor="_Toc117179198" w:history="1">
        <w:r w:rsidR="00A76175" w:rsidRPr="00A76175">
          <w:rPr>
            <w:rStyle w:val="aa"/>
          </w:rPr>
          <w:t xml:space="preserve">3.2.5. </w:t>
        </w:r>
        <w:r w:rsidR="00A76175" w:rsidRPr="00A76175">
          <w:rPr>
            <w:rStyle w:val="aa"/>
            <w:bCs/>
          </w:rPr>
          <w:t>Фармакокинетические лекарственные взаимодействия</w:t>
        </w:r>
        <w:r w:rsidR="00A76175" w:rsidRPr="00A76175">
          <w:rPr>
            <w:webHidden/>
          </w:rPr>
          <w:tab/>
        </w:r>
        <w:r w:rsidR="00A76175" w:rsidRPr="00A76175">
          <w:rPr>
            <w:webHidden/>
          </w:rPr>
          <w:fldChar w:fldCharType="begin"/>
        </w:r>
        <w:r w:rsidR="00A76175" w:rsidRPr="00A76175">
          <w:rPr>
            <w:webHidden/>
          </w:rPr>
          <w:instrText xml:space="preserve"> PAGEREF _Toc117179198 \h </w:instrText>
        </w:r>
        <w:r w:rsidR="00A76175" w:rsidRPr="00A76175">
          <w:rPr>
            <w:webHidden/>
          </w:rPr>
        </w:r>
        <w:r w:rsidR="00A76175" w:rsidRPr="00A76175">
          <w:rPr>
            <w:webHidden/>
          </w:rPr>
          <w:fldChar w:fldCharType="separate"/>
        </w:r>
        <w:r w:rsidR="00421CA0">
          <w:rPr>
            <w:webHidden/>
          </w:rPr>
          <w:t>40</w:t>
        </w:r>
        <w:r w:rsidR="00A76175" w:rsidRPr="00A76175">
          <w:rPr>
            <w:webHidden/>
          </w:rPr>
          <w:fldChar w:fldCharType="end"/>
        </w:r>
      </w:hyperlink>
    </w:p>
    <w:p w14:paraId="71CD5522" w14:textId="213D4A95" w:rsidR="00A76175" w:rsidRPr="00A76175" w:rsidRDefault="00DB42CD" w:rsidP="00A76175">
      <w:pPr>
        <w:pStyle w:val="21"/>
        <w:rPr>
          <w:rFonts w:eastAsiaTheme="minorEastAsia"/>
          <w:noProof/>
          <w:lang w:eastAsia="ru-RU"/>
        </w:rPr>
      </w:pPr>
      <w:hyperlink w:anchor="_Toc117179199" w:history="1">
        <w:r w:rsidR="00A76175" w:rsidRPr="00A76175">
          <w:rPr>
            <w:rStyle w:val="aa"/>
            <w:noProof/>
          </w:rPr>
          <w:t>3.3. Токсикологические исследования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_Toc117179199 \h </w:instrText>
        </w:r>
        <w:r w:rsidR="00A76175" w:rsidRPr="00A76175">
          <w:rPr>
            <w:noProof/>
            <w:webHidden/>
          </w:rPr>
        </w:r>
        <w:r w:rsidR="00A76175" w:rsidRPr="00A76175">
          <w:rPr>
            <w:noProof/>
            <w:webHidden/>
          </w:rPr>
          <w:fldChar w:fldCharType="separate"/>
        </w:r>
        <w:r w:rsidR="00421CA0">
          <w:rPr>
            <w:noProof/>
            <w:webHidden/>
          </w:rPr>
          <w:t>41</w:t>
        </w:r>
        <w:r w:rsidR="00A76175" w:rsidRPr="00A76175">
          <w:rPr>
            <w:noProof/>
            <w:webHidden/>
          </w:rPr>
          <w:fldChar w:fldCharType="end"/>
        </w:r>
      </w:hyperlink>
    </w:p>
    <w:p w14:paraId="6D47EB51" w14:textId="1CBCC971" w:rsidR="00A76175" w:rsidRPr="00A76175" w:rsidRDefault="00DB42CD" w:rsidP="00A76175">
      <w:pPr>
        <w:pStyle w:val="31"/>
        <w:rPr>
          <w:rFonts w:eastAsiaTheme="minorEastAsia"/>
          <w:lang w:eastAsia="ru-RU"/>
        </w:rPr>
      </w:pPr>
      <w:hyperlink w:anchor="_Toc117179200" w:history="1">
        <w:r w:rsidR="00A76175" w:rsidRPr="00A76175">
          <w:rPr>
            <w:rStyle w:val="aa"/>
          </w:rPr>
          <w:t>3.3.1. Токсичность при однократном введении</w:t>
        </w:r>
        <w:r w:rsidR="00A76175" w:rsidRPr="00A76175">
          <w:rPr>
            <w:webHidden/>
          </w:rPr>
          <w:tab/>
        </w:r>
        <w:r w:rsidR="00A76175" w:rsidRPr="00A76175">
          <w:rPr>
            <w:webHidden/>
          </w:rPr>
          <w:fldChar w:fldCharType="begin"/>
        </w:r>
        <w:r w:rsidR="00A76175" w:rsidRPr="00A76175">
          <w:rPr>
            <w:webHidden/>
          </w:rPr>
          <w:instrText xml:space="preserve"> PAGEREF _Toc117179200 \h </w:instrText>
        </w:r>
        <w:r w:rsidR="00A76175" w:rsidRPr="00A76175">
          <w:rPr>
            <w:webHidden/>
          </w:rPr>
        </w:r>
        <w:r w:rsidR="00A76175" w:rsidRPr="00A76175">
          <w:rPr>
            <w:webHidden/>
          </w:rPr>
          <w:fldChar w:fldCharType="separate"/>
        </w:r>
        <w:r w:rsidR="00421CA0">
          <w:rPr>
            <w:webHidden/>
          </w:rPr>
          <w:t>41</w:t>
        </w:r>
        <w:r w:rsidR="00A76175" w:rsidRPr="00A76175">
          <w:rPr>
            <w:webHidden/>
          </w:rPr>
          <w:fldChar w:fldCharType="end"/>
        </w:r>
      </w:hyperlink>
    </w:p>
    <w:p w14:paraId="7B1B66E7" w14:textId="37BDCA21" w:rsidR="00A76175" w:rsidRPr="00A76175" w:rsidRDefault="00DB42CD" w:rsidP="00A76175">
      <w:pPr>
        <w:pStyle w:val="31"/>
        <w:rPr>
          <w:rFonts w:eastAsiaTheme="minorEastAsia"/>
          <w:lang w:eastAsia="ru-RU"/>
        </w:rPr>
      </w:pPr>
      <w:hyperlink w:anchor="_Toc117179201" w:history="1">
        <w:r w:rsidR="00A76175" w:rsidRPr="00A76175">
          <w:rPr>
            <w:rStyle w:val="aa"/>
          </w:rPr>
          <w:t>3.3.2. Токсичность при многократном введении</w:t>
        </w:r>
        <w:r w:rsidR="00A76175" w:rsidRPr="00A76175">
          <w:rPr>
            <w:webHidden/>
          </w:rPr>
          <w:tab/>
        </w:r>
        <w:r w:rsidR="00A76175" w:rsidRPr="00A76175">
          <w:rPr>
            <w:webHidden/>
          </w:rPr>
          <w:fldChar w:fldCharType="begin"/>
        </w:r>
        <w:r w:rsidR="00A76175" w:rsidRPr="00A76175">
          <w:rPr>
            <w:webHidden/>
          </w:rPr>
          <w:instrText xml:space="preserve"> PAGEREF _Toc117179201 \h </w:instrText>
        </w:r>
        <w:r w:rsidR="00A76175" w:rsidRPr="00A76175">
          <w:rPr>
            <w:webHidden/>
          </w:rPr>
        </w:r>
        <w:r w:rsidR="00A76175" w:rsidRPr="00A76175">
          <w:rPr>
            <w:webHidden/>
          </w:rPr>
          <w:fldChar w:fldCharType="separate"/>
        </w:r>
        <w:r w:rsidR="00421CA0">
          <w:rPr>
            <w:webHidden/>
          </w:rPr>
          <w:t>41</w:t>
        </w:r>
        <w:r w:rsidR="00A76175" w:rsidRPr="00A76175">
          <w:rPr>
            <w:webHidden/>
          </w:rPr>
          <w:fldChar w:fldCharType="end"/>
        </w:r>
      </w:hyperlink>
    </w:p>
    <w:p w14:paraId="65479C15" w14:textId="6BBE8D86" w:rsidR="00A76175" w:rsidRPr="00A76175" w:rsidRDefault="00DB42CD" w:rsidP="00A76175">
      <w:pPr>
        <w:pStyle w:val="31"/>
        <w:rPr>
          <w:rFonts w:eastAsiaTheme="minorEastAsia"/>
          <w:lang w:eastAsia="ru-RU"/>
        </w:rPr>
      </w:pPr>
      <w:hyperlink w:anchor="_Toc117179202" w:history="1">
        <w:r w:rsidR="00A76175" w:rsidRPr="00A76175">
          <w:rPr>
            <w:rStyle w:val="aa"/>
          </w:rPr>
          <w:t xml:space="preserve">3.3.3. </w:t>
        </w:r>
        <w:r w:rsidR="00A76175" w:rsidRPr="00A76175">
          <w:rPr>
            <w:rStyle w:val="aa"/>
            <w:rFonts w:eastAsia="Calibri"/>
            <w:shd w:val="clear" w:color="auto" w:fill="FFFFFF"/>
          </w:rPr>
          <w:t>Генотоксичность</w:t>
        </w:r>
        <w:r w:rsidR="00A76175" w:rsidRPr="00A76175">
          <w:rPr>
            <w:webHidden/>
          </w:rPr>
          <w:tab/>
        </w:r>
        <w:r w:rsidR="00A76175" w:rsidRPr="00A76175">
          <w:rPr>
            <w:webHidden/>
          </w:rPr>
          <w:fldChar w:fldCharType="begin"/>
        </w:r>
        <w:r w:rsidR="00A76175" w:rsidRPr="00A76175">
          <w:rPr>
            <w:webHidden/>
          </w:rPr>
          <w:instrText xml:space="preserve"> PAGEREF _Toc117179202 \h </w:instrText>
        </w:r>
        <w:r w:rsidR="00A76175" w:rsidRPr="00A76175">
          <w:rPr>
            <w:webHidden/>
          </w:rPr>
        </w:r>
        <w:r w:rsidR="00A76175" w:rsidRPr="00A76175">
          <w:rPr>
            <w:webHidden/>
          </w:rPr>
          <w:fldChar w:fldCharType="separate"/>
        </w:r>
        <w:r w:rsidR="00421CA0">
          <w:rPr>
            <w:webHidden/>
          </w:rPr>
          <w:t>43</w:t>
        </w:r>
        <w:r w:rsidR="00A76175" w:rsidRPr="00A76175">
          <w:rPr>
            <w:webHidden/>
          </w:rPr>
          <w:fldChar w:fldCharType="end"/>
        </w:r>
      </w:hyperlink>
    </w:p>
    <w:p w14:paraId="073BCEB0" w14:textId="24C29E26" w:rsidR="00A76175" w:rsidRPr="00A76175" w:rsidRDefault="00DB42CD" w:rsidP="00A76175">
      <w:pPr>
        <w:pStyle w:val="31"/>
        <w:rPr>
          <w:rFonts w:eastAsiaTheme="minorEastAsia"/>
          <w:lang w:eastAsia="ru-RU"/>
        </w:rPr>
      </w:pPr>
      <w:hyperlink w:anchor="_Toc117179203" w:history="1">
        <w:r w:rsidR="00A76175" w:rsidRPr="00A76175">
          <w:rPr>
            <w:rStyle w:val="aa"/>
          </w:rPr>
          <w:t>3.3.4. Канцерогенность</w:t>
        </w:r>
        <w:r w:rsidR="00A76175" w:rsidRPr="00A76175">
          <w:rPr>
            <w:webHidden/>
          </w:rPr>
          <w:tab/>
        </w:r>
        <w:r w:rsidR="00A76175" w:rsidRPr="00A76175">
          <w:rPr>
            <w:webHidden/>
          </w:rPr>
          <w:fldChar w:fldCharType="begin"/>
        </w:r>
        <w:r w:rsidR="00A76175" w:rsidRPr="00A76175">
          <w:rPr>
            <w:webHidden/>
          </w:rPr>
          <w:instrText xml:space="preserve"> PAGEREF _Toc117179203 \h </w:instrText>
        </w:r>
        <w:r w:rsidR="00A76175" w:rsidRPr="00A76175">
          <w:rPr>
            <w:webHidden/>
          </w:rPr>
        </w:r>
        <w:r w:rsidR="00A76175" w:rsidRPr="00A76175">
          <w:rPr>
            <w:webHidden/>
          </w:rPr>
          <w:fldChar w:fldCharType="separate"/>
        </w:r>
        <w:r w:rsidR="00421CA0">
          <w:rPr>
            <w:webHidden/>
          </w:rPr>
          <w:t>44</w:t>
        </w:r>
        <w:r w:rsidR="00A76175" w:rsidRPr="00A76175">
          <w:rPr>
            <w:webHidden/>
          </w:rPr>
          <w:fldChar w:fldCharType="end"/>
        </w:r>
      </w:hyperlink>
    </w:p>
    <w:p w14:paraId="1C74EF7C" w14:textId="62B68839" w:rsidR="00A76175" w:rsidRPr="00A76175" w:rsidRDefault="00DB42CD" w:rsidP="00A76175">
      <w:pPr>
        <w:pStyle w:val="31"/>
        <w:rPr>
          <w:rFonts w:eastAsiaTheme="minorEastAsia"/>
          <w:lang w:eastAsia="ru-RU"/>
        </w:rPr>
      </w:pPr>
      <w:hyperlink w:anchor="_Toc117179204" w:history="1">
        <w:r w:rsidR="00A76175" w:rsidRPr="00A76175">
          <w:rPr>
            <w:rStyle w:val="aa"/>
          </w:rPr>
          <w:t>3.3.5. Репродуктивная и онтогенетическая токсичность</w:t>
        </w:r>
        <w:r w:rsidR="00A76175" w:rsidRPr="00A76175">
          <w:rPr>
            <w:webHidden/>
          </w:rPr>
          <w:tab/>
        </w:r>
        <w:r w:rsidR="00A76175" w:rsidRPr="00A76175">
          <w:rPr>
            <w:webHidden/>
          </w:rPr>
          <w:fldChar w:fldCharType="begin"/>
        </w:r>
        <w:r w:rsidR="00A76175" w:rsidRPr="00A76175">
          <w:rPr>
            <w:webHidden/>
          </w:rPr>
          <w:instrText xml:space="preserve"> PAGEREF _Toc117179204 \h </w:instrText>
        </w:r>
        <w:r w:rsidR="00A76175" w:rsidRPr="00A76175">
          <w:rPr>
            <w:webHidden/>
          </w:rPr>
        </w:r>
        <w:r w:rsidR="00A76175" w:rsidRPr="00A76175">
          <w:rPr>
            <w:webHidden/>
          </w:rPr>
          <w:fldChar w:fldCharType="separate"/>
        </w:r>
        <w:r w:rsidR="00421CA0">
          <w:rPr>
            <w:webHidden/>
          </w:rPr>
          <w:t>45</w:t>
        </w:r>
        <w:r w:rsidR="00A76175" w:rsidRPr="00A76175">
          <w:rPr>
            <w:webHidden/>
          </w:rPr>
          <w:fldChar w:fldCharType="end"/>
        </w:r>
      </w:hyperlink>
    </w:p>
    <w:p w14:paraId="4D142EB4" w14:textId="3734B4D1" w:rsidR="00A76175" w:rsidRPr="00A76175" w:rsidRDefault="00DB42CD" w:rsidP="00A76175">
      <w:pPr>
        <w:pStyle w:val="41"/>
        <w:tabs>
          <w:tab w:val="right" w:leader="dot" w:pos="9346"/>
        </w:tabs>
        <w:rPr>
          <w:rFonts w:eastAsiaTheme="minorEastAsia"/>
          <w:noProof/>
          <w:lang w:eastAsia="ru-RU"/>
        </w:rPr>
      </w:pPr>
      <w:hyperlink w:anchor="_Toc117179205" w:history="1">
        <w:r w:rsidR="00A76175" w:rsidRPr="00A76175">
          <w:rPr>
            <w:rStyle w:val="aa"/>
            <w:noProof/>
          </w:rPr>
          <w:t>3.3.5.1. Влияние на фертильность и ранняя эмбриональная токсичность</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_Toc117179205 \h </w:instrText>
        </w:r>
        <w:r w:rsidR="00A76175" w:rsidRPr="00A76175">
          <w:rPr>
            <w:noProof/>
            <w:webHidden/>
          </w:rPr>
        </w:r>
        <w:r w:rsidR="00A76175" w:rsidRPr="00A76175">
          <w:rPr>
            <w:noProof/>
            <w:webHidden/>
          </w:rPr>
          <w:fldChar w:fldCharType="separate"/>
        </w:r>
        <w:r w:rsidR="00421CA0">
          <w:rPr>
            <w:noProof/>
            <w:webHidden/>
          </w:rPr>
          <w:t>45</w:t>
        </w:r>
        <w:r w:rsidR="00A76175" w:rsidRPr="00A76175">
          <w:rPr>
            <w:noProof/>
            <w:webHidden/>
          </w:rPr>
          <w:fldChar w:fldCharType="end"/>
        </w:r>
      </w:hyperlink>
    </w:p>
    <w:p w14:paraId="1A50943F" w14:textId="48A536C9" w:rsidR="00A76175" w:rsidRPr="00A76175" w:rsidRDefault="00DB42CD" w:rsidP="00A76175">
      <w:pPr>
        <w:pStyle w:val="41"/>
        <w:tabs>
          <w:tab w:val="right" w:leader="dot" w:pos="9346"/>
        </w:tabs>
        <w:rPr>
          <w:rFonts w:eastAsiaTheme="minorEastAsia"/>
          <w:noProof/>
          <w:lang w:eastAsia="ru-RU"/>
        </w:rPr>
      </w:pPr>
      <w:hyperlink w:anchor="_Toc117179206" w:history="1">
        <w:r w:rsidR="00A76175" w:rsidRPr="00A76175">
          <w:rPr>
            <w:rStyle w:val="aa"/>
            <w:noProof/>
          </w:rPr>
          <w:t>3.3.5.2. Эмбрио-фетальная токсичность</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_Toc117179206 \h </w:instrText>
        </w:r>
        <w:r w:rsidR="00A76175" w:rsidRPr="00A76175">
          <w:rPr>
            <w:noProof/>
            <w:webHidden/>
          </w:rPr>
        </w:r>
        <w:r w:rsidR="00A76175" w:rsidRPr="00A76175">
          <w:rPr>
            <w:noProof/>
            <w:webHidden/>
          </w:rPr>
          <w:fldChar w:fldCharType="separate"/>
        </w:r>
        <w:r w:rsidR="00421CA0">
          <w:rPr>
            <w:noProof/>
            <w:webHidden/>
          </w:rPr>
          <w:t>45</w:t>
        </w:r>
        <w:r w:rsidR="00A76175" w:rsidRPr="00A76175">
          <w:rPr>
            <w:noProof/>
            <w:webHidden/>
          </w:rPr>
          <w:fldChar w:fldCharType="end"/>
        </w:r>
      </w:hyperlink>
    </w:p>
    <w:p w14:paraId="2053FB19" w14:textId="4A5F0FB6" w:rsidR="00A76175" w:rsidRPr="00A76175" w:rsidRDefault="00DB42CD" w:rsidP="00A76175">
      <w:pPr>
        <w:pStyle w:val="41"/>
        <w:tabs>
          <w:tab w:val="right" w:leader="dot" w:pos="9346"/>
        </w:tabs>
        <w:rPr>
          <w:rFonts w:eastAsiaTheme="minorEastAsia"/>
          <w:noProof/>
          <w:lang w:eastAsia="ru-RU"/>
        </w:rPr>
      </w:pPr>
      <w:hyperlink w:anchor="_Toc117179207" w:history="1">
        <w:r w:rsidR="00A76175" w:rsidRPr="00A76175">
          <w:rPr>
            <w:rStyle w:val="aa"/>
            <w:noProof/>
          </w:rPr>
          <w:t>.3.3.5.3. Влияние на пренатальное и постнатальное развитие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_Toc117179207 \h </w:instrText>
        </w:r>
        <w:r w:rsidR="00A76175" w:rsidRPr="00A76175">
          <w:rPr>
            <w:noProof/>
            <w:webHidden/>
          </w:rPr>
        </w:r>
        <w:r w:rsidR="00A76175" w:rsidRPr="00A76175">
          <w:rPr>
            <w:noProof/>
            <w:webHidden/>
          </w:rPr>
          <w:fldChar w:fldCharType="separate"/>
        </w:r>
        <w:r w:rsidR="00421CA0">
          <w:rPr>
            <w:noProof/>
            <w:webHidden/>
          </w:rPr>
          <w:t>46</w:t>
        </w:r>
        <w:r w:rsidR="00A76175" w:rsidRPr="00A76175">
          <w:rPr>
            <w:noProof/>
            <w:webHidden/>
          </w:rPr>
          <w:fldChar w:fldCharType="end"/>
        </w:r>
      </w:hyperlink>
    </w:p>
    <w:p w14:paraId="50D4A920" w14:textId="7AE877BE" w:rsidR="00A76175" w:rsidRPr="00A76175" w:rsidRDefault="00DB42CD" w:rsidP="00A76175">
      <w:pPr>
        <w:pStyle w:val="41"/>
        <w:tabs>
          <w:tab w:val="right" w:leader="dot" w:pos="9346"/>
        </w:tabs>
        <w:rPr>
          <w:rFonts w:eastAsiaTheme="minorEastAsia"/>
          <w:noProof/>
          <w:lang w:eastAsia="ru-RU"/>
        </w:rPr>
      </w:pPr>
      <w:hyperlink w:anchor="_Toc117179208" w:history="1">
        <w:r w:rsidR="00A76175" w:rsidRPr="00A76175">
          <w:rPr>
            <w:rStyle w:val="aa"/>
            <w:noProof/>
          </w:rPr>
          <w:t>3.3.5.4. Ювенильная токсичность</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_Toc117179208 \h </w:instrText>
        </w:r>
        <w:r w:rsidR="00A76175" w:rsidRPr="00A76175">
          <w:rPr>
            <w:noProof/>
            <w:webHidden/>
          </w:rPr>
        </w:r>
        <w:r w:rsidR="00A76175" w:rsidRPr="00A76175">
          <w:rPr>
            <w:noProof/>
            <w:webHidden/>
          </w:rPr>
          <w:fldChar w:fldCharType="separate"/>
        </w:r>
        <w:r w:rsidR="00421CA0">
          <w:rPr>
            <w:noProof/>
            <w:webHidden/>
          </w:rPr>
          <w:t>46</w:t>
        </w:r>
        <w:r w:rsidR="00A76175" w:rsidRPr="00A76175">
          <w:rPr>
            <w:noProof/>
            <w:webHidden/>
          </w:rPr>
          <w:fldChar w:fldCharType="end"/>
        </w:r>
      </w:hyperlink>
    </w:p>
    <w:p w14:paraId="09690F90" w14:textId="0A7278DE" w:rsidR="00A76175" w:rsidRPr="00A76175" w:rsidRDefault="00DB42CD" w:rsidP="00A76175">
      <w:pPr>
        <w:pStyle w:val="31"/>
        <w:rPr>
          <w:rFonts w:eastAsiaTheme="minorEastAsia"/>
          <w:lang w:eastAsia="ru-RU"/>
        </w:rPr>
      </w:pPr>
      <w:hyperlink w:anchor="_Toc117179209" w:history="1">
        <w:r w:rsidR="00A76175" w:rsidRPr="00A76175">
          <w:rPr>
            <w:rStyle w:val="aa"/>
          </w:rPr>
          <w:t>3.3.6. Местная переносимость</w:t>
        </w:r>
        <w:r w:rsidR="00A76175" w:rsidRPr="00A76175">
          <w:rPr>
            <w:webHidden/>
          </w:rPr>
          <w:tab/>
        </w:r>
        <w:r w:rsidR="00A76175" w:rsidRPr="00A76175">
          <w:rPr>
            <w:webHidden/>
          </w:rPr>
          <w:fldChar w:fldCharType="begin"/>
        </w:r>
        <w:r w:rsidR="00A76175" w:rsidRPr="00A76175">
          <w:rPr>
            <w:webHidden/>
          </w:rPr>
          <w:instrText xml:space="preserve"> PAGEREF _Toc117179209 \h </w:instrText>
        </w:r>
        <w:r w:rsidR="00A76175" w:rsidRPr="00A76175">
          <w:rPr>
            <w:webHidden/>
          </w:rPr>
        </w:r>
        <w:r w:rsidR="00A76175" w:rsidRPr="00A76175">
          <w:rPr>
            <w:webHidden/>
          </w:rPr>
          <w:fldChar w:fldCharType="separate"/>
        </w:r>
        <w:r w:rsidR="00421CA0">
          <w:rPr>
            <w:webHidden/>
          </w:rPr>
          <w:t>46</w:t>
        </w:r>
        <w:r w:rsidR="00A76175" w:rsidRPr="00A76175">
          <w:rPr>
            <w:webHidden/>
          </w:rPr>
          <w:fldChar w:fldCharType="end"/>
        </w:r>
      </w:hyperlink>
    </w:p>
    <w:p w14:paraId="1E86C01C" w14:textId="1C05FB39" w:rsidR="00A76175" w:rsidRPr="00A76175" w:rsidRDefault="00DB42CD" w:rsidP="00A76175">
      <w:pPr>
        <w:pStyle w:val="31"/>
        <w:rPr>
          <w:rFonts w:eastAsiaTheme="minorEastAsia"/>
          <w:lang w:eastAsia="ru-RU"/>
        </w:rPr>
      </w:pPr>
      <w:hyperlink w:anchor="_Toc117179210" w:history="1">
        <w:r w:rsidR="00A76175" w:rsidRPr="00A76175">
          <w:rPr>
            <w:rStyle w:val="aa"/>
          </w:rPr>
          <w:t>3.3.7. Токсикокинетика</w:t>
        </w:r>
        <w:r w:rsidR="00A76175" w:rsidRPr="00A76175">
          <w:rPr>
            <w:webHidden/>
          </w:rPr>
          <w:tab/>
        </w:r>
        <w:r w:rsidR="00A76175" w:rsidRPr="00A76175">
          <w:rPr>
            <w:webHidden/>
          </w:rPr>
          <w:fldChar w:fldCharType="begin"/>
        </w:r>
        <w:r w:rsidR="00A76175" w:rsidRPr="00A76175">
          <w:rPr>
            <w:webHidden/>
          </w:rPr>
          <w:instrText xml:space="preserve"> PAGEREF _Toc117179210 \h </w:instrText>
        </w:r>
        <w:r w:rsidR="00A76175" w:rsidRPr="00A76175">
          <w:rPr>
            <w:webHidden/>
          </w:rPr>
        </w:r>
        <w:r w:rsidR="00A76175" w:rsidRPr="00A76175">
          <w:rPr>
            <w:webHidden/>
          </w:rPr>
          <w:fldChar w:fldCharType="separate"/>
        </w:r>
        <w:r w:rsidR="00421CA0">
          <w:rPr>
            <w:webHidden/>
          </w:rPr>
          <w:t>47</w:t>
        </w:r>
        <w:r w:rsidR="00A76175" w:rsidRPr="00A76175">
          <w:rPr>
            <w:webHidden/>
          </w:rPr>
          <w:fldChar w:fldCharType="end"/>
        </w:r>
      </w:hyperlink>
    </w:p>
    <w:p w14:paraId="3284BFE0" w14:textId="765416D3" w:rsidR="00A76175" w:rsidRPr="00A76175" w:rsidRDefault="00DB42CD" w:rsidP="00A76175">
      <w:pPr>
        <w:pStyle w:val="31"/>
        <w:rPr>
          <w:rFonts w:eastAsiaTheme="minorEastAsia"/>
          <w:lang w:eastAsia="ru-RU"/>
        </w:rPr>
      </w:pPr>
      <w:hyperlink w:anchor="_Toc117179211" w:history="1">
        <w:r w:rsidR="00A76175" w:rsidRPr="00A76175">
          <w:rPr>
            <w:rStyle w:val="aa"/>
          </w:rPr>
          <w:t>3.3.8. Прочие исследования</w:t>
        </w:r>
        <w:r w:rsidR="00A76175" w:rsidRPr="00A76175">
          <w:rPr>
            <w:webHidden/>
          </w:rPr>
          <w:tab/>
        </w:r>
        <w:r w:rsidR="00A76175" w:rsidRPr="00A76175">
          <w:rPr>
            <w:webHidden/>
          </w:rPr>
          <w:fldChar w:fldCharType="begin"/>
        </w:r>
        <w:r w:rsidR="00A76175" w:rsidRPr="00A76175">
          <w:rPr>
            <w:webHidden/>
          </w:rPr>
          <w:instrText xml:space="preserve"> PAGEREF _Toc117179211 \h </w:instrText>
        </w:r>
        <w:r w:rsidR="00A76175" w:rsidRPr="00A76175">
          <w:rPr>
            <w:webHidden/>
          </w:rPr>
        </w:r>
        <w:r w:rsidR="00A76175" w:rsidRPr="00A76175">
          <w:rPr>
            <w:webHidden/>
          </w:rPr>
          <w:fldChar w:fldCharType="separate"/>
        </w:r>
        <w:r w:rsidR="00421CA0">
          <w:rPr>
            <w:webHidden/>
          </w:rPr>
          <w:t>48</w:t>
        </w:r>
        <w:r w:rsidR="00A76175" w:rsidRPr="00A76175">
          <w:rPr>
            <w:webHidden/>
          </w:rPr>
          <w:fldChar w:fldCharType="end"/>
        </w:r>
      </w:hyperlink>
    </w:p>
    <w:p w14:paraId="29C1B5B7" w14:textId="1215EFE3" w:rsidR="00A76175" w:rsidRPr="00A76175" w:rsidRDefault="00DB42CD" w:rsidP="00A76175">
      <w:pPr>
        <w:pStyle w:val="41"/>
        <w:tabs>
          <w:tab w:val="right" w:leader="dot" w:pos="9346"/>
        </w:tabs>
        <w:rPr>
          <w:rFonts w:eastAsiaTheme="minorEastAsia"/>
          <w:noProof/>
          <w:lang w:eastAsia="ru-RU"/>
        </w:rPr>
      </w:pPr>
      <w:hyperlink w:anchor="_Toc117179212" w:history="1">
        <w:r w:rsidR="00A76175" w:rsidRPr="00A76175">
          <w:rPr>
            <w:rStyle w:val="aa"/>
            <w:noProof/>
          </w:rPr>
          <w:t>3.3.8.1. Фототоксичность</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_Toc117179212 \h </w:instrText>
        </w:r>
        <w:r w:rsidR="00A76175" w:rsidRPr="00A76175">
          <w:rPr>
            <w:noProof/>
            <w:webHidden/>
          </w:rPr>
        </w:r>
        <w:r w:rsidR="00A76175" w:rsidRPr="00A76175">
          <w:rPr>
            <w:noProof/>
            <w:webHidden/>
          </w:rPr>
          <w:fldChar w:fldCharType="separate"/>
        </w:r>
        <w:r w:rsidR="00421CA0">
          <w:rPr>
            <w:noProof/>
            <w:webHidden/>
          </w:rPr>
          <w:t>48</w:t>
        </w:r>
        <w:r w:rsidR="00A76175" w:rsidRPr="00A76175">
          <w:rPr>
            <w:noProof/>
            <w:webHidden/>
          </w:rPr>
          <w:fldChar w:fldCharType="end"/>
        </w:r>
      </w:hyperlink>
    </w:p>
    <w:p w14:paraId="0764EFF2" w14:textId="3FC24D34" w:rsidR="00A76175" w:rsidRPr="00A76175" w:rsidRDefault="00DB42CD" w:rsidP="00A76175">
      <w:pPr>
        <w:pStyle w:val="41"/>
        <w:tabs>
          <w:tab w:val="right" w:leader="dot" w:pos="9346"/>
        </w:tabs>
        <w:rPr>
          <w:rFonts w:eastAsiaTheme="minorEastAsia"/>
          <w:noProof/>
          <w:lang w:eastAsia="ru-RU"/>
        </w:rPr>
      </w:pPr>
      <w:hyperlink w:anchor="_Toc117179213" w:history="1">
        <w:r w:rsidR="00A76175" w:rsidRPr="00A76175">
          <w:rPr>
            <w:rStyle w:val="aa"/>
            <w:noProof/>
          </w:rPr>
          <w:t>3.3.8.2. Иммунотоксичность</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_Toc117179213 \h </w:instrText>
        </w:r>
        <w:r w:rsidR="00A76175" w:rsidRPr="00A76175">
          <w:rPr>
            <w:noProof/>
            <w:webHidden/>
          </w:rPr>
        </w:r>
        <w:r w:rsidR="00A76175" w:rsidRPr="00A76175">
          <w:rPr>
            <w:noProof/>
            <w:webHidden/>
          </w:rPr>
          <w:fldChar w:fldCharType="separate"/>
        </w:r>
        <w:r w:rsidR="00421CA0">
          <w:rPr>
            <w:noProof/>
            <w:webHidden/>
          </w:rPr>
          <w:t>48</w:t>
        </w:r>
        <w:r w:rsidR="00A76175" w:rsidRPr="00A76175">
          <w:rPr>
            <w:noProof/>
            <w:webHidden/>
          </w:rPr>
          <w:fldChar w:fldCharType="end"/>
        </w:r>
      </w:hyperlink>
    </w:p>
    <w:p w14:paraId="4655CECF" w14:textId="5DBD1C7C" w:rsidR="00A76175" w:rsidRPr="00A76175" w:rsidRDefault="00DB42CD" w:rsidP="00A76175">
      <w:pPr>
        <w:pStyle w:val="41"/>
        <w:tabs>
          <w:tab w:val="right" w:leader="dot" w:pos="9346"/>
        </w:tabs>
        <w:rPr>
          <w:rFonts w:eastAsiaTheme="minorEastAsia"/>
          <w:noProof/>
          <w:lang w:eastAsia="ru-RU"/>
        </w:rPr>
      </w:pPr>
      <w:hyperlink w:anchor="_Toc117179214" w:history="1">
        <w:r w:rsidR="00A76175" w:rsidRPr="00A76175">
          <w:rPr>
            <w:rStyle w:val="aa"/>
            <w:noProof/>
          </w:rPr>
          <w:t>3.3.8.3. Токсичность метаболитов</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_Toc117179214 \h </w:instrText>
        </w:r>
        <w:r w:rsidR="00A76175" w:rsidRPr="00A76175">
          <w:rPr>
            <w:noProof/>
            <w:webHidden/>
          </w:rPr>
        </w:r>
        <w:r w:rsidR="00A76175" w:rsidRPr="00A76175">
          <w:rPr>
            <w:noProof/>
            <w:webHidden/>
          </w:rPr>
          <w:fldChar w:fldCharType="separate"/>
        </w:r>
        <w:r w:rsidR="00421CA0">
          <w:rPr>
            <w:noProof/>
            <w:webHidden/>
          </w:rPr>
          <w:t>48</w:t>
        </w:r>
        <w:r w:rsidR="00A76175" w:rsidRPr="00A76175">
          <w:rPr>
            <w:noProof/>
            <w:webHidden/>
          </w:rPr>
          <w:fldChar w:fldCharType="end"/>
        </w:r>
      </w:hyperlink>
    </w:p>
    <w:p w14:paraId="64EBC85E" w14:textId="5A37470C" w:rsidR="00A76175" w:rsidRPr="00A76175" w:rsidRDefault="00DB42CD" w:rsidP="00A76175">
      <w:pPr>
        <w:pStyle w:val="41"/>
        <w:tabs>
          <w:tab w:val="right" w:leader="dot" w:pos="9346"/>
        </w:tabs>
        <w:rPr>
          <w:rFonts w:eastAsiaTheme="minorEastAsia"/>
          <w:noProof/>
          <w:lang w:eastAsia="ru-RU"/>
        </w:rPr>
      </w:pPr>
      <w:hyperlink w:anchor="_Toc117179215" w:history="1">
        <w:r w:rsidR="00A76175" w:rsidRPr="00A76175">
          <w:rPr>
            <w:rStyle w:val="aa"/>
            <w:noProof/>
          </w:rPr>
          <w:t>3.3.8.4. Токсичность примесей</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_Toc117179215 \h </w:instrText>
        </w:r>
        <w:r w:rsidR="00A76175" w:rsidRPr="00A76175">
          <w:rPr>
            <w:noProof/>
            <w:webHidden/>
          </w:rPr>
        </w:r>
        <w:r w:rsidR="00A76175" w:rsidRPr="00A76175">
          <w:rPr>
            <w:noProof/>
            <w:webHidden/>
          </w:rPr>
          <w:fldChar w:fldCharType="separate"/>
        </w:r>
        <w:r w:rsidR="00421CA0">
          <w:rPr>
            <w:noProof/>
            <w:webHidden/>
          </w:rPr>
          <w:t>49</w:t>
        </w:r>
        <w:r w:rsidR="00A76175" w:rsidRPr="00A76175">
          <w:rPr>
            <w:noProof/>
            <w:webHidden/>
          </w:rPr>
          <w:fldChar w:fldCharType="end"/>
        </w:r>
      </w:hyperlink>
    </w:p>
    <w:p w14:paraId="4472B0F0" w14:textId="08B6D291" w:rsidR="00A76175" w:rsidRPr="00A76175" w:rsidRDefault="00DB42CD" w:rsidP="00A76175">
      <w:pPr>
        <w:pStyle w:val="41"/>
        <w:tabs>
          <w:tab w:val="right" w:leader="dot" w:pos="9346"/>
        </w:tabs>
        <w:rPr>
          <w:rFonts w:eastAsiaTheme="minorEastAsia"/>
          <w:noProof/>
          <w:lang w:eastAsia="ru-RU"/>
        </w:rPr>
      </w:pPr>
      <w:hyperlink w:anchor="_Toc117179216" w:history="1">
        <w:r w:rsidR="00A76175" w:rsidRPr="00A76175">
          <w:rPr>
            <w:rStyle w:val="aa"/>
            <w:noProof/>
          </w:rPr>
          <w:t>3.3.8.5. Механистические исследования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_Toc117179216 \h </w:instrText>
        </w:r>
        <w:r w:rsidR="00A76175" w:rsidRPr="00A76175">
          <w:rPr>
            <w:noProof/>
            <w:webHidden/>
          </w:rPr>
        </w:r>
        <w:r w:rsidR="00A76175" w:rsidRPr="00A76175">
          <w:rPr>
            <w:noProof/>
            <w:webHidden/>
          </w:rPr>
          <w:fldChar w:fldCharType="separate"/>
        </w:r>
        <w:r w:rsidR="00421CA0">
          <w:rPr>
            <w:noProof/>
            <w:webHidden/>
          </w:rPr>
          <w:t>50</w:t>
        </w:r>
        <w:r w:rsidR="00A76175" w:rsidRPr="00A76175">
          <w:rPr>
            <w:noProof/>
            <w:webHidden/>
          </w:rPr>
          <w:fldChar w:fldCharType="end"/>
        </w:r>
      </w:hyperlink>
    </w:p>
    <w:p w14:paraId="7EFACB83" w14:textId="26DCBDA6" w:rsidR="00A76175" w:rsidRPr="00A76175" w:rsidRDefault="00DB42CD" w:rsidP="00A76175">
      <w:pPr>
        <w:pStyle w:val="21"/>
        <w:rPr>
          <w:rFonts w:eastAsiaTheme="minorEastAsia"/>
          <w:noProof/>
          <w:lang w:eastAsia="ru-RU"/>
        </w:rPr>
      </w:pPr>
      <w:hyperlink w:anchor="_Toc117179217" w:history="1">
        <w:r w:rsidR="00A76175" w:rsidRPr="00A76175">
          <w:rPr>
            <w:rStyle w:val="aa"/>
            <w:noProof/>
          </w:rPr>
          <w:t>Список</w:t>
        </w:r>
        <w:r w:rsidR="00A76175" w:rsidRPr="00A76175">
          <w:rPr>
            <w:rStyle w:val="aa"/>
            <w:noProof/>
            <w:lang w:val="en-US"/>
          </w:rPr>
          <w:t xml:space="preserve"> </w:t>
        </w:r>
        <w:r w:rsidR="00A76175" w:rsidRPr="00A76175">
          <w:rPr>
            <w:rStyle w:val="aa"/>
            <w:noProof/>
          </w:rPr>
          <w:t>литературы</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_Toc117179217 \h </w:instrText>
        </w:r>
        <w:r w:rsidR="00A76175" w:rsidRPr="00A76175">
          <w:rPr>
            <w:noProof/>
            <w:webHidden/>
          </w:rPr>
        </w:r>
        <w:r w:rsidR="00A76175" w:rsidRPr="00A76175">
          <w:rPr>
            <w:noProof/>
            <w:webHidden/>
          </w:rPr>
          <w:fldChar w:fldCharType="separate"/>
        </w:r>
        <w:r w:rsidR="00421CA0">
          <w:rPr>
            <w:noProof/>
            <w:webHidden/>
          </w:rPr>
          <w:t>51</w:t>
        </w:r>
        <w:r w:rsidR="00A76175" w:rsidRPr="00A76175">
          <w:rPr>
            <w:noProof/>
            <w:webHidden/>
          </w:rPr>
          <w:fldChar w:fldCharType="end"/>
        </w:r>
      </w:hyperlink>
    </w:p>
    <w:p w14:paraId="765E691B" w14:textId="305E6CBB" w:rsidR="00A76175" w:rsidRPr="00A76175" w:rsidRDefault="00DB42CD" w:rsidP="00A76175">
      <w:pPr>
        <w:pStyle w:val="14"/>
        <w:rPr>
          <w:rFonts w:eastAsiaTheme="minorEastAsia"/>
          <w:noProof/>
          <w:lang w:eastAsia="ru-RU"/>
        </w:rPr>
      </w:pPr>
      <w:hyperlink w:anchor="_Toc117179218" w:history="1">
        <w:r w:rsidR="00A76175" w:rsidRPr="00A76175">
          <w:rPr>
            <w:rStyle w:val="aa"/>
            <w:noProof/>
          </w:rPr>
          <w:t>4. ДЕЙСТВИЕ У ЧЕЛОВЕКА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_Toc117179218 \h </w:instrText>
        </w:r>
        <w:r w:rsidR="00A76175" w:rsidRPr="00A76175">
          <w:rPr>
            <w:noProof/>
            <w:webHidden/>
          </w:rPr>
        </w:r>
        <w:r w:rsidR="00A76175" w:rsidRPr="00A76175">
          <w:rPr>
            <w:noProof/>
            <w:webHidden/>
          </w:rPr>
          <w:fldChar w:fldCharType="separate"/>
        </w:r>
        <w:r w:rsidR="00421CA0">
          <w:rPr>
            <w:noProof/>
            <w:webHidden/>
          </w:rPr>
          <w:t>55</w:t>
        </w:r>
        <w:r w:rsidR="00A76175" w:rsidRPr="00A76175">
          <w:rPr>
            <w:noProof/>
            <w:webHidden/>
          </w:rPr>
          <w:fldChar w:fldCharType="end"/>
        </w:r>
      </w:hyperlink>
    </w:p>
    <w:p w14:paraId="1EF32F37" w14:textId="326F3DC7" w:rsidR="00A76175" w:rsidRPr="00A76175" w:rsidRDefault="00DB42CD" w:rsidP="00A76175">
      <w:pPr>
        <w:pStyle w:val="21"/>
        <w:rPr>
          <w:rFonts w:eastAsiaTheme="minorEastAsia"/>
          <w:noProof/>
          <w:lang w:eastAsia="ru-RU"/>
        </w:rPr>
      </w:pPr>
      <w:hyperlink w:anchor="_Toc117179219" w:history="1">
        <w:r w:rsidR="00A76175" w:rsidRPr="00A76175">
          <w:rPr>
            <w:rStyle w:val="aa"/>
            <w:noProof/>
          </w:rPr>
          <w:t>Введение и резюме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_Toc117179219 \h </w:instrText>
        </w:r>
        <w:r w:rsidR="00A76175" w:rsidRPr="00A76175">
          <w:rPr>
            <w:noProof/>
            <w:webHidden/>
          </w:rPr>
        </w:r>
        <w:r w:rsidR="00A76175" w:rsidRPr="00A76175">
          <w:rPr>
            <w:noProof/>
            <w:webHidden/>
          </w:rPr>
          <w:fldChar w:fldCharType="separate"/>
        </w:r>
        <w:r w:rsidR="00421CA0">
          <w:rPr>
            <w:noProof/>
            <w:webHidden/>
          </w:rPr>
          <w:t>55</w:t>
        </w:r>
        <w:r w:rsidR="00A76175" w:rsidRPr="00A76175">
          <w:rPr>
            <w:noProof/>
            <w:webHidden/>
          </w:rPr>
          <w:fldChar w:fldCharType="end"/>
        </w:r>
      </w:hyperlink>
    </w:p>
    <w:p w14:paraId="726714F0" w14:textId="5C40BFC7" w:rsidR="00A76175" w:rsidRPr="00A76175" w:rsidRDefault="00DB42CD" w:rsidP="00A76175">
      <w:pPr>
        <w:pStyle w:val="21"/>
        <w:rPr>
          <w:rFonts w:eastAsiaTheme="minorEastAsia"/>
          <w:noProof/>
          <w:lang w:eastAsia="ru-RU"/>
        </w:rPr>
      </w:pPr>
      <w:hyperlink w:anchor="_Toc117179220" w:history="1">
        <w:r w:rsidR="00A76175" w:rsidRPr="00A76175">
          <w:rPr>
            <w:rStyle w:val="aa"/>
            <w:noProof/>
          </w:rPr>
          <w:t>4.1. Фармакокинетика и фармакодинамика у человека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_Toc117179220 \h </w:instrText>
        </w:r>
        <w:r w:rsidR="00A76175" w:rsidRPr="00A76175">
          <w:rPr>
            <w:noProof/>
            <w:webHidden/>
          </w:rPr>
        </w:r>
        <w:r w:rsidR="00A76175" w:rsidRPr="00A76175">
          <w:rPr>
            <w:noProof/>
            <w:webHidden/>
          </w:rPr>
          <w:fldChar w:fldCharType="separate"/>
        </w:r>
        <w:r w:rsidR="00421CA0">
          <w:rPr>
            <w:noProof/>
            <w:webHidden/>
          </w:rPr>
          <w:t>56</w:t>
        </w:r>
        <w:r w:rsidR="00A76175" w:rsidRPr="00A76175">
          <w:rPr>
            <w:noProof/>
            <w:webHidden/>
          </w:rPr>
          <w:fldChar w:fldCharType="end"/>
        </w:r>
      </w:hyperlink>
    </w:p>
    <w:p w14:paraId="779B31B9" w14:textId="1D5089A2" w:rsidR="00A76175" w:rsidRPr="00A76175" w:rsidRDefault="00DB42CD" w:rsidP="00A76175">
      <w:pPr>
        <w:pStyle w:val="31"/>
        <w:rPr>
          <w:rFonts w:eastAsiaTheme="minorEastAsia"/>
          <w:lang w:eastAsia="ru-RU"/>
        </w:rPr>
      </w:pPr>
      <w:hyperlink w:anchor="_Toc117179221" w:history="1">
        <w:r w:rsidR="00A76175" w:rsidRPr="00A76175">
          <w:rPr>
            <w:rStyle w:val="aa"/>
          </w:rPr>
          <w:t>4.1.1. Фармакокинетика</w:t>
        </w:r>
        <w:r w:rsidR="00A76175" w:rsidRPr="00A76175">
          <w:rPr>
            <w:webHidden/>
          </w:rPr>
          <w:tab/>
        </w:r>
        <w:r w:rsidR="00A76175" w:rsidRPr="00A76175">
          <w:rPr>
            <w:webHidden/>
          </w:rPr>
          <w:fldChar w:fldCharType="begin"/>
        </w:r>
        <w:r w:rsidR="00A76175" w:rsidRPr="00A76175">
          <w:rPr>
            <w:webHidden/>
          </w:rPr>
          <w:instrText xml:space="preserve"> PAGEREF _Toc117179221 \h </w:instrText>
        </w:r>
        <w:r w:rsidR="00A76175" w:rsidRPr="00A76175">
          <w:rPr>
            <w:webHidden/>
          </w:rPr>
        </w:r>
        <w:r w:rsidR="00A76175" w:rsidRPr="00A76175">
          <w:rPr>
            <w:webHidden/>
          </w:rPr>
          <w:fldChar w:fldCharType="separate"/>
        </w:r>
        <w:r w:rsidR="00421CA0">
          <w:rPr>
            <w:webHidden/>
          </w:rPr>
          <w:t>56</w:t>
        </w:r>
        <w:r w:rsidR="00A76175" w:rsidRPr="00A76175">
          <w:rPr>
            <w:webHidden/>
          </w:rPr>
          <w:fldChar w:fldCharType="end"/>
        </w:r>
      </w:hyperlink>
    </w:p>
    <w:p w14:paraId="17CF6DD6" w14:textId="10125A08" w:rsidR="00A76175" w:rsidRPr="00A76175" w:rsidRDefault="00DB42CD" w:rsidP="00A76175">
      <w:pPr>
        <w:pStyle w:val="31"/>
        <w:rPr>
          <w:rFonts w:eastAsiaTheme="minorEastAsia"/>
          <w:lang w:eastAsia="ru-RU"/>
        </w:rPr>
      </w:pPr>
      <w:hyperlink w:anchor="_Toc117179222" w:history="1">
        <w:r w:rsidR="00A76175" w:rsidRPr="00A76175">
          <w:rPr>
            <w:rStyle w:val="aa"/>
          </w:rPr>
          <w:t>4.1.2. Фармакодинамика</w:t>
        </w:r>
        <w:r w:rsidR="00A76175" w:rsidRPr="00A76175">
          <w:rPr>
            <w:webHidden/>
          </w:rPr>
          <w:tab/>
        </w:r>
        <w:r w:rsidR="00A76175" w:rsidRPr="00A76175">
          <w:rPr>
            <w:webHidden/>
          </w:rPr>
          <w:fldChar w:fldCharType="begin"/>
        </w:r>
        <w:r w:rsidR="00A76175" w:rsidRPr="00A76175">
          <w:rPr>
            <w:webHidden/>
          </w:rPr>
          <w:instrText xml:space="preserve"> PAGEREF _Toc117179222 \h </w:instrText>
        </w:r>
        <w:r w:rsidR="00A76175" w:rsidRPr="00A76175">
          <w:rPr>
            <w:webHidden/>
          </w:rPr>
        </w:r>
        <w:r w:rsidR="00A76175" w:rsidRPr="00A76175">
          <w:rPr>
            <w:webHidden/>
          </w:rPr>
          <w:fldChar w:fldCharType="separate"/>
        </w:r>
        <w:r w:rsidR="00421CA0">
          <w:rPr>
            <w:webHidden/>
          </w:rPr>
          <w:t>65</w:t>
        </w:r>
        <w:r w:rsidR="00A76175" w:rsidRPr="00A76175">
          <w:rPr>
            <w:webHidden/>
          </w:rPr>
          <w:fldChar w:fldCharType="end"/>
        </w:r>
      </w:hyperlink>
    </w:p>
    <w:p w14:paraId="0BB56650" w14:textId="0A19E7B8" w:rsidR="00A76175" w:rsidRPr="00A76175" w:rsidRDefault="00DB42CD" w:rsidP="00A76175">
      <w:pPr>
        <w:pStyle w:val="31"/>
        <w:rPr>
          <w:rFonts w:eastAsiaTheme="minorEastAsia"/>
          <w:lang w:eastAsia="ru-RU"/>
        </w:rPr>
      </w:pPr>
      <w:hyperlink w:anchor="_Toc117179223" w:history="1">
        <w:r w:rsidR="00A76175" w:rsidRPr="00A76175">
          <w:rPr>
            <w:rStyle w:val="aa"/>
          </w:rPr>
          <w:t>4.1.2. Фармакодинамика</w:t>
        </w:r>
        <w:r w:rsidR="00A76175" w:rsidRPr="00A76175">
          <w:rPr>
            <w:webHidden/>
          </w:rPr>
          <w:tab/>
        </w:r>
        <w:r w:rsidR="00A76175" w:rsidRPr="00A76175">
          <w:rPr>
            <w:webHidden/>
          </w:rPr>
          <w:fldChar w:fldCharType="begin"/>
        </w:r>
        <w:r w:rsidR="00A76175" w:rsidRPr="00A76175">
          <w:rPr>
            <w:webHidden/>
          </w:rPr>
          <w:instrText xml:space="preserve"> PAGEREF _Toc117179223 \h </w:instrText>
        </w:r>
        <w:r w:rsidR="00A76175" w:rsidRPr="00A76175">
          <w:rPr>
            <w:webHidden/>
          </w:rPr>
        </w:r>
        <w:r w:rsidR="00A76175" w:rsidRPr="00A76175">
          <w:rPr>
            <w:webHidden/>
          </w:rPr>
          <w:fldChar w:fldCharType="separate"/>
        </w:r>
        <w:r w:rsidR="00421CA0">
          <w:rPr>
            <w:webHidden/>
          </w:rPr>
          <w:t>65</w:t>
        </w:r>
        <w:r w:rsidR="00A76175" w:rsidRPr="00A76175">
          <w:rPr>
            <w:webHidden/>
          </w:rPr>
          <w:fldChar w:fldCharType="end"/>
        </w:r>
      </w:hyperlink>
    </w:p>
    <w:p w14:paraId="4922CE0C" w14:textId="4F78B6A9" w:rsidR="00A76175" w:rsidRPr="00A76175" w:rsidRDefault="00DB42CD" w:rsidP="00A76175">
      <w:pPr>
        <w:pStyle w:val="41"/>
        <w:tabs>
          <w:tab w:val="right" w:leader="dot" w:pos="9346"/>
        </w:tabs>
        <w:rPr>
          <w:rFonts w:eastAsiaTheme="minorEastAsia"/>
          <w:noProof/>
          <w:lang w:eastAsia="ru-RU"/>
        </w:rPr>
      </w:pPr>
      <w:hyperlink w:anchor="_Toc117179224" w:history="1">
        <w:r w:rsidR="00A76175" w:rsidRPr="00A76175">
          <w:rPr>
            <w:rStyle w:val="aa"/>
            <w:noProof/>
          </w:rPr>
          <w:t>4.1.2.1. Первичная фармакодинамика и механизм действия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_Toc117179224 \h </w:instrText>
        </w:r>
        <w:r w:rsidR="00A76175" w:rsidRPr="00A76175">
          <w:rPr>
            <w:noProof/>
            <w:webHidden/>
          </w:rPr>
        </w:r>
        <w:r w:rsidR="00A76175" w:rsidRPr="00A76175">
          <w:rPr>
            <w:noProof/>
            <w:webHidden/>
          </w:rPr>
          <w:fldChar w:fldCharType="separate"/>
        </w:r>
        <w:r w:rsidR="00421CA0">
          <w:rPr>
            <w:noProof/>
            <w:webHidden/>
          </w:rPr>
          <w:t>65</w:t>
        </w:r>
        <w:r w:rsidR="00A76175" w:rsidRPr="00A76175">
          <w:rPr>
            <w:noProof/>
            <w:webHidden/>
          </w:rPr>
          <w:fldChar w:fldCharType="end"/>
        </w:r>
      </w:hyperlink>
    </w:p>
    <w:p w14:paraId="57478B08" w14:textId="057315FB" w:rsidR="00A76175" w:rsidRPr="00A76175" w:rsidRDefault="00DB42CD" w:rsidP="00A76175">
      <w:pPr>
        <w:pStyle w:val="41"/>
        <w:tabs>
          <w:tab w:val="right" w:leader="dot" w:pos="9346"/>
        </w:tabs>
        <w:rPr>
          <w:rFonts w:eastAsiaTheme="minorEastAsia"/>
          <w:noProof/>
          <w:lang w:eastAsia="ru-RU"/>
        </w:rPr>
      </w:pPr>
      <w:hyperlink w:anchor="_Toc117179225" w:history="1">
        <w:r w:rsidR="00A76175" w:rsidRPr="00A76175">
          <w:rPr>
            <w:rStyle w:val="aa"/>
            <w:noProof/>
          </w:rPr>
          <w:t>4.1.2.2. Вторичная фармакодинамика</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_Toc117179225 \h </w:instrText>
        </w:r>
        <w:r w:rsidR="00A76175" w:rsidRPr="00A76175">
          <w:rPr>
            <w:noProof/>
            <w:webHidden/>
          </w:rPr>
        </w:r>
        <w:r w:rsidR="00A76175" w:rsidRPr="00A76175">
          <w:rPr>
            <w:noProof/>
            <w:webHidden/>
          </w:rPr>
          <w:fldChar w:fldCharType="separate"/>
        </w:r>
        <w:r w:rsidR="00421CA0">
          <w:rPr>
            <w:noProof/>
            <w:webHidden/>
          </w:rPr>
          <w:t>67</w:t>
        </w:r>
        <w:r w:rsidR="00A76175" w:rsidRPr="00A76175">
          <w:rPr>
            <w:noProof/>
            <w:webHidden/>
          </w:rPr>
          <w:fldChar w:fldCharType="end"/>
        </w:r>
      </w:hyperlink>
    </w:p>
    <w:p w14:paraId="6EADA897" w14:textId="43083971" w:rsidR="00A76175" w:rsidRPr="00A76175" w:rsidRDefault="00DB42CD" w:rsidP="00A76175">
      <w:pPr>
        <w:pStyle w:val="41"/>
        <w:tabs>
          <w:tab w:val="right" w:leader="dot" w:pos="9346"/>
        </w:tabs>
        <w:rPr>
          <w:rFonts w:eastAsiaTheme="minorEastAsia"/>
          <w:noProof/>
          <w:lang w:eastAsia="ru-RU"/>
        </w:rPr>
      </w:pPr>
      <w:hyperlink w:anchor="_Toc117179226" w:history="1">
        <w:r w:rsidR="00A76175" w:rsidRPr="00A76175">
          <w:rPr>
            <w:rStyle w:val="aa"/>
            <w:noProof/>
          </w:rPr>
          <w:t>4.1.2.2. Фармакодинамические лекарственные взаимодействия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_Toc117179226 \h </w:instrText>
        </w:r>
        <w:r w:rsidR="00A76175" w:rsidRPr="00A76175">
          <w:rPr>
            <w:noProof/>
            <w:webHidden/>
          </w:rPr>
        </w:r>
        <w:r w:rsidR="00A76175" w:rsidRPr="00A76175">
          <w:rPr>
            <w:noProof/>
            <w:webHidden/>
          </w:rPr>
          <w:fldChar w:fldCharType="separate"/>
        </w:r>
        <w:r w:rsidR="00421CA0">
          <w:rPr>
            <w:noProof/>
            <w:webHidden/>
          </w:rPr>
          <w:t>67</w:t>
        </w:r>
        <w:r w:rsidR="00A76175" w:rsidRPr="00A76175">
          <w:rPr>
            <w:noProof/>
            <w:webHidden/>
          </w:rPr>
          <w:fldChar w:fldCharType="end"/>
        </w:r>
      </w:hyperlink>
    </w:p>
    <w:p w14:paraId="17299E45" w14:textId="02B66D3A" w:rsidR="00A76175" w:rsidRPr="00A76175" w:rsidRDefault="00DB42CD" w:rsidP="00A76175">
      <w:pPr>
        <w:pStyle w:val="21"/>
        <w:rPr>
          <w:rFonts w:eastAsiaTheme="minorEastAsia"/>
          <w:noProof/>
          <w:lang w:eastAsia="ru-RU"/>
        </w:rPr>
      </w:pPr>
      <w:hyperlink w:anchor="_Toc117179227" w:history="1">
        <w:r w:rsidR="00A76175" w:rsidRPr="00A76175">
          <w:rPr>
            <w:rStyle w:val="aa"/>
            <w:noProof/>
          </w:rPr>
          <w:t>4.3. Безопасность и эффективность</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_Toc117179227 \h </w:instrText>
        </w:r>
        <w:r w:rsidR="00A76175" w:rsidRPr="00A76175">
          <w:rPr>
            <w:noProof/>
            <w:webHidden/>
          </w:rPr>
        </w:r>
        <w:r w:rsidR="00A76175" w:rsidRPr="00A76175">
          <w:rPr>
            <w:noProof/>
            <w:webHidden/>
          </w:rPr>
          <w:fldChar w:fldCharType="separate"/>
        </w:r>
        <w:r w:rsidR="00421CA0">
          <w:rPr>
            <w:noProof/>
            <w:webHidden/>
          </w:rPr>
          <w:t>68</w:t>
        </w:r>
        <w:r w:rsidR="00A76175" w:rsidRPr="00A76175">
          <w:rPr>
            <w:noProof/>
            <w:webHidden/>
          </w:rPr>
          <w:fldChar w:fldCharType="end"/>
        </w:r>
      </w:hyperlink>
    </w:p>
    <w:p w14:paraId="32A988D2" w14:textId="777AB363" w:rsidR="00A76175" w:rsidRPr="00A76175" w:rsidRDefault="00DB42CD" w:rsidP="00A76175">
      <w:pPr>
        <w:pStyle w:val="31"/>
        <w:rPr>
          <w:rFonts w:eastAsiaTheme="minorEastAsia"/>
          <w:lang w:eastAsia="ru-RU"/>
        </w:rPr>
      </w:pPr>
      <w:hyperlink w:anchor="_Toc117179228" w:history="1">
        <w:r w:rsidR="00A76175" w:rsidRPr="00A76175">
          <w:rPr>
            <w:rStyle w:val="aa"/>
          </w:rPr>
          <w:t>4.3.1. Клиническая эффективность</w:t>
        </w:r>
        <w:r w:rsidR="00A76175" w:rsidRPr="00A76175">
          <w:rPr>
            <w:webHidden/>
          </w:rPr>
          <w:tab/>
        </w:r>
        <w:r w:rsidR="00A76175" w:rsidRPr="00A76175">
          <w:rPr>
            <w:webHidden/>
          </w:rPr>
          <w:fldChar w:fldCharType="begin"/>
        </w:r>
        <w:r w:rsidR="00A76175" w:rsidRPr="00A76175">
          <w:rPr>
            <w:webHidden/>
          </w:rPr>
          <w:instrText xml:space="preserve"> PAGEREF _Toc117179228 \h </w:instrText>
        </w:r>
        <w:r w:rsidR="00A76175" w:rsidRPr="00A76175">
          <w:rPr>
            <w:webHidden/>
          </w:rPr>
        </w:r>
        <w:r w:rsidR="00A76175" w:rsidRPr="00A76175">
          <w:rPr>
            <w:webHidden/>
          </w:rPr>
          <w:fldChar w:fldCharType="separate"/>
        </w:r>
        <w:r w:rsidR="00421CA0">
          <w:rPr>
            <w:webHidden/>
          </w:rPr>
          <w:t>68</w:t>
        </w:r>
        <w:r w:rsidR="00A76175" w:rsidRPr="00A76175">
          <w:rPr>
            <w:webHidden/>
          </w:rPr>
          <w:fldChar w:fldCharType="end"/>
        </w:r>
      </w:hyperlink>
    </w:p>
    <w:p w14:paraId="2CF2AC45" w14:textId="3A4993AA" w:rsidR="00A76175" w:rsidRPr="00A76175" w:rsidRDefault="00DB42CD" w:rsidP="00A76175">
      <w:pPr>
        <w:pStyle w:val="41"/>
        <w:tabs>
          <w:tab w:val="right" w:leader="dot" w:pos="9346"/>
        </w:tabs>
        <w:rPr>
          <w:rFonts w:eastAsiaTheme="minorEastAsia"/>
          <w:noProof/>
          <w:lang w:eastAsia="ru-RU"/>
        </w:rPr>
      </w:pPr>
      <w:hyperlink w:anchor="_Toc117179229" w:history="1">
        <w:r w:rsidR="00A76175" w:rsidRPr="00A76175">
          <w:rPr>
            <w:rStyle w:val="aa"/>
            <w:noProof/>
          </w:rPr>
          <w:t>4.3.1.1. ВИЧ-инфицированные взрослые пациенты, ранее получавшие терапию</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_Toc117179229 \h </w:instrText>
        </w:r>
        <w:r w:rsidR="00A76175" w:rsidRPr="00A76175">
          <w:rPr>
            <w:noProof/>
            <w:webHidden/>
          </w:rPr>
        </w:r>
        <w:r w:rsidR="00A76175" w:rsidRPr="00A76175">
          <w:rPr>
            <w:noProof/>
            <w:webHidden/>
          </w:rPr>
          <w:fldChar w:fldCharType="separate"/>
        </w:r>
        <w:r w:rsidR="00421CA0">
          <w:rPr>
            <w:noProof/>
            <w:webHidden/>
          </w:rPr>
          <w:t>68</w:t>
        </w:r>
        <w:r w:rsidR="00A76175" w:rsidRPr="00A76175">
          <w:rPr>
            <w:noProof/>
            <w:webHidden/>
          </w:rPr>
          <w:fldChar w:fldCharType="end"/>
        </w:r>
      </w:hyperlink>
    </w:p>
    <w:p w14:paraId="74C78D95" w14:textId="2011ECC1" w:rsidR="00A76175" w:rsidRPr="00A76175" w:rsidRDefault="00DB42CD" w:rsidP="00A76175">
      <w:pPr>
        <w:pStyle w:val="41"/>
        <w:tabs>
          <w:tab w:val="right" w:leader="dot" w:pos="9346"/>
        </w:tabs>
        <w:rPr>
          <w:rFonts w:eastAsiaTheme="minorEastAsia"/>
          <w:noProof/>
          <w:lang w:eastAsia="ru-RU"/>
        </w:rPr>
      </w:pPr>
      <w:hyperlink w:anchor="_Toc117179230" w:history="1">
        <w:r w:rsidR="00A76175" w:rsidRPr="00A76175">
          <w:rPr>
            <w:rStyle w:val="aa"/>
            <w:noProof/>
          </w:rPr>
          <w:t>4.3.1.2. ВИЧ-инфицированные педиатрические пациенты, ранее получавшие лечение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_Toc117179230 \h </w:instrText>
        </w:r>
        <w:r w:rsidR="00A76175" w:rsidRPr="00A76175">
          <w:rPr>
            <w:noProof/>
            <w:webHidden/>
          </w:rPr>
        </w:r>
        <w:r w:rsidR="00A76175" w:rsidRPr="00A76175">
          <w:rPr>
            <w:noProof/>
            <w:webHidden/>
          </w:rPr>
          <w:fldChar w:fldCharType="separate"/>
        </w:r>
        <w:r w:rsidR="00421CA0">
          <w:rPr>
            <w:noProof/>
            <w:webHidden/>
          </w:rPr>
          <w:t>72</w:t>
        </w:r>
        <w:r w:rsidR="00A76175" w:rsidRPr="00A76175">
          <w:rPr>
            <w:noProof/>
            <w:webHidden/>
          </w:rPr>
          <w:fldChar w:fldCharType="end"/>
        </w:r>
      </w:hyperlink>
    </w:p>
    <w:p w14:paraId="268F8803" w14:textId="07E42823" w:rsidR="00A76175" w:rsidRPr="00A76175" w:rsidRDefault="00DB42CD" w:rsidP="00A76175">
      <w:pPr>
        <w:pStyle w:val="41"/>
        <w:tabs>
          <w:tab w:val="right" w:leader="dot" w:pos="9346"/>
        </w:tabs>
        <w:rPr>
          <w:rFonts w:eastAsiaTheme="minorEastAsia"/>
          <w:noProof/>
          <w:lang w:eastAsia="ru-RU"/>
        </w:rPr>
      </w:pPr>
      <w:hyperlink w:anchor="_Toc117179231" w:history="1">
        <w:r w:rsidR="00A76175" w:rsidRPr="00A76175">
          <w:rPr>
            <w:rStyle w:val="aa"/>
            <w:noProof/>
          </w:rPr>
          <w:t>4.3.1.3. Беременность и послеродовый период</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_Toc117179231 \h </w:instrText>
        </w:r>
        <w:r w:rsidR="00A76175" w:rsidRPr="00A76175">
          <w:rPr>
            <w:noProof/>
            <w:webHidden/>
          </w:rPr>
        </w:r>
        <w:r w:rsidR="00A76175" w:rsidRPr="00A76175">
          <w:rPr>
            <w:noProof/>
            <w:webHidden/>
          </w:rPr>
          <w:fldChar w:fldCharType="separate"/>
        </w:r>
        <w:r w:rsidR="00421CA0">
          <w:rPr>
            <w:noProof/>
            <w:webHidden/>
          </w:rPr>
          <w:t>75</w:t>
        </w:r>
        <w:r w:rsidR="00A76175" w:rsidRPr="00A76175">
          <w:rPr>
            <w:noProof/>
            <w:webHidden/>
          </w:rPr>
          <w:fldChar w:fldCharType="end"/>
        </w:r>
      </w:hyperlink>
    </w:p>
    <w:p w14:paraId="6B61B0BB" w14:textId="080C66D3" w:rsidR="00A76175" w:rsidRPr="00A76175" w:rsidRDefault="00DB42CD" w:rsidP="00A76175">
      <w:pPr>
        <w:pStyle w:val="31"/>
        <w:rPr>
          <w:rFonts w:eastAsiaTheme="minorEastAsia"/>
          <w:lang w:eastAsia="ru-RU"/>
        </w:rPr>
      </w:pPr>
      <w:hyperlink w:anchor="_Toc117179232" w:history="1">
        <w:r w:rsidR="00A76175" w:rsidRPr="00A76175">
          <w:rPr>
            <w:rStyle w:val="aa"/>
            <w:rFonts w:eastAsia="Times New Roman"/>
            <w:bCs/>
            <w:iCs/>
            <w:lang w:eastAsia="en-US"/>
          </w:rPr>
          <w:t>4.3.2. Клиническая безопасность</w:t>
        </w:r>
        <w:r w:rsidR="00A76175" w:rsidRPr="00A76175">
          <w:rPr>
            <w:webHidden/>
          </w:rPr>
          <w:tab/>
        </w:r>
        <w:r w:rsidR="00A76175" w:rsidRPr="00A76175">
          <w:rPr>
            <w:webHidden/>
          </w:rPr>
          <w:fldChar w:fldCharType="begin"/>
        </w:r>
        <w:r w:rsidR="00A76175" w:rsidRPr="00A76175">
          <w:rPr>
            <w:webHidden/>
          </w:rPr>
          <w:instrText xml:space="preserve"> PAGEREF _Toc117179232 \h </w:instrText>
        </w:r>
        <w:r w:rsidR="00A76175" w:rsidRPr="00A76175">
          <w:rPr>
            <w:webHidden/>
          </w:rPr>
        </w:r>
        <w:r w:rsidR="00A76175" w:rsidRPr="00A76175">
          <w:rPr>
            <w:webHidden/>
          </w:rPr>
          <w:fldChar w:fldCharType="separate"/>
        </w:r>
        <w:r w:rsidR="00421CA0">
          <w:rPr>
            <w:webHidden/>
          </w:rPr>
          <w:t>75</w:t>
        </w:r>
        <w:r w:rsidR="00A76175" w:rsidRPr="00A76175">
          <w:rPr>
            <w:webHidden/>
          </w:rPr>
          <w:fldChar w:fldCharType="end"/>
        </w:r>
      </w:hyperlink>
    </w:p>
    <w:p w14:paraId="1DC5E761" w14:textId="3FA42D15" w:rsidR="00A76175" w:rsidRPr="00A76175" w:rsidRDefault="00DB42CD" w:rsidP="00A76175">
      <w:pPr>
        <w:pStyle w:val="31"/>
        <w:rPr>
          <w:rFonts w:eastAsiaTheme="minorEastAsia"/>
          <w:lang w:eastAsia="ru-RU"/>
        </w:rPr>
      </w:pPr>
      <w:hyperlink w:anchor="_Toc117179233" w:history="1">
        <w:r w:rsidR="00A76175" w:rsidRPr="00A76175">
          <w:rPr>
            <w:rStyle w:val="aa"/>
            <w:bCs/>
          </w:rPr>
          <w:t>4.3.2.1. Группоспецифические эффекты</w:t>
        </w:r>
        <w:r w:rsidR="00A76175" w:rsidRPr="00A76175">
          <w:rPr>
            <w:webHidden/>
          </w:rPr>
          <w:tab/>
        </w:r>
        <w:r w:rsidR="00A76175" w:rsidRPr="00A76175">
          <w:rPr>
            <w:webHidden/>
          </w:rPr>
          <w:fldChar w:fldCharType="begin"/>
        </w:r>
        <w:r w:rsidR="00A76175" w:rsidRPr="00A76175">
          <w:rPr>
            <w:webHidden/>
          </w:rPr>
          <w:instrText xml:space="preserve"> PAGEREF _Toc117179233 \h </w:instrText>
        </w:r>
        <w:r w:rsidR="00A76175" w:rsidRPr="00A76175">
          <w:rPr>
            <w:webHidden/>
          </w:rPr>
        </w:r>
        <w:r w:rsidR="00A76175" w:rsidRPr="00A76175">
          <w:rPr>
            <w:webHidden/>
          </w:rPr>
          <w:fldChar w:fldCharType="separate"/>
        </w:r>
        <w:r w:rsidR="00421CA0">
          <w:rPr>
            <w:webHidden/>
          </w:rPr>
          <w:t>76</w:t>
        </w:r>
        <w:r w:rsidR="00A76175" w:rsidRPr="00A76175">
          <w:rPr>
            <w:webHidden/>
          </w:rPr>
          <w:fldChar w:fldCharType="end"/>
        </w:r>
      </w:hyperlink>
    </w:p>
    <w:p w14:paraId="4C4A2803" w14:textId="48656C88" w:rsidR="00A76175" w:rsidRPr="00A76175" w:rsidRDefault="00DB42CD" w:rsidP="00A76175">
      <w:pPr>
        <w:pStyle w:val="31"/>
        <w:rPr>
          <w:rFonts w:eastAsiaTheme="minorEastAsia"/>
          <w:lang w:eastAsia="ru-RU"/>
        </w:rPr>
      </w:pPr>
      <w:hyperlink w:anchor="_Toc117179234" w:history="1">
        <w:r w:rsidR="00A76175" w:rsidRPr="00A76175">
          <w:rPr>
            <w:rStyle w:val="aa"/>
            <w:bCs/>
          </w:rPr>
          <w:t>4.3.2.2. Препарат-специфичные эффекты</w:t>
        </w:r>
        <w:r w:rsidR="00A76175" w:rsidRPr="00A76175">
          <w:rPr>
            <w:webHidden/>
          </w:rPr>
          <w:tab/>
        </w:r>
        <w:r w:rsidR="00A76175" w:rsidRPr="00A76175">
          <w:rPr>
            <w:webHidden/>
          </w:rPr>
          <w:fldChar w:fldCharType="begin"/>
        </w:r>
        <w:r w:rsidR="00A76175" w:rsidRPr="00A76175">
          <w:rPr>
            <w:webHidden/>
          </w:rPr>
          <w:instrText xml:space="preserve"> PAGEREF _Toc117179234 \h </w:instrText>
        </w:r>
        <w:r w:rsidR="00A76175" w:rsidRPr="00A76175">
          <w:rPr>
            <w:webHidden/>
          </w:rPr>
        </w:r>
        <w:r w:rsidR="00A76175" w:rsidRPr="00A76175">
          <w:rPr>
            <w:webHidden/>
          </w:rPr>
          <w:fldChar w:fldCharType="separate"/>
        </w:r>
        <w:r w:rsidR="00421CA0">
          <w:rPr>
            <w:webHidden/>
          </w:rPr>
          <w:t>76</w:t>
        </w:r>
        <w:r w:rsidR="00A76175" w:rsidRPr="00A76175">
          <w:rPr>
            <w:webHidden/>
          </w:rPr>
          <w:fldChar w:fldCharType="end"/>
        </w:r>
      </w:hyperlink>
    </w:p>
    <w:p w14:paraId="53EDE8A2" w14:textId="3AE7AA8F" w:rsidR="00A76175" w:rsidRPr="00A76175" w:rsidRDefault="00DB42CD" w:rsidP="00A76175">
      <w:pPr>
        <w:pStyle w:val="41"/>
        <w:tabs>
          <w:tab w:val="right" w:leader="dot" w:pos="9346"/>
        </w:tabs>
        <w:rPr>
          <w:rFonts w:eastAsiaTheme="minorEastAsia"/>
          <w:noProof/>
          <w:lang w:eastAsia="ru-RU"/>
        </w:rPr>
      </w:pPr>
      <w:hyperlink w:anchor="_Toc117179235" w:history="1">
        <w:r w:rsidR="00A76175" w:rsidRPr="00A76175">
          <w:rPr>
            <w:rStyle w:val="aa"/>
            <w:noProof/>
          </w:rPr>
          <w:t>4.3.2.1. Степень воздействия на пациентов</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_Toc117179235 \h </w:instrText>
        </w:r>
        <w:r w:rsidR="00A76175" w:rsidRPr="00A76175">
          <w:rPr>
            <w:noProof/>
            <w:webHidden/>
          </w:rPr>
        </w:r>
        <w:r w:rsidR="00A76175" w:rsidRPr="00A76175">
          <w:rPr>
            <w:noProof/>
            <w:webHidden/>
          </w:rPr>
          <w:fldChar w:fldCharType="separate"/>
        </w:r>
        <w:r w:rsidR="00421CA0">
          <w:rPr>
            <w:noProof/>
            <w:webHidden/>
          </w:rPr>
          <w:t>77</w:t>
        </w:r>
        <w:r w:rsidR="00A76175" w:rsidRPr="00A76175">
          <w:rPr>
            <w:noProof/>
            <w:webHidden/>
          </w:rPr>
          <w:fldChar w:fldCharType="end"/>
        </w:r>
      </w:hyperlink>
    </w:p>
    <w:p w14:paraId="69027E1E" w14:textId="4153D3F7" w:rsidR="00A76175" w:rsidRPr="00A76175" w:rsidRDefault="00DB42CD" w:rsidP="00A76175">
      <w:pPr>
        <w:pStyle w:val="41"/>
        <w:tabs>
          <w:tab w:val="right" w:leader="dot" w:pos="9346"/>
        </w:tabs>
        <w:rPr>
          <w:rFonts w:eastAsiaTheme="minorEastAsia"/>
          <w:noProof/>
          <w:lang w:eastAsia="ru-RU"/>
        </w:rPr>
      </w:pPr>
      <w:hyperlink w:anchor="_Toc117179236" w:history="1">
        <w:r w:rsidR="00A76175" w:rsidRPr="00A76175">
          <w:rPr>
            <w:rStyle w:val="aa"/>
            <w:noProof/>
          </w:rPr>
          <w:t>4.3.2.2. Нежелательные явления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_Toc117179236 \h </w:instrText>
        </w:r>
        <w:r w:rsidR="00A76175" w:rsidRPr="00A76175">
          <w:rPr>
            <w:noProof/>
            <w:webHidden/>
          </w:rPr>
        </w:r>
        <w:r w:rsidR="00A76175" w:rsidRPr="00A76175">
          <w:rPr>
            <w:noProof/>
            <w:webHidden/>
          </w:rPr>
          <w:fldChar w:fldCharType="separate"/>
        </w:r>
        <w:r w:rsidR="00421CA0">
          <w:rPr>
            <w:noProof/>
            <w:webHidden/>
          </w:rPr>
          <w:t>77</w:t>
        </w:r>
        <w:r w:rsidR="00A76175" w:rsidRPr="00A76175">
          <w:rPr>
            <w:noProof/>
            <w:webHidden/>
          </w:rPr>
          <w:fldChar w:fldCharType="end"/>
        </w:r>
      </w:hyperlink>
    </w:p>
    <w:p w14:paraId="1FAD3AFD" w14:textId="3F2DD3E3" w:rsidR="00A76175" w:rsidRPr="00A76175" w:rsidRDefault="00DB42CD" w:rsidP="00A76175">
      <w:pPr>
        <w:pStyle w:val="41"/>
        <w:tabs>
          <w:tab w:val="right" w:leader="dot" w:pos="9346"/>
        </w:tabs>
        <w:rPr>
          <w:rFonts w:eastAsiaTheme="minorEastAsia"/>
          <w:noProof/>
          <w:lang w:eastAsia="ru-RU"/>
        </w:rPr>
      </w:pPr>
      <w:hyperlink w:anchor="_Toc117179237" w:history="1">
        <w:r w:rsidR="00A76175" w:rsidRPr="00A76175">
          <w:rPr>
            <w:rStyle w:val="aa"/>
            <w:noProof/>
          </w:rPr>
          <w:t>4.3.2.3. Серьезные нежелательные явления, летальные исходы и явления, представляющие особый интерес</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_Toc117179237 \h </w:instrText>
        </w:r>
        <w:r w:rsidR="00A76175" w:rsidRPr="00A76175">
          <w:rPr>
            <w:noProof/>
            <w:webHidden/>
          </w:rPr>
        </w:r>
        <w:r w:rsidR="00A76175" w:rsidRPr="00A76175">
          <w:rPr>
            <w:noProof/>
            <w:webHidden/>
          </w:rPr>
          <w:fldChar w:fldCharType="separate"/>
        </w:r>
        <w:r w:rsidR="00421CA0">
          <w:rPr>
            <w:noProof/>
            <w:webHidden/>
          </w:rPr>
          <w:t>78</w:t>
        </w:r>
        <w:r w:rsidR="00A76175" w:rsidRPr="00A76175">
          <w:rPr>
            <w:noProof/>
            <w:webHidden/>
          </w:rPr>
          <w:fldChar w:fldCharType="end"/>
        </w:r>
      </w:hyperlink>
    </w:p>
    <w:p w14:paraId="53BCB993" w14:textId="418651D4" w:rsidR="00A76175" w:rsidRPr="00A76175" w:rsidRDefault="00DB42CD" w:rsidP="00A76175">
      <w:pPr>
        <w:pStyle w:val="41"/>
        <w:tabs>
          <w:tab w:val="right" w:leader="dot" w:pos="9346"/>
        </w:tabs>
        <w:rPr>
          <w:rFonts w:eastAsiaTheme="minorEastAsia"/>
          <w:noProof/>
          <w:lang w:eastAsia="ru-RU"/>
        </w:rPr>
      </w:pPr>
      <w:hyperlink w:anchor="_Toc117179238" w:history="1">
        <w:r w:rsidR="00A76175" w:rsidRPr="00A76175">
          <w:rPr>
            <w:rStyle w:val="aa"/>
            <w:noProof/>
          </w:rPr>
          <w:t>4.3.2.4. Лабораторные отклонения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_Toc117179238 \h </w:instrText>
        </w:r>
        <w:r w:rsidR="00A76175" w:rsidRPr="00A76175">
          <w:rPr>
            <w:noProof/>
            <w:webHidden/>
          </w:rPr>
        </w:r>
        <w:r w:rsidR="00A76175" w:rsidRPr="00A76175">
          <w:rPr>
            <w:noProof/>
            <w:webHidden/>
          </w:rPr>
          <w:fldChar w:fldCharType="separate"/>
        </w:r>
        <w:r w:rsidR="00421CA0">
          <w:rPr>
            <w:noProof/>
            <w:webHidden/>
          </w:rPr>
          <w:t>81</w:t>
        </w:r>
        <w:r w:rsidR="00A76175" w:rsidRPr="00A76175">
          <w:rPr>
            <w:noProof/>
            <w:webHidden/>
          </w:rPr>
          <w:fldChar w:fldCharType="end"/>
        </w:r>
      </w:hyperlink>
    </w:p>
    <w:p w14:paraId="0A28290D" w14:textId="75A7955B" w:rsidR="00A76175" w:rsidRPr="00A76175" w:rsidRDefault="00DB42CD" w:rsidP="00A76175">
      <w:pPr>
        <w:pStyle w:val="41"/>
        <w:tabs>
          <w:tab w:val="right" w:leader="dot" w:pos="9346"/>
        </w:tabs>
        <w:rPr>
          <w:rFonts w:eastAsiaTheme="minorEastAsia"/>
          <w:noProof/>
          <w:lang w:eastAsia="ru-RU"/>
        </w:rPr>
      </w:pPr>
      <w:hyperlink w:anchor="_Toc117179239" w:history="1">
        <w:r w:rsidR="00A76175" w:rsidRPr="00A76175">
          <w:rPr>
            <w:rStyle w:val="aa"/>
            <w:noProof/>
          </w:rPr>
          <w:t>4.3.2.5. Прерывание терапии в связи с нежелательными явлениями</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_Toc117179239 \h </w:instrText>
        </w:r>
        <w:r w:rsidR="00A76175" w:rsidRPr="00A76175">
          <w:rPr>
            <w:noProof/>
            <w:webHidden/>
          </w:rPr>
        </w:r>
        <w:r w:rsidR="00A76175" w:rsidRPr="00A76175">
          <w:rPr>
            <w:noProof/>
            <w:webHidden/>
          </w:rPr>
          <w:fldChar w:fldCharType="separate"/>
        </w:r>
        <w:r w:rsidR="00421CA0">
          <w:rPr>
            <w:noProof/>
            <w:webHidden/>
          </w:rPr>
          <w:t>81</w:t>
        </w:r>
        <w:r w:rsidR="00A76175" w:rsidRPr="00A76175">
          <w:rPr>
            <w:noProof/>
            <w:webHidden/>
          </w:rPr>
          <w:fldChar w:fldCharType="end"/>
        </w:r>
      </w:hyperlink>
    </w:p>
    <w:p w14:paraId="41BB99BC" w14:textId="2ADC6C0B" w:rsidR="00A76175" w:rsidRPr="00A76175" w:rsidRDefault="00DB42CD" w:rsidP="00A76175">
      <w:pPr>
        <w:pStyle w:val="31"/>
        <w:rPr>
          <w:rFonts w:eastAsiaTheme="minorEastAsia"/>
          <w:lang w:eastAsia="ru-RU"/>
        </w:rPr>
      </w:pPr>
      <w:hyperlink w:anchor="_Toc117179240" w:history="1">
        <w:r w:rsidR="00A76175" w:rsidRPr="00A76175">
          <w:rPr>
            <w:rStyle w:val="aa"/>
            <w:rFonts w:eastAsia="Times New Roman"/>
            <w:bCs/>
            <w:iCs/>
            <w:lang w:eastAsia="en-US"/>
          </w:rPr>
          <w:t>4.3.3. Пострегистрационный опыт применения</w:t>
        </w:r>
        <w:r w:rsidR="00A76175" w:rsidRPr="00A76175">
          <w:rPr>
            <w:webHidden/>
          </w:rPr>
          <w:tab/>
        </w:r>
        <w:r w:rsidR="00A76175" w:rsidRPr="00A76175">
          <w:rPr>
            <w:webHidden/>
          </w:rPr>
          <w:fldChar w:fldCharType="begin"/>
        </w:r>
        <w:r w:rsidR="00A76175" w:rsidRPr="00A76175">
          <w:rPr>
            <w:webHidden/>
          </w:rPr>
          <w:instrText xml:space="preserve"> PAGEREF _Toc117179240 \h </w:instrText>
        </w:r>
        <w:r w:rsidR="00A76175" w:rsidRPr="00A76175">
          <w:rPr>
            <w:webHidden/>
          </w:rPr>
        </w:r>
        <w:r w:rsidR="00A76175" w:rsidRPr="00A76175">
          <w:rPr>
            <w:webHidden/>
          </w:rPr>
          <w:fldChar w:fldCharType="separate"/>
        </w:r>
        <w:r w:rsidR="00421CA0">
          <w:rPr>
            <w:webHidden/>
          </w:rPr>
          <w:t>81</w:t>
        </w:r>
        <w:r w:rsidR="00A76175" w:rsidRPr="00A76175">
          <w:rPr>
            <w:webHidden/>
          </w:rPr>
          <w:fldChar w:fldCharType="end"/>
        </w:r>
      </w:hyperlink>
    </w:p>
    <w:p w14:paraId="55059C1C" w14:textId="13DE8F4B" w:rsidR="00A76175" w:rsidRPr="00A76175" w:rsidRDefault="00DB42CD" w:rsidP="00A76175">
      <w:pPr>
        <w:pStyle w:val="21"/>
        <w:rPr>
          <w:rFonts w:eastAsiaTheme="minorEastAsia"/>
          <w:noProof/>
          <w:lang w:eastAsia="ru-RU"/>
        </w:rPr>
      </w:pPr>
      <w:hyperlink w:anchor="_Toc117179241" w:history="1">
        <w:r w:rsidR="00A76175" w:rsidRPr="00A76175">
          <w:rPr>
            <w:rStyle w:val="aa"/>
            <w:noProof/>
          </w:rPr>
          <w:t>Список</w:t>
        </w:r>
        <w:r w:rsidR="00A76175" w:rsidRPr="00A76175">
          <w:rPr>
            <w:rStyle w:val="aa"/>
            <w:noProof/>
            <w:lang w:val="en-US"/>
          </w:rPr>
          <w:t xml:space="preserve"> </w:t>
        </w:r>
        <w:r w:rsidR="00A76175" w:rsidRPr="00A76175">
          <w:rPr>
            <w:rStyle w:val="aa"/>
            <w:noProof/>
          </w:rPr>
          <w:t>литературы</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_Toc117179241 \h </w:instrText>
        </w:r>
        <w:r w:rsidR="00A76175" w:rsidRPr="00A76175">
          <w:rPr>
            <w:noProof/>
            <w:webHidden/>
          </w:rPr>
        </w:r>
        <w:r w:rsidR="00A76175" w:rsidRPr="00A76175">
          <w:rPr>
            <w:noProof/>
            <w:webHidden/>
          </w:rPr>
          <w:fldChar w:fldCharType="separate"/>
        </w:r>
        <w:r w:rsidR="00421CA0">
          <w:rPr>
            <w:noProof/>
            <w:webHidden/>
          </w:rPr>
          <w:t>82</w:t>
        </w:r>
        <w:r w:rsidR="00A76175" w:rsidRPr="00A76175">
          <w:rPr>
            <w:noProof/>
            <w:webHidden/>
          </w:rPr>
          <w:fldChar w:fldCharType="end"/>
        </w:r>
      </w:hyperlink>
    </w:p>
    <w:p w14:paraId="5342BDB4" w14:textId="73C6A01E" w:rsidR="00A76175" w:rsidRPr="00A76175" w:rsidRDefault="00DB42CD" w:rsidP="00A76175">
      <w:pPr>
        <w:pStyle w:val="14"/>
        <w:rPr>
          <w:rFonts w:eastAsiaTheme="minorEastAsia"/>
          <w:noProof/>
          <w:lang w:eastAsia="ru-RU"/>
        </w:rPr>
      </w:pPr>
      <w:hyperlink w:anchor="_Toc117179242" w:history="1">
        <w:r w:rsidR="00A76175" w:rsidRPr="00A76175">
          <w:rPr>
            <w:rStyle w:val="aa"/>
            <w:noProof/>
          </w:rPr>
          <w:t>5. ОБСУЖДЕНИЕ ДАННЫХ И ИНСТРУКЦИИ ДЛЯ ИССЛЕДОВАТЕЛЯ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_Toc117179242 \h </w:instrText>
        </w:r>
        <w:r w:rsidR="00A76175" w:rsidRPr="00A76175">
          <w:rPr>
            <w:noProof/>
            <w:webHidden/>
          </w:rPr>
        </w:r>
        <w:r w:rsidR="00A76175" w:rsidRPr="00A76175">
          <w:rPr>
            <w:noProof/>
            <w:webHidden/>
          </w:rPr>
          <w:fldChar w:fldCharType="separate"/>
        </w:r>
        <w:r w:rsidR="00421CA0">
          <w:rPr>
            <w:noProof/>
            <w:webHidden/>
          </w:rPr>
          <w:t>89</w:t>
        </w:r>
        <w:r w:rsidR="00A76175" w:rsidRPr="00A76175">
          <w:rPr>
            <w:noProof/>
            <w:webHidden/>
          </w:rPr>
          <w:fldChar w:fldCharType="end"/>
        </w:r>
      </w:hyperlink>
    </w:p>
    <w:p w14:paraId="427492EF" w14:textId="6F145705" w:rsidR="00A76175" w:rsidRPr="00A76175" w:rsidRDefault="00DB42CD" w:rsidP="00A76175">
      <w:pPr>
        <w:pStyle w:val="21"/>
        <w:rPr>
          <w:rFonts w:eastAsiaTheme="minorEastAsia"/>
          <w:noProof/>
          <w:lang w:eastAsia="ru-RU"/>
        </w:rPr>
      </w:pPr>
      <w:hyperlink w:anchor="_Toc117179243" w:history="1">
        <w:r w:rsidR="00A76175" w:rsidRPr="00A76175">
          <w:rPr>
            <w:rStyle w:val="aa"/>
            <w:noProof/>
          </w:rPr>
          <w:t>5.1. Обсуждение данных доклинических исследований</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_Toc117179243 \h </w:instrText>
        </w:r>
        <w:r w:rsidR="00A76175" w:rsidRPr="00A76175">
          <w:rPr>
            <w:noProof/>
            <w:webHidden/>
          </w:rPr>
        </w:r>
        <w:r w:rsidR="00A76175" w:rsidRPr="00A76175">
          <w:rPr>
            <w:noProof/>
            <w:webHidden/>
          </w:rPr>
          <w:fldChar w:fldCharType="separate"/>
        </w:r>
        <w:r w:rsidR="00421CA0">
          <w:rPr>
            <w:noProof/>
            <w:webHidden/>
          </w:rPr>
          <w:t>89</w:t>
        </w:r>
        <w:r w:rsidR="00A76175" w:rsidRPr="00A76175">
          <w:rPr>
            <w:noProof/>
            <w:webHidden/>
          </w:rPr>
          <w:fldChar w:fldCharType="end"/>
        </w:r>
      </w:hyperlink>
    </w:p>
    <w:p w14:paraId="0D35ADEC" w14:textId="4DB2E3DF" w:rsidR="00A76175" w:rsidRPr="00A76175" w:rsidRDefault="00DB42CD" w:rsidP="00A76175">
      <w:pPr>
        <w:pStyle w:val="21"/>
        <w:rPr>
          <w:rFonts w:eastAsiaTheme="minorEastAsia"/>
          <w:noProof/>
          <w:lang w:eastAsia="ru-RU"/>
        </w:rPr>
      </w:pPr>
      <w:hyperlink w:anchor="_Toc117179244" w:history="1">
        <w:r w:rsidR="00A76175" w:rsidRPr="00A76175">
          <w:rPr>
            <w:rStyle w:val="aa"/>
            <w:noProof/>
          </w:rPr>
          <w:t>5.2. Обсуждение данных клинических исследований</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_Toc117179244 \h </w:instrText>
        </w:r>
        <w:r w:rsidR="00A76175" w:rsidRPr="00A76175">
          <w:rPr>
            <w:noProof/>
            <w:webHidden/>
          </w:rPr>
        </w:r>
        <w:r w:rsidR="00A76175" w:rsidRPr="00A76175">
          <w:rPr>
            <w:noProof/>
            <w:webHidden/>
          </w:rPr>
          <w:fldChar w:fldCharType="separate"/>
        </w:r>
        <w:r w:rsidR="00421CA0">
          <w:rPr>
            <w:noProof/>
            <w:webHidden/>
          </w:rPr>
          <w:t>91</w:t>
        </w:r>
        <w:r w:rsidR="00A76175" w:rsidRPr="00A76175">
          <w:rPr>
            <w:noProof/>
            <w:webHidden/>
          </w:rPr>
          <w:fldChar w:fldCharType="end"/>
        </w:r>
      </w:hyperlink>
    </w:p>
    <w:p w14:paraId="5F5DFB11" w14:textId="2A4C2375" w:rsidR="00A76175" w:rsidRPr="00A76175" w:rsidRDefault="00DB42CD" w:rsidP="00A76175">
      <w:pPr>
        <w:pStyle w:val="21"/>
        <w:rPr>
          <w:rFonts w:eastAsiaTheme="minorEastAsia"/>
          <w:noProof/>
          <w:lang w:eastAsia="ru-RU"/>
        </w:rPr>
      </w:pPr>
      <w:hyperlink w:anchor="_Toc117179245" w:history="1">
        <w:r w:rsidR="00A76175" w:rsidRPr="00A76175">
          <w:rPr>
            <w:rStyle w:val="aa"/>
            <w:noProof/>
          </w:rPr>
          <w:t>5.3. Инструкции для исследователя</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_Toc117179245 \h </w:instrText>
        </w:r>
        <w:r w:rsidR="00A76175" w:rsidRPr="00A76175">
          <w:rPr>
            <w:noProof/>
            <w:webHidden/>
          </w:rPr>
        </w:r>
        <w:r w:rsidR="00A76175" w:rsidRPr="00A76175">
          <w:rPr>
            <w:noProof/>
            <w:webHidden/>
          </w:rPr>
          <w:fldChar w:fldCharType="separate"/>
        </w:r>
        <w:r w:rsidR="00421CA0">
          <w:rPr>
            <w:noProof/>
            <w:webHidden/>
          </w:rPr>
          <w:t>95</w:t>
        </w:r>
        <w:r w:rsidR="00A76175" w:rsidRPr="00A76175">
          <w:rPr>
            <w:noProof/>
            <w:webHidden/>
          </w:rPr>
          <w:fldChar w:fldCharType="end"/>
        </w:r>
      </w:hyperlink>
    </w:p>
    <w:p w14:paraId="3375AE31" w14:textId="3F13D608" w:rsidR="00A76175" w:rsidRPr="00A76175" w:rsidRDefault="00DB42CD" w:rsidP="00A76175">
      <w:pPr>
        <w:pStyle w:val="31"/>
        <w:rPr>
          <w:rFonts w:eastAsiaTheme="minorEastAsia"/>
          <w:lang w:eastAsia="ru-RU"/>
        </w:rPr>
      </w:pPr>
      <w:hyperlink w:anchor="_Toc117179246" w:history="1">
        <w:r w:rsidR="00A76175" w:rsidRPr="00A76175">
          <w:rPr>
            <w:rStyle w:val="aa"/>
          </w:rPr>
          <w:t>5.3.1. Показания к применению</w:t>
        </w:r>
        <w:r w:rsidR="00A76175" w:rsidRPr="00A76175">
          <w:rPr>
            <w:webHidden/>
          </w:rPr>
          <w:tab/>
        </w:r>
        <w:r w:rsidR="00A76175" w:rsidRPr="00A76175">
          <w:rPr>
            <w:webHidden/>
          </w:rPr>
          <w:fldChar w:fldCharType="begin"/>
        </w:r>
        <w:r w:rsidR="00A76175" w:rsidRPr="00A76175">
          <w:rPr>
            <w:webHidden/>
          </w:rPr>
          <w:instrText xml:space="preserve"> PAGEREF _Toc117179246 \h </w:instrText>
        </w:r>
        <w:r w:rsidR="00A76175" w:rsidRPr="00A76175">
          <w:rPr>
            <w:webHidden/>
          </w:rPr>
        </w:r>
        <w:r w:rsidR="00A76175" w:rsidRPr="00A76175">
          <w:rPr>
            <w:webHidden/>
          </w:rPr>
          <w:fldChar w:fldCharType="separate"/>
        </w:r>
        <w:r w:rsidR="00421CA0">
          <w:rPr>
            <w:webHidden/>
          </w:rPr>
          <w:t>95</w:t>
        </w:r>
        <w:r w:rsidR="00A76175" w:rsidRPr="00A76175">
          <w:rPr>
            <w:webHidden/>
          </w:rPr>
          <w:fldChar w:fldCharType="end"/>
        </w:r>
      </w:hyperlink>
    </w:p>
    <w:p w14:paraId="44A860AC" w14:textId="287C23FC" w:rsidR="00A76175" w:rsidRPr="00A76175" w:rsidRDefault="00DB42CD" w:rsidP="00A76175">
      <w:pPr>
        <w:pStyle w:val="31"/>
        <w:rPr>
          <w:rFonts w:eastAsiaTheme="minorEastAsia"/>
          <w:lang w:eastAsia="ru-RU"/>
        </w:rPr>
      </w:pPr>
      <w:hyperlink w:anchor="_Toc117179247" w:history="1">
        <w:r w:rsidR="00A76175" w:rsidRPr="00A76175">
          <w:rPr>
            <w:rStyle w:val="aa"/>
          </w:rPr>
          <w:t>5.3.2. Противопоказания</w:t>
        </w:r>
        <w:r w:rsidR="00A76175" w:rsidRPr="00A76175">
          <w:rPr>
            <w:webHidden/>
          </w:rPr>
          <w:tab/>
        </w:r>
        <w:r w:rsidR="00A76175" w:rsidRPr="00A76175">
          <w:rPr>
            <w:webHidden/>
          </w:rPr>
          <w:fldChar w:fldCharType="begin"/>
        </w:r>
        <w:r w:rsidR="00A76175" w:rsidRPr="00A76175">
          <w:rPr>
            <w:webHidden/>
          </w:rPr>
          <w:instrText xml:space="preserve"> PAGEREF _Toc117179247 \h </w:instrText>
        </w:r>
        <w:r w:rsidR="00A76175" w:rsidRPr="00A76175">
          <w:rPr>
            <w:webHidden/>
          </w:rPr>
        </w:r>
        <w:r w:rsidR="00A76175" w:rsidRPr="00A76175">
          <w:rPr>
            <w:webHidden/>
          </w:rPr>
          <w:fldChar w:fldCharType="separate"/>
        </w:r>
        <w:r w:rsidR="00421CA0">
          <w:rPr>
            <w:webHidden/>
          </w:rPr>
          <w:t>96</w:t>
        </w:r>
        <w:r w:rsidR="00A76175" w:rsidRPr="00A76175">
          <w:rPr>
            <w:webHidden/>
          </w:rPr>
          <w:fldChar w:fldCharType="end"/>
        </w:r>
      </w:hyperlink>
    </w:p>
    <w:p w14:paraId="0A917C48" w14:textId="32EB1556" w:rsidR="00A76175" w:rsidRPr="00A76175" w:rsidRDefault="00DB42CD" w:rsidP="00A76175">
      <w:pPr>
        <w:pStyle w:val="31"/>
        <w:rPr>
          <w:rFonts w:eastAsiaTheme="minorEastAsia"/>
          <w:lang w:eastAsia="ru-RU"/>
        </w:rPr>
      </w:pPr>
      <w:hyperlink w:anchor="_Toc117179248" w:history="1">
        <w:r w:rsidR="00A76175" w:rsidRPr="00A76175">
          <w:rPr>
            <w:rStyle w:val="aa"/>
          </w:rPr>
          <w:t>5.3.3. Применение при беременности и в период грудного вскармливания</w:t>
        </w:r>
        <w:r w:rsidR="00A76175" w:rsidRPr="00A76175">
          <w:rPr>
            <w:webHidden/>
          </w:rPr>
          <w:tab/>
        </w:r>
        <w:r w:rsidR="00A76175" w:rsidRPr="00A76175">
          <w:rPr>
            <w:webHidden/>
          </w:rPr>
          <w:fldChar w:fldCharType="begin"/>
        </w:r>
        <w:r w:rsidR="00A76175" w:rsidRPr="00A76175">
          <w:rPr>
            <w:webHidden/>
          </w:rPr>
          <w:instrText xml:space="preserve"> PAGEREF _Toc117179248 \h </w:instrText>
        </w:r>
        <w:r w:rsidR="00A76175" w:rsidRPr="00A76175">
          <w:rPr>
            <w:webHidden/>
          </w:rPr>
        </w:r>
        <w:r w:rsidR="00A76175" w:rsidRPr="00A76175">
          <w:rPr>
            <w:webHidden/>
          </w:rPr>
          <w:fldChar w:fldCharType="separate"/>
        </w:r>
        <w:r w:rsidR="00421CA0">
          <w:rPr>
            <w:webHidden/>
          </w:rPr>
          <w:t>96</w:t>
        </w:r>
        <w:r w:rsidR="00A76175" w:rsidRPr="00A76175">
          <w:rPr>
            <w:webHidden/>
          </w:rPr>
          <w:fldChar w:fldCharType="end"/>
        </w:r>
      </w:hyperlink>
    </w:p>
    <w:p w14:paraId="0A5988D0" w14:textId="27188623" w:rsidR="00A76175" w:rsidRPr="00A76175" w:rsidRDefault="00DB42CD" w:rsidP="00A76175">
      <w:pPr>
        <w:pStyle w:val="31"/>
        <w:rPr>
          <w:rFonts w:eastAsiaTheme="minorEastAsia"/>
          <w:lang w:eastAsia="ru-RU"/>
        </w:rPr>
      </w:pPr>
      <w:hyperlink w:anchor="_Toc117179249" w:history="1">
        <w:r w:rsidR="00A76175" w:rsidRPr="00A76175">
          <w:rPr>
            <w:rStyle w:val="aa"/>
          </w:rPr>
          <w:t>5.3.4. Способ применения и дозы</w:t>
        </w:r>
        <w:r w:rsidR="00A76175" w:rsidRPr="00A76175">
          <w:rPr>
            <w:webHidden/>
          </w:rPr>
          <w:tab/>
        </w:r>
        <w:r w:rsidR="00A76175" w:rsidRPr="00A76175">
          <w:rPr>
            <w:webHidden/>
          </w:rPr>
          <w:fldChar w:fldCharType="begin"/>
        </w:r>
        <w:r w:rsidR="00A76175" w:rsidRPr="00A76175">
          <w:rPr>
            <w:webHidden/>
          </w:rPr>
          <w:instrText xml:space="preserve"> PAGEREF _Toc117179249 \h </w:instrText>
        </w:r>
        <w:r w:rsidR="00A76175" w:rsidRPr="00A76175">
          <w:rPr>
            <w:webHidden/>
          </w:rPr>
        </w:r>
        <w:r w:rsidR="00A76175" w:rsidRPr="00A76175">
          <w:rPr>
            <w:webHidden/>
          </w:rPr>
          <w:fldChar w:fldCharType="separate"/>
        </w:r>
        <w:r w:rsidR="00421CA0">
          <w:rPr>
            <w:webHidden/>
          </w:rPr>
          <w:t>97</w:t>
        </w:r>
        <w:r w:rsidR="00A76175" w:rsidRPr="00A76175">
          <w:rPr>
            <w:webHidden/>
          </w:rPr>
          <w:fldChar w:fldCharType="end"/>
        </w:r>
      </w:hyperlink>
    </w:p>
    <w:p w14:paraId="27E23EF3" w14:textId="290E8521" w:rsidR="00A76175" w:rsidRPr="00A76175" w:rsidRDefault="00DB42CD" w:rsidP="00A76175">
      <w:pPr>
        <w:pStyle w:val="31"/>
        <w:rPr>
          <w:rFonts w:eastAsiaTheme="minorEastAsia"/>
          <w:lang w:eastAsia="ru-RU"/>
        </w:rPr>
      </w:pPr>
      <w:hyperlink w:anchor="_Toc117179250" w:history="1">
        <w:r w:rsidR="00A76175" w:rsidRPr="00A76175">
          <w:rPr>
            <w:rStyle w:val="aa"/>
          </w:rPr>
          <w:t>5.3.5. Побочное действие</w:t>
        </w:r>
        <w:r w:rsidR="00A76175" w:rsidRPr="00A76175">
          <w:rPr>
            <w:webHidden/>
          </w:rPr>
          <w:tab/>
        </w:r>
        <w:r w:rsidR="00A76175" w:rsidRPr="00A76175">
          <w:rPr>
            <w:webHidden/>
          </w:rPr>
          <w:fldChar w:fldCharType="begin"/>
        </w:r>
        <w:r w:rsidR="00A76175" w:rsidRPr="00A76175">
          <w:rPr>
            <w:webHidden/>
          </w:rPr>
          <w:instrText xml:space="preserve"> PAGEREF _Toc117179250 \h </w:instrText>
        </w:r>
        <w:r w:rsidR="00A76175" w:rsidRPr="00A76175">
          <w:rPr>
            <w:webHidden/>
          </w:rPr>
        </w:r>
        <w:r w:rsidR="00A76175" w:rsidRPr="00A76175">
          <w:rPr>
            <w:webHidden/>
          </w:rPr>
          <w:fldChar w:fldCharType="separate"/>
        </w:r>
        <w:r w:rsidR="00421CA0">
          <w:rPr>
            <w:webHidden/>
          </w:rPr>
          <w:t>98</w:t>
        </w:r>
        <w:r w:rsidR="00A76175" w:rsidRPr="00A76175">
          <w:rPr>
            <w:webHidden/>
          </w:rPr>
          <w:fldChar w:fldCharType="end"/>
        </w:r>
      </w:hyperlink>
    </w:p>
    <w:p w14:paraId="2D95AA46" w14:textId="758C0D0A" w:rsidR="00A76175" w:rsidRPr="00A76175" w:rsidRDefault="00DB42CD" w:rsidP="00A76175">
      <w:pPr>
        <w:pStyle w:val="31"/>
        <w:rPr>
          <w:rFonts w:eastAsiaTheme="minorEastAsia"/>
          <w:lang w:eastAsia="ru-RU"/>
        </w:rPr>
      </w:pPr>
      <w:hyperlink w:anchor="_Toc117179251" w:history="1">
        <w:r w:rsidR="00A76175" w:rsidRPr="00A76175">
          <w:rPr>
            <w:rStyle w:val="aa"/>
          </w:rPr>
          <w:t>5.3.6. Передозировка</w:t>
        </w:r>
        <w:r w:rsidR="00A76175" w:rsidRPr="00A76175">
          <w:rPr>
            <w:webHidden/>
          </w:rPr>
          <w:tab/>
        </w:r>
        <w:r w:rsidR="00A76175" w:rsidRPr="00A76175">
          <w:rPr>
            <w:webHidden/>
          </w:rPr>
          <w:fldChar w:fldCharType="begin"/>
        </w:r>
        <w:r w:rsidR="00A76175" w:rsidRPr="00A76175">
          <w:rPr>
            <w:webHidden/>
          </w:rPr>
          <w:instrText xml:space="preserve"> PAGEREF _Toc117179251 \h </w:instrText>
        </w:r>
        <w:r w:rsidR="00A76175" w:rsidRPr="00A76175">
          <w:rPr>
            <w:webHidden/>
          </w:rPr>
        </w:r>
        <w:r w:rsidR="00A76175" w:rsidRPr="00A76175">
          <w:rPr>
            <w:webHidden/>
          </w:rPr>
          <w:fldChar w:fldCharType="separate"/>
        </w:r>
        <w:r w:rsidR="00421CA0">
          <w:rPr>
            <w:webHidden/>
          </w:rPr>
          <w:t>100</w:t>
        </w:r>
        <w:r w:rsidR="00A76175" w:rsidRPr="00A76175">
          <w:rPr>
            <w:webHidden/>
          </w:rPr>
          <w:fldChar w:fldCharType="end"/>
        </w:r>
      </w:hyperlink>
    </w:p>
    <w:p w14:paraId="61B20988" w14:textId="7F299664" w:rsidR="00A76175" w:rsidRPr="00A76175" w:rsidRDefault="00DB42CD" w:rsidP="00A76175">
      <w:pPr>
        <w:pStyle w:val="31"/>
        <w:rPr>
          <w:rFonts w:eastAsiaTheme="minorEastAsia"/>
          <w:lang w:eastAsia="ru-RU"/>
        </w:rPr>
      </w:pPr>
      <w:hyperlink w:anchor="_Toc117179252" w:history="1">
        <w:r w:rsidR="00A76175" w:rsidRPr="00A76175">
          <w:rPr>
            <w:rStyle w:val="aa"/>
          </w:rPr>
          <w:t xml:space="preserve">5.3.7. </w:t>
        </w:r>
        <w:r w:rsidR="00A76175" w:rsidRPr="00A76175">
          <w:rPr>
            <w:rStyle w:val="aa"/>
            <w:rFonts w:eastAsia="Courier New"/>
            <w:lang w:eastAsia="ru-RU" w:bidi="ru-RU"/>
          </w:rPr>
          <w:t>Взаимодействие с другими лекарственными средствами</w:t>
        </w:r>
        <w:r w:rsidR="00A76175" w:rsidRPr="00A76175">
          <w:rPr>
            <w:webHidden/>
          </w:rPr>
          <w:tab/>
        </w:r>
        <w:r w:rsidR="00A76175" w:rsidRPr="00A76175">
          <w:rPr>
            <w:webHidden/>
          </w:rPr>
          <w:fldChar w:fldCharType="begin"/>
        </w:r>
        <w:r w:rsidR="00A76175" w:rsidRPr="00A76175">
          <w:rPr>
            <w:webHidden/>
          </w:rPr>
          <w:instrText xml:space="preserve"> PAGEREF _Toc117179252 \h </w:instrText>
        </w:r>
        <w:r w:rsidR="00A76175" w:rsidRPr="00A76175">
          <w:rPr>
            <w:webHidden/>
          </w:rPr>
        </w:r>
        <w:r w:rsidR="00A76175" w:rsidRPr="00A76175">
          <w:rPr>
            <w:webHidden/>
          </w:rPr>
          <w:fldChar w:fldCharType="separate"/>
        </w:r>
        <w:r w:rsidR="00421CA0">
          <w:rPr>
            <w:webHidden/>
          </w:rPr>
          <w:t>101</w:t>
        </w:r>
        <w:r w:rsidR="00A76175" w:rsidRPr="00A76175">
          <w:rPr>
            <w:webHidden/>
          </w:rPr>
          <w:fldChar w:fldCharType="end"/>
        </w:r>
      </w:hyperlink>
    </w:p>
    <w:p w14:paraId="062498E7" w14:textId="0285BA7B" w:rsidR="00A76175" w:rsidRPr="00A76175" w:rsidRDefault="00DB42CD" w:rsidP="00A76175">
      <w:pPr>
        <w:pStyle w:val="31"/>
        <w:rPr>
          <w:rFonts w:eastAsiaTheme="minorEastAsia"/>
          <w:lang w:eastAsia="ru-RU"/>
        </w:rPr>
      </w:pPr>
      <w:hyperlink w:anchor="_Toc117179253" w:history="1">
        <w:r w:rsidR="00A76175" w:rsidRPr="00A76175">
          <w:rPr>
            <w:rStyle w:val="aa"/>
          </w:rPr>
          <w:t xml:space="preserve">5.3.8. </w:t>
        </w:r>
        <w:r w:rsidR="00A76175" w:rsidRPr="00A76175">
          <w:rPr>
            <w:rStyle w:val="aa"/>
            <w:rFonts w:eastAsia="Courier New"/>
            <w:lang w:eastAsia="ru-RU" w:bidi="ru-RU"/>
          </w:rPr>
          <w:t>Особые указания</w:t>
        </w:r>
        <w:r w:rsidR="00A76175" w:rsidRPr="00A76175">
          <w:rPr>
            <w:webHidden/>
          </w:rPr>
          <w:tab/>
        </w:r>
        <w:r w:rsidR="00A76175" w:rsidRPr="00A76175">
          <w:rPr>
            <w:webHidden/>
          </w:rPr>
          <w:fldChar w:fldCharType="begin"/>
        </w:r>
        <w:r w:rsidR="00A76175" w:rsidRPr="00A76175">
          <w:rPr>
            <w:webHidden/>
          </w:rPr>
          <w:instrText xml:space="preserve"> PAGEREF _Toc117179253 \h </w:instrText>
        </w:r>
        <w:r w:rsidR="00A76175" w:rsidRPr="00A76175">
          <w:rPr>
            <w:webHidden/>
          </w:rPr>
        </w:r>
        <w:r w:rsidR="00A76175" w:rsidRPr="00A76175">
          <w:rPr>
            <w:webHidden/>
          </w:rPr>
          <w:fldChar w:fldCharType="separate"/>
        </w:r>
        <w:r w:rsidR="00421CA0">
          <w:rPr>
            <w:webHidden/>
          </w:rPr>
          <w:t>113</w:t>
        </w:r>
        <w:r w:rsidR="00A76175" w:rsidRPr="00A76175">
          <w:rPr>
            <w:webHidden/>
          </w:rPr>
          <w:fldChar w:fldCharType="end"/>
        </w:r>
      </w:hyperlink>
    </w:p>
    <w:p w14:paraId="450A7803" w14:textId="19D36C3D" w:rsidR="00A76175" w:rsidRPr="00A76175" w:rsidRDefault="00DB42CD" w:rsidP="00A76175">
      <w:pPr>
        <w:pStyle w:val="31"/>
        <w:rPr>
          <w:rFonts w:eastAsiaTheme="minorEastAsia"/>
          <w:lang w:eastAsia="ru-RU"/>
        </w:rPr>
      </w:pPr>
      <w:hyperlink w:anchor="_Toc117179254" w:history="1">
        <w:r w:rsidR="00A76175" w:rsidRPr="00A76175">
          <w:rPr>
            <w:rStyle w:val="aa"/>
          </w:rPr>
          <w:t>5.3.9 Влияние на способность управлять транспортными средствами и механизмами</w:t>
        </w:r>
        <w:r w:rsidR="00A76175" w:rsidRPr="00A76175">
          <w:rPr>
            <w:webHidden/>
          </w:rPr>
          <w:tab/>
        </w:r>
        <w:r w:rsidR="00A76175" w:rsidRPr="00A76175">
          <w:rPr>
            <w:webHidden/>
          </w:rPr>
          <w:fldChar w:fldCharType="begin"/>
        </w:r>
        <w:r w:rsidR="00A76175" w:rsidRPr="00A76175">
          <w:rPr>
            <w:webHidden/>
          </w:rPr>
          <w:instrText xml:space="preserve"> PAGEREF _Toc117179254 \h </w:instrText>
        </w:r>
        <w:r w:rsidR="00A76175" w:rsidRPr="00A76175">
          <w:rPr>
            <w:webHidden/>
          </w:rPr>
        </w:r>
        <w:r w:rsidR="00A76175" w:rsidRPr="00A76175">
          <w:rPr>
            <w:webHidden/>
          </w:rPr>
          <w:fldChar w:fldCharType="separate"/>
        </w:r>
        <w:r w:rsidR="00421CA0">
          <w:rPr>
            <w:webHidden/>
          </w:rPr>
          <w:t>116</w:t>
        </w:r>
        <w:r w:rsidR="00A76175" w:rsidRPr="00A76175">
          <w:rPr>
            <w:webHidden/>
          </w:rPr>
          <w:fldChar w:fldCharType="end"/>
        </w:r>
      </w:hyperlink>
    </w:p>
    <w:p w14:paraId="3DAAD75E" w14:textId="0D1F00E7" w:rsidR="00A76175" w:rsidRDefault="00DB42CD" w:rsidP="00A76175">
      <w:pPr>
        <w:pStyle w:val="14"/>
        <w:rPr>
          <w:rFonts w:asciiTheme="minorHAnsi" w:eastAsiaTheme="minorEastAsia" w:hAnsiTheme="minorHAnsi" w:cstheme="minorBidi"/>
          <w:noProof/>
          <w:sz w:val="22"/>
          <w:szCs w:val="22"/>
          <w:lang w:eastAsia="ru-RU"/>
        </w:rPr>
      </w:pPr>
      <w:hyperlink w:anchor="_Toc117179255" w:history="1">
        <w:r w:rsidR="00A76175" w:rsidRPr="00A76175">
          <w:rPr>
            <w:rStyle w:val="aa"/>
            <w:noProof/>
          </w:rPr>
          <w:t>6. ЗАКЛЮЧЕНИЕ</w:t>
        </w:r>
        <w:r w:rsidR="00A76175" w:rsidRPr="00A76175">
          <w:rPr>
            <w:noProof/>
            <w:webHidden/>
          </w:rPr>
          <w:tab/>
        </w:r>
        <w:r w:rsidR="00A76175" w:rsidRPr="00A76175">
          <w:rPr>
            <w:noProof/>
            <w:webHidden/>
          </w:rPr>
          <w:fldChar w:fldCharType="begin"/>
        </w:r>
        <w:r w:rsidR="00A76175" w:rsidRPr="00A76175">
          <w:rPr>
            <w:noProof/>
            <w:webHidden/>
          </w:rPr>
          <w:instrText xml:space="preserve"> PAGEREF _Toc117179255 \h </w:instrText>
        </w:r>
        <w:r w:rsidR="00A76175" w:rsidRPr="00A76175">
          <w:rPr>
            <w:noProof/>
            <w:webHidden/>
          </w:rPr>
        </w:r>
        <w:r w:rsidR="00A76175" w:rsidRPr="00A76175">
          <w:rPr>
            <w:noProof/>
            <w:webHidden/>
          </w:rPr>
          <w:fldChar w:fldCharType="separate"/>
        </w:r>
        <w:r w:rsidR="00421CA0">
          <w:rPr>
            <w:noProof/>
            <w:webHidden/>
          </w:rPr>
          <w:t>117</w:t>
        </w:r>
        <w:r w:rsidR="00A76175" w:rsidRPr="00A76175">
          <w:rPr>
            <w:noProof/>
            <w:webHidden/>
          </w:rPr>
          <w:fldChar w:fldCharType="end"/>
        </w:r>
      </w:hyperlink>
    </w:p>
    <w:p w14:paraId="0C1EBE2C" w14:textId="674CA821" w:rsidR="00856CA4" w:rsidRDefault="005C3F89">
      <w:pPr>
        <w:ind w:firstLine="709"/>
        <w:rPr>
          <w:bCs/>
          <w:color w:val="000000" w:themeColor="text1"/>
        </w:rPr>
      </w:pPr>
      <w:r w:rsidRPr="002947DD">
        <w:rPr>
          <w:bCs/>
          <w:color w:val="000000" w:themeColor="text1"/>
        </w:rPr>
        <w:fldChar w:fldCharType="end"/>
      </w:r>
    </w:p>
    <w:p w14:paraId="4FA4DE7E" w14:textId="02F85D32" w:rsidR="0014689C" w:rsidRDefault="0014689C">
      <w:pPr>
        <w:ind w:firstLine="709"/>
        <w:rPr>
          <w:bCs/>
          <w:color w:val="000000" w:themeColor="text1"/>
        </w:rPr>
      </w:pPr>
    </w:p>
    <w:p w14:paraId="0D1BFD57" w14:textId="32E2A46B" w:rsidR="0014689C" w:rsidRDefault="0014689C">
      <w:pPr>
        <w:ind w:firstLine="709"/>
        <w:rPr>
          <w:bCs/>
          <w:color w:val="000000" w:themeColor="text1"/>
        </w:rPr>
      </w:pPr>
    </w:p>
    <w:p w14:paraId="3BCA6314" w14:textId="2DC7A808" w:rsidR="0014689C" w:rsidRDefault="0014689C">
      <w:pPr>
        <w:ind w:firstLine="709"/>
        <w:rPr>
          <w:bCs/>
          <w:color w:val="000000" w:themeColor="text1"/>
        </w:rPr>
      </w:pPr>
    </w:p>
    <w:p w14:paraId="5F86089B" w14:textId="6B231A7B" w:rsidR="0014689C" w:rsidRDefault="0014689C">
      <w:pPr>
        <w:ind w:firstLine="709"/>
        <w:rPr>
          <w:bCs/>
          <w:color w:val="000000" w:themeColor="text1"/>
        </w:rPr>
      </w:pPr>
    </w:p>
    <w:p w14:paraId="3CBBCDDB" w14:textId="7531CE6B" w:rsidR="0014689C" w:rsidRDefault="0014689C">
      <w:pPr>
        <w:ind w:firstLine="709"/>
        <w:rPr>
          <w:bCs/>
          <w:color w:val="000000" w:themeColor="text1"/>
        </w:rPr>
      </w:pPr>
    </w:p>
    <w:p w14:paraId="12C8DD81" w14:textId="7A53AE7E" w:rsidR="0014689C" w:rsidRDefault="0014689C">
      <w:pPr>
        <w:ind w:firstLine="709"/>
        <w:rPr>
          <w:bCs/>
          <w:color w:val="000000" w:themeColor="text1"/>
        </w:rPr>
      </w:pPr>
    </w:p>
    <w:p w14:paraId="775A07DD" w14:textId="43A487C2" w:rsidR="0014689C" w:rsidRDefault="0014689C">
      <w:pPr>
        <w:ind w:firstLine="709"/>
        <w:rPr>
          <w:bCs/>
          <w:color w:val="000000" w:themeColor="text1"/>
        </w:rPr>
      </w:pPr>
    </w:p>
    <w:p w14:paraId="19F9015C" w14:textId="36F6535B" w:rsidR="0014689C" w:rsidRDefault="0014689C">
      <w:pPr>
        <w:ind w:firstLine="709"/>
        <w:rPr>
          <w:bCs/>
          <w:color w:val="000000" w:themeColor="text1"/>
        </w:rPr>
      </w:pPr>
    </w:p>
    <w:p w14:paraId="22E895BD" w14:textId="33FEE8C5" w:rsidR="0014689C" w:rsidRDefault="0014689C">
      <w:pPr>
        <w:ind w:firstLine="709"/>
        <w:rPr>
          <w:bCs/>
          <w:color w:val="000000" w:themeColor="text1"/>
        </w:rPr>
      </w:pPr>
    </w:p>
    <w:p w14:paraId="5534A6BB" w14:textId="6006EECE" w:rsidR="0014689C" w:rsidRDefault="0014689C">
      <w:pPr>
        <w:ind w:firstLine="709"/>
        <w:rPr>
          <w:bCs/>
          <w:color w:val="000000" w:themeColor="text1"/>
        </w:rPr>
      </w:pPr>
    </w:p>
    <w:p w14:paraId="05044049" w14:textId="4F5DECA1" w:rsidR="0014689C" w:rsidRDefault="0014689C">
      <w:pPr>
        <w:ind w:firstLine="709"/>
        <w:rPr>
          <w:bCs/>
          <w:color w:val="000000" w:themeColor="text1"/>
        </w:rPr>
      </w:pPr>
    </w:p>
    <w:p w14:paraId="614BB8A6" w14:textId="00932188" w:rsidR="0014689C" w:rsidRDefault="0014689C">
      <w:pPr>
        <w:ind w:firstLine="709"/>
        <w:rPr>
          <w:bCs/>
          <w:color w:val="000000" w:themeColor="text1"/>
        </w:rPr>
      </w:pPr>
    </w:p>
    <w:p w14:paraId="277A09B7" w14:textId="69093B0F" w:rsidR="0014689C" w:rsidRDefault="0014689C">
      <w:pPr>
        <w:ind w:firstLine="709"/>
        <w:rPr>
          <w:bCs/>
          <w:color w:val="000000" w:themeColor="text1"/>
        </w:rPr>
      </w:pPr>
    </w:p>
    <w:p w14:paraId="222BA13E" w14:textId="1AC308B8" w:rsidR="0014689C" w:rsidRDefault="0014689C">
      <w:pPr>
        <w:ind w:firstLine="709"/>
        <w:rPr>
          <w:bCs/>
          <w:color w:val="000000" w:themeColor="text1"/>
        </w:rPr>
      </w:pPr>
    </w:p>
    <w:p w14:paraId="47323EBB" w14:textId="4636CF9C" w:rsidR="0014689C" w:rsidRDefault="0014689C">
      <w:pPr>
        <w:ind w:firstLine="709"/>
        <w:rPr>
          <w:bCs/>
          <w:color w:val="000000" w:themeColor="text1"/>
        </w:rPr>
      </w:pPr>
    </w:p>
    <w:p w14:paraId="3FC75B74" w14:textId="2EC2364B" w:rsidR="0014689C" w:rsidRDefault="0014689C">
      <w:pPr>
        <w:ind w:firstLine="709"/>
        <w:rPr>
          <w:bCs/>
          <w:color w:val="000000" w:themeColor="text1"/>
        </w:rPr>
      </w:pPr>
    </w:p>
    <w:p w14:paraId="6BA9ABB7" w14:textId="32D8AB8E" w:rsidR="0014689C" w:rsidRDefault="0014689C">
      <w:pPr>
        <w:ind w:firstLine="709"/>
        <w:rPr>
          <w:bCs/>
          <w:color w:val="000000" w:themeColor="text1"/>
        </w:rPr>
      </w:pPr>
    </w:p>
    <w:p w14:paraId="3D3A406D" w14:textId="407CA5CE" w:rsidR="0014689C" w:rsidRDefault="0014689C">
      <w:pPr>
        <w:ind w:firstLine="709"/>
        <w:rPr>
          <w:bCs/>
          <w:color w:val="000000" w:themeColor="text1"/>
        </w:rPr>
      </w:pPr>
    </w:p>
    <w:p w14:paraId="08F1A28F" w14:textId="0BB9F0B8" w:rsidR="0014689C" w:rsidRDefault="0014689C">
      <w:pPr>
        <w:ind w:firstLine="709"/>
        <w:rPr>
          <w:bCs/>
          <w:color w:val="000000" w:themeColor="text1"/>
        </w:rPr>
      </w:pPr>
    </w:p>
    <w:p w14:paraId="775483E1" w14:textId="59D12FC6" w:rsidR="0014689C" w:rsidRDefault="0014689C">
      <w:pPr>
        <w:ind w:firstLine="709"/>
        <w:rPr>
          <w:bCs/>
          <w:color w:val="000000" w:themeColor="text1"/>
        </w:rPr>
      </w:pPr>
    </w:p>
    <w:p w14:paraId="4922A3B5" w14:textId="5318DD0D" w:rsidR="0014689C" w:rsidRDefault="0014689C">
      <w:pPr>
        <w:ind w:firstLine="709"/>
        <w:rPr>
          <w:bCs/>
          <w:color w:val="000000" w:themeColor="text1"/>
        </w:rPr>
      </w:pPr>
    </w:p>
    <w:p w14:paraId="7BE51E66" w14:textId="455C1F57" w:rsidR="0014689C" w:rsidRDefault="0014689C">
      <w:pPr>
        <w:ind w:firstLine="709"/>
        <w:rPr>
          <w:bCs/>
          <w:color w:val="000000" w:themeColor="text1"/>
        </w:rPr>
      </w:pPr>
    </w:p>
    <w:p w14:paraId="7A2B1EF3" w14:textId="2D3A774B" w:rsidR="0014689C" w:rsidRDefault="0014689C">
      <w:pPr>
        <w:ind w:firstLine="709"/>
        <w:rPr>
          <w:bCs/>
          <w:color w:val="000000" w:themeColor="text1"/>
        </w:rPr>
      </w:pPr>
    </w:p>
    <w:p w14:paraId="36FF42CD" w14:textId="709D1CBD" w:rsidR="0014689C" w:rsidRDefault="0014689C">
      <w:pPr>
        <w:ind w:firstLine="709"/>
        <w:rPr>
          <w:bCs/>
          <w:color w:val="000000" w:themeColor="text1"/>
        </w:rPr>
      </w:pPr>
    </w:p>
    <w:p w14:paraId="56646D41" w14:textId="6E59BE44" w:rsidR="0014689C" w:rsidRDefault="0014689C">
      <w:pPr>
        <w:ind w:firstLine="709"/>
        <w:rPr>
          <w:bCs/>
          <w:color w:val="000000" w:themeColor="text1"/>
        </w:rPr>
      </w:pPr>
    </w:p>
    <w:p w14:paraId="4532645C" w14:textId="58578D52" w:rsidR="0014689C" w:rsidRDefault="00A76175" w:rsidP="00A76175">
      <w:pPr>
        <w:rPr>
          <w:bCs/>
          <w:color w:val="000000" w:themeColor="text1"/>
        </w:rPr>
      </w:pPr>
      <w:r>
        <w:rPr>
          <w:bCs/>
          <w:color w:val="000000" w:themeColor="text1"/>
        </w:rPr>
        <w:br w:type="page"/>
      </w:r>
    </w:p>
    <w:p w14:paraId="100E8E3D" w14:textId="77777777" w:rsidR="0014689C" w:rsidRPr="007A68B5" w:rsidRDefault="0014689C" w:rsidP="0014689C">
      <w:pPr>
        <w:spacing w:after="240"/>
        <w:outlineLvl w:val="0"/>
        <w:rPr>
          <w:b/>
        </w:rPr>
      </w:pPr>
      <w:bookmarkStart w:id="3" w:name="_Toc117179154"/>
      <w:r>
        <w:rPr>
          <w:b/>
        </w:rPr>
        <w:lastRenderedPageBreak/>
        <w:t>ЛИСТ СОГЛАСОВАНИЯ</w:t>
      </w:r>
      <w:bookmarkEnd w:id="3"/>
    </w:p>
    <w:p w14:paraId="19736685" w14:textId="4DC55348" w:rsidR="0014689C" w:rsidRPr="0078186A" w:rsidRDefault="0014689C" w:rsidP="00A97B7A">
      <w:pPr>
        <w:pStyle w:val="OT"/>
        <w:spacing w:after="0"/>
        <w:rPr>
          <w:sz w:val="24"/>
          <w:szCs w:val="24"/>
        </w:rPr>
      </w:pPr>
      <w:r w:rsidRPr="0078186A">
        <w:rPr>
          <w:sz w:val="24"/>
          <w:szCs w:val="24"/>
        </w:rPr>
        <w:t xml:space="preserve">к версии № 1.0 от </w:t>
      </w:r>
      <w:r w:rsidR="00A97B7A">
        <w:rPr>
          <w:sz w:val="24"/>
          <w:szCs w:val="24"/>
          <w:shd w:val="clear" w:color="auto" w:fill="FFFFFF"/>
        </w:rPr>
        <w:t>2</w:t>
      </w:r>
      <w:r w:rsidR="00181DF4">
        <w:rPr>
          <w:sz w:val="24"/>
          <w:szCs w:val="24"/>
          <w:shd w:val="clear" w:color="auto" w:fill="FFFFFF"/>
        </w:rPr>
        <w:t>5</w:t>
      </w:r>
      <w:r w:rsidR="00AC5B9F">
        <w:rPr>
          <w:sz w:val="24"/>
          <w:szCs w:val="24"/>
          <w:shd w:val="clear" w:color="auto" w:fill="FFFFFF"/>
        </w:rPr>
        <w:t xml:space="preserve"> октября </w:t>
      </w:r>
      <w:r w:rsidR="00AD3C2C" w:rsidRPr="0078186A">
        <w:rPr>
          <w:sz w:val="24"/>
          <w:szCs w:val="24"/>
          <w:shd w:val="clear" w:color="auto" w:fill="FFFFFF"/>
        </w:rPr>
        <w:t>2022 г.</w:t>
      </w:r>
      <w:r w:rsidRPr="0078186A">
        <w:rPr>
          <w:sz w:val="24"/>
          <w:szCs w:val="24"/>
        </w:rPr>
        <w:t xml:space="preserve"> Брошюры исследователя по препарату </w:t>
      </w:r>
      <w:r w:rsidR="00A97B7A">
        <w:rPr>
          <w:sz w:val="24"/>
          <w:szCs w:val="24"/>
        </w:rPr>
        <w:t xml:space="preserve">ЭТРАВИРИН / </w:t>
      </w:r>
      <w:r w:rsidR="00AC5B9F">
        <w:rPr>
          <w:sz w:val="24"/>
          <w:szCs w:val="24"/>
          <w:lang w:val="en-US"/>
        </w:rPr>
        <w:t>DT</w:t>
      </w:r>
      <w:r w:rsidR="00AC5B9F" w:rsidRPr="00A76175">
        <w:rPr>
          <w:sz w:val="24"/>
          <w:szCs w:val="24"/>
        </w:rPr>
        <w:t>-</w:t>
      </w:r>
      <w:r w:rsidR="00AC5B9F">
        <w:rPr>
          <w:sz w:val="24"/>
          <w:szCs w:val="24"/>
          <w:lang w:val="en-US"/>
        </w:rPr>
        <w:t>ETR</w:t>
      </w:r>
      <w:r w:rsidR="00AC5B9F" w:rsidRPr="00A76175">
        <w:rPr>
          <w:sz w:val="24"/>
          <w:szCs w:val="24"/>
        </w:rPr>
        <w:t xml:space="preserve"> </w:t>
      </w:r>
      <w:r w:rsidRPr="0078186A">
        <w:rPr>
          <w:sz w:val="24"/>
          <w:szCs w:val="24"/>
        </w:rPr>
        <w:t>(МНН: этравирин</w:t>
      </w:r>
      <w:r w:rsidR="0078186A" w:rsidRPr="0078186A">
        <w:rPr>
          <w:sz w:val="24"/>
          <w:szCs w:val="24"/>
        </w:rPr>
        <w:t>), таблетки</w:t>
      </w:r>
      <w:r w:rsidR="0078186A" w:rsidRPr="002E2E87">
        <w:rPr>
          <w:sz w:val="24"/>
          <w:szCs w:val="24"/>
        </w:rPr>
        <w:t>,</w:t>
      </w:r>
      <w:r w:rsidRPr="002E2E87">
        <w:rPr>
          <w:sz w:val="24"/>
          <w:szCs w:val="24"/>
        </w:rPr>
        <w:t xml:space="preserve"> </w:t>
      </w:r>
      <w:r w:rsidRPr="008B0B82">
        <w:rPr>
          <w:sz w:val="24"/>
          <w:szCs w:val="24"/>
        </w:rPr>
        <w:t>100 мг</w:t>
      </w:r>
      <w:r w:rsidR="00CA6569">
        <w:rPr>
          <w:sz w:val="24"/>
          <w:szCs w:val="24"/>
        </w:rPr>
        <w:t xml:space="preserve"> и</w:t>
      </w:r>
      <w:r w:rsidR="00CA6569" w:rsidRPr="008B0B82">
        <w:rPr>
          <w:sz w:val="24"/>
          <w:szCs w:val="24"/>
        </w:rPr>
        <w:t xml:space="preserve"> </w:t>
      </w:r>
      <w:r w:rsidR="00A97B7A">
        <w:rPr>
          <w:sz w:val="24"/>
          <w:szCs w:val="24"/>
        </w:rPr>
        <w:t>200 мг</w:t>
      </w:r>
      <w:r w:rsidR="00CA6569">
        <w:rPr>
          <w:sz w:val="24"/>
          <w:szCs w:val="24"/>
          <w:shd w:val="clear" w:color="auto" w:fill="FFFFFF"/>
        </w:rPr>
        <w:t xml:space="preserve"> (получатель РУ:</w:t>
      </w:r>
      <w:r w:rsidR="00CA6569" w:rsidRPr="00CA6569">
        <w:rPr>
          <w:sz w:val="24"/>
          <w:szCs w:val="24"/>
        </w:rPr>
        <w:t xml:space="preserve"> </w:t>
      </w:r>
      <w:r w:rsidR="00CA6569" w:rsidRPr="0078186A">
        <w:rPr>
          <w:sz w:val="24"/>
          <w:szCs w:val="24"/>
        </w:rPr>
        <w:t>АО «Р-Фарм», Россия</w:t>
      </w:r>
      <w:r w:rsidR="00CA6569">
        <w:rPr>
          <w:sz w:val="24"/>
          <w:szCs w:val="24"/>
        </w:rPr>
        <w:t>;</w:t>
      </w:r>
      <w:r w:rsidR="00CA6569">
        <w:rPr>
          <w:sz w:val="24"/>
          <w:szCs w:val="24"/>
          <w:shd w:val="clear" w:color="auto" w:fill="FFFFFF"/>
        </w:rPr>
        <w:t xml:space="preserve"> </w:t>
      </w:r>
      <w:r w:rsidRPr="0078186A">
        <w:rPr>
          <w:sz w:val="24"/>
          <w:szCs w:val="24"/>
        </w:rPr>
        <w:t>производитель: АО «Р-Фарм», Россия), являющегося воспроизведенным препаратом по отношению к оригинальному препарату Интеленс</w:t>
      </w:r>
      <w:r w:rsidRPr="008B0B82">
        <w:rPr>
          <w:sz w:val="24"/>
          <w:szCs w:val="24"/>
          <w:vertAlign w:val="superscript"/>
        </w:rPr>
        <w:t>®</w:t>
      </w:r>
      <w:r w:rsidR="00CA6569">
        <w:rPr>
          <w:sz w:val="24"/>
          <w:szCs w:val="24"/>
          <w:vertAlign w:val="superscript"/>
        </w:rPr>
        <w:t xml:space="preserve"> </w:t>
      </w:r>
      <w:r w:rsidR="00CA6569" w:rsidRPr="0078186A">
        <w:rPr>
          <w:sz w:val="24"/>
          <w:szCs w:val="24"/>
        </w:rPr>
        <w:t>(МНН: этравирин)</w:t>
      </w:r>
      <w:r w:rsidRPr="0078186A">
        <w:rPr>
          <w:sz w:val="24"/>
          <w:szCs w:val="24"/>
        </w:rPr>
        <w:t>, таблетки</w:t>
      </w:r>
      <w:r w:rsidRPr="00A06854">
        <w:rPr>
          <w:sz w:val="24"/>
          <w:szCs w:val="24"/>
        </w:rPr>
        <w:t>, 100 мг</w:t>
      </w:r>
      <w:r w:rsidR="00CA6569">
        <w:rPr>
          <w:sz w:val="24"/>
          <w:szCs w:val="24"/>
        </w:rPr>
        <w:t xml:space="preserve"> и</w:t>
      </w:r>
      <w:r w:rsidR="00CA6569" w:rsidRPr="00A06854">
        <w:rPr>
          <w:sz w:val="24"/>
          <w:szCs w:val="24"/>
        </w:rPr>
        <w:t xml:space="preserve"> </w:t>
      </w:r>
      <w:r w:rsidRPr="00A06854">
        <w:rPr>
          <w:sz w:val="24"/>
          <w:szCs w:val="24"/>
        </w:rPr>
        <w:t xml:space="preserve">200 мг </w:t>
      </w:r>
      <w:r w:rsidRPr="0078186A">
        <w:rPr>
          <w:sz w:val="24"/>
          <w:szCs w:val="24"/>
        </w:rPr>
        <w:t>(</w:t>
      </w:r>
      <w:r w:rsidR="004245A8">
        <w:rPr>
          <w:sz w:val="24"/>
          <w:szCs w:val="24"/>
        </w:rPr>
        <w:t xml:space="preserve">производитель: </w:t>
      </w:r>
      <w:r w:rsidRPr="0078186A">
        <w:rPr>
          <w:sz w:val="24"/>
          <w:szCs w:val="24"/>
        </w:rPr>
        <w:t>Янссен-Силаг С.п.А, Италия</w:t>
      </w:r>
      <w:r w:rsidR="004245A8">
        <w:rPr>
          <w:sz w:val="24"/>
          <w:szCs w:val="24"/>
        </w:rPr>
        <w:t>,</w:t>
      </w:r>
      <w:r w:rsidRPr="0078186A">
        <w:rPr>
          <w:sz w:val="24"/>
          <w:szCs w:val="24"/>
        </w:rPr>
        <w:t xml:space="preserve"> </w:t>
      </w:r>
      <w:r w:rsidRPr="0078186A">
        <w:rPr>
          <w:rFonts w:eastAsia="Calibri"/>
          <w:bCs/>
          <w:sz w:val="24"/>
          <w:szCs w:val="24"/>
        </w:rPr>
        <w:t xml:space="preserve">владелец РУ: </w:t>
      </w:r>
      <w:r w:rsidR="004245A8">
        <w:rPr>
          <w:rFonts w:eastAsia="MS Mincho"/>
          <w:sz w:val="24"/>
          <w:szCs w:val="24"/>
        </w:rPr>
        <w:t xml:space="preserve">ООО «Джонсон </w:t>
      </w:r>
      <w:r w:rsidR="004245A8" w:rsidRPr="009B427E">
        <w:rPr>
          <w:rFonts w:eastAsia="MS Mincho"/>
          <w:sz w:val="24"/>
          <w:szCs w:val="24"/>
        </w:rPr>
        <w:t xml:space="preserve">&amp; </w:t>
      </w:r>
      <w:r w:rsidR="004245A8">
        <w:rPr>
          <w:rFonts w:eastAsia="MS Mincho"/>
          <w:sz w:val="24"/>
          <w:szCs w:val="24"/>
        </w:rPr>
        <w:t>Джонсон», Россия</w:t>
      </w:r>
      <w:r w:rsidRPr="0078186A">
        <w:rPr>
          <w:sz w:val="24"/>
          <w:szCs w:val="24"/>
        </w:rPr>
        <w:t>).</w:t>
      </w:r>
    </w:p>
    <w:p w14:paraId="7B30C42B" w14:textId="77777777" w:rsidR="0014689C" w:rsidRPr="00AD3C2C" w:rsidRDefault="0014689C" w:rsidP="00A97B7A">
      <w:pPr>
        <w:pStyle w:val="OT"/>
        <w:spacing w:after="0"/>
        <w:rPr>
          <w:b/>
          <w:sz w:val="24"/>
          <w:szCs w:val="24"/>
        </w:rPr>
      </w:pPr>
    </w:p>
    <w:p w14:paraId="596A7E7F" w14:textId="77777777" w:rsidR="00AD3C2C" w:rsidRPr="008B0B82" w:rsidRDefault="0014689C" w:rsidP="00A97B7A">
      <w:pPr>
        <w:pStyle w:val="OT"/>
        <w:spacing w:after="0"/>
        <w:rPr>
          <w:sz w:val="24"/>
          <w:szCs w:val="24"/>
        </w:rPr>
      </w:pPr>
      <w:r w:rsidRPr="00AD3C2C">
        <w:rPr>
          <w:b/>
          <w:sz w:val="24"/>
          <w:szCs w:val="24"/>
        </w:rPr>
        <w:t>Заявляемые показания:</w:t>
      </w:r>
      <w:r w:rsidRPr="00AD3C2C">
        <w:rPr>
          <w:sz w:val="24"/>
          <w:szCs w:val="24"/>
        </w:rPr>
        <w:t xml:space="preserve"> </w:t>
      </w:r>
    </w:p>
    <w:p w14:paraId="39ED6BE2" w14:textId="65FBB304" w:rsidR="00A72D8A" w:rsidRPr="00A72D8A" w:rsidRDefault="004245A8" w:rsidP="00A97B7A">
      <w:pPr>
        <w:pStyle w:val="OT"/>
        <w:spacing w:after="0"/>
        <w:rPr>
          <w:sz w:val="24"/>
          <w:szCs w:val="24"/>
        </w:rPr>
      </w:pPr>
      <w:r>
        <w:rPr>
          <w:sz w:val="24"/>
          <w:szCs w:val="24"/>
        </w:rPr>
        <w:t>Л</w:t>
      </w:r>
      <w:r w:rsidR="0014689C" w:rsidRPr="00AD3C2C">
        <w:rPr>
          <w:sz w:val="24"/>
          <w:szCs w:val="24"/>
        </w:rPr>
        <w:t xml:space="preserve">ечение инфекции ВИЧ-1 у взрослых, которые ранее получали антиретровирусные препараты, и детей с 2 лет, которые ранее получали антиретровирусные препараты. </w:t>
      </w:r>
    </w:p>
    <w:p w14:paraId="6FF2B65E" w14:textId="77777777" w:rsidR="00A72D8A" w:rsidRPr="00A72D8A" w:rsidRDefault="00A72D8A" w:rsidP="00A97B7A">
      <w:pPr>
        <w:pStyle w:val="OT"/>
        <w:spacing w:after="0"/>
        <w:rPr>
          <w:sz w:val="24"/>
          <w:szCs w:val="24"/>
        </w:rPr>
      </w:pPr>
    </w:p>
    <w:p w14:paraId="4B1CF4AC" w14:textId="77777777" w:rsidR="0014689C" w:rsidRPr="00AD3C2C" w:rsidRDefault="0014689C" w:rsidP="00A97B7A">
      <w:pPr>
        <w:pStyle w:val="OT"/>
        <w:spacing w:after="0"/>
        <w:ind w:firstLine="851"/>
        <w:rPr>
          <w:sz w:val="24"/>
          <w:szCs w:val="24"/>
        </w:rPr>
      </w:pPr>
      <w:r w:rsidRPr="00AD3C2C">
        <w:rPr>
          <w:sz w:val="24"/>
          <w:szCs w:val="24"/>
        </w:rPr>
        <w:t xml:space="preserve">Я,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30E33976" w14:textId="77777777" w:rsidR="0014689C" w:rsidRPr="00AD3C2C" w:rsidRDefault="0014689C" w:rsidP="00A97B7A">
      <w:pPr>
        <w:pStyle w:val="OT"/>
        <w:spacing w:after="0"/>
        <w:ind w:firstLine="851"/>
        <w:rPr>
          <w:sz w:val="24"/>
          <w:szCs w:val="24"/>
        </w:rPr>
      </w:pPr>
      <w:r w:rsidRPr="00AD3C2C">
        <w:rPr>
          <w:sz w:val="24"/>
          <w:szCs w:val="24"/>
        </w:rPr>
        <w:t>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сотрудниками компании-Спонсора.</w:t>
      </w:r>
    </w:p>
    <w:p w14:paraId="18202894" w14:textId="77777777" w:rsidR="0014689C" w:rsidRPr="00AD3C2C" w:rsidRDefault="0014689C" w:rsidP="00A97B7A">
      <w:pPr>
        <w:ind w:firstLine="709"/>
        <w:rPr>
          <w:lang w:eastAsia="ru-RU"/>
        </w:rPr>
      </w:pPr>
      <w:r w:rsidRPr="00AD3C2C">
        <w:rPr>
          <w:lang w:eastAsia="ru-RU"/>
        </w:rPr>
        <w:t xml:space="preserve"> </w:t>
      </w:r>
    </w:p>
    <w:tbl>
      <w:tblPr>
        <w:tblW w:w="9381" w:type="dxa"/>
        <w:tblLook w:val="04A0" w:firstRow="1" w:lastRow="0" w:firstColumn="1" w:lastColumn="0" w:noHBand="0" w:noVBand="1"/>
      </w:tblPr>
      <w:tblGrid>
        <w:gridCol w:w="4962"/>
        <w:gridCol w:w="4419"/>
      </w:tblGrid>
      <w:tr w:rsidR="0014689C" w:rsidRPr="00AD3C2C" w14:paraId="3D632D23" w14:textId="77777777" w:rsidTr="00AD3C2C">
        <w:tc>
          <w:tcPr>
            <w:tcW w:w="4962" w:type="dxa"/>
          </w:tcPr>
          <w:p w14:paraId="24C17EE6" w14:textId="77777777" w:rsidR="0014689C" w:rsidRPr="00AD3C2C" w:rsidRDefault="0014689C" w:rsidP="00AD3C2C">
            <w:pPr>
              <w:ind w:left="-108"/>
              <w:rPr>
                <w:b/>
                <w:lang w:eastAsia="ru-RU"/>
              </w:rPr>
            </w:pPr>
          </w:p>
          <w:p w14:paraId="2E2DFBD2" w14:textId="77777777" w:rsidR="0014689C" w:rsidRPr="00AD3C2C" w:rsidRDefault="0014689C" w:rsidP="00AD3C2C">
            <w:pPr>
              <w:ind w:left="-108"/>
              <w:rPr>
                <w:b/>
                <w:lang w:eastAsia="ru-RU"/>
              </w:rPr>
            </w:pPr>
            <w:r w:rsidRPr="00AD3C2C">
              <w:rPr>
                <w:b/>
                <w:lang w:eastAsia="ru-RU"/>
              </w:rPr>
              <w:t>Представитель Спонсора:</w:t>
            </w:r>
          </w:p>
          <w:p w14:paraId="35227EF5" w14:textId="77777777" w:rsidR="0014689C" w:rsidRPr="00AD3C2C" w:rsidRDefault="0014689C" w:rsidP="00AD3C2C">
            <w:pPr>
              <w:ind w:left="-108"/>
              <w:rPr>
                <w:lang w:eastAsia="ru-RU"/>
              </w:rPr>
            </w:pPr>
            <w:r w:rsidRPr="00AD3C2C">
              <w:rPr>
                <w:b/>
                <w:lang w:eastAsia="ru-RU"/>
              </w:rPr>
              <w:t>Филон Ольга Владимировна</w:t>
            </w:r>
          </w:p>
          <w:p w14:paraId="076D446A" w14:textId="77777777" w:rsidR="0014689C" w:rsidRPr="00AD3C2C" w:rsidRDefault="0014689C" w:rsidP="00AD3C2C">
            <w:pPr>
              <w:spacing w:line="254" w:lineRule="auto"/>
              <w:ind w:left="-108"/>
            </w:pPr>
            <w:r w:rsidRPr="00AD3C2C">
              <w:t>Директор Департамента доклинической и клинической разработки</w:t>
            </w:r>
          </w:p>
          <w:p w14:paraId="05E64DF5" w14:textId="77777777" w:rsidR="0014689C" w:rsidRPr="00AD3C2C" w:rsidRDefault="0014689C" w:rsidP="00AD3C2C">
            <w:pPr>
              <w:spacing w:line="254" w:lineRule="auto"/>
              <w:ind w:left="-108"/>
            </w:pPr>
            <w:r w:rsidRPr="00AD3C2C">
              <w:t>Медицинской дирекции</w:t>
            </w:r>
          </w:p>
          <w:p w14:paraId="6F49735D" w14:textId="77777777" w:rsidR="0014689C" w:rsidRPr="00AD3C2C" w:rsidRDefault="0014689C" w:rsidP="00AD3C2C">
            <w:pPr>
              <w:spacing w:line="254" w:lineRule="auto"/>
              <w:ind w:left="-108"/>
            </w:pPr>
            <w:r w:rsidRPr="00AD3C2C">
              <w:t>АО «Р-Фарм»</w:t>
            </w:r>
          </w:p>
          <w:p w14:paraId="6FDB9BF0" w14:textId="77777777" w:rsidR="0014689C" w:rsidRPr="00AD3C2C" w:rsidRDefault="0014689C" w:rsidP="00AD3C2C">
            <w:pPr>
              <w:ind w:left="-108"/>
              <w:rPr>
                <w:b/>
                <w:vertAlign w:val="superscript"/>
                <w:lang w:eastAsia="ru-RU"/>
              </w:rPr>
            </w:pPr>
          </w:p>
        </w:tc>
        <w:tc>
          <w:tcPr>
            <w:tcW w:w="4419" w:type="dxa"/>
          </w:tcPr>
          <w:p w14:paraId="56FA286B" w14:textId="77777777" w:rsidR="0014689C" w:rsidRPr="00AD3C2C" w:rsidRDefault="0014689C" w:rsidP="00AD3C2C">
            <w:pPr>
              <w:rPr>
                <w:lang w:eastAsia="ru-RU"/>
              </w:rPr>
            </w:pPr>
          </w:p>
          <w:p w14:paraId="55ED6FCE" w14:textId="77777777" w:rsidR="0014689C" w:rsidRPr="00AD3C2C" w:rsidRDefault="0014689C" w:rsidP="00AD3C2C">
            <w:pPr>
              <w:rPr>
                <w:lang w:eastAsia="ru-RU"/>
              </w:rPr>
            </w:pPr>
          </w:p>
          <w:p w14:paraId="10E71100" w14:textId="77777777" w:rsidR="0014689C" w:rsidRPr="00AD3C2C" w:rsidRDefault="0014689C" w:rsidP="00AD3C2C">
            <w:pPr>
              <w:rPr>
                <w:lang w:eastAsia="ru-RU"/>
              </w:rPr>
            </w:pPr>
            <w:r w:rsidRPr="00AD3C2C">
              <w:rPr>
                <w:lang w:eastAsia="ru-RU"/>
              </w:rPr>
              <w:t>______________________________</w:t>
            </w:r>
          </w:p>
          <w:p w14:paraId="0B83D457" w14:textId="77777777" w:rsidR="0014689C" w:rsidRPr="00AD3C2C" w:rsidRDefault="0014689C" w:rsidP="00AD3C2C">
            <w:pPr>
              <w:jc w:val="center"/>
              <w:rPr>
                <w:vertAlign w:val="superscript"/>
                <w:lang w:eastAsia="ru-RU"/>
              </w:rPr>
            </w:pPr>
            <w:r w:rsidRPr="00AD3C2C">
              <w:rPr>
                <w:vertAlign w:val="superscript"/>
                <w:lang w:eastAsia="ru-RU"/>
              </w:rPr>
              <w:t>Подпись</w:t>
            </w:r>
          </w:p>
          <w:p w14:paraId="5B75CEF1" w14:textId="77777777" w:rsidR="0014689C" w:rsidRPr="00AD3C2C" w:rsidRDefault="0014689C" w:rsidP="00AD3C2C">
            <w:pPr>
              <w:rPr>
                <w:lang w:eastAsia="ru-RU"/>
              </w:rPr>
            </w:pPr>
            <w:r w:rsidRPr="00AD3C2C">
              <w:rPr>
                <w:lang w:eastAsia="ru-RU"/>
              </w:rPr>
              <w:t>______________________________</w:t>
            </w:r>
          </w:p>
          <w:p w14:paraId="5190DC60" w14:textId="77777777" w:rsidR="0014689C" w:rsidRPr="00AD3C2C" w:rsidRDefault="0014689C" w:rsidP="00AD3C2C">
            <w:pPr>
              <w:jc w:val="center"/>
              <w:rPr>
                <w:lang w:eastAsia="ru-RU"/>
              </w:rPr>
            </w:pPr>
            <w:r w:rsidRPr="00AD3C2C">
              <w:rPr>
                <w:vertAlign w:val="superscript"/>
                <w:lang w:eastAsia="ru-RU"/>
              </w:rPr>
              <w:t>Дата</w:t>
            </w:r>
          </w:p>
        </w:tc>
      </w:tr>
    </w:tbl>
    <w:p w14:paraId="577F1C7C" w14:textId="523990E7" w:rsidR="00E34F04" w:rsidRDefault="0014689C" w:rsidP="000139E5">
      <w:pPr>
        <w:jc w:val="left"/>
        <w:rPr>
          <w:rFonts w:eastAsiaTheme="minorEastAsia"/>
          <w:b/>
          <w:bCs/>
        </w:rPr>
      </w:pPr>
      <w:r>
        <w:rPr>
          <w:color w:val="000000" w:themeColor="text1"/>
        </w:rPr>
        <w:br w:type="page"/>
      </w:r>
    </w:p>
    <w:p w14:paraId="5B331A24" w14:textId="04DE1959" w:rsidR="00E34F04" w:rsidRPr="00DB25F1" w:rsidRDefault="00E34F04" w:rsidP="00E34F04">
      <w:pPr>
        <w:ind w:firstLine="709"/>
        <w:rPr>
          <w:color w:val="000000" w:themeColor="text1"/>
        </w:rPr>
        <w:sectPr w:rsidR="00E34F04" w:rsidRPr="00DB25F1" w:rsidSect="00AB01E2">
          <w:headerReference w:type="default" r:id="rId8"/>
          <w:footerReference w:type="default" r:id="rId9"/>
          <w:headerReference w:type="first" r:id="rId10"/>
          <w:pgSz w:w="11906" w:h="16838"/>
          <w:pgMar w:top="1134" w:right="849" w:bottom="1134" w:left="1701" w:header="708" w:footer="709" w:gutter="0"/>
          <w:cols w:space="708"/>
          <w:docGrid w:linePitch="360"/>
        </w:sectPr>
      </w:pPr>
    </w:p>
    <w:p w14:paraId="1A059A2C" w14:textId="23B83166" w:rsidR="000139E5" w:rsidRDefault="000139E5" w:rsidP="000139E5">
      <w:pPr>
        <w:pStyle w:val="12"/>
        <w:spacing w:line="240" w:lineRule="auto"/>
        <w:rPr>
          <w:rFonts w:cs="Times New Roman"/>
          <w:color w:val="000000" w:themeColor="text1"/>
        </w:rPr>
      </w:pPr>
      <w:bookmarkStart w:id="4" w:name="_Toc99740759"/>
      <w:bookmarkStart w:id="5" w:name="_Toc117179155"/>
      <w:bookmarkStart w:id="6" w:name="_Toc395011854"/>
      <w:r w:rsidRPr="005E6358">
        <w:rPr>
          <w:rFonts w:cs="Times New Roman"/>
          <w:color w:val="000000" w:themeColor="text1"/>
        </w:rPr>
        <w:lastRenderedPageBreak/>
        <w:t>СПИСОК СОКРАЩЕНИЙ</w:t>
      </w:r>
      <w:bookmarkEnd w:id="4"/>
      <w:bookmarkEnd w:id="5"/>
    </w:p>
    <w:tbl>
      <w:tblPr>
        <w:tblStyle w:val="a8"/>
        <w:tblW w:w="0" w:type="auto"/>
        <w:tblLook w:val="04A0" w:firstRow="1" w:lastRow="0" w:firstColumn="1" w:lastColumn="0" w:noHBand="0" w:noVBand="1"/>
      </w:tblPr>
      <w:tblGrid>
        <w:gridCol w:w="1871"/>
        <w:gridCol w:w="7474"/>
      </w:tblGrid>
      <w:tr w:rsidR="000139E5" w:rsidRPr="00A032E6" w14:paraId="1220D8F9" w14:textId="77777777" w:rsidTr="00A76175">
        <w:tc>
          <w:tcPr>
            <w:tcW w:w="1871" w:type="dxa"/>
            <w:vAlign w:val="center"/>
          </w:tcPr>
          <w:p w14:paraId="35EBF0A2" w14:textId="77777777" w:rsidR="000139E5" w:rsidRPr="00A032E6" w:rsidRDefault="000139E5" w:rsidP="000139E5">
            <w:pPr>
              <w:pStyle w:val="affb"/>
              <w:spacing w:before="0" w:after="0" w:line="240" w:lineRule="auto"/>
              <w:rPr>
                <w:rFonts w:eastAsiaTheme="minorEastAsia"/>
              </w:rPr>
            </w:pPr>
            <w:r w:rsidRPr="00A032E6">
              <w:rPr>
                <w:rFonts w:eastAsiaTheme="minorEastAsia"/>
              </w:rPr>
              <w:t>3TC</w:t>
            </w:r>
          </w:p>
        </w:tc>
        <w:tc>
          <w:tcPr>
            <w:tcW w:w="7474" w:type="dxa"/>
            <w:vAlign w:val="center"/>
          </w:tcPr>
          <w:p w14:paraId="377B5962" w14:textId="77777777" w:rsidR="000139E5" w:rsidRPr="00A032E6" w:rsidRDefault="000139E5" w:rsidP="000139E5">
            <w:pPr>
              <w:pStyle w:val="affb"/>
              <w:spacing w:before="0" w:after="0" w:line="240" w:lineRule="auto"/>
              <w:rPr>
                <w:rFonts w:eastAsiaTheme="minorEastAsia"/>
              </w:rPr>
            </w:pPr>
            <w:r w:rsidRPr="00A032E6">
              <w:rPr>
                <w:rFonts w:eastAsiaTheme="minorEastAsia"/>
              </w:rPr>
              <w:t>Ламивудин</w:t>
            </w:r>
          </w:p>
        </w:tc>
      </w:tr>
      <w:tr w:rsidR="000139E5" w:rsidRPr="00A032E6" w14:paraId="10F9FD02" w14:textId="77777777" w:rsidTr="00A76175">
        <w:tc>
          <w:tcPr>
            <w:tcW w:w="1871" w:type="dxa"/>
            <w:vAlign w:val="center"/>
          </w:tcPr>
          <w:p w14:paraId="1130902B"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 xml:space="preserve">ABC </w:t>
            </w:r>
          </w:p>
        </w:tc>
        <w:tc>
          <w:tcPr>
            <w:tcW w:w="7474" w:type="dxa"/>
            <w:vAlign w:val="center"/>
          </w:tcPr>
          <w:p w14:paraId="0F176E95"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А</w:t>
            </w:r>
            <w:r w:rsidRPr="00A032E6">
              <w:rPr>
                <w:rFonts w:eastAsiaTheme="minorEastAsia"/>
                <w:lang w:val="en-US"/>
              </w:rPr>
              <w:t>бакавир</w:t>
            </w:r>
          </w:p>
        </w:tc>
      </w:tr>
      <w:tr w:rsidR="000139E5" w:rsidRPr="00A032E6" w14:paraId="298EC602" w14:textId="77777777" w:rsidTr="00A76175">
        <w:tc>
          <w:tcPr>
            <w:tcW w:w="1871" w:type="dxa"/>
            <w:vAlign w:val="center"/>
          </w:tcPr>
          <w:p w14:paraId="616BF603" w14:textId="77777777" w:rsidR="000139E5" w:rsidRPr="00A032E6" w:rsidRDefault="000139E5" w:rsidP="000139E5">
            <w:pPr>
              <w:pStyle w:val="affb"/>
              <w:spacing w:before="0" w:after="0" w:line="240" w:lineRule="auto"/>
              <w:jc w:val="left"/>
            </w:pPr>
            <w:r w:rsidRPr="00A032E6">
              <w:t>ARVPR</w:t>
            </w:r>
          </w:p>
        </w:tc>
        <w:tc>
          <w:tcPr>
            <w:tcW w:w="7474" w:type="dxa"/>
            <w:vAlign w:val="center"/>
          </w:tcPr>
          <w:p w14:paraId="05C9CB74" w14:textId="77777777" w:rsidR="000139E5" w:rsidRPr="00A032E6" w:rsidRDefault="000139E5" w:rsidP="000139E5">
            <w:pPr>
              <w:pStyle w:val="affb"/>
              <w:spacing w:before="0" w:after="0" w:line="240" w:lineRule="auto"/>
              <w:jc w:val="left"/>
            </w:pPr>
            <w:r w:rsidRPr="00A032E6">
              <w:t>Регистра по применению антиретровирусных препаратов</w:t>
            </w:r>
            <w:r w:rsidRPr="00A032E6">
              <w:br/>
              <w:t>(</w:t>
            </w:r>
            <w:r w:rsidRPr="00A032E6">
              <w:rPr>
                <w:i/>
                <w:iCs/>
                <w:lang w:val="en-US"/>
              </w:rPr>
              <w:t>The</w:t>
            </w:r>
            <w:r w:rsidRPr="00A032E6">
              <w:rPr>
                <w:i/>
                <w:iCs/>
              </w:rPr>
              <w:t xml:space="preserve"> </w:t>
            </w:r>
            <w:r w:rsidRPr="00A032E6">
              <w:rPr>
                <w:i/>
                <w:iCs/>
                <w:lang w:val="en-US"/>
              </w:rPr>
              <w:t>Antiretroviral</w:t>
            </w:r>
            <w:r w:rsidRPr="00A032E6">
              <w:rPr>
                <w:i/>
                <w:iCs/>
              </w:rPr>
              <w:t xml:space="preserve"> </w:t>
            </w:r>
            <w:r w:rsidRPr="00A032E6">
              <w:rPr>
                <w:i/>
                <w:iCs/>
                <w:lang w:val="en-US"/>
              </w:rPr>
              <w:t>Pregnancy</w:t>
            </w:r>
            <w:r w:rsidRPr="00A032E6">
              <w:rPr>
                <w:i/>
                <w:iCs/>
              </w:rPr>
              <w:t xml:space="preserve"> </w:t>
            </w:r>
            <w:r w:rsidRPr="00A032E6">
              <w:rPr>
                <w:i/>
                <w:iCs/>
                <w:lang w:val="en-US"/>
              </w:rPr>
              <w:t>Registry</w:t>
            </w:r>
            <w:r w:rsidRPr="00A032E6">
              <w:t>)</w:t>
            </w:r>
          </w:p>
        </w:tc>
      </w:tr>
      <w:tr w:rsidR="000139E5" w:rsidRPr="00A032E6" w14:paraId="5F2BBB25" w14:textId="77777777" w:rsidTr="00A76175">
        <w:tc>
          <w:tcPr>
            <w:tcW w:w="1871" w:type="dxa"/>
            <w:vAlign w:val="center"/>
          </w:tcPr>
          <w:p w14:paraId="654EFC49" w14:textId="77777777" w:rsidR="000139E5" w:rsidRPr="00A032E6" w:rsidRDefault="000139E5" w:rsidP="000139E5">
            <w:pPr>
              <w:pStyle w:val="affb"/>
              <w:spacing w:before="0" w:after="0" w:line="240" w:lineRule="auto"/>
              <w:jc w:val="left"/>
            </w:pPr>
            <w:r w:rsidRPr="00A032E6">
              <w:rPr>
                <w:rFonts w:eastAsiaTheme="minorEastAsia"/>
              </w:rPr>
              <w:t>ATV</w:t>
            </w:r>
          </w:p>
        </w:tc>
        <w:tc>
          <w:tcPr>
            <w:tcW w:w="7474" w:type="dxa"/>
            <w:vAlign w:val="center"/>
          </w:tcPr>
          <w:p w14:paraId="22317A40" w14:textId="77777777" w:rsidR="000139E5" w:rsidRPr="00A032E6" w:rsidRDefault="000139E5" w:rsidP="000139E5">
            <w:pPr>
              <w:pStyle w:val="affb"/>
              <w:spacing w:before="0" w:after="0" w:line="240" w:lineRule="auto"/>
              <w:jc w:val="left"/>
            </w:pPr>
            <w:r w:rsidRPr="00A032E6">
              <w:rPr>
                <w:rFonts w:eastAsiaTheme="minorEastAsia"/>
              </w:rPr>
              <w:t>А</w:t>
            </w:r>
            <w:r w:rsidRPr="00A032E6">
              <w:rPr>
                <w:rFonts w:eastAsiaTheme="minorEastAsia"/>
                <w:lang w:val="en-US"/>
              </w:rPr>
              <w:t>тазанавир</w:t>
            </w:r>
          </w:p>
        </w:tc>
      </w:tr>
      <w:tr w:rsidR="000139E5" w:rsidRPr="00A032E6" w14:paraId="64CDCD8E" w14:textId="77777777" w:rsidTr="00A76175">
        <w:tc>
          <w:tcPr>
            <w:tcW w:w="1871" w:type="dxa"/>
            <w:vAlign w:val="center"/>
          </w:tcPr>
          <w:p w14:paraId="2BB768BD" w14:textId="77777777" w:rsidR="000139E5" w:rsidRPr="00A032E6" w:rsidRDefault="000139E5" w:rsidP="000139E5">
            <w:pPr>
              <w:pStyle w:val="affb"/>
              <w:spacing w:before="0" w:after="0" w:line="240" w:lineRule="auto"/>
              <w:rPr>
                <w:rFonts w:eastAsiaTheme="minorEastAsia"/>
              </w:rPr>
            </w:pPr>
            <w:r w:rsidRPr="00A032E6">
              <w:rPr>
                <w:rFonts w:eastAsiaTheme="minorEastAsia"/>
              </w:rPr>
              <w:t>ATV/c</w:t>
            </w:r>
          </w:p>
        </w:tc>
        <w:tc>
          <w:tcPr>
            <w:tcW w:w="7474" w:type="dxa"/>
            <w:vAlign w:val="center"/>
          </w:tcPr>
          <w:p w14:paraId="3639DC86" w14:textId="77777777" w:rsidR="000139E5" w:rsidRPr="00A032E6" w:rsidRDefault="000139E5" w:rsidP="000139E5">
            <w:pPr>
              <w:pStyle w:val="affb"/>
              <w:spacing w:before="0" w:after="0" w:line="240" w:lineRule="auto"/>
              <w:rPr>
                <w:rFonts w:eastAsiaTheme="minorEastAsia"/>
              </w:rPr>
            </w:pPr>
            <w:r w:rsidRPr="00A032E6">
              <w:rPr>
                <w:rFonts w:eastAsiaTheme="minorEastAsia"/>
              </w:rPr>
              <w:t>А</w:t>
            </w:r>
            <w:r w:rsidRPr="00A032E6">
              <w:rPr>
                <w:rFonts w:eastAsiaTheme="minorEastAsia"/>
                <w:lang w:val="en-US"/>
              </w:rPr>
              <w:t>тазанавир</w:t>
            </w:r>
            <w:r w:rsidRPr="00A032E6">
              <w:rPr>
                <w:rFonts w:eastAsiaTheme="minorEastAsia"/>
              </w:rPr>
              <w:t>, бустированный</w:t>
            </w:r>
            <w:r w:rsidRPr="00A032E6">
              <w:rPr>
                <w:rFonts w:eastAsiaTheme="minorEastAsia"/>
                <w:lang w:val="en-US"/>
              </w:rPr>
              <w:t xml:space="preserve"> </w:t>
            </w:r>
            <w:r w:rsidRPr="00A032E6">
              <w:rPr>
                <w:rFonts w:eastAsiaTheme="minorEastAsia"/>
              </w:rPr>
              <w:t xml:space="preserve"> кобицистатом</w:t>
            </w:r>
          </w:p>
        </w:tc>
      </w:tr>
      <w:tr w:rsidR="000139E5" w:rsidRPr="00A032E6" w14:paraId="3DF7351F" w14:textId="77777777" w:rsidTr="00A76175">
        <w:tc>
          <w:tcPr>
            <w:tcW w:w="1871" w:type="dxa"/>
            <w:vAlign w:val="center"/>
          </w:tcPr>
          <w:p w14:paraId="4653A85D" w14:textId="77777777" w:rsidR="000139E5" w:rsidRPr="00A032E6" w:rsidRDefault="000139E5" w:rsidP="000139E5">
            <w:pPr>
              <w:pStyle w:val="affb"/>
              <w:spacing w:before="0" w:after="0" w:line="240" w:lineRule="auto"/>
              <w:rPr>
                <w:rFonts w:eastAsiaTheme="minorEastAsia"/>
              </w:rPr>
            </w:pPr>
            <w:r w:rsidRPr="00A032E6">
              <w:rPr>
                <w:rFonts w:eastAsiaTheme="minorEastAsia"/>
              </w:rPr>
              <w:t>ATV/r</w:t>
            </w:r>
          </w:p>
        </w:tc>
        <w:tc>
          <w:tcPr>
            <w:tcW w:w="7474" w:type="dxa"/>
            <w:vAlign w:val="center"/>
          </w:tcPr>
          <w:p w14:paraId="126EC138" w14:textId="77777777" w:rsidR="000139E5" w:rsidRPr="00A032E6" w:rsidRDefault="000139E5" w:rsidP="000139E5">
            <w:pPr>
              <w:pStyle w:val="affb"/>
              <w:spacing w:before="0" w:after="0" w:line="240" w:lineRule="auto"/>
              <w:rPr>
                <w:rFonts w:eastAsiaTheme="minorEastAsia"/>
              </w:rPr>
            </w:pPr>
            <w:r w:rsidRPr="00A032E6">
              <w:rPr>
                <w:rFonts w:eastAsiaTheme="minorEastAsia"/>
              </w:rPr>
              <w:t>Атазанавир, бустированный ритонавиром</w:t>
            </w:r>
          </w:p>
        </w:tc>
      </w:tr>
      <w:tr w:rsidR="000139E5" w:rsidRPr="00A032E6" w14:paraId="1B8C9484" w14:textId="77777777" w:rsidTr="00A76175">
        <w:trPr>
          <w:trHeight w:val="20"/>
        </w:trPr>
        <w:tc>
          <w:tcPr>
            <w:tcW w:w="1871" w:type="dxa"/>
            <w:vAlign w:val="center"/>
          </w:tcPr>
          <w:p w14:paraId="4FBDAD71" w14:textId="77777777" w:rsidR="000139E5" w:rsidRPr="00A032E6" w:rsidRDefault="000139E5" w:rsidP="000139E5">
            <w:pPr>
              <w:pStyle w:val="afff8"/>
              <w:rPr>
                <w:rFonts w:eastAsiaTheme="minorEastAsia"/>
                <w:sz w:val="24"/>
              </w:rPr>
            </w:pPr>
            <w:r w:rsidRPr="00A032E6">
              <w:rPr>
                <w:rFonts w:eastAsiaTheme="minorEastAsia"/>
                <w:sz w:val="24"/>
              </w:rPr>
              <w:t>AUC</w:t>
            </w:r>
          </w:p>
        </w:tc>
        <w:tc>
          <w:tcPr>
            <w:tcW w:w="7474" w:type="dxa"/>
            <w:vAlign w:val="center"/>
          </w:tcPr>
          <w:p w14:paraId="3AB3B752" w14:textId="77777777" w:rsidR="000139E5" w:rsidRPr="00A032E6" w:rsidRDefault="000139E5" w:rsidP="000139E5">
            <w:pPr>
              <w:pStyle w:val="afff8"/>
              <w:rPr>
                <w:rFonts w:eastAsiaTheme="minorEastAsia"/>
                <w:sz w:val="24"/>
              </w:rPr>
            </w:pPr>
            <w:r w:rsidRPr="00A032E6">
              <w:rPr>
                <w:rFonts w:eastAsiaTheme="minorEastAsia"/>
                <w:sz w:val="24"/>
              </w:rPr>
              <w:t>Площадь под кривой зависимости концентрации от времени</w:t>
            </w:r>
          </w:p>
        </w:tc>
      </w:tr>
      <w:tr w:rsidR="000139E5" w:rsidRPr="00A032E6" w14:paraId="494ED185" w14:textId="77777777" w:rsidTr="00A76175">
        <w:tc>
          <w:tcPr>
            <w:tcW w:w="1871" w:type="dxa"/>
            <w:vAlign w:val="center"/>
          </w:tcPr>
          <w:p w14:paraId="7B2A499E"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BIC</w:t>
            </w:r>
          </w:p>
        </w:tc>
        <w:tc>
          <w:tcPr>
            <w:tcW w:w="7474" w:type="dxa"/>
            <w:vAlign w:val="center"/>
          </w:tcPr>
          <w:p w14:paraId="20571F0C"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Б</w:t>
            </w:r>
            <w:r w:rsidRPr="00A032E6">
              <w:rPr>
                <w:rFonts w:eastAsiaTheme="minorEastAsia"/>
                <w:lang w:val="en-US"/>
              </w:rPr>
              <w:t>иктегравир</w:t>
            </w:r>
          </w:p>
        </w:tc>
      </w:tr>
      <w:tr w:rsidR="000139E5" w:rsidRPr="00A032E6" w14:paraId="71BDA198" w14:textId="77777777" w:rsidTr="00A76175">
        <w:trPr>
          <w:trHeight w:val="20"/>
        </w:trPr>
        <w:tc>
          <w:tcPr>
            <w:tcW w:w="1871" w:type="dxa"/>
            <w:vAlign w:val="center"/>
          </w:tcPr>
          <w:p w14:paraId="6FC8C410" w14:textId="77777777" w:rsidR="000139E5" w:rsidRPr="00A032E6" w:rsidRDefault="000139E5" w:rsidP="000139E5">
            <w:pPr>
              <w:pStyle w:val="afff8"/>
              <w:rPr>
                <w:rFonts w:eastAsiaTheme="minorEastAsia"/>
                <w:sz w:val="24"/>
              </w:rPr>
            </w:pPr>
            <w:r w:rsidRPr="00A032E6">
              <w:rPr>
                <w:rFonts w:eastAsiaTheme="minorEastAsia"/>
                <w:sz w:val="24"/>
              </w:rPr>
              <w:t>CC</w:t>
            </w:r>
            <w:r w:rsidRPr="00A032E6">
              <w:rPr>
                <w:rFonts w:eastAsiaTheme="minorEastAsia"/>
                <w:sz w:val="24"/>
                <w:vertAlign w:val="subscript"/>
              </w:rPr>
              <w:t>50</w:t>
            </w:r>
          </w:p>
        </w:tc>
        <w:tc>
          <w:tcPr>
            <w:tcW w:w="7474" w:type="dxa"/>
            <w:vAlign w:val="center"/>
          </w:tcPr>
          <w:p w14:paraId="04169779" w14:textId="77777777" w:rsidR="000139E5" w:rsidRPr="00A032E6" w:rsidRDefault="000139E5" w:rsidP="000139E5">
            <w:pPr>
              <w:pStyle w:val="afff8"/>
              <w:rPr>
                <w:rFonts w:eastAsiaTheme="minorEastAsia"/>
                <w:sz w:val="24"/>
              </w:rPr>
            </w:pPr>
            <w:r w:rsidRPr="00A032E6">
              <w:rPr>
                <w:rFonts w:eastAsiaTheme="minorEastAsia"/>
                <w:sz w:val="24"/>
              </w:rPr>
              <w:t>Средняя цитотоксическая концентрация</w:t>
            </w:r>
          </w:p>
        </w:tc>
      </w:tr>
      <w:tr w:rsidR="00086C50" w:rsidRPr="00A032E6" w14:paraId="5B927E38" w14:textId="77777777" w:rsidTr="00A76175">
        <w:trPr>
          <w:trHeight w:val="20"/>
        </w:trPr>
        <w:tc>
          <w:tcPr>
            <w:tcW w:w="1871" w:type="dxa"/>
            <w:vAlign w:val="center"/>
          </w:tcPr>
          <w:p w14:paraId="524A292F" w14:textId="778FB164" w:rsidR="00086C50" w:rsidRPr="00086C50" w:rsidRDefault="00086C50" w:rsidP="00086C50">
            <w:pPr>
              <w:pStyle w:val="afff8"/>
              <w:rPr>
                <w:rFonts w:eastAsiaTheme="minorEastAsia"/>
                <w:sz w:val="24"/>
              </w:rPr>
            </w:pPr>
            <w:r w:rsidRPr="00086C50">
              <w:rPr>
                <w:rFonts w:eastAsiaTheme="minorEastAsia"/>
                <w:color w:val="000000" w:themeColor="text1"/>
                <w:sz w:val="24"/>
                <w:lang w:val="en-US"/>
              </w:rPr>
              <w:t>CYP450</w:t>
            </w:r>
          </w:p>
        </w:tc>
        <w:tc>
          <w:tcPr>
            <w:tcW w:w="7474" w:type="dxa"/>
            <w:vAlign w:val="center"/>
          </w:tcPr>
          <w:p w14:paraId="021ADCBA" w14:textId="5E953500" w:rsidR="00086C50" w:rsidRPr="00086C50" w:rsidRDefault="00086C50" w:rsidP="00086C50">
            <w:pPr>
              <w:pStyle w:val="afff8"/>
              <w:rPr>
                <w:rFonts w:eastAsiaTheme="minorEastAsia"/>
                <w:sz w:val="24"/>
              </w:rPr>
            </w:pPr>
            <w:r w:rsidRPr="00086C50">
              <w:rPr>
                <w:rFonts w:eastAsiaTheme="minorEastAsia"/>
                <w:color w:val="000000" w:themeColor="text1"/>
                <w:sz w:val="24"/>
              </w:rPr>
              <w:t>Цитохром P450</w:t>
            </w:r>
          </w:p>
        </w:tc>
      </w:tr>
      <w:tr w:rsidR="000139E5" w:rsidRPr="00A032E6" w14:paraId="5251D481" w14:textId="77777777" w:rsidTr="00A76175">
        <w:trPr>
          <w:trHeight w:val="20"/>
        </w:trPr>
        <w:tc>
          <w:tcPr>
            <w:tcW w:w="1871" w:type="dxa"/>
            <w:vAlign w:val="center"/>
          </w:tcPr>
          <w:p w14:paraId="5B276F42" w14:textId="77777777" w:rsidR="000139E5" w:rsidRPr="00A032E6" w:rsidRDefault="000139E5" w:rsidP="000139E5">
            <w:pPr>
              <w:pStyle w:val="afff8"/>
              <w:rPr>
                <w:rFonts w:eastAsiaTheme="minorEastAsia"/>
                <w:sz w:val="24"/>
                <w:lang w:val="en-US"/>
              </w:rPr>
            </w:pPr>
            <w:r w:rsidRPr="00A032E6">
              <w:rPr>
                <w:sz w:val="24"/>
                <w:lang w:val="en-US"/>
              </w:rPr>
              <w:t>CL</w:t>
            </w:r>
            <w:r w:rsidRPr="00A032E6">
              <w:rPr>
                <w:sz w:val="24"/>
              </w:rPr>
              <w:t>/</w:t>
            </w:r>
            <w:r w:rsidRPr="00A032E6">
              <w:rPr>
                <w:sz w:val="24"/>
                <w:lang w:val="en-US"/>
              </w:rPr>
              <w:t>F</w:t>
            </w:r>
          </w:p>
        </w:tc>
        <w:tc>
          <w:tcPr>
            <w:tcW w:w="7474" w:type="dxa"/>
            <w:vAlign w:val="center"/>
          </w:tcPr>
          <w:p w14:paraId="12E4104B" w14:textId="77777777" w:rsidR="000139E5" w:rsidRPr="00A032E6" w:rsidRDefault="000139E5" w:rsidP="000139E5">
            <w:pPr>
              <w:pStyle w:val="afff8"/>
              <w:rPr>
                <w:rFonts w:eastAsiaTheme="minorEastAsia"/>
                <w:sz w:val="24"/>
              </w:rPr>
            </w:pPr>
            <w:r w:rsidRPr="00A032E6">
              <w:rPr>
                <w:sz w:val="24"/>
              </w:rPr>
              <w:t>Кажущийся общий клиренс</w:t>
            </w:r>
          </w:p>
        </w:tc>
      </w:tr>
      <w:tr w:rsidR="000139E5" w:rsidRPr="00A032E6" w14:paraId="3B843CBF" w14:textId="77777777" w:rsidTr="00A76175">
        <w:tc>
          <w:tcPr>
            <w:tcW w:w="1871" w:type="dxa"/>
            <w:vAlign w:val="center"/>
          </w:tcPr>
          <w:p w14:paraId="285228BD" w14:textId="77777777" w:rsidR="000139E5" w:rsidRPr="00A032E6" w:rsidRDefault="000139E5" w:rsidP="000139E5">
            <w:pPr>
              <w:pStyle w:val="affb"/>
              <w:spacing w:before="0" w:after="0" w:line="240" w:lineRule="auto"/>
            </w:pPr>
            <w:r w:rsidRPr="00A032E6">
              <w:t>CL</w:t>
            </w:r>
            <w:r w:rsidRPr="00A032E6">
              <w:rPr>
                <w:vertAlign w:val="subscript"/>
              </w:rPr>
              <w:t>CR</w:t>
            </w:r>
          </w:p>
        </w:tc>
        <w:tc>
          <w:tcPr>
            <w:tcW w:w="7474" w:type="dxa"/>
            <w:vAlign w:val="center"/>
          </w:tcPr>
          <w:p w14:paraId="72F1A643" w14:textId="77777777" w:rsidR="000139E5" w:rsidRPr="00A032E6" w:rsidRDefault="000139E5" w:rsidP="000139E5">
            <w:pPr>
              <w:pStyle w:val="affb"/>
              <w:spacing w:before="0" w:after="0" w:line="240" w:lineRule="auto"/>
            </w:pPr>
            <w:r w:rsidRPr="00A032E6">
              <w:t>Клиренс креатинина</w:t>
            </w:r>
          </w:p>
        </w:tc>
      </w:tr>
      <w:tr w:rsidR="000139E5" w:rsidRPr="00A032E6" w14:paraId="1BE85317" w14:textId="77777777" w:rsidTr="00A76175">
        <w:trPr>
          <w:trHeight w:val="20"/>
        </w:trPr>
        <w:tc>
          <w:tcPr>
            <w:tcW w:w="1871" w:type="dxa"/>
            <w:vAlign w:val="center"/>
          </w:tcPr>
          <w:p w14:paraId="5B1B2E26" w14:textId="77777777" w:rsidR="000139E5" w:rsidRPr="00A032E6" w:rsidRDefault="000139E5" w:rsidP="000139E5">
            <w:pPr>
              <w:pStyle w:val="afff8"/>
              <w:rPr>
                <w:rFonts w:eastAsiaTheme="minorEastAsia"/>
                <w:sz w:val="24"/>
                <w:lang w:val="en-US"/>
              </w:rPr>
            </w:pPr>
            <w:r w:rsidRPr="00A032E6">
              <w:rPr>
                <w:rFonts w:eastAsiaTheme="minorEastAsia"/>
                <w:sz w:val="24"/>
              </w:rPr>
              <w:t>C</w:t>
            </w:r>
            <w:r w:rsidRPr="00A032E6">
              <w:rPr>
                <w:rFonts w:eastAsiaTheme="minorEastAsia"/>
                <w:sz w:val="24"/>
                <w:vertAlign w:val="subscript"/>
              </w:rPr>
              <w:t>max</w:t>
            </w:r>
          </w:p>
        </w:tc>
        <w:tc>
          <w:tcPr>
            <w:tcW w:w="7474" w:type="dxa"/>
            <w:vAlign w:val="center"/>
          </w:tcPr>
          <w:p w14:paraId="3CC63B93" w14:textId="77777777" w:rsidR="000139E5" w:rsidRPr="00A032E6" w:rsidRDefault="000139E5" w:rsidP="000139E5">
            <w:pPr>
              <w:pStyle w:val="afff8"/>
              <w:rPr>
                <w:rFonts w:eastAsiaTheme="minorEastAsia"/>
                <w:sz w:val="24"/>
              </w:rPr>
            </w:pPr>
            <w:r w:rsidRPr="00A032E6">
              <w:rPr>
                <w:rFonts w:eastAsiaTheme="minorEastAsia"/>
                <w:sz w:val="24"/>
              </w:rPr>
              <w:t>Максимальная плазменная концентрация</w:t>
            </w:r>
          </w:p>
        </w:tc>
      </w:tr>
      <w:tr w:rsidR="000139E5" w:rsidRPr="00A032E6" w14:paraId="68D52484" w14:textId="77777777" w:rsidTr="00A76175">
        <w:trPr>
          <w:trHeight w:val="20"/>
        </w:trPr>
        <w:tc>
          <w:tcPr>
            <w:tcW w:w="1871" w:type="dxa"/>
            <w:vAlign w:val="center"/>
          </w:tcPr>
          <w:p w14:paraId="3AC86748" w14:textId="77777777" w:rsidR="000139E5" w:rsidRPr="00A032E6" w:rsidRDefault="000139E5" w:rsidP="000139E5">
            <w:pPr>
              <w:pStyle w:val="afff8"/>
              <w:rPr>
                <w:rFonts w:eastAsiaTheme="minorEastAsia"/>
                <w:sz w:val="24"/>
              </w:rPr>
            </w:pPr>
            <w:r w:rsidRPr="00A032E6">
              <w:rPr>
                <w:rFonts w:eastAsiaTheme="minorEastAsia"/>
                <w:sz w:val="24"/>
              </w:rPr>
              <w:t>C</w:t>
            </w:r>
            <w:r w:rsidRPr="00A032E6">
              <w:rPr>
                <w:rFonts w:eastAsiaTheme="minorEastAsia"/>
                <w:sz w:val="24"/>
                <w:vertAlign w:val="subscript"/>
              </w:rPr>
              <w:t>min</w:t>
            </w:r>
          </w:p>
        </w:tc>
        <w:tc>
          <w:tcPr>
            <w:tcW w:w="7474" w:type="dxa"/>
            <w:vAlign w:val="center"/>
          </w:tcPr>
          <w:p w14:paraId="352F0B66" w14:textId="77777777" w:rsidR="000139E5" w:rsidRPr="00A032E6" w:rsidRDefault="000139E5" w:rsidP="000139E5">
            <w:pPr>
              <w:pStyle w:val="afff8"/>
              <w:rPr>
                <w:rFonts w:eastAsiaTheme="minorEastAsia"/>
                <w:sz w:val="24"/>
              </w:rPr>
            </w:pPr>
            <w:r w:rsidRPr="00A032E6">
              <w:rPr>
                <w:rFonts w:eastAsiaTheme="minorEastAsia"/>
                <w:sz w:val="24"/>
              </w:rPr>
              <w:t>Минимальная плазменная концентрация</w:t>
            </w:r>
          </w:p>
        </w:tc>
      </w:tr>
      <w:tr w:rsidR="000139E5" w:rsidRPr="00A032E6" w14:paraId="03FFC42C" w14:textId="77777777" w:rsidTr="00A76175">
        <w:tc>
          <w:tcPr>
            <w:tcW w:w="1871" w:type="dxa"/>
            <w:vAlign w:val="center"/>
          </w:tcPr>
          <w:p w14:paraId="53E6BB56" w14:textId="77777777" w:rsidR="000139E5" w:rsidRPr="00A032E6" w:rsidRDefault="000139E5" w:rsidP="000139E5">
            <w:pPr>
              <w:pStyle w:val="affb"/>
              <w:spacing w:before="0" w:after="0" w:line="240" w:lineRule="auto"/>
            </w:pPr>
            <w:r w:rsidRPr="00A032E6">
              <w:t>COBI</w:t>
            </w:r>
          </w:p>
        </w:tc>
        <w:tc>
          <w:tcPr>
            <w:tcW w:w="7474" w:type="dxa"/>
            <w:vAlign w:val="center"/>
          </w:tcPr>
          <w:p w14:paraId="55ADB4D9" w14:textId="77777777" w:rsidR="000139E5" w:rsidRPr="00A032E6" w:rsidRDefault="000139E5" w:rsidP="000139E5">
            <w:pPr>
              <w:pStyle w:val="affb"/>
              <w:spacing w:before="0" w:after="0" w:line="240" w:lineRule="auto"/>
            </w:pPr>
            <w:r w:rsidRPr="00A032E6">
              <w:t>Кобицистат</w:t>
            </w:r>
          </w:p>
        </w:tc>
      </w:tr>
      <w:tr w:rsidR="000139E5" w:rsidRPr="00A032E6" w14:paraId="7FFCAD03" w14:textId="77777777" w:rsidTr="00A76175">
        <w:trPr>
          <w:trHeight w:val="20"/>
        </w:trPr>
        <w:tc>
          <w:tcPr>
            <w:tcW w:w="1871" w:type="dxa"/>
            <w:vAlign w:val="center"/>
          </w:tcPr>
          <w:p w14:paraId="06158F93" w14:textId="77777777" w:rsidR="000139E5" w:rsidRPr="00A032E6" w:rsidRDefault="000139E5" w:rsidP="000139E5">
            <w:pPr>
              <w:pStyle w:val="afff8"/>
              <w:rPr>
                <w:rFonts w:eastAsiaTheme="minorEastAsia"/>
                <w:sz w:val="24"/>
              </w:rPr>
            </w:pPr>
            <w:r w:rsidRPr="00A032E6">
              <w:rPr>
                <w:rFonts w:eastAsiaTheme="minorEastAsia"/>
                <w:sz w:val="24"/>
              </w:rPr>
              <w:t>CV</w:t>
            </w:r>
          </w:p>
        </w:tc>
        <w:tc>
          <w:tcPr>
            <w:tcW w:w="7474" w:type="dxa"/>
            <w:vAlign w:val="center"/>
          </w:tcPr>
          <w:p w14:paraId="0431A7BD" w14:textId="77777777" w:rsidR="000139E5" w:rsidRPr="00A032E6" w:rsidRDefault="000139E5" w:rsidP="000139E5">
            <w:pPr>
              <w:pStyle w:val="afff8"/>
              <w:rPr>
                <w:rFonts w:eastAsiaTheme="minorEastAsia"/>
                <w:sz w:val="24"/>
              </w:rPr>
            </w:pPr>
            <w:r w:rsidRPr="00A032E6">
              <w:rPr>
                <w:rFonts w:eastAsiaTheme="minorEastAsia"/>
                <w:sz w:val="24"/>
              </w:rPr>
              <w:t>Коэффициент вариации</w:t>
            </w:r>
          </w:p>
        </w:tc>
      </w:tr>
      <w:tr w:rsidR="000139E5" w:rsidRPr="00A032E6" w14:paraId="2EF6AE01" w14:textId="77777777" w:rsidTr="00A76175">
        <w:trPr>
          <w:trHeight w:val="20"/>
        </w:trPr>
        <w:tc>
          <w:tcPr>
            <w:tcW w:w="1871" w:type="dxa"/>
            <w:vAlign w:val="center"/>
          </w:tcPr>
          <w:p w14:paraId="1B864481" w14:textId="77777777" w:rsidR="000139E5" w:rsidRPr="00A032E6" w:rsidRDefault="000139E5" w:rsidP="000139E5">
            <w:pPr>
              <w:pStyle w:val="afff8"/>
              <w:rPr>
                <w:rFonts w:eastAsiaTheme="minorEastAsia"/>
                <w:sz w:val="24"/>
              </w:rPr>
            </w:pPr>
            <w:r w:rsidRPr="00A032E6">
              <w:rPr>
                <w:rFonts w:eastAsiaTheme="minorEastAsia"/>
                <w:sz w:val="24"/>
              </w:rPr>
              <w:t>DLV</w:t>
            </w:r>
          </w:p>
        </w:tc>
        <w:tc>
          <w:tcPr>
            <w:tcW w:w="7474" w:type="dxa"/>
            <w:vAlign w:val="center"/>
          </w:tcPr>
          <w:p w14:paraId="08FEB872" w14:textId="77777777" w:rsidR="000139E5" w:rsidRPr="00A032E6" w:rsidRDefault="000139E5" w:rsidP="000139E5">
            <w:pPr>
              <w:pStyle w:val="afff8"/>
              <w:rPr>
                <w:rFonts w:eastAsiaTheme="minorEastAsia"/>
                <w:sz w:val="24"/>
              </w:rPr>
            </w:pPr>
            <w:r w:rsidRPr="00A032E6">
              <w:rPr>
                <w:rFonts w:eastAsiaTheme="minorEastAsia"/>
                <w:sz w:val="24"/>
              </w:rPr>
              <w:t>Делавирдин</w:t>
            </w:r>
          </w:p>
        </w:tc>
      </w:tr>
      <w:tr w:rsidR="000139E5" w:rsidRPr="00A032E6" w14:paraId="7BC75389" w14:textId="77777777" w:rsidTr="00A76175">
        <w:tc>
          <w:tcPr>
            <w:tcW w:w="1871" w:type="dxa"/>
            <w:vAlign w:val="center"/>
          </w:tcPr>
          <w:p w14:paraId="487E25DE" w14:textId="77777777" w:rsidR="000139E5" w:rsidRPr="00A032E6" w:rsidRDefault="000139E5" w:rsidP="000139E5">
            <w:pPr>
              <w:pStyle w:val="affb"/>
              <w:spacing w:before="0" w:after="0" w:line="240" w:lineRule="auto"/>
              <w:rPr>
                <w:rFonts w:eastAsiaTheme="minorEastAsia"/>
              </w:rPr>
            </w:pPr>
            <w:r w:rsidRPr="00A032E6">
              <w:rPr>
                <w:rFonts w:eastAsiaTheme="minorEastAsia"/>
              </w:rPr>
              <w:t>DOR</w:t>
            </w:r>
          </w:p>
        </w:tc>
        <w:tc>
          <w:tcPr>
            <w:tcW w:w="7474" w:type="dxa"/>
            <w:vAlign w:val="center"/>
          </w:tcPr>
          <w:p w14:paraId="2A7F96C2" w14:textId="77777777" w:rsidR="000139E5" w:rsidRPr="00A032E6" w:rsidRDefault="000139E5" w:rsidP="000139E5">
            <w:pPr>
              <w:pStyle w:val="affb"/>
              <w:spacing w:before="0" w:after="0" w:line="240" w:lineRule="auto"/>
              <w:rPr>
                <w:rFonts w:eastAsiaTheme="minorEastAsia"/>
              </w:rPr>
            </w:pPr>
            <w:r w:rsidRPr="00A032E6">
              <w:rPr>
                <w:rFonts w:eastAsiaTheme="minorEastAsia"/>
              </w:rPr>
              <w:t>Доравирин</w:t>
            </w:r>
          </w:p>
        </w:tc>
      </w:tr>
      <w:tr w:rsidR="000139E5" w:rsidRPr="00A032E6" w14:paraId="0E4B1949" w14:textId="77777777" w:rsidTr="00A76175">
        <w:trPr>
          <w:trHeight w:val="20"/>
        </w:trPr>
        <w:tc>
          <w:tcPr>
            <w:tcW w:w="1871" w:type="dxa"/>
            <w:vAlign w:val="center"/>
          </w:tcPr>
          <w:p w14:paraId="28DC9E6A" w14:textId="77777777" w:rsidR="000139E5" w:rsidRPr="00A032E6" w:rsidRDefault="000139E5" w:rsidP="000139E5">
            <w:pPr>
              <w:pStyle w:val="afff8"/>
              <w:rPr>
                <w:rFonts w:eastAsiaTheme="minorEastAsia"/>
                <w:sz w:val="24"/>
              </w:rPr>
            </w:pPr>
            <w:r w:rsidRPr="00A032E6">
              <w:rPr>
                <w:rFonts w:eastAsiaTheme="minorEastAsia"/>
                <w:sz w:val="24"/>
              </w:rPr>
              <w:t>DRESS</w:t>
            </w:r>
          </w:p>
        </w:tc>
        <w:tc>
          <w:tcPr>
            <w:tcW w:w="7474" w:type="dxa"/>
            <w:vAlign w:val="center"/>
          </w:tcPr>
          <w:p w14:paraId="32B614DC" w14:textId="77777777" w:rsidR="000139E5" w:rsidRPr="00A032E6" w:rsidRDefault="000139E5" w:rsidP="000139E5">
            <w:pPr>
              <w:pStyle w:val="afff8"/>
              <w:rPr>
                <w:rFonts w:eastAsiaTheme="minorEastAsia"/>
                <w:sz w:val="24"/>
              </w:rPr>
            </w:pPr>
            <w:r w:rsidRPr="00A032E6">
              <w:rPr>
                <w:rFonts w:eastAsiaTheme="minorEastAsia"/>
                <w:sz w:val="24"/>
              </w:rPr>
              <w:t>Лекарственная реакция с эозинофилией и системными проявлениями (</w:t>
            </w:r>
            <w:r w:rsidRPr="00A032E6">
              <w:rPr>
                <w:rFonts w:eastAsiaTheme="minorEastAsia"/>
                <w:i/>
                <w:iCs/>
                <w:sz w:val="24"/>
              </w:rPr>
              <w:t>Drug Reaction (or Rash) with Eosinophilia and Systemic Symptoms</w:t>
            </w:r>
            <w:r w:rsidRPr="00A032E6">
              <w:rPr>
                <w:rFonts w:eastAsiaTheme="minorEastAsia"/>
                <w:sz w:val="24"/>
              </w:rPr>
              <w:t>)</w:t>
            </w:r>
          </w:p>
        </w:tc>
      </w:tr>
      <w:tr w:rsidR="000139E5" w:rsidRPr="00A032E6" w14:paraId="7560B9F0" w14:textId="77777777" w:rsidTr="00A76175">
        <w:tc>
          <w:tcPr>
            <w:tcW w:w="1871" w:type="dxa"/>
            <w:vAlign w:val="center"/>
          </w:tcPr>
          <w:p w14:paraId="7215C56E" w14:textId="77777777" w:rsidR="000139E5" w:rsidRPr="00A032E6" w:rsidRDefault="000139E5" w:rsidP="000139E5">
            <w:pPr>
              <w:pStyle w:val="affb"/>
              <w:spacing w:before="0" w:after="0" w:line="240" w:lineRule="auto"/>
              <w:rPr>
                <w:rFonts w:eastAsiaTheme="minorEastAsia"/>
              </w:rPr>
            </w:pPr>
            <w:r w:rsidRPr="00A032E6">
              <w:rPr>
                <w:rFonts w:eastAsiaTheme="minorEastAsia"/>
              </w:rPr>
              <w:t>DRV</w:t>
            </w:r>
          </w:p>
        </w:tc>
        <w:tc>
          <w:tcPr>
            <w:tcW w:w="7474" w:type="dxa"/>
            <w:vAlign w:val="center"/>
          </w:tcPr>
          <w:p w14:paraId="48440AD7"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 xml:space="preserve">Дарунавир </w:t>
            </w:r>
          </w:p>
        </w:tc>
      </w:tr>
      <w:tr w:rsidR="000139E5" w:rsidRPr="00A032E6" w14:paraId="5DFA9F4A" w14:textId="77777777" w:rsidTr="00A76175">
        <w:tc>
          <w:tcPr>
            <w:tcW w:w="1871" w:type="dxa"/>
            <w:vAlign w:val="center"/>
          </w:tcPr>
          <w:p w14:paraId="1ACA123E" w14:textId="77777777" w:rsidR="000139E5" w:rsidRPr="00A032E6" w:rsidRDefault="000139E5" w:rsidP="000139E5">
            <w:pPr>
              <w:pStyle w:val="affb"/>
              <w:spacing w:before="0" w:after="0" w:line="240" w:lineRule="auto"/>
              <w:rPr>
                <w:rFonts w:eastAsiaTheme="minorEastAsia"/>
              </w:rPr>
            </w:pPr>
            <w:r w:rsidRPr="00A032E6">
              <w:t xml:space="preserve">DRV/r </w:t>
            </w:r>
          </w:p>
        </w:tc>
        <w:tc>
          <w:tcPr>
            <w:tcW w:w="7474" w:type="dxa"/>
            <w:vAlign w:val="center"/>
          </w:tcPr>
          <w:p w14:paraId="552A9749" w14:textId="77777777" w:rsidR="000139E5" w:rsidRPr="00A032E6" w:rsidRDefault="000139E5" w:rsidP="000139E5">
            <w:pPr>
              <w:pStyle w:val="affb"/>
              <w:spacing w:before="0" w:after="0" w:line="240" w:lineRule="auto"/>
              <w:rPr>
                <w:rFonts w:eastAsiaTheme="minorEastAsia"/>
              </w:rPr>
            </w:pPr>
            <w:r w:rsidRPr="00A032E6">
              <w:t>Дарунавир, бустированный ритонавиром</w:t>
            </w:r>
          </w:p>
        </w:tc>
      </w:tr>
      <w:tr w:rsidR="000139E5" w:rsidRPr="00A032E6" w14:paraId="0CF0F5FA" w14:textId="77777777" w:rsidTr="00A76175">
        <w:tc>
          <w:tcPr>
            <w:tcW w:w="1871" w:type="dxa"/>
            <w:vAlign w:val="center"/>
          </w:tcPr>
          <w:p w14:paraId="72BDB691"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DTG</w:t>
            </w:r>
          </w:p>
        </w:tc>
        <w:tc>
          <w:tcPr>
            <w:tcW w:w="7474" w:type="dxa"/>
            <w:vAlign w:val="center"/>
          </w:tcPr>
          <w:p w14:paraId="7311CCF6"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Долутегравир</w:t>
            </w:r>
          </w:p>
        </w:tc>
      </w:tr>
      <w:tr w:rsidR="000139E5" w:rsidRPr="00A032E6" w14:paraId="35298B9C" w14:textId="77777777" w:rsidTr="00A76175">
        <w:trPr>
          <w:trHeight w:val="20"/>
        </w:trPr>
        <w:tc>
          <w:tcPr>
            <w:tcW w:w="1871" w:type="dxa"/>
            <w:vAlign w:val="center"/>
          </w:tcPr>
          <w:p w14:paraId="13192DFF" w14:textId="77777777" w:rsidR="000139E5" w:rsidRPr="00A032E6" w:rsidRDefault="000139E5" w:rsidP="000139E5">
            <w:pPr>
              <w:pStyle w:val="afff8"/>
              <w:rPr>
                <w:rFonts w:eastAsiaTheme="minorEastAsia"/>
                <w:sz w:val="24"/>
              </w:rPr>
            </w:pPr>
            <w:r w:rsidRPr="00A032E6">
              <w:rPr>
                <w:rFonts w:eastAsiaTheme="minorEastAsia"/>
                <w:sz w:val="24"/>
              </w:rPr>
              <w:t>EACS</w:t>
            </w:r>
          </w:p>
        </w:tc>
        <w:tc>
          <w:tcPr>
            <w:tcW w:w="7474" w:type="dxa"/>
            <w:vAlign w:val="center"/>
          </w:tcPr>
          <w:p w14:paraId="48064FA0" w14:textId="77777777" w:rsidR="000139E5" w:rsidRPr="00A032E6" w:rsidRDefault="000139E5" w:rsidP="000139E5">
            <w:pPr>
              <w:pStyle w:val="afff8"/>
              <w:rPr>
                <w:rFonts w:eastAsiaTheme="minorEastAsia"/>
                <w:sz w:val="24"/>
              </w:rPr>
            </w:pPr>
            <w:r w:rsidRPr="00A032E6">
              <w:rPr>
                <w:rFonts w:eastAsiaTheme="minorEastAsia"/>
                <w:sz w:val="24"/>
              </w:rPr>
              <w:t>Европейское клиническое общество СПИДа (</w:t>
            </w:r>
            <w:r w:rsidRPr="00A032E6">
              <w:rPr>
                <w:rFonts w:eastAsiaTheme="minorEastAsia"/>
                <w:i/>
                <w:iCs/>
                <w:sz w:val="24"/>
              </w:rPr>
              <w:t>European AIDS Clinical Society</w:t>
            </w:r>
            <w:r w:rsidRPr="00A032E6">
              <w:rPr>
                <w:rFonts w:eastAsiaTheme="minorEastAsia"/>
                <w:sz w:val="24"/>
              </w:rPr>
              <w:t>)</w:t>
            </w:r>
          </w:p>
        </w:tc>
      </w:tr>
      <w:tr w:rsidR="000139E5" w:rsidRPr="00A032E6" w14:paraId="6F7E42FE" w14:textId="77777777" w:rsidTr="00A76175">
        <w:trPr>
          <w:trHeight w:val="20"/>
        </w:trPr>
        <w:tc>
          <w:tcPr>
            <w:tcW w:w="1871" w:type="dxa"/>
            <w:vAlign w:val="center"/>
          </w:tcPr>
          <w:p w14:paraId="15DDBB63" w14:textId="77777777" w:rsidR="000139E5" w:rsidRPr="00A032E6" w:rsidRDefault="000139E5" w:rsidP="000139E5">
            <w:pPr>
              <w:pStyle w:val="afff8"/>
              <w:rPr>
                <w:rFonts w:eastAsiaTheme="minorEastAsia"/>
                <w:sz w:val="24"/>
              </w:rPr>
            </w:pPr>
            <w:r w:rsidRPr="00A032E6">
              <w:rPr>
                <w:rFonts w:eastAsiaTheme="minorEastAsia"/>
                <w:sz w:val="24"/>
              </w:rPr>
              <w:t>EC</w:t>
            </w:r>
            <w:r w:rsidRPr="00A032E6">
              <w:rPr>
                <w:rFonts w:eastAsiaTheme="minorEastAsia"/>
                <w:sz w:val="24"/>
                <w:vertAlign w:val="subscript"/>
              </w:rPr>
              <w:t>50</w:t>
            </w:r>
          </w:p>
        </w:tc>
        <w:tc>
          <w:tcPr>
            <w:tcW w:w="7474" w:type="dxa"/>
            <w:vAlign w:val="center"/>
          </w:tcPr>
          <w:p w14:paraId="766A8507" w14:textId="77777777" w:rsidR="000139E5" w:rsidRPr="00A032E6" w:rsidRDefault="000139E5" w:rsidP="000139E5">
            <w:pPr>
              <w:pStyle w:val="afff8"/>
              <w:rPr>
                <w:rFonts w:eastAsiaTheme="minorEastAsia"/>
                <w:sz w:val="24"/>
              </w:rPr>
            </w:pPr>
            <w:r w:rsidRPr="00A032E6">
              <w:rPr>
                <w:rFonts w:eastAsiaTheme="minorEastAsia"/>
                <w:sz w:val="24"/>
              </w:rPr>
              <w:t>Средняя эффективная концентрация</w:t>
            </w:r>
          </w:p>
        </w:tc>
      </w:tr>
      <w:tr w:rsidR="000139E5" w:rsidRPr="00A032E6" w14:paraId="38732399" w14:textId="77777777" w:rsidTr="00A76175">
        <w:trPr>
          <w:trHeight w:val="20"/>
        </w:trPr>
        <w:tc>
          <w:tcPr>
            <w:tcW w:w="1871" w:type="dxa"/>
            <w:vAlign w:val="center"/>
          </w:tcPr>
          <w:p w14:paraId="59DD0860" w14:textId="77777777" w:rsidR="000139E5" w:rsidRPr="00A032E6" w:rsidRDefault="000139E5" w:rsidP="000139E5">
            <w:pPr>
              <w:pStyle w:val="afff8"/>
              <w:rPr>
                <w:rFonts w:eastAsiaTheme="minorEastAsia"/>
                <w:sz w:val="24"/>
              </w:rPr>
            </w:pPr>
            <w:r w:rsidRPr="00A032E6">
              <w:rPr>
                <w:rFonts w:eastAsiaTheme="minorEastAsia"/>
                <w:sz w:val="24"/>
              </w:rPr>
              <w:t>EFV</w:t>
            </w:r>
          </w:p>
        </w:tc>
        <w:tc>
          <w:tcPr>
            <w:tcW w:w="7474" w:type="dxa"/>
            <w:vAlign w:val="center"/>
          </w:tcPr>
          <w:p w14:paraId="0F973FB1" w14:textId="77777777" w:rsidR="000139E5" w:rsidRPr="00A032E6" w:rsidRDefault="000139E5" w:rsidP="000139E5">
            <w:pPr>
              <w:pStyle w:val="afff8"/>
              <w:rPr>
                <w:rFonts w:eastAsiaTheme="minorEastAsia"/>
                <w:sz w:val="24"/>
              </w:rPr>
            </w:pPr>
            <w:r w:rsidRPr="00A032E6">
              <w:rPr>
                <w:rFonts w:eastAsiaTheme="minorEastAsia"/>
                <w:sz w:val="24"/>
              </w:rPr>
              <w:t>Эфавиренз</w:t>
            </w:r>
          </w:p>
        </w:tc>
      </w:tr>
      <w:tr w:rsidR="000139E5" w:rsidRPr="00A032E6" w14:paraId="170DC5F1" w14:textId="77777777" w:rsidTr="00A76175">
        <w:trPr>
          <w:trHeight w:val="20"/>
        </w:trPr>
        <w:tc>
          <w:tcPr>
            <w:tcW w:w="1871" w:type="dxa"/>
            <w:vAlign w:val="center"/>
          </w:tcPr>
          <w:p w14:paraId="34296432" w14:textId="77777777" w:rsidR="000139E5" w:rsidRPr="00A032E6" w:rsidRDefault="000139E5" w:rsidP="000139E5">
            <w:pPr>
              <w:pStyle w:val="afff8"/>
              <w:rPr>
                <w:rFonts w:eastAsiaTheme="minorEastAsia"/>
                <w:sz w:val="24"/>
              </w:rPr>
            </w:pPr>
            <w:r w:rsidRPr="00A032E6">
              <w:rPr>
                <w:rFonts w:eastAsiaTheme="minorEastAsia"/>
                <w:sz w:val="24"/>
              </w:rPr>
              <w:t>EMA</w:t>
            </w:r>
          </w:p>
        </w:tc>
        <w:tc>
          <w:tcPr>
            <w:tcW w:w="7474" w:type="dxa"/>
            <w:vAlign w:val="center"/>
          </w:tcPr>
          <w:p w14:paraId="32F5B42C" w14:textId="77777777" w:rsidR="000139E5" w:rsidRPr="00A032E6" w:rsidRDefault="000139E5" w:rsidP="000139E5">
            <w:pPr>
              <w:pStyle w:val="afff8"/>
              <w:rPr>
                <w:rFonts w:eastAsiaTheme="minorEastAsia"/>
                <w:sz w:val="24"/>
              </w:rPr>
            </w:pPr>
            <w:r w:rsidRPr="00A032E6">
              <w:rPr>
                <w:rFonts w:eastAsiaTheme="minorEastAsia"/>
                <w:sz w:val="24"/>
              </w:rPr>
              <w:t>Европейское агентство по лекарственным средствам</w:t>
            </w:r>
          </w:p>
        </w:tc>
      </w:tr>
      <w:tr w:rsidR="000139E5" w:rsidRPr="00A032E6" w14:paraId="7E35D5BB" w14:textId="77777777" w:rsidTr="00A76175">
        <w:trPr>
          <w:trHeight w:val="20"/>
        </w:trPr>
        <w:tc>
          <w:tcPr>
            <w:tcW w:w="1871" w:type="dxa"/>
            <w:vAlign w:val="center"/>
          </w:tcPr>
          <w:p w14:paraId="066F6CBF" w14:textId="77777777" w:rsidR="000139E5" w:rsidRPr="00A032E6" w:rsidRDefault="000139E5" w:rsidP="000139E5">
            <w:pPr>
              <w:pStyle w:val="afff8"/>
              <w:rPr>
                <w:rFonts w:eastAsiaTheme="minorEastAsia"/>
                <w:sz w:val="24"/>
                <w:lang w:val="en-US"/>
              </w:rPr>
            </w:pPr>
            <w:r w:rsidRPr="00A032E6">
              <w:rPr>
                <w:rFonts w:eastAsiaTheme="minorEastAsia"/>
                <w:sz w:val="24"/>
                <w:lang w:val="en-US"/>
              </w:rPr>
              <w:t>ETR</w:t>
            </w:r>
          </w:p>
        </w:tc>
        <w:tc>
          <w:tcPr>
            <w:tcW w:w="7474" w:type="dxa"/>
            <w:vAlign w:val="center"/>
          </w:tcPr>
          <w:p w14:paraId="7BAB85B8" w14:textId="77777777" w:rsidR="000139E5" w:rsidRPr="00A032E6" w:rsidRDefault="000139E5" w:rsidP="000139E5">
            <w:pPr>
              <w:pStyle w:val="afff8"/>
              <w:rPr>
                <w:rFonts w:eastAsiaTheme="minorEastAsia"/>
                <w:sz w:val="24"/>
              </w:rPr>
            </w:pPr>
            <w:r w:rsidRPr="00A032E6">
              <w:rPr>
                <w:rFonts w:eastAsiaTheme="minorEastAsia"/>
                <w:sz w:val="24"/>
              </w:rPr>
              <w:t>Этравирин</w:t>
            </w:r>
          </w:p>
        </w:tc>
      </w:tr>
      <w:tr w:rsidR="000139E5" w:rsidRPr="00A032E6" w14:paraId="775B190C" w14:textId="77777777" w:rsidTr="00A76175">
        <w:tc>
          <w:tcPr>
            <w:tcW w:w="1871" w:type="dxa"/>
            <w:vAlign w:val="center"/>
          </w:tcPr>
          <w:p w14:paraId="72556ABB"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EVG</w:t>
            </w:r>
          </w:p>
        </w:tc>
        <w:tc>
          <w:tcPr>
            <w:tcW w:w="7474" w:type="dxa"/>
            <w:vAlign w:val="center"/>
          </w:tcPr>
          <w:p w14:paraId="51EC7541"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Э</w:t>
            </w:r>
            <w:r w:rsidRPr="00A032E6">
              <w:rPr>
                <w:rFonts w:eastAsiaTheme="minorEastAsia"/>
                <w:lang w:val="en-US"/>
              </w:rPr>
              <w:t>лвитегравир</w:t>
            </w:r>
            <w:r w:rsidRPr="00A032E6">
              <w:rPr>
                <w:rFonts w:eastAsiaTheme="minorEastAsia"/>
              </w:rPr>
              <w:t xml:space="preserve"> </w:t>
            </w:r>
          </w:p>
        </w:tc>
      </w:tr>
      <w:tr w:rsidR="000139E5" w:rsidRPr="00A032E6" w14:paraId="0813974F" w14:textId="77777777" w:rsidTr="00A76175">
        <w:tc>
          <w:tcPr>
            <w:tcW w:w="1871" w:type="dxa"/>
            <w:vAlign w:val="center"/>
          </w:tcPr>
          <w:p w14:paraId="7CDCEAC6" w14:textId="77777777" w:rsidR="000139E5" w:rsidRPr="00A032E6" w:rsidRDefault="000139E5" w:rsidP="000139E5">
            <w:pPr>
              <w:pStyle w:val="affb"/>
              <w:spacing w:before="0" w:after="0" w:line="240" w:lineRule="auto"/>
              <w:rPr>
                <w:rFonts w:eastAsiaTheme="minorEastAsia"/>
                <w:lang w:val="en-US"/>
              </w:rPr>
            </w:pPr>
            <w:r w:rsidRPr="00A032E6">
              <w:t>EVG/c</w:t>
            </w:r>
          </w:p>
        </w:tc>
        <w:tc>
          <w:tcPr>
            <w:tcW w:w="7474" w:type="dxa"/>
            <w:vAlign w:val="center"/>
          </w:tcPr>
          <w:p w14:paraId="4227B33A" w14:textId="77777777" w:rsidR="000139E5" w:rsidRPr="00A032E6" w:rsidRDefault="000139E5" w:rsidP="000139E5">
            <w:pPr>
              <w:pStyle w:val="affb"/>
              <w:spacing w:before="0" w:after="0" w:line="240" w:lineRule="auto"/>
              <w:rPr>
                <w:rFonts w:eastAsiaTheme="minorEastAsia"/>
              </w:rPr>
            </w:pPr>
            <w:r w:rsidRPr="00A032E6">
              <w:t xml:space="preserve">Элвитегравир бустированный кобицистатом  </w:t>
            </w:r>
          </w:p>
        </w:tc>
      </w:tr>
      <w:tr w:rsidR="009C450D" w:rsidRPr="00A032E6" w14:paraId="765386BB" w14:textId="77777777" w:rsidTr="00A76175">
        <w:tc>
          <w:tcPr>
            <w:tcW w:w="1871" w:type="dxa"/>
            <w:vAlign w:val="center"/>
          </w:tcPr>
          <w:p w14:paraId="078FBEC1" w14:textId="0B6880EF" w:rsidR="009C450D" w:rsidRPr="00A97B7A" w:rsidRDefault="009C450D" w:rsidP="000139E5">
            <w:pPr>
              <w:pStyle w:val="affb"/>
              <w:spacing w:before="0" w:after="0" w:line="240" w:lineRule="auto"/>
              <w:rPr>
                <w:lang w:val="en-US"/>
              </w:rPr>
            </w:pPr>
            <w:r>
              <w:rPr>
                <w:lang w:val="en-US"/>
              </w:rPr>
              <w:t>GLP</w:t>
            </w:r>
          </w:p>
        </w:tc>
        <w:tc>
          <w:tcPr>
            <w:tcW w:w="7474" w:type="dxa"/>
            <w:vAlign w:val="center"/>
          </w:tcPr>
          <w:p w14:paraId="30959A77" w14:textId="3920D1EF" w:rsidR="009C450D" w:rsidRPr="009C450D" w:rsidRDefault="009C450D" w:rsidP="000139E5">
            <w:pPr>
              <w:pStyle w:val="affb"/>
              <w:spacing w:before="0" w:after="0" w:line="240" w:lineRule="auto"/>
            </w:pPr>
            <w:r>
              <w:rPr>
                <w:lang w:val="en-US"/>
              </w:rPr>
              <w:t>Good</w:t>
            </w:r>
            <w:r w:rsidRPr="00A97B7A">
              <w:t xml:space="preserve"> </w:t>
            </w:r>
            <w:r>
              <w:rPr>
                <w:lang w:val="en-US"/>
              </w:rPr>
              <w:t>laboratory</w:t>
            </w:r>
            <w:r w:rsidRPr="00A97B7A">
              <w:t xml:space="preserve"> </w:t>
            </w:r>
            <w:r>
              <w:rPr>
                <w:lang w:val="en-US"/>
              </w:rPr>
              <w:t>practice</w:t>
            </w:r>
            <w:r w:rsidRPr="00A97B7A">
              <w:t xml:space="preserve">, </w:t>
            </w:r>
            <w:r>
              <w:t>надлежащая лабораторная практика</w:t>
            </w:r>
          </w:p>
        </w:tc>
      </w:tr>
      <w:tr w:rsidR="00086C50" w:rsidRPr="00A032E6" w14:paraId="27E32E60" w14:textId="77777777" w:rsidTr="00A76175">
        <w:trPr>
          <w:trHeight w:val="20"/>
        </w:trPr>
        <w:tc>
          <w:tcPr>
            <w:tcW w:w="1871" w:type="dxa"/>
            <w:vAlign w:val="center"/>
          </w:tcPr>
          <w:p w14:paraId="184D29A5" w14:textId="1BCAF8F5" w:rsidR="00086C50" w:rsidRPr="00086C50" w:rsidRDefault="00086C50" w:rsidP="00086C50">
            <w:pPr>
              <w:pStyle w:val="afff8"/>
              <w:rPr>
                <w:rFonts w:eastAsiaTheme="minorEastAsia"/>
                <w:sz w:val="24"/>
                <w:lang w:val="en-US"/>
              </w:rPr>
            </w:pPr>
            <w:r w:rsidRPr="00086C50">
              <w:rPr>
                <w:rFonts w:eastAsiaTheme="minorEastAsia"/>
                <w:color w:val="000000" w:themeColor="text1"/>
                <w:sz w:val="24"/>
              </w:rPr>
              <w:t>GlyT1</w:t>
            </w:r>
          </w:p>
        </w:tc>
        <w:tc>
          <w:tcPr>
            <w:tcW w:w="7474" w:type="dxa"/>
            <w:vAlign w:val="center"/>
          </w:tcPr>
          <w:p w14:paraId="63434CB9" w14:textId="54BD9F07" w:rsidR="00086C50" w:rsidRPr="00086C50" w:rsidRDefault="00086C50" w:rsidP="00086C50">
            <w:pPr>
              <w:pStyle w:val="afff8"/>
              <w:rPr>
                <w:rFonts w:eastAsiaTheme="minorEastAsia"/>
                <w:sz w:val="24"/>
              </w:rPr>
            </w:pPr>
            <w:r w:rsidRPr="00086C50">
              <w:rPr>
                <w:rFonts w:eastAsiaTheme="minorEastAsia"/>
                <w:color w:val="000000" w:themeColor="text1"/>
                <w:sz w:val="24"/>
              </w:rPr>
              <w:t>Глицин-1 переносчик</w:t>
            </w:r>
          </w:p>
        </w:tc>
      </w:tr>
      <w:tr w:rsidR="00144DAC" w:rsidRPr="00A032E6" w14:paraId="729F0659" w14:textId="77777777" w:rsidTr="00A76175">
        <w:trPr>
          <w:trHeight w:val="20"/>
        </w:trPr>
        <w:tc>
          <w:tcPr>
            <w:tcW w:w="1871" w:type="dxa"/>
            <w:vAlign w:val="center"/>
          </w:tcPr>
          <w:p w14:paraId="1ACCC0E6" w14:textId="6F366F36" w:rsidR="00144DAC" w:rsidRPr="00144DAC" w:rsidRDefault="00144DAC" w:rsidP="00144DAC">
            <w:pPr>
              <w:pStyle w:val="afff8"/>
              <w:rPr>
                <w:rFonts w:eastAsiaTheme="minorEastAsia"/>
                <w:sz w:val="24"/>
                <w:lang w:val="en-US"/>
              </w:rPr>
            </w:pPr>
            <w:r w:rsidRPr="00144DAC">
              <w:rPr>
                <w:color w:val="000000" w:themeColor="text1"/>
                <w:sz w:val="24"/>
                <w:lang w:val="en-US"/>
              </w:rPr>
              <w:t>hERG</w:t>
            </w:r>
          </w:p>
        </w:tc>
        <w:tc>
          <w:tcPr>
            <w:tcW w:w="7474" w:type="dxa"/>
            <w:vAlign w:val="center"/>
          </w:tcPr>
          <w:p w14:paraId="3C10FBF7" w14:textId="16554CED" w:rsidR="00144DAC" w:rsidRPr="00144DAC" w:rsidRDefault="00144DAC" w:rsidP="00144DAC">
            <w:pPr>
              <w:pStyle w:val="afff8"/>
              <w:rPr>
                <w:rFonts w:eastAsiaTheme="minorEastAsia"/>
                <w:sz w:val="24"/>
              </w:rPr>
            </w:pPr>
            <w:r w:rsidRPr="00144DAC">
              <w:rPr>
                <w:color w:val="000000" w:themeColor="text1"/>
                <w:sz w:val="24"/>
              </w:rPr>
              <w:t>Ген специфических калиевых каналов сердца</w:t>
            </w:r>
          </w:p>
        </w:tc>
      </w:tr>
      <w:tr w:rsidR="00144DAC" w:rsidRPr="00A032E6" w14:paraId="0B01364F" w14:textId="77777777" w:rsidTr="00A76175">
        <w:trPr>
          <w:trHeight w:val="20"/>
        </w:trPr>
        <w:tc>
          <w:tcPr>
            <w:tcW w:w="1871" w:type="dxa"/>
            <w:vAlign w:val="center"/>
          </w:tcPr>
          <w:p w14:paraId="074E22AF" w14:textId="6174DF8F" w:rsidR="00144DAC" w:rsidRPr="00144DAC" w:rsidRDefault="00144DAC" w:rsidP="00144DAC">
            <w:pPr>
              <w:pStyle w:val="afff8"/>
              <w:rPr>
                <w:rFonts w:eastAsiaTheme="minorEastAsia"/>
                <w:sz w:val="24"/>
                <w:lang w:val="en-US"/>
              </w:rPr>
            </w:pPr>
            <w:r w:rsidRPr="00144DAC">
              <w:rPr>
                <w:color w:val="000000" w:themeColor="text1"/>
                <w:sz w:val="24"/>
                <w:lang w:val="en-US"/>
              </w:rPr>
              <w:t>HPI</w:t>
            </w:r>
          </w:p>
        </w:tc>
        <w:tc>
          <w:tcPr>
            <w:tcW w:w="7474" w:type="dxa"/>
            <w:vAlign w:val="center"/>
          </w:tcPr>
          <w:p w14:paraId="5B955596" w14:textId="5BB16B61" w:rsidR="00144DAC" w:rsidRPr="00144DAC" w:rsidRDefault="00144DAC" w:rsidP="00144DAC">
            <w:pPr>
              <w:pStyle w:val="afff8"/>
              <w:rPr>
                <w:rFonts w:eastAsiaTheme="minorEastAsia"/>
                <w:sz w:val="24"/>
              </w:rPr>
            </w:pPr>
            <w:r w:rsidRPr="00144DAC">
              <w:rPr>
                <w:color w:val="000000" w:themeColor="text1"/>
                <w:sz w:val="24"/>
              </w:rPr>
              <w:t>Йодид пропидия в сочетании с Hoe</w:t>
            </w:r>
            <w:r w:rsidRPr="00144DAC">
              <w:rPr>
                <w:color w:val="000000" w:themeColor="text1"/>
                <w:sz w:val="24"/>
                <w:lang w:val="en-US"/>
              </w:rPr>
              <w:t>s</w:t>
            </w:r>
            <w:r w:rsidRPr="00144DAC">
              <w:rPr>
                <w:color w:val="000000" w:themeColor="text1"/>
                <w:sz w:val="24"/>
              </w:rPr>
              <w:t>cht (краситель, который применяется для определения клеток на стадии раннего и позднего апоптоза, некротизированных клеток)</w:t>
            </w:r>
          </w:p>
        </w:tc>
      </w:tr>
      <w:tr w:rsidR="000139E5" w:rsidRPr="00A032E6" w14:paraId="650EABD3" w14:textId="77777777" w:rsidTr="00A76175">
        <w:trPr>
          <w:trHeight w:val="20"/>
        </w:trPr>
        <w:tc>
          <w:tcPr>
            <w:tcW w:w="1871" w:type="dxa"/>
            <w:vAlign w:val="center"/>
          </w:tcPr>
          <w:p w14:paraId="72A06001" w14:textId="77777777" w:rsidR="000139E5" w:rsidRPr="00A032E6" w:rsidRDefault="000139E5" w:rsidP="000139E5">
            <w:pPr>
              <w:pStyle w:val="afff8"/>
              <w:rPr>
                <w:rFonts w:eastAsiaTheme="minorEastAsia"/>
                <w:sz w:val="24"/>
                <w:lang w:val="en-US"/>
              </w:rPr>
            </w:pPr>
            <w:r w:rsidRPr="00A032E6">
              <w:rPr>
                <w:rFonts w:eastAsiaTheme="minorEastAsia"/>
                <w:sz w:val="24"/>
                <w:lang w:val="en-US"/>
              </w:rPr>
              <w:t>F</w:t>
            </w:r>
          </w:p>
        </w:tc>
        <w:tc>
          <w:tcPr>
            <w:tcW w:w="7474" w:type="dxa"/>
            <w:vAlign w:val="center"/>
          </w:tcPr>
          <w:p w14:paraId="0D8FE9F2" w14:textId="77777777" w:rsidR="000139E5" w:rsidRPr="00A032E6" w:rsidRDefault="000139E5" w:rsidP="000139E5">
            <w:pPr>
              <w:pStyle w:val="afff8"/>
              <w:rPr>
                <w:rFonts w:eastAsiaTheme="minorEastAsia"/>
                <w:sz w:val="24"/>
              </w:rPr>
            </w:pPr>
            <w:r w:rsidRPr="00A032E6">
              <w:rPr>
                <w:rFonts w:eastAsiaTheme="minorEastAsia"/>
                <w:sz w:val="24"/>
              </w:rPr>
              <w:t>Биодоступность</w:t>
            </w:r>
          </w:p>
        </w:tc>
      </w:tr>
      <w:tr w:rsidR="000139E5" w:rsidRPr="00A032E6" w14:paraId="7778F365" w14:textId="77777777" w:rsidTr="00A76175">
        <w:trPr>
          <w:trHeight w:val="20"/>
        </w:trPr>
        <w:tc>
          <w:tcPr>
            <w:tcW w:w="1871" w:type="dxa"/>
            <w:vAlign w:val="center"/>
          </w:tcPr>
          <w:p w14:paraId="7EE29F5B" w14:textId="77777777" w:rsidR="000139E5" w:rsidRPr="00A032E6" w:rsidRDefault="000139E5" w:rsidP="000139E5">
            <w:pPr>
              <w:pStyle w:val="afff8"/>
              <w:rPr>
                <w:rFonts w:eastAsiaTheme="minorEastAsia"/>
                <w:sz w:val="24"/>
                <w:lang w:val="en-US"/>
              </w:rPr>
            </w:pPr>
            <w:r w:rsidRPr="00A032E6">
              <w:rPr>
                <w:rFonts w:eastAsiaTheme="minorEastAsia"/>
                <w:sz w:val="24"/>
                <w:lang w:val="en-US"/>
              </w:rPr>
              <w:t>FDA</w:t>
            </w:r>
          </w:p>
        </w:tc>
        <w:tc>
          <w:tcPr>
            <w:tcW w:w="7474" w:type="dxa"/>
            <w:vAlign w:val="center"/>
          </w:tcPr>
          <w:p w14:paraId="570860DD" w14:textId="77777777" w:rsidR="000139E5" w:rsidRPr="00A032E6" w:rsidRDefault="000139E5" w:rsidP="000139E5">
            <w:pPr>
              <w:pStyle w:val="afff8"/>
              <w:rPr>
                <w:rFonts w:eastAsiaTheme="minorEastAsia"/>
                <w:sz w:val="24"/>
              </w:rPr>
            </w:pPr>
            <w:r w:rsidRPr="00A032E6">
              <w:rPr>
                <w:rFonts w:eastAsiaTheme="minorEastAsia"/>
                <w:sz w:val="24"/>
              </w:rPr>
              <w:t>Управление по контролю за качеством пищевых продуктов и лекарственных средств США</w:t>
            </w:r>
          </w:p>
        </w:tc>
      </w:tr>
      <w:tr w:rsidR="000139E5" w:rsidRPr="00A032E6" w14:paraId="674A3DD9" w14:textId="77777777" w:rsidTr="00A76175">
        <w:tc>
          <w:tcPr>
            <w:tcW w:w="1871" w:type="dxa"/>
            <w:vAlign w:val="center"/>
          </w:tcPr>
          <w:p w14:paraId="761E6638"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FTC</w:t>
            </w:r>
          </w:p>
        </w:tc>
        <w:tc>
          <w:tcPr>
            <w:tcW w:w="7474" w:type="dxa"/>
            <w:vAlign w:val="center"/>
          </w:tcPr>
          <w:p w14:paraId="07446E5B"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Э</w:t>
            </w:r>
            <w:r w:rsidRPr="00A032E6">
              <w:rPr>
                <w:rFonts w:eastAsiaTheme="minorEastAsia"/>
                <w:lang w:val="en-US"/>
              </w:rPr>
              <w:t>мтрицитабин</w:t>
            </w:r>
          </w:p>
        </w:tc>
      </w:tr>
      <w:tr w:rsidR="000139E5" w:rsidRPr="00A032E6" w14:paraId="60E95A88" w14:textId="77777777" w:rsidTr="00A76175">
        <w:trPr>
          <w:trHeight w:val="20"/>
        </w:trPr>
        <w:tc>
          <w:tcPr>
            <w:tcW w:w="1871" w:type="dxa"/>
            <w:vAlign w:val="center"/>
          </w:tcPr>
          <w:p w14:paraId="26338ECB" w14:textId="77777777" w:rsidR="000139E5" w:rsidRPr="00A032E6" w:rsidRDefault="000139E5" w:rsidP="000139E5">
            <w:pPr>
              <w:pStyle w:val="afff8"/>
              <w:rPr>
                <w:rFonts w:eastAsiaTheme="minorEastAsia"/>
                <w:sz w:val="24"/>
              </w:rPr>
            </w:pPr>
            <w:r w:rsidRPr="00A032E6">
              <w:rPr>
                <w:rFonts w:eastAsiaTheme="minorEastAsia"/>
                <w:sz w:val="24"/>
              </w:rPr>
              <w:t>IC</w:t>
            </w:r>
            <w:r w:rsidRPr="00A032E6">
              <w:rPr>
                <w:rFonts w:eastAsiaTheme="minorEastAsia"/>
                <w:sz w:val="24"/>
                <w:vertAlign w:val="subscript"/>
              </w:rPr>
              <w:t>50</w:t>
            </w:r>
          </w:p>
        </w:tc>
        <w:tc>
          <w:tcPr>
            <w:tcW w:w="7474" w:type="dxa"/>
            <w:vAlign w:val="center"/>
          </w:tcPr>
          <w:p w14:paraId="22F9B6DF" w14:textId="77777777" w:rsidR="000139E5" w:rsidRPr="00A032E6" w:rsidRDefault="000139E5" w:rsidP="000139E5">
            <w:pPr>
              <w:pStyle w:val="afff8"/>
              <w:rPr>
                <w:rFonts w:eastAsiaTheme="minorEastAsia"/>
                <w:sz w:val="24"/>
              </w:rPr>
            </w:pPr>
            <w:r w:rsidRPr="00A032E6">
              <w:rPr>
                <w:rFonts w:eastAsiaTheme="minorEastAsia"/>
                <w:sz w:val="24"/>
              </w:rPr>
              <w:t xml:space="preserve">Концентрации полумаксимального ингибирования </w:t>
            </w:r>
          </w:p>
        </w:tc>
      </w:tr>
      <w:tr w:rsidR="000139E5" w:rsidRPr="00A032E6" w14:paraId="538DB380" w14:textId="77777777" w:rsidTr="00A76175">
        <w:trPr>
          <w:trHeight w:val="20"/>
        </w:trPr>
        <w:tc>
          <w:tcPr>
            <w:tcW w:w="1871" w:type="dxa"/>
            <w:vAlign w:val="center"/>
          </w:tcPr>
          <w:p w14:paraId="73430538" w14:textId="77777777" w:rsidR="000139E5" w:rsidRPr="00A032E6" w:rsidRDefault="000139E5" w:rsidP="000139E5">
            <w:pPr>
              <w:pStyle w:val="afff8"/>
              <w:rPr>
                <w:rFonts w:eastAsiaTheme="minorEastAsia"/>
                <w:sz w:val="24"/>
              </w:rPr>
            </w:pPr>
            <w:r w:rsidRPr="00A032E6">
              <w:rPr>
                <w:rFonts w:eastAsiaTheme="minorEastAsia"/>
                <w:sz w:val="24"/>
              </w:rPr>
              <w:t>ICH</w:t>
            </w:r>
          </w:p>
        </w:tc>
        <w:tc>
          <w:tcPr>
            <w:tcW w:w="7474" w:type="dxa"/>
            <w:vAlign w:val="center"/>
          </w:tcPr>
          <w:p w14:paraId="6D2C322C" w14:textId="2F62E617" w:rsidR="000139E5" w:rsidRPr="00A032E6" w:rsidRDefault="000139E5" w:rsidP="000139E5">
            <w:pPr>
              <w:pStyle w:val="afff8"/>
              <w:rPr>
                <w:rFonts w:eastAsiaTheme="minorEastAsia"/>
                <w:sz w:val="24"/>
              </w:rPr>
            </w:pPr>
            <w:r w:rsidRPr="00A032E6">
              <w:rPr>
                <w:rFonts w:eastAsiaTheme="minorEastAsia"/>
                <w:sz w:val="24"/>
              </w:rPr>
              <w:t>Международн</w:t>
            </w:r>
            <w:r w:rsidR="006655C5">
              <w:rPr>
                <w:rFonts w:eastAsiaTheme="minorEastAsia"/>
                <w:sz w:val="24"/>
              </w:rPr>
              <w:t>ый Совет</w:t>
            </w:r>
            <w:r w:rsidRPr="00A032E6">
              <w:rPr>
                <w:rFonts w:eastAsiaTheme="minorEastAsia"/>
                <w:sz w:val="24"/>
              </w:rPr>
              <w:t xml:space="preserve"> по гармонизации GCP (Надлежащей клинической практики)</w:t>
            </w:r>
          </w:p>
        </w:tc>
      </w:tr>
      <w:tr w:rsidR="000139E5" w:rsidRPr="00A032E6" w14:paraId="6D1088D5" w14:textId="77777777" w:rsidTr="00A76175">
        <w:tc>
          <w:tcPr>
            <w:tcW w:w="1871" w:type="dxa"/>
            <w:vAlign w:val="center"/>
          </w:tcPr>
          <w:p w14:paraId="7E2C1687" w14:textId="77777777" w:rsidR="000139E5" w:rsidRPr="00A032E6" w:rsidRDefault="000139E5" w:rsidP="000139E5">
            <w:pPr>
              <w:pStyle w:val="affb"/>
              <w:spacing w:before="0" w:after="0" w:line="240" w:lineRule="auto"/>
              <w:rPr>
                <w:rFonts w:eastAsiaTheme="minorEastAsia"/>
              </w:rPr>
            </w:pPr>
            <w:r w:rsidRPr="00A032E6">
              <w:rPr>
                <w:rFonts w:eastAsiaTheme="minorEastAsia"/>
              </w:rPr>
              <w:t>IDV</w:t>
            </w:r>
          </w:p>
        </w:tc>
        <w:tc>
          <w:tcPr>
            <w:tcW w:w="7474" w:type="dxa"/>
            <w:vAlign w:val="center"/>
          </w:tcPr>
          <w:p w14:paraId="7C6941DC" w14:textId="77777777" w:rsidR="000139E5" w:rsidRPr="00A032E6" w:rsidRDefault="000139E5" w:rsidP="000139E5">
            <w:pPr>
              <w:pStyle w:val="affb"/>
              <w:spacing w:before="0" w:after="0" w:line="240" w:lineRule="auto"/>
              <w:rPr>
                <w:rFonts w:eastAsiaTheme="minorEastAsia"/>
              </w:rPr>
            </w:pPr>
            <w:r w:rsidRPr="00A032E6">
              <w:rPr>
                <w:rFonts w:eastAsiaTheme="minorEastAsia"/>
              </w:rPr>
              <w:t>Индинавир</w:t>
            </w:r>
          </w:p>
        </w:tc>
      </w:tr>
      <w:tr w:rsidR="000139E5" w:rsidRPr="00A032E6" w14:paraId="26C70DBC" w14:textId="77777777" w:rsidTr="00A76175">
        <w:trPr>
          <w:trHeight w:val="20"/>
        </w:trPr>
        <w:tc>
          <w:tcPr>
            <w:tcW w:w="1871" w:type="dxa"/>
            <w:vAlign w:val="center"/>
          </w:tcPr>
          <w:p w14:paraId="2E5E5395" w14:textId="77777777" w:rsidR="000139E5" w:rsidRPr="00A032E6" w:rsidRDefault="000139E5" w:rsidP="000139E5">
            <w:pPr>
              <w:pStyle w:val="afff8"/>
              <w:rPr>
                <w:rFonts w:eastAsiaTheme="minorEastAsia"/>
                <w:sz w:val="24"/>
              </w:rPr>
            </w:pPr>
            <w:r w:rsidRPr="00A032E6">
              <w:rPr>
                <w:rFonts w:eastAsiaTheme="minorEastAsia"/>
                <w:sz w:val="24"/>
                <w:lang w:val="en-US"/>
              </w:rPr>
              <w:t xml:space="preserve">ITT </w:t>
            </w:r>
          </w:p>
        </w:tc>
        <w:tc>
          <w:tcPr>
            <w:tcW w:w="7474" w:type="dxa"/>
            <w:vAlign w:val="center"/>
          </w:tcPr>
          <w:p w14:paraId="73B94CDF" w14:textId="77777777" w:rsidR="000139E5" w:rsidRPr="00A032E6" w:rsidRDefault="000139E5" w:rsidP="000139E5">
            <w:pPr>
              <w:pStyle w:val="afff8"/>
              <w:rPr>
                <w:rFonts w:eastAsiaTheme="minorEastAsia"/>
                <w:sz w:val="24"/>
              </w:rPr>
            </w:pPr>
            <w:r w:rsidRPr="00A032E6">
              <w:rPr>
                <w:rFonts w:eastAsiaTheme="minorEastAsia"/>
                <w:sz w:val="24"/>
              </w:rPr>
              <w:t>Популяция пациентов, получившая хотя бы 1 дозу исследуемого препарата (</w:t>
            </w:r>
            <w:r w:rsidRPr="00A032E6">
              <w:rPr>
                <w:rFonts w:eastAsiaTheme="minorEastAsia"/>
                <w:i/>
                <w:iCs/>
                <w:sz w:val="24"/>
                <w:lang w:val="en-US"/>
              </w:rPr>
              <w:t>Intention</w:t>
            </w:r>
            <w:r w:rsidRPr="00A032E6">
              <w:rPr>
                <w:rFonts w:eastAsiaTheme="minorEastAsia"/>
                <w:i/>
                <w:iCs/>
                <w:sz w:val="24"/>
              </w:rPr>
              <w:t xml:space="preserve"> </w:t>
            </w:r>
            <w:r w:rsidRPr="00A032E6">
              <w:rPr>
                <w:rFonts w:eastAsiaTheme="minorEastAsia"/>
                <w:i/>
                <w:iCs/>
                <w:sz w:val="24"/>
                <w:lang w:val="en-US"/>
              </w:rPr>
              <w:t>to</w:t>
            </w:r>
            <w:r w:rsidRPr="00A032E6">
              <w:rPr>
                <w:rFonts w:eastAsiaTheme="minorEastAsia"/>
                <w:i/>
                <w:iCs/>
                <w:sz w:val="24"/>
              </w:rPr>
              <w:t xml:space="preserve"> </w:t>
            </w:r>
            <w:r w:rsidRPr="00A032E6">
              <w:rPr>
                <w:rFonts w:eastAsiaTheme="minorEastAsia"/>
                <w:i/>
                <w:iCs/>
                <w:sz w:val="24"/>
                <w:lang w:val="en-US"/>
              </w:rPr>
              <w:t>Treat</w:t>
            </w:r>
            <w:r w:rsidRPr="00A032E6">
              <w:rPr>
                <w:rFonts w:eastAsiaTheme="minorEastAsia"/>
                <w:i/>
                <w:iCs/>
                <w:sz w:val="24"/>
              </w:rPr>
              <w:t xml:space="preserve"> </w:t>
            </w:r>
            <w:r w:rsidRPr="00A032E6">
              <w:rPr>
                <w:rFonts w:eastAsiaTheme="minorEastAsia"/>
                <w:i/>
                <w:iCs/>
                <w:sz w:val="24"/>
                <w:lang w:val="en-US"/>
              </w:rPr>
              <w:t>population</w:t>
            </w:r>
            <w:r w:rsidRPr="00A032E6">
              <w:rPr>
                <w:rFonts w:eastAsiaTheme="minorEastAsia"/>
                <w:sz w:val="24"/>
              </w:rPr>
              <w:t>)</w:t>
            </w:r>
          </w:p>
        </w:tc>
      </w:tr>
      <w:tr w:rsidR="000139E5" w:rsidRPr="00A032E6" w14:paraId="17846D19" w14:textId="77777777" w:rsidTr="00A76175">
        <w:trPr>
          <w:trHeight w:val="20"/>
        </w:trPr>
        <w:tc>
          <w:tcPr>
            <w:tcW w:w="1871" w:type="dxa"/>
            <w:vAlign w:val="center"/>
          </w:tcPr>
          <w:p w14:paraId="3D66AF8D" w14:textId="77777777" w:rsidR="000139E5" w:rsidRPr="00A032E6" w:rsidRDefault="000139E5" w:rsidP="000139E5">
            <w:pPr>
              <w:pStyle w:val="afff8"/>
              <w:rPr>
                <w:sz w:val="24"/>
                <w:lang w:val="en-US"/>
              </w:rPr>
            </w:pPr>
            <w:r w:rsidRPr="00A032E6">
              <w:rPr>
                <w:sz w:val="24"/>
                <w:lang w:val="en-US"/>
              </w:rPr>
              <w:t>k</w:t>
            </w:r>
            <w:r w:rsidRPr="00A032E6">
              <w:rPr>
                <w:sz w:val="24"/>
                <w:vertAlign w:val="subscript"/>
                <w:lang w:val="en-US"/>
              </w:rPr>
              <w:t>a</w:t>
            </w:r>
          </w:p>
        </w:tc>
        <w:tc>
          <w:tcPr>
            <w:tcW w:w="7474" w:type="dxa"/>
            <w:vAlign w:val="center"/>
          </w:tcPr>
          <w:p w14:paraId="27698E4A" w14:textId="77777777" w:rsidR="000139E5" w:rsidRPr="00A032E6" w:rsidRDefault="000139E5" w:rsidP="000139E5">
            <w:pPr>
              <w:pStyle w:val="afff8"/>
              <w:rPr>
                <w:sz w:val="24"/>
              </w:rPr>
            </w:pPr>
            <w:r w:rsidRPr="00A032E6">
              <w:rPr>
                <w:sz w:val="24"/>
              </w:rPr>
              <w:t>Константа скорости всасывания первого порядка</w:t>
            </w:r>
          </w:p>
        </w:tc>
      </w:tr>
      <w:tr w:rsidR="00144DAC" w:rsidRPr="00144DAC" w14:paraId="044FCD34" w14:textId="77777777" w:rsidTr="00A76175">
        <w:trPr>
          <w:trHeight w:val="20"/>
        </w:trPr>
        <w:tc>
          <w:tcPr>
            <w:tcW w:w="1871" w:type="dxa"/>
            <w:vAlign w:val="center"/>
          </w:tcPr>
          <w:p w14:paraId="625F4FA1" w14:textId="18A0E2C3" w:rsidR="00144DAC" w:rsidRPr="00144DAC" w:rsidRDefault="00144DAC" w:rsidP="00144DAC">
            <w:pPr>
              <w:pStyle w:val="afff8"/>
              <w:rPr>
                <w:rFonts w:eastAsiaTheme="minorEastAsia"/>
                <w:sz w:val="24"/>
              </w:rPr>
            </w:pPr>
            <w:r w:rsidRPr="00144DAC">
              <w:rPr>
                <w:color w:val="000000" w:themeColor="text1"/>
                <w:sz w:val="24"/>
              </w:rPr>
              <w:t>Ki</w:t>
            </w:r>
          </w:p>
        </w:tc>
        <w:tc>
          <w:tcPr>
            <w:tcW w:w="7474" w:type="dxa"/>
            <w:vAlign w:val="center"/>
          </w:tcPr>
          <w:p w14:paraId="7D7ECB72" w14:textId="6F280E08" w:rsidR="00144DAC" w:rsidRPr="00144DAC" w:rsidRDefault="00144DAC" w:rsidP="00144DAC">
            <w:pPr>
              <w:pStyle w:val="afff8"/>
              <w:rPr>
                <w:rFonts w:eastAsiaTheme="minorEastAsia"/>
                <w:sz w:val="24"/>
              </w:rPr>
            </w:pPr>
            <w:r w:rsidRPr="00144DAC">
              <w:rPr>
                <w:color w:val="000000" w:themeColor="text1"/>
                <w:sz w:val="24"/>
              </w:rPr>
              <w:t>Константа ингибирования</w:t>
            </w:r>
          </w:p>
        </w:tc>
      </w:tr>
      <w:tr w:rsidR="000139E5" w:rsidRPr="00A032E6" w14:paraId="238C3FDF" w14:textId="77777777" w:rsidTr="00A76175">
        <w:trPr>
          <w:trHeight w:val="20"/>
        </w:trPr>
        <w:tc>
          <w:tcPr>
            <w:tcW w:w="1871" w:type="dxa"/>
            <w:vAlign w:val="center"/>
          </w:tcPr>
          <w:p w14:paraId="4E5A251C" w14:textId="77777777" w:rsidR="000139E5" w:rsidRPr="00A032E6" w:rsidRDefault="000139E5" w:rsidP="000139E5">
            <w:pPr>
              <w:pStyle w:val="afff8"/>
              <w:rPr>
                <w:rFonts w:eastAsiaTheme="minorEastAsia"/>
                <w:sz w:val="24"/>
              </w:rPr>
            </w:pPr>
            <w:r w:rsidRPr="00A032E6">
              <w:rPr>
                <w:rFonts w:eastAsiaTheme="minorEastAsia"/>
                <w:sz w:val="24"/>
              </w:rPr>
              <w:t>LD</w:t>
            </w:r>
            <w:r w:rsidRPr="00A032E6">
              <w:rPr>
                <w:rFonts w:eastAsiaTheme="minorEastAsia"/>
                <w:sz w:val="24"/>
                <w:vertAlign w:val="subscript"/>
              </w:rPr>
              <w:t>50</w:t>
            </w:r>
          </w:p>
        </w:tc>
        <w:tc>
          <w:tcPr>
            <w:tcW w:w="7474" w:type="dxa"/>
            <w:vAlign w:val="center"/>
          </w:tcPr>
          <w:p w14:paraId="734E7285" w14:textId="77777777" w:rsidR="000139E5" w:rsidRPr="00A032E6" w:rsidRDefault="000139E5" w:rsidP="000139E5">
            <w:pPr>
              <w:pStyle w:val="afff8"/>
              <w:rPr>
                <w:rFonts w:eastAsiaTheme="minorEastAsia"/>
                <w:sz w:val="24"/>
              </w:rPr>
            </w:pPr>
            <w:r w:rsidRPr="00A032E6">
              <w:rPr>
                <w:rFonts w:eastAsiaTheme="minorEastAsia"/>
                <w:sz w:val="24"/>
              </w:rPr>
              <w:t>Среднесмертельная доза</w:t>
            </w:r>
          </w:p>
        </w:tc>
      </w:tr>
      <w:tr w:rsidR="000139E5" w:rsidRPr="00A032E6" w14:paraId="7E2B9F44" w14:textId="77777777" w:rsidTr="00A76175">
        <w:tc>
          <w:tcPr>
            <w:tcW w:w="1871" w:type="dxa"/>
            <w:vAlign w:val="center"/>
          </w:tcPr>
          <w:p w14:paraId="567B02AF" w14:textId="77777777" w:rsidR="000139E5" w:rsidRPr="00A032E6" w:rsidRDefault="000139E5" w:rsidP="000139E5">
            <w:pPr>
              <w:pStyle w:val="affb"/>
              <w:spacing w:before="0" w:after="0" w:line="240" w:lineRule="auto"/>
              <w:rPr>
                <w:rFonts w:eastAsiaTheme="minorEastAsia"/>
              </w:rPr>
            </w:pPr>
            <w:r w:rsidRPr="00A032E6">
              <w:rPr>
                <w:rFonts w:eastAsiaTheme="minorEastAsia"/>
              </w:rPr>
              <w:t>LPV</w:t>
            </w:r>
          </w:p>
        </w:tc>
        <w:tc>
          <w:tcPr>
            <w:tcW w:w="7474" w:type="dxa"/>
            <w:vAlign w:val="center"/>
          </w:tcPr>
          <w:p w14:paraId="4822E803"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 xml:space="preserve">Лопинавир </w:t>
            </w:r>
          </w:p>
        </w:tc>
      </w:tr>
      <w:tr w:rsidR="000139E5" w:rsidRPr="00A032E6" w14:paraId="08AE503C" w14:textId="77777777" w:rsidTr="00A76175">
        <w:tc>
          <w:tcPr>
            <w:tcW w:w="1871" w:type="dxa"/>
            <w:vAlign w:val="center"/>
          </w:tcPr>
          <w:p w14:paraId="6A89EE49" w14:textId="77777777" w:rsidR="000139E5" w:rsidRPr="00A032E6" w:rsidRDefault="000139E5" w:rsidP="000139E5">
            <w:pPr>
              <w:pStyle w:val="affb"/>
              <w:spacing w:before="0" w:after="0" w:line="240" w:lineRule="auto"/>
            </w:pPr>
            <w:r w:rsidRPr="00A032E6">
              <w:rPr>
                <w:rFonts w:eastAsiaTheme="minorEastAsia"/>
              </w:rPr>
              <w:t>LPV/r</w:t>
            </w:r>
          </w:p>
        </w:tc>
        <w:tc>
          <w:tcPr>
            <w:tcW w:w="7474" w:type="dxa"/>
            <w:vAlign w:val="center"/>
          </w:tcPr>
          <w:p w14:paraId="488746A7" w14:textId="77777777" w:rsidR="000139E5" w:rsidRPr="00A032E6" w:rsidRDefault="000139E5" w:rsidP="000139E5">
            <w:pPr>
              <w:pStyle w:val="affb"/>
              <w:spacing w:before="0" w:after="0" w:line="240" w:lineRule="auto"/>
            </w:pPr>
            <w:r w:rsidRPr="00A032E6">
              <w:rPr>
                <w:rFonts w:eastAsiaTheme="minorEastAsia"/>
              </w:rPr>
              <w:t>Лопинавир, бустированный</w:t>
            </w:r>
            <w:r w:rsidRPr="00A032E6">
              <w:rPr>
                <w:rFonts w:eastAsiaTheme="minorEastAsia"/>
                <w:lang w:val="en-US"/>
              </w:rPr>
              <w:t xml:space="preserve"> ритонавир</w:t>
            </w:r>
            <w:r w:rsidRPr="00A032E6">
              <w:rPr>
                <w:rFonts w:eastAsiaTheme="minorEastAsia"/>
              </w:rPr>
              <w:t>ом</w:t>
            </w:r>
            <w:r w:rsidRPr="00A032E6">
              <w:rPr>
                <w:rFonts w:eastAsiaTheme="minorEastAsia"/>
                <w:lang w:val="en-US"/>
              </w:rPr>
              <w:t xml:space="preserve"> </w:t>
            </w:r>
            <w:r w:rsidRPr="00A032E6">
              <w:rPr>
                <w:rFonts w:eastAsiaTheme="minorEastAsia"/>
              </w:rPr>
              <w:t xml:space="preserve"> </w:t>
            </w:r>
          </w:p>
        </w:tc>
      </w:tr>
      <w:tr w:rsidR="000139E5" w:rsidRPr="00A032E6" w14:paraId="47EB88CD" w14:textId="77777777" w:rsidTr="00A76175">
        <w:trPr>
          <w:trHeight w:val="20"/>
        </w:trPr>
        <w:tc>
          <w:tcPr>
            <w:tcW w:w="1871" w:type="dxa"/>
            <w:vAlign w:val="center"/>
          </w:tcPr>
          <w:p w14:paraId="2248BFED" w14:textId="77777777" w:rsidR="000139E5" w:rsidRPr="00A032E6" w:rsidRDefault="000139E5" w:rsidP="000139E5">
            <w:pPr>
              <w:pStyle w:val="afff8"/>
              <w:rPr>
                <w:rFonts w:eastAsiaTheme="minorEastAsia"/>
                <w:sz w:val="24"/>
              </w:rPr>
            </w:pPr>
            <w:r w:rsidRPr="00A032E6">
              <w:rPr>
                <w:rFonts w:eastAsiaTheme="minorEastAsia"/>
                <w:sz w:val="24"/>
              </w:rPr>
              <w:t>MACDP</w:t>
            </w:r>
          </w:p>
        </w:tc>
        <w:tc>
          <w:tcPr>
            <w:tcW w:w="7474" w:type="dxa"/>
            <w:vAlign w:val="center"/>
          </w:tcPr>
          <w:p w14:paraId="5BF7AE6E" w14:textId="77777777" w:rsidR="000139E5" w:rsidRPr="00A032E6" w:rsidRDefault="000139E5" w:rsidP="000139E5">
            <w:pPr>
              <w:pStyle w:val="afff8"/>
              <w:rPr>
                <w:rFonts w:eastAsiaTheme="minorEastAsia"/>
                <w:sz w:val="24"/>
              </w:rPr>
            </w:pPr>
            <w:r w:rsidRPr="00A032E6">
              <w:rPr>
                <w:rFonts w:eastAsiaTheme="minorEastAsia"/>
                <w:sz w:val="24"/>
              </w:rPr>
              <w:t>Программа мониторинга врожденных пороков развития города Атланта (</w:t>
            </w:r>
            <w:r w:rsidRPr="00A032E6">
              <w:rPr>
                <w:rFonts w:eastAsiaTheme="minorEastAsia"/>
                <w:i/>
                <w:iCs/>
                <w:sz w:val="24"/>
              </w:rPr>
              <w:t>Metropolitan Atlanta Congenital Defects Program</w:t>
            </w:r>
            <w:r w:rsidRPr="00A032E6">
              <w:rPr>
                <w:rFonts w:eastAsiaTheme="minorEastAsia"/>
                <w:sz w:val="24"/>
              </w:rPr>
              <w:t>)</w:t>
            </w:r>
          </w:p>
        </w:tc>
      </w:tr>
      <w:tr w:rsidR="000139E5" w:rsidRPr="00A032E6" w14:paraId="1509967F" w14:textId="77777777" w:rsidTr="00A76175">
        <w:tc>
          <w:tcPr>
            <w:tcW w:w="1871" w:type="dxa"/>
            <w:vAlign w:val="center"/>
          </w:tcPr>
          <w:p w14:paraId="31EC0E52"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MVC</w:t>
            </w:r>
          </w:p>
        </w:tc>
        <w:tc>
          <w:tcPr>
            <w:tcW w:w="7474" w:type="dxa"/>
            <w:vAlign w:val="center"/>
          </w:tcPr>
          <w:p w14:paraId="47EE1E34"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М</w:t>
            </w:r>
            <w:r w:rsidRPr="00A032E6">
              <w:rPr>
                <w:rFonts w:eastAsiaTheme="minorEastAsia"/>
                <w:lang w:val="en-US"/>
              </w:rPr>
              <w:t>аравирок</w:t>
            </w:r>
          </w:p>
        </w:tc>
      </w:tr>
      <w:tr w:rsidR="000139E5" w:rsidRPr="00A032E6" w14:paraId="55AD3916" w14:textId="77777777" w:rsidTr="00A76175">
        <w:tc>
          <w:tcPr>
            <w:tcW w:w="1871" w:type="dxa"/>
            <w:vAlign w:val="center"/>
          </w:tcPr>
          <w:p w14:paraId="2BDF454E" w14:textId="77777777" w:rsidR="000139E5" w:rsidRPr="00A032E6" w:rsidRDefault="000139E5" w:rsidP="000139E5">
            <w:pPr>
              <w:pStyle w:val="affb"/>
              <w:spacing w:before="0" w:after="0" w:line="240" w:lineRule="auto"/>
              <w:rPr>
                <w:rFonts w:eastAsiaTheme="minorEastAsia"/>
              </w:rPr>
            </w:pPr>
            <w:r w:rsidRPr="00A032E6">
              <w:rPr>
                <w:rFonts w:eastAsiaTheme="minorEastAsia"/>
              </w:rPr>
              <w:t>NFV</w:t>
            </w:r>
          </w:p>
        </w:tc>
        <w:tc>
          <w:tcPr>
            <w:tcW w:w="7474" w:type="dxa"/>
            <w:vAlign w:val="center"/>
          </w:tcPr>
          <w:p w14:paraId="2F727989" w14:textId="77777777" w:rsidR="000139E5" w:rsidRPr="00A032E6" w:rsidRDefault="000139E5" w:rsidP="000139E5">
            <w:pPr>
              <w:pStyle w:val="affb"/>
              <w:spacing w:before="0" w:after="0" w:line="240" w:lineRule="auto"/>
              <w:rPr>
                <w:rFonts w:eastAsiaTheme="minorEastAsia"/>
              </w:rPr>
            </w:pPr>
            <w:r w:rsidRPr="00A032E6">
              <w:rPr>
                <w:rFonts w:eastAsiaTheme="minorEastAsia"/>
              </w:rPr>
              <w:t>Нелфинавир</w:t>
            </w:r>
          </w:p>
        </w:tc>
      </w:tr>
      <w:tr w:rsidR="00144DAC" w:rsidRPr="00144DAC" w14:paraId="48FEC4A5" w14:textId="77777777" w:rsidTr="00A76175">
        <w:trPr>
          <w:trHeight w:val="20"/>
        </w:trPr>
        <w:tc>
          <w:tcPr>
            <w:tcW w:w="1871" w:type="dxa"/>
            <w:vAlign w:val="center"/>
          </w:tcPr>
          <w:p w14:paraId="6CE6C71A" w14:textId="4C11FF0E" w:rsidR="00144DAC" w:rsidRPr="00144DAC" w:rsidRDefault="00144DAC" w:rsidP="00144DAC">
            <w:pPr>
              <w:pStyle w:val="afff8"/>
              <w:rPr>
                <w:rFonts w:eastAsiaTheme="minorEastAsia"/>
                <w:sz w:val="24"/>
              </w:rPr>
            </w:pPr>
            <w:r w:rsidRPr="00144DAC">
              <w:rPr>
                <w:rFonts w:eastAsiaTheme="minorEastAsia"/>
                <w:color w:val="000000" w:themeColor="text1"/>
                <w:sz w:val="24"/>
              </w:rPr>
              <w:t>NOAEL</w:t>
            </w:r>
            <w:r w:rsidRPr="00144DAC">
              <w:rPr>
                <w:rFonts w:eastAsiaTheme="minorEastAsia"/>
                <w:color w:val="000000" w:themeColor="text1"/>
                <w:sz w:val="24"/>
              </w:rPr>
              <w:tab/>
            </w:r>
          </w:p>
        </w:tc>
        <w:tc>
          <w:tcPr>
            <w:tcW w:w="7474" w:type="dxa"/>
            <w:vAlign w:val="center"/>
          </w:tcPr>
          <w:p w14:paraId="6C711350" w14:textId="69728A9C" w:rsidR="00144DAC" w:rsidRPr="00144DAC" w:rsidRDefault="00144DAC" w:rsidP="00144DAC">
            <w:pPr>
              <w:pStyle w:val="afff8"/>
              <w:rPr>
                <w:rFonts w:eastAsiaTheme="minorEastAsia"/>
                <w:sz w:val="24"/>
              </w:rPr>
            </w:pPr>
            <w:r w:rsidRPr="00144DAC">
              <w:rPr>
                <w:rFonts w:eastAsiaTheme="minorEastAsia"/>
                <w:color w:val="000000" w:themeColor="text1"/>
                <w:sz w:val="24"/>
              </w:rPr>
              <w:t>Максимальная доза, не оказывающая явного нежелательного эффекта</w:t>
            </w:r>
          </w:p>
        </w:tc>
      </w:tr>
      <w:tr w:rsidR="000139E5" w:rsidRPr="00A032E6" w14:paraId="0D5A5CD6" w14:textId="77777777" w:rsidTr="00A76175">
        <w:trPr>
          <w:trHeight w:val="20"/>
        </w:trPr>
        <w:tc>
          <w:tcPr>
            <w:tcW w:w="1871" w:type="dxa"/>
            <w:vAlign w:val="center"/>
          </w:tcPr>
          <w:p w14:paraId="7173E34C" w14:textId="77777777" w:rsidR="000139E5" w:rsidRPr="00A032E6" w:rsidRDefault="000139E5" w:rsidP="000139E5">
            <w:pPr>
              <w:pStyle w:val="afff8"/>
              <w:rPr>
                <w:rFonts w:eastAsiaTheme="minorEastAsia"/>
                <w:sz w:val="24"/>
              </w:rPr>
            </w:pPr>
            <w:r w:rsidRPr="00A032E6">
              <w:rPr>
                <w:rFonts w:eastAsiaTheme="minorEastAsia"/>
                <w:sz w:val="24"/>
              </w:rPr>
              <w:t>NVP</w:t>
            </w:r>
          </w:p>
        </w:tc>
        <w:tc>
          <w:tcPr>
            <w:tcW w:w="7474" w:type="dxa"/>
            <w:vAlign w:val="center"/>
          </w:tcPr>
          <w:p w14:paraId="05E3C071" w14:textId="77777777" w:rsidR="000139E5" w:rsidRPr="00A032E6" w:rsidRDefault="000139E5" w:rsidP="000139E5">
            <w:pPr>
              <w:pStyle w:val="afff8"/>
              <w:rPr>
                <w:rFonts w:eastAsiaTheme="minorEastAsia"/>
                <w:sz w:val="24"/>
              </w:rPr>
            </w:pPr>
            <w:r w:rsidRPr="00A032E6">
              <w:rPr>
                <w:rFonts w:eastAsiaTheme="minorEastAsia"/>
                <w:sz w:val="24"/>
              </w:rPr>
              <w:t>Невирапин</w:t>
            </w:r>
          </w:p>
        </w:tc>
      </w:tr>
      <w:tr w:rsidR="000139E5" w:rsidRPr="00A032E6" w14:paraId="4487D0D4" w14:textId="77777777" w:rsidTr="00A76175">
        <w:tc>
          <w:tcPr>
            <w:tcW w:w="1871" w:type="dxa"/>
            <w:vAlign w:val="center"/>
          </w:tcPr>
          <w:p w14:paraId="5EA8308B"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RAL</w:t>
            </w:r>
          </w:p>
        </w:tc>
        <w:tc>
          <w:tcPr>
            <w:tcW w:w="7474" w:type="dxa"/>
            <w:vAlign w:val="center"/>
          </w:tcPr>
          <w:p w14:paraId="755B242D"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Р</w:t>
            </w:r>
            <w:r w:rsidRPr="00A032E6">
              <w:rPr>
                <w:rFonts w:eastAsiaTheme="minorEastAsia"/>
                <w:lang w:val="en-US"/>
              </w:rPr>
              <w:t>алтегравир</w:t>
            </w:r>
          </w:p>
        </w:tc>
      </w:tr>
      <w:tr w:rsidR="000139E5" w:rsidRPr="00A032E6" w14:paraId="23AE4BB1" w14:textId="77777777" w:rsidTr="00A76175">
        <w:tc>
          <w:tcPr>
            <w:tcW w:w="1871" w:type="dxa"/>
            <w:vAlign w:val="center"/>
          </w:tcPr>
          <w:p w14:paraId="29631FDF"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RPV</w:t>
            </w:r>
          </w:p>
        </w:tc>
        <w:tc>
          <w:tcPr>
            <w:tcW w:w="7474" w:type="dxa"/>
            <w:vAlign w:val="center"/>
          </w:tcPr>
          <w:p w14:paraId="5ACA7318"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Р</w:t>
            </w:r>
            <w:r w:rsidRPr="00A032E6">
              <w:rPr>
                <w:rFonts w:eastAsiaTheme="minorEastAsia"/>
                <w:lang w:val="en-US"/>
              </w:rPr>
              <w:t>илпивирин</w:t>
            </w:r>
          </w:p>
        </w:tc>
      </w:tr>
      <w:tr w:rsidR="00144DAC" w:rsidRPr="00A032E6" w14:paraId="20EE3E71" w14:textId="77777777" w:rsidTr="00A76175">
        <w:trPr>
          <w:trHeight w:val="20"/>
        </w:trPr>
        <w:tc>
          <w:tcPr>
            <w:tcW w:w="1871" w:type="dxa"/>
            <w:vAlign w:val="center"/>
          </w:tcPr>
          <w:p w14:paraId="0D2CFE64" w14:textId="0F5F24F6" w:rsidR="00144DAC" w:rsidRPr="00144DAC" w:rsidRDefault="00144DAC" w:rsidP="00144DAC">
            <w:pPr>
              <w:pStyle w:val="afff8"/>
              <w:rPr>
                <w:rFonts w:eastAsiaTheme="minorEastAsia"/>
                <w:sz w:val="24"/>
              </w:rPr>
            </w:pPr>
            <w:r w:rsidRPr="00144DAC">
              <w:rPr>
                <w:color w:val="000000" w:themeColor="text1"/>
                <w:sz w:val="24"/>
              </w:rPr>
              <w:t>PARP</w:t>
            </w:r>
          </w:p>
        </w:tc>
        <w:tc>
          <w:tcPr>
            <w:tcW w:w="7474" w:type="dxa"/>
            <w:vAlign w:val="center"/>
          </w:tcPr>
          <w:p w14:paraId="1227EE50" w14:textId="5019AA89" w:rsidR="00144DAC" w:rsidRPr="00144DAC" w:rsidRDefault="00144DAC" w:rsidP="00144DAC">
            <w:pPr>
              <w:pStyle w:val="afff8"/>
              <w:rPr>
                <w:rFonts w:eastAsiaTheme="minorEastAsia"/>
                <w:sz w:val="24"/>
              </w:rPr>
            </w:pPr>
            <w:r w:rsidRPr="00144DAC">
              <w:rPr>
                <w:color w:val="000000" w:themeColor="text1"/>
                <w:sz w:val="24"/>
              </w:rPr>
              <w:t>Поли (АДФ-рибоза)-полимераза</w:t>
            </w:r>
          </w:p>
        </w:tc>
      </w:tr>
      <w:tr w:rsidR="00144DAC" w:rsidRPr="00A032E6" w14:paraId="000E9ABA" w14:textId="77777777" w:rsidTr="00A76175">
        <w:trPr>
          <w:trHeight w:val="20"/>
        </w:trPr>
        <w:tc>
          <w:tcPr>
            <w:tcW w:w="1871" w:type="dxa"/>
            <w:vAlign w:val="center"/>
          </w:tcPr>
          <w:p w14:paraId="4F770176" w14:textId="03B03A51" w:rsidR="00144DAC" w:rsidRPr="00144DAC" w:rsidRDefault="00144DAC" w:rsidP="00144DAC">
            <w:pPr>
              <w:pStyle w:val="afff8"/>
              <w:rPr>
                <w:rFonts w:eastAsiaTheme="minorEastAsia"/>
                <w:sz w:val="24"/>
              </w:rPr>
            </w:pPr>
            <w:r w:rsidRPr="00144DAC">
              <w:rPr>
                <w:color w:val="000000" w:themeColor="text1"/>
                <w:sz w:val="24"/>
                <w:lang w:val="en-US"/>
              </w:rPr>
              <w:lastRenderedPageBreak/>
              <w:t>RdRp</w:t>
            </w:r>
          </w:p>
        </w:tc>
        <w:tc>
          <w:tcPr>
            <w:tcW w:w="7474" w:type="dxa"/>
            <w:vAlign w:val="center"/>
          </w:tcPr>
          <w:p w14:paraId="237FFCB6" w14:textId="1AB9E229" w:rsidR="00144DAC" w:rsidRPr="00144DAC" w:rsidRDefault="00144DAC" w:rsidP="00144DAC">
            <w:pPr>
              <w:pStyle w:val="afff8"/>
              <w:rPr>
                <w:rFonts w:eastAsiaTheme="minorEastAsia"/>
                <w:sz w:val="24"/>
              </w:rPr>
            </w:pPr>
            <w:r w:rsidRPr="00144DAC">
              <w:rPr>
                <w:color w:val="000000" w:themeColor="text1"/>
                <w:sz w:val="24"/>
              </w:rPr>
              <w:t>РНК-зависимая РНК полимераза</w:t>
            </w:r>
          </w:p>
        </w:tc>
      </w:tr>
      <w:tr w:rsidR="000139E5" w:rsidRPr="00A032E6" w14:paraId="688CE489" w14:textId="77777777" w:rsidTr="00A76175">
        <w:trPr>
          <w:trHeight w:val="20"/>
        </w:trPr>
        <w:tc>
          <w:tcPr>
            <w:tcW w:w="1871" w:type="dxa"/>
            <w:vAlign w:val="center"/>
          </w:tcPr>
          <w:p w14:paraId="709A9552" w14:textId="77777777" w:rsidR="000139E5" w:rsidRPr="00A032E6" w:rsidRDefault="000139E5" w:rsidP="000139E5">
            <w:pPr>
              <w:pStyle w:val="afff8"/>
              <w:rPr>
                <w:rFonts w:eastAsiaTheme="minorEastAsia"/>
                <w:sz w:val="24"/>
              </w:rPr>
            </w:pPr>
            <w:r w:rsidRPr="00A032E6">
              <w:rPr>
                <w:rFonts w:eastAsiaTheme="minorEastAsia"/>
                <w:sz w:val="24"/>
              </w:rPr>
              <w:t>RT</w:t>
            </w:r>
          </w:p>
        </w:tc>
        <w:tc>
          <w:tcPr>
            <w:tcW w:w="7474" w:type="dxa"/>
            <w:vAlign w:val="center"/>
          </w:tcPr>
          <w:p w14:paraId="755F6AB0" w14:textId="77777777" w:rsidR="000139E5" w:rsidRPr="00A032E6" w:rsidRDefault="000139E5" w:rsidP="000139E5">
            <w:pPr>
              <w:pStyle w:val="afff8"/>
              <w:rPr>
                <w:rFonts w:eastAsiaTheme="minorEastAsia"/>
                <w:sz w:val="24"/>
              </w:rPr>
            </w:pPr>
            <w:r w:rsidRPr="00A032E6">
              <w:rPr>
                <w:rFonts w:eastAsiaTheme="minorEastAsia"/>
                <w:sz w:val="24"/>
              </w:rPr>
              <w:t>Обратная транскриптаза</w:t>
            </w:r>
          </w:p>
        </w:tc>
      </w:tr>
      <w:tr w:rsidR="000139E5" w:rsidRPr="00A032E6" w14:paraId="5D1636AF" w14:textId="77777777" w:rsidTr="00A76175">
        <w:trPr>
          <w:trHeight w:val="20"/>
        </w:trPr>
        <w:tc>
          <w:tcPr>
            <w:tcW w:w="1871" w:type="dxa"/>
            <w:vAlign w:val="center"/>
          </w:tcPr>
          <w:p w14:paraId="00284CB1" w14:textId="77777777" w:rsidR="000139E5" w:rsidRPr="00A032E6" w:rsidRDefault="000139E5" w:rsidP="000139E5">
            <w:pPr>
              <w:pStyle w:val="afff8"/>
              <w:rPr>
                <w:rFonts w:eastAsiaTheme="minorEastAsia"/>
                <w:sz w:val="24"/>
                <w:lang w:val="en-US"/>
              </w:rPr>
            </w:pPr>
            <w:r w:rsidRPr="00A032E6">
              <w:rPr>
                <w:rFonts w:eastAsiaTheme="minorEastAsia"/>
                <w:sz w:val="24"/>
                <w:lang w:val="en-US"/>
              </w:rPr>
              <w:t xml:space="preserve">RTV, r </w:t>
            </w:r>
          </w:p>
        </w:tc>
        <w:tc>
          <w:tcPr>
            <w:tcW w:w="7474" w:type="dxa"/>
            <w:vAlign w:val="center"/>
          </w:tcPr>
          <w:p w14:paraId="2512CB83" w14:textId="77777777" w:rsidR="000139E5" w:rsidRPr="00A032E6" w:rsidRDefault="000139E5" w:rsidP="000139E5">
            <w:pPr>
              <w:pStyle w:val="afff8"/>
              <w:rPr>
                <w:rFonts w:eastAsiaTheme="minorEastAsia"/>
                <w:sz w:val="24"/>
              </w:rPr>
            </w:pPr>
            <w:r w:rsidRPr="00A032E6">
              <w:rPr>
                <w:rFonts w:eastAsiaTheme="minorEastAsia"/>
                <w:sz w:val="24"/>
              </w:rPr>
              <w:t>Ритонавир</w:t>
            </w:r>
          </w:p>
        </w:tc>
      </w:tr>
      <w:tr w:rsidR="00573166" w:rsidRPr="00A032E6" w14:paraId="1F73B829" w14:textId="77777777" w:rsidTr="00A76175">
        <w:trPr>
          <w:trHeight w:val="20"/>
        </w:trPr>
        <w:tc>
          <w:tcPr>
            <w:tcW w:w="1871" w:type="dxa"/>
            <w:vAlign w:val="center"/>
          </w:tcPr>
          <w:p w14:paraId="4E8DB7DC" w14:textId="7B33AEC2" w:rsidR="00573166" w:rsidRPr="00A032E6" w:rsidRDefault="00573166" w:rsidP="000139E5">
            <w:pPr>
              <w:pStyle w:val="afff8"/>
              <w:rPr>
                <w:rFonts w:eastAsiaTheme="minorEastAsia"/>
                <w:sz w:val="24"/>
              </w:rPr>
            </w:pPr>
            <w:r w:rsidRPr="004A7D05">
              <w:rPr>
                <w:sz w:val="24"/>
              </w:rPr>
              <w:t>SARS-CoV-2</w:t>
            </w:r>
          </w:p>
        </w:tc>
        <w:tc>
          <w:tcPr>
            <w:tcW w:w="7474" w:type="dxa"/>
            <w:vAlign w:val="center"/>
          </w:tcPr>
          <w:p w14:paraId="2DD35514" w14:textId="361ED751" w:rsidR="00573166" w:rsidRPr="00A032E6" w:rsidRDefault="00573166" w:rsidP="00573166">
            <w:pPr>
              <w:pStyle w:val="OT"/>
              <w:spacing w:after="0"/>
              <w:rPr>
                <w:rFonts w:eastAsiaTheme="minorEastAsia"/>
                <w:sz w:val="24"/>
              </w:rPr>
            </w:pPr>
            <w:r>
              <w:rPr>
                <w:sz w:val="24"/>
                <w:szCs w:val="24"/>
              </w:rPr>
              <w:t>Н</w:t>
            </w:r>
            <w:r w:rsidRPr="00FC30B0">
              <w:rPr>
                <w:sz w:val="24"/>
                <w:szCs w:val="24"/>
              </w:rPr>
              <w:t>овый коронавирус, вызвавший пандемию COVID-19</w:t>
            </w:r>
            <w:r>
              <w:rPr>
                <w:sz w:val="24"/>
                <w:szCs w:val="24"/>
              </w:rPr>
              <w:t xml:space="preserve"> </w:t>
            </w:r>
          </w:p>
        </w:tc>
      </w:tr>
      <w:tr w:rsidR="000139E5" w:rsidRPr="00A032E6" w14:paraId="65D4109E" w14:textId="77777777" w:rsidTr="00A76175">
        <w:trPr>
          <w:trHeight w:val="20"/>
        </w:trPr>
        <w:tc>
          <w:tcPr>
            <w:tcW w:w="1871" w:type="dxa"/>
            <w:vAlign w:val="center"/>
          </w:tcPr>
          <w:p w14:paraId="383CB47C" w14:textId="77777777" w:rsidR="000139E5" w:rsidRPr="00A032E6" w:rsidRDefault="000139E5" w:rsidP="000139E5">
            <w:pPr>
              <w:pStyle w:val="afff8"/>
              <w:rPr>
                <w:rFonts w:eastAsiaTheme="minorEastAsia"/>
                <w:sz w:val="24"/>
              </w:rPr>
            </w:pPr>
            <w:r w:rsidRPr="00A032E6">
              <w:rPr>
                <w:rFonts w:eastAsiaTheme="minorEastAsia"/>
                <w:sz w:val="24"/>
              </w:rPr>
              <w:t>SD</w:t>
            </w:r>
          </w:p>
        </w:tc>
        <w:tc>
          <w:tcPr>
            <w:tcW w:w="7474" w:type="dxa"/>
            <w:vAlign w:val="center"/>
          </w:tcPr>
          <w:p w14:paraId="0BE4DBE1" w14:textId="77777777" w:rsidR="000139E5" w:rsidRPr="00A032E6" w:rsidRDefault="000139E5" w:rsidP="000139E5">
            <w:pPr>
              <w:pStyle w:val="afff8"/>
              <w:rPr>
                <w:rFonts w:eastAsiaTheme="minorEastAsia"/>
                <w:sz w:val="24"/>
              </w:rPr>
            </w:pPr>
            <w:r w:rsidRPr="00A032E6">
              <w:rPr>
                <w:rFonts w:eastAsiaTheme="minorEastAsia"/>
                <w:sz w:val="24"/>
              </w:rPr>
              <w:t xml:space="preserve">Среднеквадратичное (стандартное) отклонение  </w:t>
            </w:r>
          </w:p>
        </w:tc>
      </w:tr>
      <w:tr w:rsidR="000139E5" w:rsidRPr="00A032E6" w14:paraId="1842C34E" w14:textId="77777777" w:rsidTr="00A76175">
        <w:trPr>
          <w:trHeight w:val="20"/>
        </w:trPr>
        <w:tc>
          <w:tcPr>
            <w:tcW w:w="1871" w:type="dxa"/>
            <w:vAlign w:val="center"/>
          </w:tcPr>
          <w:p w14:paraId="138E5AFD" w14:textId="77777777" w:rsidR="000139E5" w:rsidRPr="00A032E6" w:rsidRDefault="000139E5" w:rsidP="000139E5">
            <w:pPr>
              <w:pStyle w:val="afff8"/>
              <w:rPr>
                <w:rFonts w:eastAsiaTheme="minorEastAsia"/>
                <w:sz w:val="24"/>
              </w:rPr>
            </w:pPr>
            <w:r w:rsidRPr="00A032E6">
              <w:rPr>
                <w:rFonts w:eastAsiaTheme="minorEastAsia"/>
                <w:sz w:val="24"/>
              </w:rPr>
              <w:t>SJS</w:t>
            </w:r>
          </w:p>
        </w:tc>
        <w:tc>
          <w:tcPr>
            <w:tcW w:w="7474" w:type="dxa"/>
            <w:vAlign w:val="center"/>
          </w:tcPr>
          <w:p w14:paraId="57454A5D" w14:textId="77777777" w:rsidR="000139E5" w:rsidRPr="00A032E6" w:rsidRDefault="000139E5" w:rsidP="000139E5">
            <w:pPr>
              <w:pStyle w:val="afff8"/>
              <w:rPr>
                <w:rFonts w:eastAsiaTheme="minorEastAsia"/>
                <w:sz w:val="24"/>
              </w:rPr>
            </w:pPr>
            <w:r w:rsidRPr="00A032E6">
              <w:rPr>
                <w:rFonts w:eastAsiaTheme="minorEastAsia"/>
                <w:sz w:val="24"/>
              </w:rPr>
              <w:t>Синдром Стивенса-Джонсона</w:t>
            </w:r>
          </w:p>
        </w:tc>
      </w:tr>
      <w:tr w:rsidR="000139E5" w:rsidRPr="00A032E6" w14:paraId="6CA295CC" w14:textId="77777777" w:rsidTr="00A76175">
        <w:trPr>
          <w:trHeight w:val="20"/>
        </w:trPr>
        <w:tc>
          <w:tcPr>
            <w:tcW w:w="1871" w:type="dxa"/>
            <w:vAlign w:val="center"/>
          </w:tcPr>
          <w:p w14:paraId="544B41EE" w14:textId="77777777" w:rsidR="000139E5" w:rsidRPr="00A032E6" w:rsidRDefault="000139E5" w:rsidP="000139E5">
            <w:pPr>
              <w:pStyle w:val="afff8"/>
              <w:rPr>
                <w:rFonts w:eastAsiaTheme="minorEastAsia"/>
                <w:sz w:val="24"/>
              </w:rPr>
            </w:pPr>
            <w:r w:rsidRPr="00A032E6">
              <w:rPr>
                <w:rFonts w:eastAsiaTheme="minorEastAsia"/>
                <w:sz w:val="24"/>
              </w:rPr>
              <w:t>SNP</w:t>
            </w:r>
          </w:p>
        </w:tc>
        <w:tc>
          <w:tcPr>
            <w:tcW w:w="7474" w:type="dxa"/>
            <w:vAlign w:val="center"/>
          </w:tcPr>
          <w:p w14:paraId="662D22F2" w14:textId="77777777" w:rsidR="000139E5" w:rsidRPr="00A032E6" w:rsidRDefault="000139E5" w:rsidP="000139E5">
            <w:pPr>
              <w:pStyle w:val="afff8"/>
              <w:rPr>
                <w:rFonts w:eastAsiaTheme="minorEastAsia"/>
                <w:sz w:val="24"/>
              </w:rPr>
            </w:pPr>
            <w:r w:rsidRPr="00A032E6">
              <w:rPr>
                <w:rFonts w:eastAsiaTheme="minorEastAsia"/>
                <w:sz w:val="24"/>
              </w:rPr>
              <w:t>Однонуклеотидный полиморфизм</w:t>
            </w:r>
          </w:p>
        </w:tc>
      </w:tr>
      <w:tr w:rsidR="000139E5" w:rsidRPr="00A032E6" w14:paraId="4D87DB8D" w14:textId="77777777" w:rsidTr="00A76175">
        <w:tc>
          <w:tcPr>
            <w:tcW w:w="1871" w:type="dxa"/>
            <w:vAlign w:val="center"/>
          </w:tcPr>
          <w:p w14:paraId="3459A4ED" w14:textId="77777777" w:rsidR="000139E5" w:rsidRPr="00A032E6" w:rsidRDefault="000139E5" w:rsidP="000139E5">
            <w:pPr>
              <w:pStyle w:val="affb"/>
              <w:spacing w:before="0" w:after="0" w:line="240" w:lineRule="auto"/>
              <w:rPr>
                <w:rFonts w:eastAsiaTheme="minorEastAsia"/>
              </w:rPr>
            </w:pPr>
            <w:r w:rsidRPr="00A032E6">
              <w:rPr>
                <w:rFonts w:eastAsiaTheme="minorEastAsia"/>
              </w:rPr>
              <w:t>SQV</w:t>
            </w:r>
          </w:p>
        </w:tc>
        <w:tc>
          <w:tcPr>
            <w:tcW w:w="7474" w:type="dxa"/>
            <w:vAlign w:val="center"/>
          </w:tcPr>
          <w:p w14:paraId="6E18EEA3" w14:textId="77777777" w:rsidR="000139E5" w:rsidRPr="00A032E6" w:rsidRDefault="000139E5" w:rsidP="000139E5">
            <w:pPr>
              <w:pStyle w:val="affb"/>
              <w:spacing w:before="0" w:after="0" w:line="240" w:lineRule="auto"/>
              <w:rPr>
                <w:rFonts w:eastAsiaTheme="minorEastAsia"/>
              </w:rPr>
            </w:pPr>
            <w:r w:rsidRPr="00A032E6">
              <w:rPr>
                <w:rFonts w:eastAsiaTheme="minorEastAsia"/>
              </w:rPr>
              <w:t>Саквинавир</w:t>
            </w:r>
          </w:p>
        </w:tc>
      </w:tr>
      <w:tr w:rsidR="000139E5" w:rsidRPr="00A032E6" w14:paraId="7AF13354" w14:textId="77777777" w:rsidTr="00A76175">
        <w:tc>
          <w:tcPr>
            <w:tcW w:w="1871" w:type="dxa"/>
            <w:vAlign w:val="center"/>
          </w:tcPr>
          <w:p w14:paraId="6FFE7F45"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lang w:val="en-US"/>
              </w:rPr>
              <w:t>T-20</w:t>
            </w:r>
          </w:p>
        </w:tc>
        <w:tc>
          <w:tcPr>
            <w:tcW w:w="7474" w:type="dxa"/>
            <w:vAlign w:val="center"/>
          </w:tcPr>
          <w:p w14:paraId="11656C1C" w14:textId="77777777" w:rsidR="000139E5" w:rsidRPr="00A032E6" w:rsidRDefault="000139E5" w:rsidP="000139E5">
            <w:pPr>
              <w:pStyle w:val="affb"/>
              <w:spacing w:before="0" w:after="0" w:line="240" w:lineRule="auto"/>
              <w:rPr>
                <w:rFonts w:eastAsiaTheme="minorEastAsia"/>
              </w:rPr>
            </w:pPr>
            <w:r w:rsidRPr="00A032E6">
              <w:rPr>
                <w:rFonts w:eastAsiaTheme="minorEastAsia"/>
              </w:rPr>
              <w:t>Энфувиртид</w:t>
            </w:r>
          </w:p>
        </w:tc>
      </w:tr>
      <w:tr w:rsidR="000139E5" w:rsidRPr="00A032E6" w14:paraId="2D5E4370" w14:textId="77777777" w:rsidTr="00A76175">
        <w:tc>
          <w:tcPr>
            <w:tcW w:w="1871" w:type="dxa"/>
            <w:vAlign w:val="center"/>
          </w:tcPr>
          <w:p w14:paraId="124B1075"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TAF</w:t>
            </w:r>
          </w:p>
        </w:tc>
        <w:tc>
          <w:tcPr>
            <w:tcW w:w="7474" w:type="dxa"/>
            <w:vAlign w:val="center"/>
          </w:tcPr>
          <w:p w14:paraId="64C3248E"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Т</w:t>
            </w:r>
            <w:r w:rsidRPr="00A032E6">
              <w:rPr>
                <w:rFonts w:eastAsiaTheme="minorEastAsia"/>
                <w:lang w:val="en-US"/>
              </w:rPr>
              <w:t>енофовир алафенамид</w:t>
            </w:r>
          </w:p>
        </w:tc>
      </w:tr>
      <w:tr w:rsidR="000139E5" w:rsidRPr="00A032E6" w14:paraId="605704A5" w14:textId="77777777" w:rsidTr="00A76175">
        <w:trPr>
          <w:trHeight w:val="20"/>
        </w:trPr>
        <w:tc>
          <w:tcPr>
            <w:tcW w:w="1871" w:type="dxa"/>
            <w:vAlign w:val="center"/>
          </w:tcPr>
          <w:p w14:paraId="144DF017" w14:textId="77777777" w:rsidR="000139E5" w:rsidRPr="00A032E6" w:rsidRDefault="000139E5" w:rsidP="000139E5">
            <w:pPr>
              <w:pStyle w:val="afff8"/>
              <w:rPr>
                <w:rFonts w:eastAsiaTheme="minorEastAsia"/>
                <w:sz w:val="24"/>
              </w:rPr>
            </w:pPr>
            <w:r w:rsidRPr="00A032E6">
              <w:rPr>
                <w:rFonts w:eastAsiaTheme="minorEastAsia"/>
                <w:sz w:val="24"/>
              </w:rPr>
              <w:t>TBDR</w:t>
            </w:r>
          </w:p>
        </w:tc>
        <w:tc>
          <w:tcPr>
            <w:tcW w:w="7474" w:type="dxa"/>
            <w:vAlign w:val="center"/>
          </w:tcPr>
          <w:p w14:paraId="0D005203" w14:textId="77777777" w:rsidR="000139E5" w:rsidRPr="00A032E6" w:rsidRDefault="000139E5" w:rsidP="000139E5">
            <w:pPr>
              <w:pStyle w:val="afff8"/>
              <w:rPr>
                <w:rFonts w:eastAsiaTheme="minorEastAsia"/>
                <w:sz w:val="24"/>
              </w:rPr>
            </w:pPr>
            <w:r w:rsidRPr="00A032E6">
              <w:rPr>
                <w:rFonts w:eastAsiaTheme="minorEastAsia"/>
                <w:sz w:val="24"/>
              </w:rPr>
              <w:t>Реестр врожденных дефектов Техаса (</w:t>
            </w:r>
            <w:r w:rsidRPr="00A032E6">
              <w:rPr>
                <w:rFonts w:eastAsiaTheme="minorEastAsia"/>
                <w:i/>
                <w:iCs/>
                <w:sz w:val="24"/>
              </w:rPr>
              <w:t>Texas Birth Defects Registry</w:t>
            </w:r>
            <w:r w:rsidRPr="00A032E6">
              <w:rPr>
                <w:rFonts w:eastAsiaTheme="minorEastAsia"/>
                <w:sz w:val="24"/>
              </w:rPr>
              <w:t>)</w:t>
            </w:r>
          </w:p>
        </w:tc>
      </w:tr>
      <w:tr w:rsidR="000139E5" w:rsidRPr="00A032E6" w14:paraId="2B382CC6" w14:textId="77777777" w:rsidTr="00A76175">
        <w:tc>
          <w:tcPr>
            <w:tcW w:w="1871" w:type="dxa"/>
            <w:vAlign w:val="center"/>
          </w:tcPr>
          <w:p w14:paraId="055A19B1" w14:textId="77777777" w:rsidR="000139E5" w:rsidRPr="00A032E6" w:rsidRDefault="000139E5" w:rsidP="000139E5">
            <w:pPr>
              <w:pStyle w:val="affb"/>
              <w:spacing w:before="0" w:after="0" w:line="240" w:lineRule="auto"/>
              <w:rPr>
                <w:rFonts w:eastAsiaTheme="minorEastAsia"/>
              </w:rPr>
            </w:pPr>
            <w:r w:rsidRPr="00A032E6">
              <w:rPr>
                <w:rFonts w:eastAsiaTheme="minorEastAsia"/>
                <w:lang w:val="en-US"/>
              </w:rPr>
              <w:t>TDF</w:t>
            </w:r>
          </w:p>
        </w:tc>
        <w:tc>
          <w:tcPr>
            <w:tcW w:w="7474" w:type="dxa"/>
            <w:vAlign w:val="center"/>
          </w:tcPr>
          <w:p w14:paraId="6C98566B" w14:textId="77777777" w:rsidR="000139E5" w:rsidRPr="00A032E6" w:rsidRDefault="000139E5" w:rsidP="000139E5">
            <w:pPr>
              <w:pStyle w:val="affb"/>
              <w:spacing w:before="0" w:after="0" w:line="240" w:lineRule="auto"/>
              <w:rPr>
                <w:rFonts w:eastAsiaTheme="minorEastAsia"/>
                <w:lang w:val="en-US"/>
              </w:rPr>
            </w:pPr>
            <w:r w:rsidRPr="00A032E6">
              <w:rPr>
                <w:rFonts w:eastAsiaTheme="minorEastAsia"/>
              </w:rPr>
              <w:t>Т</w:t>
            </w:r>
            <w:r w:rsidRPr="00A032E6">
              <w:rPr>
                <w:rFonts w:eastAsiaTheme="minorEastAsia"/>
                <w:lang w:val="en-US"/>
              </w:rPr>
              <w:t>енофовир</w:t>
            </w:r>
          </w:p>
        </w:tc>
      </w:tr>
      <w:tr w:rsidR="00144DAC" w:rsidRPr="00A032E6" w14:paraId="5A0F57DD" w14:textId="77777777" w:rsidTr="00A76175">
        <w:trPr>
          <w:trHeight w:val="20"/>
        </w:trPr>
        <w:tc>
          <w:tcPr>
            <w:tcW w:w="1871" w:type="dxa"/>
            <w:vAlign w:val="center"/>
          </w:tcPr>
          <w:p w14:paraId="5B464237" w14:textId="79E724AB" w:rsidR="00144DAC" w:rsidRPr="00144DAC" w:rsidRDefault="00144DAC" w:rsidP="00144DAC">
            <w:pPr>
              <w:pStyle w:val="afff8"/>
              <w:rPr>
                <w:rFonts w:eastAsiaTheme="minorEastAsia"/>
                <w:sz w:val="24"/>
              </w:rPr>
            </w:pPr>
            <w:r w:rsidRPr="00144DAC">
              <w:rPr>
                <w:color w:val="000000" w:themeColor="text1"/>
                <w:sz w:val="24"/>
                <w:lang w:val="en-US" w:eastAsia="en-US"/>
              </w:rPr>
              <w:t>TC</w:t>
            </w:r>
            <w:r w:rsidRPr="00144DAC">
              <w:rPr>
                <w:color w:val="000000" w:themeColor="text1"/>
                <w:sz w:val="24"/>
                <w:vertAlign w:val="subscript"/>
                <w:lang w:eastAsia="en-US"/>
              </w:rPr>
              <w:t>50</w:t>
            </w:r>
          </w:p>
        </w:tc>
        <w:tc>
          <w:tcPr>
            <w:tcW w:w="7474" w:type="dxa"/>
            <w:vAlign w:val="center"/>
          </w:tcPr>
          <w:p w14:paraId="3167114C" w14:textId="3376B72C" w:rsidR="00144DAC" w:rsidRPr="00144DAC" w:rsidRDefault="00144DAC" w:rsidP="00144DAC">
            <w:pPr>
              <w:pStyle w:val="afff8"/>
              <w:rPr>
                <w:rFonts w:eastAsiaTheme="minorEastAsia"/>
                <w:sz w:val="24"/>
              </w:rPr>
            </w:pPr>
            <w:r w:rsidRPr="00144DAC">
              <w:rPr>
                <w:color w:val="000000" w:themeColor="text1"/>
                <w:sz w:val="24"/>
                <w:lang w:eastAsia="en-US"/>
              </w:rPr>
              <w:t>Средняя токсическая концентрация</w:t>
            </w:r>
          </w:p>
        </w:tc>
      </w:tr>
      <w:tr w:rsidR="00AF50AD" w:rsidRPr="00A032E6" w14:paraId="3099837C" w14:textId="77777777" w:rsidTr="00A76175">
        <w:trPr>
          <w:trHeight w:val="20"/>
        </w:trPr>
        <w:tc>
          <w:tcPr>
            <w:tcW w:w="1871" w:type="dxa"/>
            <w:vAlign w:val="center"/>
          </w:tcPr>
          <w:p w14:paraId="29D75532" w14:textId="08BB9E56" w:rsidR="00AF50AD" w:rsidRPr="00144DAC" w:rsidRDefault="00AF50AD" w:rsidP="00144DAC">
            <w:pPr>
              <w:pStyle w:val="afff8"/>
              <w:rPr>
                <w:color w:val="000000" w:themeColor="text1"/>
                <w:sz w:val="24"/>
                <w:lang w:val="en-US"/>
              </w:rPr>
            </w:pPr>
            <w:r>
              <w:t>T</w:t>
            </w:r>
            <w:r w:rsidRPr="00E4382A">
              <w:rPr>
                <w:vertAlign w:val="subscript"/>
              </w:rPr>
              <w:t>max</w:t>
            </w:r>
          </w:p>
        </w:tc>
        <w:tc>
          <w:tcPr>
            <w:tcW w:w="7474" w:type="dxa"/>
            <w:vAlign w:val="center"/>
          </w:tcPr>
          <w:p w14:paraId="44EC1975" w14:textId="7103E5D4" w:rsidR="00AF50AD" w:rsidRPr="00144DAC" w:rsidRDefault="00AF50AD" w:rsidP="00AF50AD">
            <w:pPr>
              <w:rPr>
                <w:color w:val="000000" w:themeColor="text1"/>
              </w:rPr>
            </w:pPr>
            <w:r>
              <w:t>Время достижения максимальной концентрации</w:t>
            </w:r>
          </w:p>
        </w:tc>
      </w:tr>
      <w:tr w:rsidR="00144DAC" w:rsidRPr="00A032E6" w14:paraId="6154BFCB" w14:textId="77777777" w:rsidTr="00A76175">
        <w:trPr>
          <w:trHeight w:val="20"/>
        </w:trPr>
        <w:tc>
          <w:tcPr>
            <w:tcW w:w="1871" w:type="dxa"/>
            <w:vAlign w:val="center"/>
          </w:tcPr>
          <w:p w14:paraId="4F024CA0" w14:textId="6C5DE0FB" w:rsidR="00144DAC" w:rsidRPr="00144DAC" w:rsidRDefault="00144DAC" w:rsidP="00144DAC">
            <w:pPr>
              <w:pStyle w:val="afff8"/>
              <w:rPr>
                <w:rFonts w:eastAsiaTheme="minorEastAsia"/>
                <w:sz w:val="24"/>
              </w:rPr>
            </w:pPr>
            <w:r w:rsidRPr="00144DAC">
              <w:rPr>
                <w:color w:val="000000" w:themeColor="text1"/>
                <w:sz w:val="24"/>
                <w:lang w:val="en-US"/>
              </w:rPr>
              <w:t>TPGS</w:t>
            </w:r>
          </w:p>
        </w:tc>
        <w:tc>
          <w:tcPr>
            <w:tcW w:w="7474" w:type="dxa"/>
            <w:vAlign w:val="center"/>
          </w:tcPr>
          <w:p w14:paraId="2642877E" w14:textId="688D00C1" w:rsidR="00144DAC" w:rsidRPr="00144DAC" w:rsidRDefault="00144DAC" w:rsidP="00144DAC">
            <w:pPr>
              <w:pStyle w:val="afff8"/>
              <w:rPr>
                <w:rFonts w:eastAsiaTheme="minorEastAsia"/>
                <w:sz w:val="24"/>
              </w:rPr>
            </w:pPr>
            <w:r w:rsidRPr="00144DAC">
              <w:rPr>
                <w:color w:val="000000" w:themeColor="text1"/>
                <w:sz w:val="24"/>
              </w:rPr>
              <w:t>Токоферилполиэтиленгликольсукцинат</w:t>
            </w:r>
          </w:p>
        </w:tc>
      </w:tr>
      <w:tr w:rsidR="000139E5" w:rsidRPr="00A032E6" w14:paraId="18D47FCE" w14:textId="77777777" w:rsidTr="00A76175">
        <w:trPr>
          <w:trHeight w:val="20"/>
        </w:trPr>
        <w:tc>
          <w:tcPr>
            <w:tcW w:w="1871" w:type="dxa"/>
            <w:vAlign w:val="center"/>
          </w:tcPr>
          <w:p w14:paraId="251A82F8" w14:textId="77777777" w:rsidR="000139E5" w:rsidRPr="00A032E6" w:rsidRDefault="000139E5" w:rsidP="000139E5">
            <w:pPr>
              <w:pStyle w:val="afff8"/>
              <w:rPr>
                <w:rFonts w:eastAsiaTheme="minorEastAsia"/>
                <w:sz w:val="24"/>
              </w:rPr>
            </w:pPr>
            <w:r w:rsidRPr="00A032E6">
              <w:rPr>
                <w:rFonts w:eastAsiaTheme="minorEastAsia"/>
                <w:sz w:val="24"/>
              </w:rPr>
              <w:t>TLOVR</w:t>
            </w:r>
          </w:p>
        </w:tc>
        <w:tc>
          <w:tcPr>
            <w:tcW w:w="7474" w:type="dxa"/>
            <w:vAlign w:val="center"/>
          </w:tcPr>
          <w:p w14:paraId="051F322C" w14:textId="77777777" w:rsidR="000139E5" w:rsidRPr="00A032E6" w:rsidRDefault="000139E5" w:rsidP="000139E5">
            <w:pPr>
              <w:pStyle w:val="afff8"/>
              <w:rPr>
                <w:rFonts w:eastAsiaTheme="minorEastAsia"/>
                <w:sz w:val="24"/>
              </w:rPr>
            </w:pPr>
            <w:r w:rsidRPr="00A032E6">
              <w:rPr>
                <w:rFonts w:eastAsiaTheme="minorEastAsia"/>
                <w:sz w:val="24"/>
              </w:rPr>
              <w:t>Время до потери вирусологического ответа</w:t>
            </w:r>
          </w:p>
        </w:tc>
      </w:tr>
      <w:tr w:rsidR="009B32BB" w:rsidRPr="00A97B7A" w14:paraId="352AAAD5" w14:textId="77777777" w:rsidTr="00A76175">
        <w:trPr>
          <w:trHeight w:val="20"/>
        </w:trPr>
        <w:tc>
          <w:tcPr>
            <w:tcW w:w="1871" w:type="dxa"/>
            <w:vAlign w:val="center"/>
          </w:tcPr>
          <w:p w14:paraId="02DEEAC7" w14:textId="1447A67E" w:rsidR="009B32BB" w:rsidRPr="00A032E6" w:rsidRDefault="009B32BB" w:rsidP="000139E5">
            <w:pPr>
              <w:pStyle w:val="afff8"/>
              <w:rPr>
                <w:rFonts w:eastAsiaTheme="minorEastAsia"/>
                <w:sz w:val="24"/>
              </w:rPr>
            </w:pPr>
            <w:r w:rsidRPr="009B32BB">
              <w:rPr>
                <w:rFonts w:eastAsiaTheme="minorEastAsia"/>
                <w:sz w:val="24"/>
                <w:lang w:val="en-US"/>
              </w:rPr>
              <w:t>IUPAC</w:t>
            </w:r>
          </w:p>
        </w:tc>
        <w:tc>
          <w:tcPr>
            <w:tcW w:w="7474" w:type="dxa"/>
            <w:vAlign w:val="center"/>
          </w:tcPr>
          <w:p w14:paraId="3CE19555" w14:textId="47A807FF" w:rsidR="009B32BB" w:rsidRPr="009B32BB" w:rsidRDefault="009B32BB" w:rsidP="000139E5">
            <w:pPr>
              <w:pStyle w:val="afff8"/>
              <w:rPr>
                <w:rFonts w:eastAsiaTheme="minorEastAsia"/>
                <w:sz w:val="24"/>
                <w:lang w:val="en-US"/>
              </w:rPr>
            </w:pPr>
            <w:r w:rsidRPr="009B32BB">
              <w:rPr>
                <w:rFonts w:eastAsiaTheme="minorEastAsia"/>
                <w:sz w:val="24"/>
              </w:rPr>
              <w:t>Международный</w:t>
            </w:r>
            <w:r w:rsidRPr="009B32BB">
              <w:rPr>
                <w:rFonts w:eastAsiaTheme="minorEastAsia"/>
                <w:sz w:val="24"/>
                <w:lang w:val="en-US"/>
              </w:rPr>
              <w:t xml:space="preserve"> </w:t>
            </w:r>
            <w:r w:rsidRPr="009B32BB">
              <w:rPr>
                <w:rFonts w:eastAsiaTheme="minorEastAsia"/>
                <w:sz w:val="24"/>
              </w:rPr>
              <w:t>союз</w:t>
            </w:r>
            <w:r w:rsidRPr="009B32BB">
              <w:rPr>
                <w:rFonts w:eastAsiaTheme="minorEastAsia"/>
                <w:sz w:val="24"/>
                <w:lang w:val="en-US"/>
              </w:rPr>
              <w:t xml:space="preserve"> </w:t>
            </w:r>
            <w:r w:rsidRPr="009B32BB">
              <w:rPr>
                <w:rFonts w:eastAsiaTheme="minorEastAsia"/>
                <w:sz w:val="24"/>
              </w:rPr>
              <w:t>теоретической</w:t>
            </w:r>
            <w:r w:rsidRPr="009B32BB">
              <w:rPr>
                <w:rFonts w:eastAsiaTheme="minorEastAsia"/>
                <w:sz w:val="24"/>
                <w:lang w:val="en-US"/>
              </w:rPr>
              <w:t xml:space="preserve"> </w:t>
            </w:r>
            <w:r w:rsidRPr="009B32BB">
              <w:rPr>
                <w:rFonts w:eastAsiaTheme="minorEastAsia"/>
                <w:sz w:val="24"/>
              </w:rPr>
              <w:t>и</w:t>
            </w:r>
            <w:r w:rsidRPr="009B32BB">
              <w:rPr>
                <w:rFonts w:eastAsiaTheme="minorEastAsia"/>
                <w:sz w:val="24"/>
                <w:lang w:val="en-US"/>
              </w:rPr>
              <w:t xml:space="preserve"> </w:t>
            </w:r>
            <w:r w:rsidRPr="009B32BB">
              <w:rPr>
                <w:rFonts w:eastAsiaTheme="minorEastAsia"/>
                <w:sz w:val="24"/>
              </w:rPr>
              <w:t>прикладной</w:t>
            </w:r>
            <w:r w:rsidRPr="009B32BB">
              <w:rPr>
                <w:rFonts w:eastAsiaTheme="minorEastAsia"/>
                <w:sz w:val="24"/>
                <w:lang w:val="en-US"/>
              </w:rPr>
              <w:t xml:space="preserve"> </w:t>
            </w:r>
            <w:r w:rsidRPr="009B32BB">
              <w:rPr>
                <w:rFonts w:eastAsiaTheme="minorEastAsia"/>
                <w:sz w:val="24"/>
              </w:rPr>
              <w:t>химии</w:t>
            </w:r>
            <w:r w:rsidRPr="009B32BB">
              <w:rPr>
                <w:rFonts w:eastAsiaTheme="minorEastAsia"/>
                <w:sz w:val="24"/>
                <w:lang w:val="en-US"/>
              </w:rPr>
              <w:t xml:space="preserve"> (International Union of Pure and Applied Chemistry)</w:t>
            </w:r>
          </w:p>
        </w:tc>
      </w:tr>
      <w:tr w:rsidR="000139E5" w:rsidRPr="00A032E6" w14:paraId="6D7CF2E2" w14:textId="77777777" w:rsidTr="00A76175">
        <w:trPr>
          <w:trHeight w:val="20"/>
        </w:trPr>
        <w:tc>
          <w:tcPr>
            <w:tcW w:w="1871" w:type="dxa"/>
            <w:vAlign w:val="center"/>
          </w:tcPr>
          <w:p w14:paraId="2B37AFB2" w14:textId="77777777" w:rsidR="000139E5" w:rsidRPr="00A032E6" w:rsidRDefault="000139E5" w:rsidP="000139E5">
            <w:pPr>
              <w:pStyle w:val="afff8"/>
              <w:rPr>
                <w:rFonts w:eastAsiaTheme="minorEastAsia"/>
                <w:sz w:val="24"/>
              </w:rPr>
            </w:pPr>
            <w:r w:rsidRPr="00A032E6">
              <w:rPr>
                <w:rFonts w:eastAsiaTheme="minorEastAsia"/>
                <w:sz w:val="24"/>
              </w:rPr>
              <w:t>V</w:t>
            </w:r>
            <w:r w:rsidRPr="00A032E6">
              <w:rPr>
                <w:rFonts w:eastAsiaTheme="minorEastAsia"/>
                <w:sz w:val="24"/>
                <w:vertAlign w:val="subscript"/>
              </w:rPr>
              <w:t>d</w:t>
            </w:r>
          </w:p>
        </w:tc>
        <w:tc>
          <w:tcPr>
            <w:tcW w:w="7474" w:type="dxa"/>
            <w:vAlign w:val="center"/>
          </w:tcPr>
          <w:p w14:paraId="125BF970" w14:textId="77777777" w:rsidR="000139E5" w:rsidRPr="00A032E6" w:rsidRDefault="000139E5" w:rsidP="000139E5">
            <w:pPr>
              <w:pStyle w:val="afff8"/>
              <w:rPr>
                <w:rFonts w:eastAsiaTheme="minorEastAsia"/>
                <w:sz w:val="24"/>
              </w:rPr>
            </w:pPr>
            <w:r w:rsidRPr="00A032E6">
              <w:rPr>
                <w:rFonts w:eastAsiaTheme="minorEastAsia"/>
                <w:sz w:val="24"/>
              </w:rPr>
              <w:t>Кажущийся объем распределения</w:t>
            </w:r>
          </w:p>
        </w:tc>
      </w:tr>
      <w:tr w:rsidR="000139E5" w:rsidRPr="00A032E6" w14:paraId="1F82D608" w14:textId="77777777" w:rsidTr="00A76175">
        <w:trPr>
          <w:trHeight w:val="20"/>
        </w:trPr>
        <w:tc>
          <w:tcPr>
            <w:tcW w:w="1871" w:type="dxa"/>
            <w:vAlign w:val="center"/>
          </w:tcPr>
          <w:p w14:paraId="6D7EC6F4" w14:textId="77777777" w:rsidR="000139E5" w:rsidRPr="00A032E6" w:rsidRDefault="000139E5" w:rsidP="000139E5">
            <w:pPr>
              <w:pStyle w:val="afff8"/>
              <w:rPr>
                <w:sz w:val="24"/>
                <w:lang w:val="en-US"/>
              </w:rPr>
            </w:pPr>
            <w:r w:rsidRPr="00A032E6">
              <w:rPr>
                <w:sz w:val="24"/>
                <w:lang w:val="en-US"/>
              </w:rPr>
              <w:t>V</w:t>
            </w:r>
            <w:r w:rsidRPr="00A032E6">
              <w:rPr>
                <w:sz w:val="24"/>
                <w:vertAlign w:val="subscript"/>
                <w:lang w:val="en-US"/>
              </w:rPr>
              <w:t>d</w:t>
            </w:r>
            <w:r w:rsidRPr="00A032E6">
              <w:rPr>
                <w:sz w:val="24"/>
              </w:rPr>
              <w:t>/</w:t>
            </w:r>
            <w:r w:rsidRPr="00A032E6">
              <w:rPr>
                <w:sz w:val="24"/>
                <w:lang w:val="en-US"/>
              </w:rPr>
              <w:t>F</w:t>
            </w:r>
          </w:p>
        </w:tc>
        <w:tc>
          <w:tcPr>
            <w:tcW w:w="7474" w:type="dxa"/>
            <w:vAlign w:val="center"/>
          </w:tcPr>
          <w:p w14:paraId="33A36C69" w14:textId="77777777" w:rsidR="000139E5" w:rsidRPr="00A032E6" w:rsidRDefault="000139E5" w:rsidP="000139E5">
            <w:pPr>
              <w:pStyle w:val="afff8"/>
              <w:rPr>
                <w:sz w:val="24"/>
              </w:rPr>
            </w:pPr>
            <w:r w:rsidRPr="00A032E6">
              <w:rPr>
                <w:sz w:val="24"/>
              </w:rPr>
              <w:t>Кажущийся объем распределения</w:t>
            </w:r>
          </w:p>
        </w:tc>
      </w:tr>
      <w:tr w:rsidR="000139E5" w:rsidRPr="00A032E6" w14:paraId="3C95208C" w14:textId="77777777" w:rsidTr="00A76175">
        <w:trPr>
          <w:trHeight w:val="20"/>
        </w:trPr>
        <w:tc>
          <w:tcPr>
            <w:tcW w:w="1871" w:type="dxa"/>
            <w:vAlign w:val="center"/>
          </w:tcPr>
          <w:p w14:paraId="7959BB3B" w14:textId="77777777" w:rsidR="000139E5" w:rsidRPr="00A032E6" w:rsidRDefault="000139E5" w:rsidP="000139E5">
            <w:pPr>
              <w:pStyle w:val="afff8"/>
              <w:rPr>
                <w:rFonts w:eastAsiaTheme="minorEastAsia"/>
                <w:sz w:val="24"/>
                <w:lang w:val="en-US"/>
              </w:rPr>
            </w:pPr>
            <w:r w:rsidRPr="00A032E6">
              <w:rPr>
                <w:rFonts w:eastAsiaTheme="minorEastAsia"/>
                <w:sz w:val="24"/>
                <w:lang w:val="en-US"/>
              </w:rPr>
              <w:t>Vs.</w:t>
            </w:r>
          </w:p>
        </w:tc>
        <w:tc>
          <w:tcPr>
            <w:tcW w:w="7474" w:type="dxa"/>
            <w:vAlign w:val="center"/>
          </w:tcPr>
          <w:p w14:paraId="0270CDD5" w14:textId="77777777" w:rsidR="000139E5" w:rsidRPr="00A032E6" w:rsidRDefault="000139E5" w:rsidP="000139E5">
            <w:pPr>
              <w:pStyle w:val="afff8"/>
              <w:rPr>
                <w:rFonts w:eastAsiaTheme="minorEastAsia"/>
                <w:sz w:val="24"/>
              </w:rPr>
            </w:pPr>
            <w:r w:rsidRPr="00A032E6">
              <w:rPr>
                <w:rFonts w:eastAsiaTheme="minorEastAsia"/>
                <w:sz w:val="24"/>
              </w:rPr>
              <w:t>Против</w:t>
            </w:r>
          </w:p>
        </w:tc>
      </w:tr>
      <w:tr w:rsidR="000139E5" w:rsidRPr="00A032E6" w14:paraId="6F419AB1" w14:textId="77777777" w:rsidTr="00A76175">
        <w:trPr>
          <w:trHeight w:val="20"/>
        </w:trPr>
        <w:tc>
          <w:tcPr>
            <w:tcW w:w="1871" w:type="dxa"/>
            <w:vAlign w:val="center"/>
          </w:tcPr>
          <w:p w14:paraId="400E6F3B" w14:textId="77777777" w:rsidR="000139E5" w:rsidRPr="00A032E6" w:rsidRDefault="000139E5" w:rsidP="000139E5">
            <w:pPr>
              <w:pStyle w:val="afff8"/>
              <w:rPr>
                <w:rFonts w:eastAsiaTheme="minorEastAsia"/>
                <w:sz w:val="24"/>
              </w:rPr>
            </w:pPr>
            <w:r w:rsidRPr="00A032E6">
              <w:rPr>
                <w:rFonts w:eastAsiaTheme="minorEastAsia"/>
                <w:sz w:val="24"/>
              </w:rPr>
              <w:t>АЛТ</w:t>
            </w:r>
          </w:p>
        </w:tc>
        <w:tc>
          <w:tcPr>
            <w:tcW w:w="7474" w:type="dxa"/>
            <w:vAlign w:val="center"/>
          </w:tcPr>
          <w:p w14:paraId="04CE0926" w14:textId="77777777" w:rsidR="000139E5" w:rsidRPr="00A032E6" w:rsidRDefault="000139E5" w:rsidP="000139E5">
            <w:pPr>
              <w:pStyle w:val="afff8"/>
              <w:rPr>
                <w:rFonts w:eastAsiaTheme="minorEastAsia"/>
                <w:sz w:val="24"/>
              </w:rPr>
            </w:pPr>
            <w:r w:rsidRPr="00A032E6">
              <w:rPr>
                <w:rFonts w:eastAsiaTheme="minorEastAsia"/>
                <w:sz w:val="24"/>
              </w:rPr>
              <w:t>Аланинаминотрансфераза</w:t>
            </w:r>
          </w:p>
        </w:tc>
      </w:tr>
      <w:tr w:rsidR="000139E5" w:rsidRPr="00A032E6" w14:paraId="5ADA6492" w14:textId="77777777" w:rsidTr="00A76175">
        <w:trPr>
          <w:trHeight w:val="20"/>
        </w:trPr>
        <w:tc>
          <w:tcPr>
            <w:tcW w:w="1871" w:type="dxa"/>
            <w:vAlign w:val="center"/>
          </w:tcPr>
          <w:p w14:paraId="42D878BA" w14:textId="77777777" w:rsidR="000139E5" w:rsidRPr="00A032E6" w:rsidRDefault="000139E5" w:rsidP="000139E5">
            <w:pPr>
              <w:pStyle w:val="afff8"/>
              <w:rPr>
                <w:rFonts w:eastAsiaTheme="minorEastAsia"/>
                <w:sz w:val="24"/>
              </w:rPr>
            </w:pPr>
            <w:r w:rsidRPr="00A032E6">
              <w:rPr>
                <w:rFonts w:eastAsiaTheme="minorEastAsia"/>
                <w:sz w:val="24"/>
              </w:rPr>
              <w:t>АРВП</w:t>
            </w:r>
          </w:p>
        </w:tc>
        <w:tc>
          <w:tcPr>
            <w:tcW w:w="7474" w:type="dxa"/>
            <w:vAlign w:val="center"/>
          </w:tcPr>
          <w:p w14:paraId="059C5E4D" w14:textId="77777777" w:rsidR="000139E5" w:rsidRPr="00A032E6" w:rsidRDefault="000139E5" w:rsidP="000139E5">
            <w:pPr>
              <w:pStyle w:val="afff8"/>
              <w:rPr>
                <w:rFonts w:eastAsiaTheme="minorEastAsia"/>
                <w:sz w:val="24"/>
              </w:rPr>
            </w:pPr>
            <w:r w:rsidRPr="00A032E6">
              <w:rPr>
                <w:rFonts w:eastAsiaTheme="minorEastAsia"/>
                <w:sz w:val="24"/>
              </w:rPr>
              <w:t>Антиретровирусные препараты</w:t>
            </w:r>
          </w:p>
        </w:tc>
      </w:tr>
      <w:tr w:rsidR="000139E5" w:rsidRPr="00A032E6" w14:paraId="4764B7E3" w14:textId="77777777" w:rsidTr="00A76175">
        <w:trPr>
          <w:trHeight w:val="20"/>
        </w:trPr>
        <w:tc>
          <w:tcPr>
            <w:tcW w:w="1871" w:type="dxa"/>
            <w:vAlign w:val="center"/>
          </w:tcPr>
          <w:p w14:paraId="07512283" w14:textId="77777777" w:rsidR="000139E5" w:rsidRPr="00A032E6" w:rsidRDefault="000139E5" w:rsidP="000139E5">
            <w:pPr>
              <w:pStyle w:val="afff8"/>
              <w:rPr>
                <w:rFonts w:eastAsiaTheme="minorEastAsia"/>
                <w:sz w:val="24"/>
              </w:rPr>
            </w:pPr>
            <w:r w:rsidRPr="00A032E6">
              <w:rPr>
                <w:rFonts w:eastAsiaTheme="minorEastAsia"/>
                <w:sz w:val="24"/>
              </w:rPr>
              <w:t>АРТ</w:t>
            </w:r>
          </w:p>
        </w:tc>
        <w:tc>
          <w:tcPr>
            <w:tcW w:w="7474" w:type="dxa"/>
            <w:vAlign w:val="center"/>
          </w:tcPr>
          <w:p w14:paraId="4EA5BD87" w14:textId="77777777" w:rsidR="000139E5" w:rsidRPr="00A032E6" w:rsidRDefault="000139E5" w:rsidP="000139E5">
            <w:pPr>
              <w:pStyle w:val="afff8"/>
              <w:rPr>
                <w:rFonts w:eastAsiaTheme="minorEastAsia"/>
                <w:sz w:val="24"/>
              </w:rPr>
            </w:pPr>
            <w:r w:rsidRPr="00A032E6">
              <w:rPr>
                <w:rFonts w:eastAsiaTheme="minorEastAsia"/>
                <w:sz w:val="24"/>
              </w:rPr>
              <w:t>Антиретровирусная терапия</w:t>
            </w:r>
          </w:p>
        </w:tc>
      </w:tr>
      <w:tr w:rsidR="000139E5" w:rsidRPr="00A032E6" w14:paraId="00EA70DF" w14:textId="77777777" w:rsidTr="00A76175">
        <w:trPr>
          <w:trHeight w:val="20"/>
        </w:trPr>
        <w:tc>
          <w:tcPr>
            <w:tcW w:w="1871" w:type="dxa"/>
            <w:vAlign w:val="center"/>
          </w:tcPr>
          <w:p w14:paraId="7DEF631E" w14:textId="77777777" w:rsidR="000139E5" w:rsidRPr="00A032E6" w:rsidRDefault="000139E5" w:rsidP="000139E5">
            <w:pPr>
              <w:pStyle w:val="afff8"/>
              <w:rPr>
                <w:rFonts w:eastAsiaTheme="minorEastAsia"/>
                <w:sz w:val="24"/>
              </w:rPr>
            </w:pPr>
            <w:r w:rsidRPr="00A032E6">
              <w:rPr>
                <w:rFonts w:eastAsiaTheme="minorEastAsia"/>
                <w:sz w:val="24"/>
              </w:rPr>
              <w:t>АСТ</w:t>
            </w:r>
          </w:p>
        </w:tc>
        <w:tc>
          <w:tcPr>
            <w:tcW w:w="7474" w:type="dxa"/>
            <w:vAlign w:val="center"/>
          </w:tcPr>
          <w:p w14:paraId="63BA6610" w14:textId="77777777" w:rsidR="000139E5" w:rsidRPr="00A032E6" w:rsidRDefault="000139E5" w:rsidP="000139E5">
            <w:pPr>
              <w:pStyle w:val="afff8"/>
              <w:rPr>
                <w:rFonts w:eastAsiaTheme="minorEastAsia"/>
                <w:sz w:val="24"/>
              </w:rPr>
            </w:pPr>
            <w:r w:rsidRPr="00A032E6">
              <w:rPr>
                <w:rFonts w:eastAsiaTheme="minorEastAsia"/>
                <w:sz w:val="24"/>
              </w:rPr>
              <w:t>Аспартатаминотрансфераза</w:t>
            </w:r>
          </w:p>
        </w:tc>
      </w:tr>
      <w:tr w:rsidR="000139E5" w:rsidRPr="00A032E6" w14:paraId="4A2B82A0" w14:textId="77777777" w:rsidTr="00A76175">
        <w:trPr>
          <w:trHeight w:val="20"/>
        </w:trPr>
        <w:tc>
          <w:tcPr>
            <w:tcW w:w="1871" w:type="dxa"/>
            <w:vAlign w:val="center"/>
          </w:tcPr>
          <w:p w14:paraId="3CF8D48F" w14:textId="77777777" w:rsidR="000139E5" w:rsidRPr="00A032E6" w:rsidRDefault="000139E5" w:rsidP="000139E5">
            <w:pPr>
              <w:pStyle w:val="afff8"/>
              <w:rPr>
                <w:rFonts w:eastAsiaTheme="minorEastAsia"/>
                <w:sz w:val="24"/>
              </w:rPr>
            </w:pPr>
            <w:r w:rsidRPr="00A032E6">
              <w:rPr>
                <w:rFonts w:eastAsiaTheme="minorEastAsia"/>
                <w:sz w:val="24"/>
              </w:rPr>
              <w:t>АТХ</w:t>
            </w:r>
          </w:p>
        </w:tc>
        <w:tc>
          <w:tcPr>
            <w:tcW w:w="7474" w:type="dxa"/>
            <w:vAlign w:val="center"/>
          </w:tcPr>
          <w:p w14:paraId="30FF389C" w14:textId="77777777" w:rsidR="000139E5" w:rsidRPr="00A032E6" w:rsidRDefault="000139E5" w:rsidP="000139E5">
            <w:pPr>
              <w:pStyle w:val="afff8"/>
              <w:rPr>
                <w:rFonts w:eastAsiaTheme="minorEastAsia"/>
                <w:sz w:val="24"/>
              </w:rPr>
            </w:pPr>
            <w:r w:rsidRPr="00A032E6">
              <w:rPr>
                <w:rFonts w:eastAsiaTheme="minorEastAsia"/>
                <w:sz w:val="24"/>
              </w:rPr>
              <w:t>Анатомо-терапевтическо-химическая классификация</w:t>
            </w:r>
          </w:p>
        </w:tc>
      </w:tr>
      <w:tr w:rsidR="000139E5" w:rsidRPr="00A032E6" w14:paraId="7E44052C" w14:textId="77777777" w:rsidTr="00A76175">
        <w:trPr>
          <w:trHeight w:val="20"/>
        </w:trPr>
        <w:tc>
          <w:tcPr>
            <w:tcW w:w="1871" w:type="dxa"/>
            <w:vAlign w:val="center"/>
          </w:tcPr>
          <w:p w14:paraId="023F18AF" w14:textId="77777777" w:rsidR="000139E5" w:rsidRPr="00A032E6" w:rsidRDefault="000139E5" w:rsidP="000139E5">
            <w:pPr>
              <w:pStyle w:val="afff8"/>
              <w:rPr>
                <w:rFonts w:eastAsiaTheme="minorEastAsia"/>
                <w:sz w:val="24"/>
              </w:rPr>
            </w:pPr>
            <w:r w:rsidRPr="00A032E6">
              <w:rPr>
                <w:rFonts w:eastAsiaTheme="minorEastAsia"/>
                <w:sz w:val="24"/>
              </w:rPr>
              <w:t>ВГ</w:t>
            </w:r>
          </w:p>
        </w:tc>
        <w:tc>
          <w:tcPr>
            <w:tcW w:w="7474" w:type="dxa"/>
            <w:vAlign w:val="center"/>
          </w:tcPr>
          <w:p w14:paraId="49A29BE9" w14:textId="77777777" w:rsidR="000139E5" w:rsidRPr="00A032E6" w:rsidRDefault="000139E5" w:rsidP="000139E5">
            <w:pPr>
              <w:pStyle w:val="afff8"/>
              <w:rPr>
                <w:rFonts w:eastAsiaTheme="minorEastAsia"/>
                <w:sz w:val="24"/>
              </w:rPr>
            </w:pPr>
            <w:r w:rsidRPr="00A032E6">
              <w:rPr>
                <w:rFonts w:eastAsiaTheme="minorEastAsia"/>
                <w:sz w:val="24"/>
              </w:rPr>
              <w:t>Вирусный гепатит</w:t>
            </w:r>
          </w:p>
        </w:tc>
      </w:tr>
      <w:tr w:rsidR="000139E5" w:rsidRPr="00A032E6" w14:paraId="24756278" w14:textId="77777777" w:rsidTr="00A76175">
        <w:trPr>
          <w:trHeight w:val="20"/>
        </w:trPr>
        <w:tc>
          <w:tcPr>
            <w:tcW w:w="1871" w:type="dxa"/>
            <w:vAlign w:val="center"/>
          </w:tcPr>
          <w:p w14:paraId="12875D6D" w14:textId="77777777" w:rsidR="000139E5" w:rsidRPr="00A032E6" w:rsidRDefault="000139E5" w:rsidP="000139E5">
            <w:pPr>
              <w:pStyle w:val="afff8"/>
              <w:rPr>
                <w:rFonts w:eastAsiaTheme="minorEastAsia"/>
                <w:sz w:val="24"/>
              </w:rPr>
            </w:pPr>
            <w:r w:rsidRPr="00A032E6">
              <w:rPr>
                <w:sz w:val="24"/>
              </w:rPr>
              <w:t>ВГВ</w:t>
            </w:r>
          </w:p>
        </w:tc>
        <w:tc>
          <w:tcPr>
            <w:tcW w:w="7474" w:type="dxa"/>
            <w:vAlign w:val="center"/>
          </w:tcPr>
          <w:p w14:paraId="6E17DC90" w14:textId="77777777" w:rsidR="000139E5" w:rsidRPr="00A032E6" w:rsidRDefault="000139E5" w:rsidP="000139E5">
            <w:pPr>
              <w:pStyle w:val="afff8"/>
              <w:rPr>
                <w:rFonts w:eastAsiaTheme="minorEastAsia"/>
                <w:sz w:val="24"/>
              </w:rPr>
            </w:pPr>
            <w:r w:rsidRPr="00A032E6">
              <w:rPr>
                <w:sz w:val="24"/>
              </w:rPr>
              <w:t>Вирусный гепатит В</w:t>
            </w:r>
          </w:p>
        </w:tc>
      </w:tr>
      <w:tr w:rsidR="000139E5" w:rsidRPr="00A032E6" w14:paraId="27AF10A7" w14:textId="77777777" w:rsidTr="00A76175">
        <w:trPr>
          <w:trHeight w:val="20"/>
        </w:trPr>
        <w:tc>
          <w:tcPr>
            <w:tcW w:w="1871" w:type="dxa"/>
            <w:vAlign w:val="center"/>
          </w:tcPr>
          <w:p w14:paraId="464F6DA2" w14:textId="77777777" w:rsidR="000139E5" w:rsidRPr="00A032E6" w:rsidRDefault="000139E5" w:rsidP="000139E5">
            <w:pPr>
              <w:pStyle w:val="afff8"/>
              <w:rPr>
                <w:rFonts w:eastAsiaTheme="minorEastAsia"/>
                <w:sz w:val="24"/>
              </w:rPr>
            </w:pPr>
            <w:r w:rsidRPr="00A032E6">
              <w:rPr>
                <w:rFonts w:eastAsiaTheme="minorEastAsia"/>
                <w:sz w:val="24"/>
              </w:rPr>
              <w:t>ВГВ/С</w:t>
            </w:r>
          </w:p>
        </w:tc>
        <w:tc>
          <w:tcPr>
            <w:tcW w:w="7474" w:type="dxa"/>
            <w:vAlign w:val="center"/>
          </w:tcPr>
          <w:p w14:paraId="702DCA19" w14:textId="77777777" w:rsidR="000139E5" w:rsidRPr="00A032E6" w:rsidRDefault="000139E5" w:rsidP="000139E5">
            <w:pPr>
              <w:pStyle w:val="afff8"/>
              <w:rPr>
                <w:rFonts w:eastAsiaTheme="minorEastAsia"/>
                <w:sz w:val="24"/>
              </w:rPr>
            </w:pPr>
            <w:r w:rsidRPr="00A032E6">
              <w:rPr>
                <w:rFonts w:eastAsiaTheme="minorEastAsia"/>
                <w:sz w:val="24"/>
              </w:rPr>
              <w:t>Вирусный гепатит В или С</w:t>
            </w:r>
          </w:p>
        </w:tc>
      </w:tr>
      <w:tr w:rsidR="000139E5" w:rsidRPr="00A032E6" w14:paraId="5BDDC6E7" w14:textId="77777777" w:rsidTr="00A76175">
        <w:trPr>
          <w:trHeight w:val="20"/>
        </w:trPr>
        <w:tc>
          <w:tcPr>
            <w:tcW w:w="1871" w:type="dxa"/>
            <w:vAlign w:val="center"/>
          </w:tcPr>
          <w:p w14:paraId="021E9BFB" w14:textId="77777777" w:rsidR="000139E5" w:rsidRPr="00A032E6" w:rsidRDefault="000139E5" w:rsidP="000139E5">
            <w:pPr>
              <w:pStyle w:val="afff8"/>
              <w:rPr>
                <w:rFonts w:eastAsiaTheme="minorEastAsia"/>
                <w:sz w:val="24"/>
              </w:rPr>
            </w:pPr>
            <w:r w:rsidRPr="00A032E6">
              <w:rPr>
                <w:rFonts w:eastAsiaTheme="minorEastAsia"/>
                <w:sz w:val="24"/>
              </w:rPr>
              <w:t>ВГС</w:t>
            </w:r>
          </w:p>
        </w:tc>
        <w:tc>
          <w:tcPr>
            <w:tcW w:w="7474" w:type="dxa"/>
            <w:vAlign w:val="center"/>
          </w:tcPr>
          <w:p w14:paraId="6B52A055" w14:textId="77777777" w:rsidR="000139E5" w:rsidRPr="00A032E6" w:rsidRDefault="000139E5" w:rsidP="000139E5">
            <w:pPr>
              <w:pStyle w:val="afff8"/>
              <w:rPr>
                <w:rFonts w:eastAsiaTheme="minorEastAsia"/>
                <w:sz w:val="24"/>
              </w:rPr>
            </w:pPr>
            <w:r w:rsidRPr="00A032E6">
              <w:rPr>
                <w:rFonts w:eastAsiaTheme="minorEastAsia"/>
                <w:sz w:val="24"/>
              </w:rPr>
              <w:t>Вирусный гепатит С</w:t>
            </w:r>
          </w:p>
        </w:tc>
      </w:tr>
      <w:tr w:rsidR="000139E5" w:rsidRPr="00A032E6" w14:paraId="18BE356E" w14:textId="77777777" w:rsidTr="00A76175">
        <w:trPr>
          <w:trHeight w:val="20"/>
        </w:trPr>
        <w:tc>
          <w:tcPr>
            <w:tcW w:w="1871" w:type="dxa"/>
            <w:vAlign w:val="center"/>
          </w:tcPr>
          <w:p w14:paraId="66247D95" w14:textId="77777777" w:rsidR="000139E5" w:rsidRPr="00A032E6" w:rsidRDefault="000139E5" w:rsidP="000139E5">
            <w:pPr>
              <w:pStyle w:val="afff8"/>
              <w:rPr>
                <w:rFonts w:eastAsiaTheme="minorEastAsia"/>
                <w:sz w:val="24"/>
              </w:rPr>
            </w:pPr>
            <w:r w:rsidRPr="00A032E6">
              <w:rPr>
                <w:rFonts w:eastAsiaTheme="minorEastAsia"/>
                <w:sz w:val="24"/>
              </w:rPr>
              <w:t>ВИЧ</w:t>
            </w:r>
          </w:p>
        </w:tc>
        <w:tc>
          <w:tcPr>
            <w:tcW w:w="7474" w:type="dxa"/>
            <w:vAlign w:val="center"/>
          </w:tcPr>
          <w:p w14:paraId="20F2AC06" w14:textId="77777777" w:rsidR="000139E5" w:rsidRPr="00A032E6" w:rsidRDefault="000139E5" w:rsidP="000139E5">
            <w:pPr>
              <w:pStyle w:val="afff8"/>
              <w:rPr>
                <w:rFonts w:eastAsiaTheme="minorEastAsia"/>
                <w:sz w:val="24"/>
              </w:rPr>
            </w:pPr>
            <w:r w:rsidRPr="00A032E6">
              <w:rPr>
                <w:rFonts w:eastAsiaTheme="minorEastAsia"/>
                <w:sz w:val="24"/>
              </w:rPr>
              <w:t>Вирус иммунодефицита человека</w:t>
            </w:r>
          </w:p>
        </w:tc>
      </w:tr>
      <w:tr w:rsidR="000139E5" w:rsidRPr="00A032E6" w14:paraId="02ABBDDC" w14:textId="77777777" w:rsidTr="00A76175">
        <w:trPr>
          <w:trHeight w:val="20"/>
        </w:trPr>
        <w:tc>
          <w:tcPr>
            <w:tcW w:w="1871" w:type="dxa"/>
            <w:vAlign w:val="center"/>
          </w:tcPr>
          <w:p w14:paraId="541468DE" w14:textId="77777777" w:rsidR="000139E5" w:rsidRPr="00A032E6" w:rsidRDefault="000139E5" w:rsidP="000139E5">
            <w:pPr>
              <w:pStyle w:val="afff8"/>
              <w:rPr>
                <w:rFonts w:eastAsiaTheme="minorEastAsia"/>
                <w:sz w:val="24"/>
              </w:rPr>
            </w:pPr>
            <w:r w:rsidRPr="00A032E6">
              <w:rPr>
                <w:rFonts w:eastAsiaTheme="minorEastAsia"/>
                <w:sz w:val="24"/>
              </w:rPr>
              <w:t>ВИЧ-1</w:t>
            </w:r>
          </w:p>
        </w:tc>
        <w:tc>
          <w:tcPr>
            <w:tcW w:w="7474" w:type="dxa"/>
            <w:vAlign w:val="center"/>
          </w:tcPr>
          <w:p w14:paraId="2E07F76C" w14:textId="77777777" w:rsidR="000139E5" w:rsidRPr="00A032E6" w:rsidRDefault="000139E5" w:rsidP="000139E5">
            <w:pPr>
              <w:pStyle w:val="afff8"/>
              <w:rPr>
                <w:rFonts w:eastAsiaTheme="minorEastAsia"/>
                <w:sz w:val="24"/>
              </w:rPr>
            </w:pPr>
            <w:r w:rsidRPr="00A032E6">
              <w:rPr>
                <w:rFonts w:eastAsiaTheme="minorEastAsia"/>
                <w:sz w:val="24"/>
              </w:rPr>
              <w:t>Вирус иммунодефицита человека типа 1</w:t>
            </w:r>
          </w:p>
        </w:tc>
      </w:tr>
      <w:tr w:rsidR="00F832D6" w:rsidRPr="00A032E6" w14:paraId="126D0726" w14:textId="77777777" w:rsidTr="00A76175">
        <w:trPr>
          <w:trHeight w:val="20"/>
        </w:trPr>
        <w:tc>
          <w:tcPr>
            <w:tcW w:w="1871" w:type="dxa"/>
            <w:vAlign w:val="center"/>
          </w:tcPr>
          <w:p w14:paraId="0F9F5A62" w14:textId="7BB807A8" w:rsidR="00F832D6" w:rsidRPr="00F832D6" w:rsidRDefault="00F832D6" w:rsidP="000139E5">
            <w:pPr>
              <w:pStyle w:val="afff8"/>
              <w:rPr>
                <w:rFonts w:eastAsiaTheme="minorEastAsia"/>
                <w:sz w:val="24"/>
              </w:rPr>
            </w:pPr>
            <w:r w:rsidRPr="00F832D6">
              <w:rPr>
                <w:sz w:val="24"/>
              </w:rPr>
              <w:t>ВН</w:t>
            </w:r>
          </w:p>
        </w:tc>
        <w:tc>
          <w:tcPr>
            <w:tcW w:w="7474" w:type="dxa"/>
            <w:vAlign w:val="center"/>
          </w:tcPr>
          <w:p w14:paraId="6F5B08C9" w14:textId="19CF4B96" w:rsidR="00F832D6" w:rsidRPr="00A032E6" w:rsidRDefault="00F832D6" w:rsidP="000139E5">
            <w:pPr>
              <w:pStyle w:val="afff8"/>
              <w:rPr>
                <w:rFonts w:eastAsiaTheme="minorEastAsia"/>
                <w:sz w:val="24"/>
              </w:rPr>
            </w:pPr>
            <w:r>
              <w:rPr>
                <w:rFonts w:eastAsiaTheme="minorEastAsia"/>
                <w:sz w:val="24"/>
              </w:rPr>
              <w:t>Вирусная нагрузка</w:t>
            </w:r>
          </w:p>
        </w:tc>
      </w:tr>
      <w:tr w:rsidR="000139E5" w:rsidRPr="00A032E6" w14:paraId="02A1FE26" w14:textId="77777777" w:rsidTr="00A76175">
        <w:trPr>
          <w:trHeight w:val="20"/>
        </w:trPr>
        <w:tc>
          <w:tcPr>
            <w:tcW w:w="1871" w:type="dxa"/>
            <w:vAlign w:val="center"/>
          </w:tcPr>
          <w:p w14:paraId="119F4950" w14:textId="77777777" w:rsidR="000139E5" w:rsidRPr="00A032E6" w:rsidRDefault="000139E5" w:rsidP="000139E5">
            <w:pPr>
              <w:pStyle w:val="afff8"/>
              <w:rPr>
                <w:rFonts w:eastAsiaTheme="minorEastAsia"/>
                <w:sz w:val="24"/>
              </w:rPr>
            </w:pPr>
            <w:r w:rsidRPr="00A032E6">
              <w:rPr>
                <w:rFonts w:eastAsiaTheme="minorEastAsia"/>
                <w:sz w:val="24"/>
              </w:rPr>
              <w:t>ВОЗ</w:t>
            </w:r>
          </w:p>
        </w:tc>
        <w:tc>
          <w:tcPr>
            <w:tcW w:w="7474" w:type="dxa"/>
            <w:vAlign w:val="center"/>
          </w:tcPr>
          <w:p w14:paraId="26CC31DF" w14:textId="77777777" w:rsidR="000139E5" w:rsidRPr="00A032E6" w:rsidRDefault="000139E5" w:rsidP="000139E5">
            <w:pPr>
              <w:pStyle w:val="afff8"/>
              <w:rPr>
                <w:rFonts w:eastAsiaTheme="minorEastAsia"/>
                <w:sz w:val="24"/>
              </w:rPr>
            </w:pPr>
            <w:r w:rsidRPr="00A032E6">
              <w:rPr>
                <w:rFonts w:eastAsiaTheme="minorEastAsia"/>
                <w:sz w:val="24"/>
              </w:rPr>
              <w:t>Всемирная организации здравоохранения</w:t>
            </w:r>
          </w:p>
        </w:tc>
      </w:tr>
      <w:tr w:rsidR="000139E5" w:rsidRPr="00A032E6" w14:paraId="0C919689" w14:textId="77777777" w:rsidTr="00A76175">
        <w:trPr>
          <w:trHeight w:val="20"/>
        </w:trPr>
        <w:tc>
          <w:tcPr>
            <w:tcW w:w="1871" w:type="dxa"/>
            <w:vAlign w:val="center"/>
          </w:tcPr>
          <w:p w14:paraId="1B9FABE2" w14:textId="77777777" w:rsidR="000139E5" w:rsidRPr="00A032E6" w:rsidRDefault="000139E5" w:rsidP="000139E5">
            <w:pPr>
              <w:pStyle w:val="afff8"/>
              <w:rPr>
                <w:rFonts w:eastAsiaTheme="minorEastAsia"/>
                <w:sz w:val="24"/>
              </w:rPr>
            </w:pPr>
            <w:r w:rsidRPr="00A032E6">
              <w:rPr>
                <w:rFonts w:eastAsiaTheme="minorEastAsia"/>
                <w:sz w:val="24"/>
              </w:rPr>
              <w:t>ВЭЖХ</w:t>
            </w:r>
          </w:p>
        </w:tc>
        <w:tc>
          <w:tcPr>
            <w:tcW w:w="7474" w:type="dxa"/>
            <w:vAlign w:val="center"/>
          </w:tcPr>
          <w:p w14:paraId="5791B9CB" w14:textId="77777777" w:rsidR="000139E5" w:rsidRPr="00A032E6" w:rsidRDefault="000139E5" w:rsidP="000139E5">
            <w:pPr>
              <w:pStyle w:val="afff8"/>
              <w:rPr>
                <w:rFonts w:eastAsiaTheme="minorEastAsia"/>
                <w:sz w:val="24"/>
              </w:rPr>
            </w:pPr>
            <w:r w:rsidRPr="00A032E6">
              <w:rPr>
                <w:rFonts w:eastAsiaTheme="minorEastAsia"/>
                <w:sz w:val="24"/>
              </w:rPr>
              <w:t>Высокоэффективная жидкостная хроматография</w:t>
            </w:r>
          </w:p>
        </w:tc>
      </w:tr>
      <w:tr w:rsidR="000139E5" w:rsidRPr="00A032E6" w14:paraId="1C9CAC2A" w14:textId="77777777" w:rsidTr="00A76175">
        <w:trPr>
          <w:trHeight w:val="20"/>
        </w:trPr>
        <w:tc>
          <w:tcPr>
            <w:tcW w:w="1871" w:type="dxa"/>
            <w:vAlign w:val="center"/>
          </w:tcPr>
          <w:p w14:paraId="4848CDED" w14:textId="77777777" w:rsidR="000139E5" w:rsidRPr="00A032E6" w:rsidRDefault="000139E5" w:rsidP="000139E5">
            <w:pPr>
              <w:pStyle w:val="afff8"/>
              <w:rPr>
                <w:rFonts w:eastAsiaTheme="minorEastAsia"/>
                <w:sz w:val="24"/>
              </w:rPr>
            </w:pPr>
            <w:r w:rsidRPr="00A032E6">
              <w:rPr>
                <w:sz w:val="24"/>
              </w:rPr>
              <w:t>ГХ</w:t>
            </w:r>
          </w:p>
        </w:tc>
        <w:tc>
          <w:tcPr>
            <w:tcW w:w="7474" w:type="dxa"/>
            <w:vAlign w:val="center"/>
          </w:tcPr>
          <w:p w14:paraId="2C10D3DE" w14:textId="77777777" w:rsidR="000139E5" w:rsidRPr="00A032E6" w:rsidRDefault="000139E5" w:rsidP="000139E5">
            <w:pPr>
              <w:pStyle w:val="afff8"/>
              <w:rPr>
                <w:rFonts w:eastAsiaTheme="minorEastAsia"/>
                <w:sz w:val="24"/>
              </w:rPr>
            </w:pPr>
            <w:r w:rsidRPr="00A032E6">
              <w:rPr>
                <w:sz w:val="24"/>
              </w:rPr>
              <w:t>Газовая хроматография</w:t>
            </w:r>
          </w:p>
        </w:tc>
      </w:tr>
      <w:tr w:rsidR="00144DAC" w:rsidRPr="00A032E6" w14:paraId="75F9B015" w14:textId="77777777" w:rsidTr="00A76175">
        <w:trPr>
          <w:trHeight w:val="20"/>
        </w:trPr>
        <w:tc>
          <w:tcPr>
            <w:tcW w:w="1871" w:type="dxa"/>
            <w:vAlign w:val="center"/>
          </w:tcPr>
          <w:p w14:paraId="7D001D21" w14:textId="4D00E3F5" w:rsidR="00144DAC" w:rsidRPr="00144DAC" w:rsidRDefault="00144DAC" w:rsidP="00144DAC">
            <w:pPr>
              <w:pStyle w:val="afff8"/>
              <w:rPr>
                <w:sz w:val="24"/>
              </w:rPr>
            </w:pPr>
            <w:r w:rsidRPr="00144DAC">
              <w:rPr>
                <w:rFonts w:eastAsiaTheme="minorEastAsia"/>
                <w:color w:val="000000" w:themeColor="text1"/>
                <w:sz w:val="24"/>
              </w:rPr>
              <w:t>ГЭБ</w:t>
            </w:r>
          </w:p>
        </w:tc>
        <w:tc>
          <w:tcPr>
            <w:tcW w:w="7474" w:type="dxa"/>
            <w:vAlign w:val="center"/>
          </w:tcPr>
          <w:p w14:paraId="086A6D8F" w14:textId="36361B07" w:rsidR="00144DAC" w:rsidRPr="00144DAC" w:rsidRDefault="00144DAC" w:rsidP="00144DAC">
            <w:pPr>
              <w:pStyle w:val="afff8"/>
              <w:rPr>
                <w:sz w:val="24"/>
              </w:rPr>
            </w:pPr>
            <w:r w:rsidRPr="00144DAC">
              <w:rPr>
                <w:rFonts w:eastAsiaTheme="minorEastAsia"/>
                <w:color w:val="000000" w:themeColor="text1"/>
                <w:sz w:val="24"/>
              </w:rPr>
              <w:t>Гематоэнцефалический барьер</w:t>
            </w:r>
          </w:p>
        </w:tc>
      </w:tr>
      <w:tr w:rsidR="000139E5" w:rsidRPr="00A032E6" w14:paraId="26CBDA82" w14:textId="77777777" w:rsidTr="00A76175">
        <w:trPr>
          <w:trHeight w:val="20"/>
        </w:trPr>
        <w:tc>
          <w:tcPr>
            <w:tcW w:w="1871" w:type="dxa"/>
            <w:vAlign w:val="center"/>
          </w:tcPr>
          <w:p w14:paraId="418589CB" w14:textId="77777777" w:rsidR="000139E5" w:rsidRPr="00A032E6" w:rsidRDefault="000139E5" w:rsidP="000139E5">
            <w:pPr>
              <w:pStyle w:val="afff8"/>
              <w:rPr>
                <w:rFonts w:eastAsiaTheme="minorEastAsia"/>
                <w:sz w:val="24"/>
              </w:rPr>
            </w:pPr>
            <w:r w:rsidRPr="00A032E6">
              <w:rPr>
                <w:rFonts w:eastAsiaTheme="minorEastAsia"/>
                <w:sz w:val="24"/>
              </w:rPr>
              <w:t>ДИ</w:t>
            </w:r>
          </w:p>
        </w:tc>
        <w:tc>
          <w:tcPr>
            <w:tcW w:w="7474" w:type="dxa"/>
            <w:vAlign w:val="center"/>
          </w:tcPr>
          <w:p w14:paraId="3B0415FA" w14:textId="77777777" w:rsidR="000139E5" w:rsidRPr="00A032E6" w:rsidRDefault="000139E5" w:rsidP="000139E5">
            <w:pPr>
              <w:pStyle w:val="afff8"/>
              <w:rPr>
                <w:rFonts w:eastAsiaTheme="minorEastAsia"/>
                <w:sz w:val="24"/>
              </w:rPr>
            </w:pPr>
            <w:r w:rsidRPr="00A032E6">
              <w:rPr>
                <w:rFonts w:eastAsiaTheme="minorEastAsia"/>
                <w:sz w:val="24"/>
              </w:rPr>
              <w:t>Доверительный интервал</w:t>
            </w:r>
          </w:p>
        </w:tc>
      </w:tr>
      <w:tr w:rsidR="000139E5" w:rsidRPr="00A032E6" w14:paraId="0C232D40" w14:textId="77777777" w:rsidTr="00A76175">
        <w:trPr>
          <w:trHeight w:val="20"/>
        </w:trPr>
        <w:tc>
          <w:tcPr>
            <w:tcW w:w="1871" w:type="dxa"/>
            <w:vAlign w:val="center"/>
          </w:tcPr>
          <w:p w14:paraId="758A7A06" w14:textId="77777777" w:rsidR="000139E5" w:rsidRPr="00A032E6" w:rsidRDefault="000139E5" w:rsidP="000139E5">
            <w:pPr>
              <w:pStyle w:val="afff8"/>
              <w:rPr>
                <w:rFonts w:eastAsiaTheme="minorEastAsia"/>
                <w:sz w:val="24"/>
              </w:rPr>
            </w:pPr>
            <w:r w:rsidRPr="00A032E6">
              <w:rPr>
                <w:rFonts w:eastAsiaTheme="minorEastAsia"/>
                <w:sz w:val="24"/>
              </w:rPr>
              <w:t>ДНК</w:t>
            </w:r>
          </w:p>
        </w:tc>
        <w:tc>
          <w:tcPr>
            <w:tcW w:w="7474" w:type="dxa"/>
            <w:vAlign w:val="center"/>
          </w:tcPr>
          <w:p w14:paraId="5C783F59" w14:textId="77777777" w:rsidR="000139E5" w:rsidRPr="00A032E6" w:rsidRDefault="000139E5" w:rsidP="000139E5">
            <w:pPr>
              <w:pStyle w:val="afff8"/>
              <w:rPr>
                <w:rFonts w:eastAsiaTheme="minorEastAsia"/>
                <w:sz w:val="24"/>
              </w:rPr>
            </w:pPr>
            <w:r w:rsidRPr="00A032E6">
              <w:rPr>
                <w:rFonts w:eastAsiaTheme="minorEastAsia"/>
                <w:sz w:val="24"/>
              </w:rPr>
              <w:t>Дезоксирибонуклеиновая кислота</w:t>
            </w:r>
          </w:p>
        </w:tc>
      </w:tr>
      <w:tr w:rsidR="00144DAC" w:rsidRPr="00A032E6" w14:paraId="6877B2DB" w14:textId="77777777" w:rsidTr="00A76175">
        <w:trPr>
          <w:trHeight w:val="20"/>
        </w:trPr>
        <w:tc>
          <w:tcPr>
            <w:tcW w:w="1871" w:type="dxa"/>
            <w:vAlign w:val="center"/>
          </w:tcPr>
          <w:p w14:paraId="429DB366" w14:textId="39322FE3" w:rsidR="00144DAC" w:rsidRPr="00144DAC" w:rsidRDefault="00144DAC" w:rsidP="00144DAC">
            <w:pPr>
              <w:pStyle w:val="afff8"/>
              <w:rPr>
                <w:rFonts w:eastAsiaTheme="minorEastAsia"/>
                <w:sz w:val="24"/>
              </w:rPr>
            </w:pPr>
            <w:r w:rsidRPr="00144DAC">
              <w:rPr>
                <w:color w:val="000000" w:themeColor="text1"/>
                <w:sz w:val="24"/>
              </w:rPr>
              <w:t>ДМСО</w:t>
            </w:r>
          </w:p>
        </w:tc>
        <w:tc>
          <w:tcPr>
            <w:tcW w:w="7474" w:type="dxa"/>
            <w:vAlign w:val="center"/>
          </w:tcPr>
          <w:p w14:paraId="36F82387" w14:textId="5563E564" w:rsidR="00144DAC" w:rsidRPr="00144DAC" w:rsidRDefault="00144DAC" w:rsidP="00144DAC">
            <w:pPr>
              <w:pStyle w:val="afff8"/>
              <w:rPr>
                <w:rFonts w:eastAsiaTheme="minorEastAsia"/>
                <w:sz w:val="24"/>
              </w:rPr>
            </w:pPr>
            <w:r w:rsidRPr="00144DAC">
              <w:rPr>
                <w:color w:val="000000" w:themeColor="text1"/>
                <w:sz w:val="24"/>
              </w:rPr>
              <w:t>Диметилсульфоксид</w:t>
            </w:r>
          </w:p>
        </w:tc>
      </w:tr>
      <w:tr w:rsidR="000139E5" w:rsidRPr="00A032E6" w14:paraId="52D80205" w14:textId="77777777" w:rsidTr="00A76175">
        <w:trPr>
          <w:trHeight w:val="20"/>
        </w:trPr>
        <w:tc>
          <w:tcPr>
            <w:tcW w:w="1871" w:type="dxa"/>
            <w:vAlign w:val="center"/>
          </w:tcPr>
          <w:p w14:paraId="3C8BA3A7" w14:textId="77777777" w:rsidR="000139E5" w:rsidRPr="00A032E6" w:rsidRDefault="000139E5" w:rsidP="000139E5">
            <w:pPr>
              <w:pStyle w:val="afff8"/>
              <w:rPr>
                <w:rFonts w:eastAsiaTheme="minorEastAsia"/>
                <w:sz w:val="24"/>
                <w:lang w:val="en-US"/>
              </w:rPr>
            </w:pPr>
            <w:r w:rsidRPr="00A032E6">
              <w:rPr>
                <w:rFonts w:eastAsiaTheme="minorEastAsia"/>
                <w:sz w:val="24"/>
              </w:rPr>
              <w:t>ЕАЭС</w:t>
            </w:r>
          </w:p>
        </w:tc>
        <w:tc>
          <w:tcPr>
            <w:tcW w:w="7474" w:type="dxa"/>
            <w:vAlign w:val="center"/>
          </w:tcPr>
          <w:p w14:paraId="5412085F" w14:textId="77777777" w:rsidR="000139E5" w:rsidRPr="00A032E6" w:rsidRDefault="000139E5" w:rsidP="000139E5">
            <w:pPr>
              <w:pStyle w:val="afff8"/>
              <w:rPr>
                <w:rFonts w:eastAsiaTheme="minorEastAsia"/>
                <w:sz w:val="24"/>
              </w:rPr>
            </w:pPr>
            <w:r w:rsidRPr="00A032E6">
              <w:rPr>
                <w:rFonts w:eastAsiaTheme="minorEastAsia"/>
                <w:sz w:val="24"/>
              </w:rPr>
              <w:t>Евразийский экономический союз</w:t>
            </w:r>
          </w:p>
        </w:tc>
      </w:tr>
      <w:tr w:rsidR="001474E8" w:rsidRPr="00A032E6" w14:paraId="2ACA4C5E" w14:textId="77777777" w:rsidTr="00A76175">
        <w:trPr>
          <w:trHeight w:val="20"/>
        </w:trPr>
        <w:tc>
          <w:tcPr>
            <w:tcW w:w="1871" w:type="dxa"/>
            <w:vAlign w:val="center"/>
          </w:tcPr>
          <w:p w14:paraId="60D1AD3F" w14:textId="2E62D93A" w:rsidR="001474E8" w:rsidRPr="00A032E6" w:rsidRDefault="001474E8" w:rsidP="000139E5">
            <w:pPr>
              <w:pStyle w:val="afff8"/>
              <w:rPr>
                <w:rFonts w:eastAsiaTheme="minorEastAsia"/>
                <w:sz w:val="24"/>
              </w:rPr>
            </w:pPr>
            <w:r w:rsidRPr="001474E8">
              <w:rPr>
                <w:rFonts w:eastAsiaTheme="minorEastAsia"/>
                <w:sz w:val="24"/>
              </w:rPr>
              <w:t>ЖХ-МС</w:t>
            </w:r>
          </w:p>
        </w:tc>
        <w:tc>
          <w:tcPr>
            <w:tcW w:w="7474" w:type="dxa"/>
            <w:vAlign w:val="center"/>
          </w:tcPr>
          <w:p w14:paraId="66F0466A" w14:textId="6F9A3367" w:rsidR="001474E8" w:rsidRPr="00A032E6" w:rsidRDefault="001474E8" w:rsidP="001474E8">
            <w:pPr>
              <w:rPr>
                <w:rFonts w:eastAsiaTheme="minorEastAsia"/>
              </w:rPr>
            </w:pPr>
            <w:r>
              <w:t>Ж</w:t>
            </w:r>
            <w:r w:rsidRPr="000275F3">
              <w:t>идкостн</w:t>
            </w:r>
            <w:r>
              <w:t>ая</w:t>
            </w:r>
            <w:r w:rsidRPr="000275F3">
              <w:t xml:space="preserve"> хроматографи</w:t>
            </w:r>
            <w:r>
              <w:t>я</w:t>
            </w:r>
            <w:r w:rsidRPr="000275F3">
              <w:t xml:space="preserve"> с масс спектрометрией </w:t>
            </w:r>
          </w:p>
        </w:tc>
      </w:tr>
      <w:tr w:rsidR="000139E5" w:rsidRPr="00A032E6" w14:paraId="30E4DD4B" w14:textId="77777777" w:rsidTr="00A76175">
        <w:trPr>
          <w:trHeight w:val="20"/>
        </w:trPr>
        <w:tc>
          <w:tcPr>
            <w:tcW w:w="1871" w:type="dxa"/>
            <w:vAlign w:val="center"/>
          </w:tcPr>
          <w:p w14:paraId="43D26E08" w14:textId="77777777" w:rsidR="000139E5" w:rsidRPr="00A032E6" w:rsidRDefault="000139E5" w:rsidP="000139E5">
            <w:pPr>
              <w:pStyle w:val="afff8"/>
              <w:rPr>
                <w:rFonts w:eastAsiaTheme="minorEastAsia"/>
                <w:sz w:val="24"/>
              </w:rPr>
            </w:pPr>
            <w:r w:rsidRPr="00A032E6">
              <w:rPr>
                <w:rFonts w:eastAsiaTheme="minorEastAsia"/>
                <w:sz w:val="24"/>
              </w:rPr>
              <w:t>ИИ</w:t>
            </w:r>
          </w:p>
        </w:tc>
        <w:tc>
          <w:tcPr>
            <w:tcW w:w="7474" w:type="dxa"/>
            <w:vAlign w:val="center"/>
          </w:tcPr>
          <w:p w14:paraId="7AD3F82D" w14:textId="77777777" w:rsidR="000139E5" w:rsidRPr="00A032E6" w:rsidRDefault="000139E5" w:rsidP="000139E5">
            <w:pPr>
              <w:pStyle w:val="afff8"/>
              <w:rPr>
                <w:rFonts w:eastAsiaTheme="minorEastAsia"/>
                <w:sz w:val="24"/>
              </w:rPr>
            </w:pPr>
            <w:r w:rsidRPr="00A032E6">
              <w:rPr>
                <w:rFonts w:eastAsiaTheme="minorEastAsia"/>
                <w:sz w:val="24"/>
              </w:rPr>
              <w:t xml:space="preserve">Ингибиторы интегразы </w:t>
            </w:r>
          </w:p>
        </w:tc>
      </w:tr>
      <w:tr w:rsidR="000139E5" w:rsidRPr="00A032E6" w14:paraId="1B95307F" w14:textId="77777777" w:rsidTr="00A76175">
        <w:trPr>
          <w:trHeight w:val="20"/>
        </w:trPr>
        <w:tc>
          <w:tcPr>
            <w:tcW w:w="1871" w:type="dxa"/>
            <w:vAlign w:val="center"/>
          </w:tcPr>
          <w:p w14:paraId="570A6554" w14:textId="77777777" w:rsidR="000139E5" w:rsidRPr="00A032E6" w:rsidRDefault="000139E5" w:rsidP="000139E5">
            <w:pPr>
              <w:pStyle w:val="afff8"/>
              <w:rPr>
                <w:rFonts w:eastAsiaTheme="minorEastAsia"/>
                <w:sz w:val="24"/>
              </w:rPr>
            </w:pPr>
            <w:r w:rsidRPr="00A032E6">
              <w:rPr>
                <w:rFonts w:eastAsiaTheme="minorEastAsia"/>
                <w:sz w:val="24"/>
              </w:rPr>
              <w:t>ИМП</w:t>
            </w:r>
          </w:p>
        </w:tc>
        <w:tc>
          <w:tcPr>
            <w:tcW w:w="7474" w:type="dxa"/>
            <w:vAlign w:val="center"/>
          </w:tcPr>
          <w:p w14:paraId="44DE349C" w14:textId="77777777" w:rsidR="000139E5" w:rsidRPr="00A032E6" w:rsidRDefault="000139E5" w:rsidP="000139E5">
            <w:pPr>
              <w:pStyle w:val="afff8"/>
              <w:rPr>
                <w:rFonts w:eastAsiaTheme="minorEastAsia"/>
                <w:sz w:val="24"/>
              </w:rPr>
            </w:pPr>
            <w:r w:rsidRPr="00A032E6">
              <w:rPr>
                <w:rFonts w:eastAsiaTheme="minorEastAsia"/>
                <w:sz w:val="24"/>
              </w:rPr>
              <w:t>Инструкция к медицинскому применению</w:t>
            </w:r>
          </w:p>
        </w:tc>
      </w:tr>
      <w:tr w:rsidR="000139E5" w:rsidRPr="00A032E6" w14:paraId="41715CD3" w14:textId="77777777" w:rsidTr="00A76175">
        <w:trPr>
          <w:trHeight w:val="20"/>
        </w:trPr>
        <w:tc>
          <w:tcPr>
            <w:tcW w:w="1871" w:type="dxa"/>
            <w:vAlign w:val="center"/>
          </w:tcPr>
          <w:p w14:paraId="45723A39" w14:textId="77777777" w:rsidR="000139E5" w:rsidRPr="00A032E6" w:rsidRDefault="000139E5" w:rsidP="000139E5">
            <w:pPr>
              <w:pStyle w:val="afff8"/>
              <w:rPr>
                <w:rFonts w:eastAsiaTheme="minorEastAsia"/>
                <w:sz w:val="24"/>
              </w:rPr>
            </w:pPr>
            <w:r w:rsidRPr="00A032E6">
              <w:rPr>
                <w:rFonts w:eastAsiaTheme="minorEastAsia"/>
                <w:sz w:val="24"/>
              </w:rPr>
              <w:t>ИП</w:t>
            </w:r>
          </w:p>
        </w:tc>
        <w:tc>
          <w:tcPr>
            <w:tcW w:w="7474" w:type="dxa"/>
            <w:vAlign w:val="center"/>
          </w:tcPr>
          <w:p w14:paraId="4A307E7D" w14:textId="77777777" w:rsidR="000139E5" w:rsidRPr="00A032E6" w:rsidRDefault="000139E5" w:rsidP="000139E5">
            <w:pPr>
              <w:pStyle w:val="afff8"/>
              <w:rPr>
                <w:rFonts w:eastAsiaTheme="minorEastAsia"/>
                <w:sz w:val="24"/>
              </w:rPr>
            </w:pPr>
            <w:r w:rsidRPr="00A032E6">
              <w:rPr>
                <w:rFonts w:eastAsiaTheme="minorEastAsia"/>
                <w:sz w:val="24"/>
              </w:rPr>
              <w:t>Ингибитор протеазы</w:t>
            </w:r>
          </w:p>
        </w:tc>
      </w:tr>
      <w:tr w:rsidR="000139E5" w:rsidRPr="00A032E6" w14:paraId="27B0981C" w14:textId="77777777" w:rsidTr="00A76175">
        <w:trPr>
          <w:trHeight w:val="20"/>
        </w:trPr>
        <w:tc>
          <w:tcPr>
            <w:tcW w:w="1871" w:type="dxa"/>
            <w:vAlign w:val="center"/>
          </w:tcPr>
          <w:p w14:paraId="3502D535" w14:textId="77777777" w:rsidR="000139E5" w:rsidRPr="00A032E6" w:rsidRDefault="000139E5" w:rsidP="000139E5">
            <w:pPr>
              <w:pStyle w:val="afff8"/>
              <w:rPr>
                <w:rFonts w:eastAsiaTheme="minorEastAsia"/>
                <w:sz w:val="24"/>
              </w:rPr>
            </w:pPr>
            <w:r w:rsidRPr="00A032E6">
              <w:rPr>
                <w:rFonts w:eastAsiaTheme="minorEastAsia"/>
                <w:sz w:val="24"/>
              </w:rPr>
              <w:t>КИ</w:t>
            </w:r>
          </w:p>
        </w:tc>
        <w:tc>
          <w:tcPr>
            <w:tcW w:w="7474" w:type="dxa"/>
            <w:vAlign w:val="center"/>
          </w:tcPr>
          <w:p w14:paraId="48BA21D4" w14:textId="77777777" w:rsidR="000139E5" w:rsidRPr="00A032E6" w:rsidRDefault="000139E5" w:rsidP="000139E5">
            <w:pPr>
              <w:pStyle w:val="afff8"/>
              <w:rPr>
                <w:rFonts w:eastAsiaTheme="minorEastAsia"/>
                <w:sz w:val="24"/>
              </w:rPr>
            </w:pPr>
            <w:r w:rsidRPr="00A032E6">
              <w:rPr>
                <w:rFonts w:eastAsiaTheme="minorEastAsia"/>
                <w:sz w:val="24"/>
              </w:rPr>
              <w:t>Клинические исследования</w:t>
            </w:r>
          </w:p>
        </w:tc>
      </w:tr>
      <w:tr w:rsidR="000139E5" w:rsidRPr="00A032E6" w14:paraId="2AFCB4BE" w14:textId="77777777" w:rsidTr="00A76175">
        <w:trPr>
          <w:trHeight w:val="20"/>
        </w:trPr>
        <w:tc>
          <w:tcPr>
            <w:tcW w:w="1871" w:type="dxa"/>
            <w:vAlign w:val="center"/>
          </w:tcPr>
          <w:p w14:paraId="3CC838B2" w14:textId="77777777" w:rsidR="000139E5" w:rsidRPr="00A032E6" w:rsidRDefault="000139E5" w:rsidP="000139E5">
            <w:pPr>
              <w:pStyle w:val="afff8"/>
              <w:rPr>
                <w:rFonts w:eastAsiaTheme="minorEastAsia"/>
                <w:sz w:val="24"/>
              </w:rPr>
            </w:pPr>
            <w:r w:rsidRPr="00A032E6">
              <w:rPr>
                <w:rFonts w:eastAsiaTheme="minorEastAsia"/>
                <w:sz w:val="24"/>
              </w:rPr>
              <w:t>ЛПНП</w:t>
            </w:r>
          </w:p>
        </w:tc>
        <w:tc>
          <w:tcPr>
            <w:tcW w:w="7474" w:type="dxa"/>
            <w:vAlign w:val="center"/>
          </w:tcPr>
          <w:p w14:paraId="6833EC4A" w14:textId="77777777" w:rsidR="000139E5" w:rsidRPr="00A032E6" w:rsidRDefault="000139E5" w:rsidP="000139E5">
            <w:pPr>
              <w:pStyle w:val="afff8"/>
              <w:rPr>
                <w:rFonts w:eastAsiaTheme="minorEastAsia"/>
                <w:sz w:val="24"/>
              </w:rPr>
            </w:pPr>
            <w:r w:rsidRPr="00A032E6">
              <w:rPr>
                <w:rFonts w:eastAsiaTheme="minorEastAsia"/>
                <w:sz w:val="24"/>
              </w:rPr>
              <w:t>Липопротеины низкой плотности</w:t>
            </w:r>
          </w:p>
        </w:tc>
      </w:tr>
      <w:tr w:rsidR="000139E5" w:rsidRPr="00A032E6" w14:paraId="7D6DA8E8" w14:textId="77777777" w:rsidTr="00A76175">
        <w:trPr>
          <w:trHeight w:val="20"/>
        </w:trPr>
        <w:tc>
          <w:tcPr>
            <w:tcW w:w="1871" w:type="dxa"/>
            <w:vAlign w:val="center"/>
          </w:tcPr>
          <w:p w14:paraId="3BAE990B" w14:textId="77777777" w:rsidR="000139E5" w:rsidRPr="00A032E6" w:rsidRDefault="000139E5" w:rsidP="000139E5">
            <w:pPr>
              <w:pStyle w:val="afff8"/>
              <w:rPr>
                <w:rFonts w:eastAsiaTheme="minorEastAsia"/>
                <w:sz w:val="24"/>
              </w:rPr>
            </w:pPr>
            <w:r w:rsidRPr="00A032E6">
              <w:rPr>
                <w:rFonts w:eastAsiaTheme="minorEastAsia"/>
                <w:sz w:val="24"/>
              </w:rPr>
              <w:t>МЛВ</w:t>
            </w:r>
          </w:p>
        </w:tc>
        <w:tc>
          <w:tcPr>
            <w:tcW w:w="7474" w:type="dxa"/>
            <w:vAlign w:val="center"/>
          </w:tcPr>
          <w:p w14:paraId="3432016E" w14:textId="77777777" w:rsidR="000139E5" w:rsidRPr="00A032E6" w:rsidRDefault="000139E5" w:rsidP="000139E5">
            <w:pPr>
              <w:pStyle w:val="afff8"/>
              <w:rPr>
                <w:rFonts w:eastAsiaTheme="minorEastAsia"/>
                <w:sz w:val="24"/>
              </w:rPr>
            </w:pPr>
            <w:r w:rsidRPr="00A032E6">
              <w:rPr>
                <w:rFonts w:eastAsiaTheme="minorEastAsia"/>
                <w:sz w:val="24"/>
              </w:rPr>
              <w:t>Межлекарственные взаимодействия</w:t>
            </w:r>
          </w:p>
        </w:tc>
      </w:tr>
      <w:tr w:rsidR="0091458C" w:rsidRPr="00A032E6" w14:paraId="3A399E0D" w14:textId="77777777" w:rsidTr="00A76175">
        <w:trPr>
          <w:trHeight w:val="20"/>
        </w:trPr>
        <w:tc>
          <w:tcPr>
            <w:tcW w:w="1871" w:type="dxa"/>
            <w:vAlign w:val="center"/>
          </w:tcPr>
          <w:p w14:paraId="419E124D" w14:textId="2F863AA5" w:rsidR="0091458C" w:rsidRPr="00A032E6" w:rsidRDefault="0091458C" w:rsidP="000139E5">
            <w:pPr>
              <w:pStyle w:val="afff8"/>
              <w:rPr>
                <w:rFonts w:eastAsiaTheme="minorEastAsia"/>
                <w:sz w:val="24"/>
              </w:rPr>
            </w:pPr>
            <w:bookmarkStart w:id="7" w:name="_Hlk112739906"/>
            <w:r w:rsidRPr="000275F3">
              <w:rPr>
                <w:sz w:val="24"/>
              </w:rPr>
              <w:t>МНО</w:t>
            </w:r>
          </w:p>
        </w:tc>
        <w:tc>
          <w:tcPr>
            <w:tcW w:w="7474" w:type="dxa"/>
            <w:vAlign w:val="center"/>
          </w:tcPr>
          <w:p w14:paraId="6830FBD2" w14:textId="1DD23E85" w:rsidR="0091458C" w:rsidRPr="00A032E6" w:rsidRDefault="0091458C" w:rsidP="0091458C">
            <w:pPr>
              <w:rPr>
                <w:rFonts w:eastAsiaTheme="minorEastAsia"/>
              </w:rPr>
            </w:pPr>
            <w:r>
              <w:t>М</w:t>
            </w:r>
            <w:r w:rsidRPr="000275F3">
              <w:t>еждународно</w:t>
            </w:r>
            <w:r w:rsidR="001858BB">
              <w:t>е</w:t>
            </w:r>
            <w:r w:rsidRPr="000275F3">
              <w:t xml:space="preserve"> нормализованно</w:t>
            </w:r>
            <w:r w:rsidR="001858BB">
              <w:t>е</w:t>
            </w:r>
            <w:r w:rsidRPr="000275F3">
              <w:t xml:space="preserve"> отношени</w:t>
            </w:r>
            <w:r w:rsidR="001858BB">
              <w:t>е</w:t>
            </w:r>
            <w:r w:rsidRPr="000275F3">
              <w:t xml:space="preserve"> </w:t>
            </w:r>
          </w:p>
        </w:tc>
      </w:tr>
      <w:bookmarkEnd w:id="7"/>
      <w:tr w:rsidR="000139E5" w:rsidRPr="00A032E6" w14:paraId="44A546A8" w14:textId="77777777" w:rsidTr="00A76175">
        <w:trPr>
          <w:trHeight w:val="20"/>
        </w:trPr>
        <w:tc>
          <w:tcPr>
            <w:tcW w:w="1871" w:type="dxa"/>
            <w:vAlign w:val="center"/>
          </w:tcPr>
          <w:p w14:paraId="72F5C536" w14:textId="77777777" w:rsidR="000139E5" w:rsidRPr="00A032E6" w:rsidRDefault="000139E5" w:rsidP="000139E5">
            <w:pPr>
              <w:pStyle w:val="afff8"/>
              <w:rPr>
                <w:rFonts w:eastAsiaTheme="minorEastAsia"/>
                <w:sz w:val="24"/>
              </w:rPr>
            </w:pPr>
            <w:r w:rsidRPr="00A032E6">
              <w:rPr>
                <w:rFonts w:eastAsiaTheme="minorEastAsia"/>
                <w:sz w:val="24"/>
              </w:rPr>
              <w:t>НИОТ</w:t>
            </w:r>
          </w:p>
        </w:tc>
        <w:tc>
          <w:tcPr>
            <w:tcW w:w="7474" w:type="dxa"/>
            <w:vAlign w:val="center"/>
          </w:tcPr>
          <w:p w14:paraId="599BAF69" w14:textId="77777777" w:rsidR="000139E5" w:rsidRPr="00A032E6" w:rsidRDefault="000139E5" w:rsidP="000139E5">
            <w:pPr>
              <w:pStyle w:val="afff8"/>
              <w:rPr>
                <w:rFonts w:eastAsiaTheme="minorEastAsia"/>
                <w:sz w:val="24"/>
              </w:rPr>
            </w:pPr>
            <w:r w:rsidRPr="00A032E6">
              <w:rPr>
                <w:rFonts w:eastAsiaTheme="minorEastAsia"/>
                <w:sz w:val="24"/>
              </w:rPr>
              <w:t xml:space="preserve">Нуклеозидные ингибиторы обратной транскриптазы </w:t>
            </w:r>
          </w:p>
        </w:tc>
      </w:tr>
      <w:tr w:rsidR="000139E5" w:rsidRPr="00A032E6" w14:paraId="672BF8D1" w14:textId="77777777" w:rsidTr="00A76175">
        <w:trPr>
          <w:trHeight w:val="20"/>
        </w:trPr>
        <w:tc>
          <w:tcPr>
            <w:tcW w:w="1871" w:type="dxa"/>
            <w:vAlign w:val="center"/>
          </w:tcPr>
          <w:p w14:paraId="13946A02" w14:textId="77777777" w:rsidR="000139E5" w:rsidRPr="00A032E6" w:rsidRDefault="000139E5" w:rsidP="000139E5">
            <w:pPr>
              <w:pStyle w:val="afff8"/>
              <w:rPr>
                <w:rFonts w:eastAsiaTheme="minorEastAsia"/>
                <w:sz w:val="24"/>
              </w:rPr>
            </w:pPr>
            <w:r w:rsidRPr="00A032E6">
              <w:rPr>
                <w:rFonts w:eastAsiaTheme="minorEastAsia"/>
                <w:sz w:val="24"/>
              </w:rPr>
              <w:t>ННИОТ</w:t>
            </w:r>
          </w:p>
        </w:tc>
        <w:tc>
          <w:tcPr>
            <w:tcW w:w="7474" w:type="dxa"/>
            <w:vAlign w:val="center"/>
          </w:tcPr>
          <w:p w14:paraId="3FB39370" w14:textId="77777777" w:rsidR="000139E5" w:rsidRPr="00A032E6" w:rsidRDefault="000139E5" w:rsidP="000139E5">
            <w:pPr>
              <w:pStyle w:val="afff8"/>
              <w:rPr>
                <w:rFonts w:eastAsiaTheme="minorEastAsia"/>
                <w:sz w:val="24"/>
              </w:rPr>
            </w:pPr>
            <w:r w:rsidRPr="00A032E6">
              <w:rPr>
                <w:rFonts w:eastAsiaTheme="minorEastAsia"/>
                <w:sz w:val="24"/>
              </w:rPr>
              <w:t>Ненуклеозидные ингибиторы обратной транскриптазы</w:t>
            </w:r>
          </w:p>
        </w:tc>
      </w:tr>
      <w:tr w:rsidR="000139E5" w:rsidRPr="00A032E6" w14:paraId="10460606" w14:textId="77777777" w:rsidTr="00A76175">
        <w:trPr>
          <w:trHeight w:val="20"/>
        </w:trPr>
        <w:tc>
          <w:tcPr>
            <w:tcW w:w="1871" w:type="dxa"/>
            <w:vAlign w:val="center"/>
          </w:tcPr>
          <w:p w14:paraId="1CF54E8F" w14:textId="77777777" w:rsidR="000139E5" w:rsidRPr="00A032E6" w:rsidRDefault="000139E5" w:rsidP="000139E5">
            <w:pPr>
              <w:pStyle w:val="afff8"/>
              <w:rPr>
                <w:rFonts w:eastAsiaTheme="minorEastAsia"/>
                <w:sz w:val="24"/>
                <w:lang w:val="en-US"/>
              </w:rPr>
            </w:pPr>
            <w:r w:rsidRPr="00A032E6">
              <w:rPr>
                <w:rFonts w:eastAsiaTheme="minorEastAsia"/>
                <w:sz w:val="24"/>
              </w:rPr>
              <w:t xml:space="preserve">НЯ </w:t>
            </w:r>
          </w:p>
        </w:tc>
        <w:tc>
          <w:tcPr>
            <w:tcW w:w="7474" w:type="dxa"/>
            <w:vAlign w:val="center"/>
          </w:tcPr>
          <w:p w14:paraId="09D37541" w14:textId="77777777" w:rsidR="000139E5" w:rsidRPr="00A032E6" w:rsidRDefault="000139E5" w:rsidP="000139E5">
            <w:pPr>
              <w:pStyle w:val="afff8"/>
              <w:rPr>
                <w:rFonts w:eastAsiaTheme="minorEastAsia"/>
                <w:sz w:val="24"/>
              </w:rPr>
            </w:pPr>
            <w:r w:rsidRPr="00A032E6">
              <w:rPr>
                <w:rFonts w:eastAsiaTheme="minorEastAsia"/>
                <w:sz w:val="24"/>
              </w:rPr>
              <w:t>Нежелательные явления</w:t>
            </w:r>
          </w:p>
        </w:tc>
      </w:tr>
      <w:tr w:rsidR="009B32BB" w:rsidRPr="00A032E6" w14:paraId="7378E858" w14:textId="77777777" w:rsidTr="00A76175">
        <w:trPr>
          <w:trHeight w:val="20"/>
        </w:trPr>
        <w:tc>
          <w:tcPr>
            <w:tcW w:w="1871" w:type="dxa"/>
            <w:vAlign w:val="center"/>
          </w:tcPr>
          <w:p w14:paraId="6F6AA2C9" w14:textId="71A2D094" w:rsidR="009B32BB" w:rsidRPr="00A032E6" w:rsidRDefault="009B32BB" w:rsidP="000139E5">
            <w:pPr>
              <w:pStyle w:val="afff8"/>
              <w:rPr>
                <w:rFonts w:eastAsiaTheme="minorEastAsia"/>
                <w:sz w:val="24"/>
              </w:rPr>
            </w:pPr>
            <w:r>
              <w:rPr>
                <w:rFonts w:eastAsiaTheme="minorEastAsia"/>
                <w:sz w:val="24"/>
              </w:rPr>
              <w:t>ПЦР</w:t>
            </w:r>
          </w:p>
        </w:tc>
        <w:tc>
          <w:tcPr>
            <w:tcW w:w="7474" w:type="dxa"/>
            <w:vAlign w:val="center"/>
          </w:tcPr>
          <w:p w14:paraId="68F3FE8A" w14:textId="1E2BE72B" w:rsidR="009B32BB" w:rsidRPr="00A032E6" w:rsidRDefault="009B32BB" w:rsidP="000139E5">
            <w:pPr>
              <w:pStyle w:val="afff8"/>
              <w:rPr>
                <w:rFonts w:eastAsiaTheme="minorEastAsia"/>
                <w:sz w:val="24"/>
              </w:rPr>
            </w:pPr>
            <w:r>
              <w:rPr>
                <w:rFonts w:eastAsiaTheme="minorEastAsia"/>
                <w:sz w:val="24"/>
              </w:rPr>
              <w:t>Полимеразная цепная реакция</w:t>
            </w:r>
          </w:p>
        </w:tc>
      </w:tr>
      <w:tr w:rsidR="000139E5" w:rsidRPr="00A032E6" w14:paraId="01A2A872" w14:textId="77777777" w:rsidTr="00A76175">
        <w:trPr>
          <w:trHeight w:val="20"/>
        </w:trPr>
        <w:tc>
          <w:tcPr>
            <w:tcW w:w="1871" w:type="dxa"/>
            <w:vAlign w:val="center"/>
          </w:tcPr>
          <w:p w14:paraId="7E2BCFD6" w14:textId="77777777" w:rsidR="000139E5" w:rsidRPr="005F7263" w:rsidRDefault="000139E5" w:rsidP="000139E5">
            <w:pPr>
              <w:pStyle w:val="afff8"/>
              <w:rPr>
                <w:rFonts w:eastAsiaTheme="minorEastAsia"/>
                <w:sz w:val="24"/>
              </w:rPr>
            </w:pPr>
            <w:r w:rsidRPr="005F7263">
              <w:rPr>
                <w:rFonts w:eastAsiaTheme="minorEastAsia"/>
                <w:sz w:val="24"/>
              </w:rPr>
              <w:t>РНК</w:t>
            </w:r>
          </w:p>
        </w:tc>
        <w:tc>
          <w:tcPr>
            <w:tcW w:w="7474" w:type="dxa"/>
            <w:vAlign w:val="center"/>
          </w:tcPr>
          <w:p w14:paraId="71D1331C" w14:textId="77777777" w:rsidR="000139E5" w:rsidRPr="005F7263" w:rsidRDefault="000139E5" w:rsidP="000139E5">
            <w:pPr>
              <w:pStyle w:val="afff8"/>
              <w:rPr>
                <w:rFonts w:eastAsiaTheme="minorEastAsia"/>
                <w:sz w:val="24"/>
              </w:rPr>
            </w:pPr>
            <w:r w:rsidRPr="005F7263">
              <w:rPr>
                <w:rFonts w:eastAsiaTheme="minorEastAsia"/>
                <w:sz w:val="24"/>
              </w:rPr>
              <w:t>Рибонуклеиновая кислота</w:t>
            </w:r>
          </w:p>
        </w:tc>
      </w:tr>
      <w:tr w:rsidR="005F7263" w:rsidRPr="00A032E6" w14:paraId="09825596" w14:textId="77777777" w:rsidTr="00A76175">
        <w:trPr>
          <w:trHeight w:val="20"/>
        </w:trPr>
        <w:tc>
          <w:tcPr>
            <w:tcW w:w="1871" w:type="dxa"/>
            <w:vAlign w:val="center"/>
          </w:tcPr>
          <w:p w14:paraId="791BBA0F" w14:textId="2D338DCC" w:rsidR="005F7263" w:rsidRPr="005F7263" w:rsidRDefault="005F7263" w:rsidP="005F7263">
            <w:pPr>
              <w:pStyle w:val="afff8"/>
              <w:rPr>
                <w:rFonts w:eastAsiaTheme="minorEastAsia"/>
                <w:sz w:val="24"/>
              </w:rPr>
            </w:pPr>
            <w:r w:rsidRPr="005F7263">
              <w:rPr>
                <w:sz w:val="24"/>
              </w:rPr>
              <w:t>РНКаза Н</w:t>
            </w:r>
          </w:p>
        </w:tc>
        <w:tc>
          <w:tcPr>
            <w:tcW w:w="7474" w:type="dxa"/>
            <w:vAlign w:val="center"/>
          </w:tcPr>
          <w:p w14:paraId="37BDDADE" w14:textId="2DD39FEE" w:rsidR="005F7263" w:rsidRPr="005F7263" w:rsidRDefault="005F7263" w:rsidP="005F7263">
            <w:pPr>
              <w:pStyle w:val="afff8"/>
              <w:rPr>
                <w:rFonts w:eastAsiaTheme="minorEastAsia"/>
                <w:sz w:val="24"/>
              </w:rPr>
            </w:pPr>
            <w:r w:rsidRPr="005F7263">
              <w:rPr>
                <w:sz w:val="24"/>
              </w:rPr>
              <w:t>Рибонуклеаза Н</w:t>
            </w:r>
          </w:p>
        </w:tc>
      </w:tr>
      <w:tr w:rsidR="000139E5" w:rsidRPr="00A032E6" w14:paraId="4E358201" w14:textId="77777777" w:rsidTr="00A76175">
        <w:trPr>
          <w:trHeight w:val="20"/>
        </w:trPr>
        <w:tc>
          <w:tcPr>
            <w:tcW w:w="1871" w:type="dxa"/>
            <w:vAlign w:val="center"/>
          </w:tcPr>
          <w:p w14:paraId="5824C6D9" w14:textId="77777777" w:rsidR="000139E5" w:rsidRPr="00A032E6" w:rsidRDefault="000139E5" w:rsidP="000139E5">
            <w:pPr>
              <w:pStyle w:val="afff8"/>
              <w:rPr>
                <w:rFonts w:eastAsiaTheme="minorEastAsia"/>
                <w:sz w:val="24"/>
              </w:rPr>
            </w:pPr>
            <w:r w:rsidRPr="00A032E6">
              <w:rPr>
                <w:rFonts w:eastAsiaTheme="minorEastAsia"/>
                <w:sz w:val="24"/>
              </w:rPr>
              <w:t>СМЖ</w:t>
            </w:r>
          </w:p>
        </w:tc>
        <w:tc>
          <w:tcPr>
            <w:tcW w:w="7474" w:type="dxa"/>
            <w:vAlign w:val="center"/>
          </w:tcPr>
          <w:p w14:paraId="15ED5DD5" w14:textId="77777777" w:rsidR="000139E5" w:rsidRPr="00A032E6" w:rsidRDefault="000139E5" w:rsidP="000139E5">
            <w:pPr>
              <w:pStyle w:val="afff8"/>
              <w:rPr>
                <w:rFonts w:eastAsiaTheme="minorEastAsia"/>
                <w:sz w:val="24"/>
              </w:rPr>
            </w:pPr>
            <w:r w:rsidRPr="00A032E6">
              <w:rPr>
                <w:rFonts w:eastAsiaTheme="minorEastAsia"/>
                <w:sz w:val="24"/>
              </w:rPr>
              <w:t>Спинномозговая жидкость</w:t>
            </w:r>
          </w:p>
        </w:tc>
      </w:tr>
      <w:tr w:rsidR="000139E5" w:rsidRPr="00A032E6" w14:paraId="72E5B1CA" w14:textId="77777777" w:rsidTr="00A76175">
        <w:trPr>
          <w:trHeight w:val="20"/>
        </w:trPr>
        <w:tc>
          <w:tcPr>
            <w:tcW w:w="1871" w:type="dxa"/>
            <w:vAlign w:val="center"/>
          </w:tcPr>
          <w:p w14:paraId="75C94118" w14:textId="77777777" w:rsidR="000139E5" w:rsidRPr="00A032E6" w:rsidRDefault="000139E5" w:rsidP="000139E5">
            <w:pPr>
              <w:pStyle w:val="afff8"/>
              <w:rPr>
                <w:rFonts w:eastAsiaTheme="minorEastAsia"/>
                <w:sz w:val="24"/>
              </w:rPr>
            </w:pPr>
            <w:r w:rsidRPr="00A032E6">
              <w:rPr>
                <w:rFonts w:eastAsiaTheme="minorEastAsia"/>
                <w:sz w:val="24"/>
              </w:rPr>
              <w:t>СНЯ</w:t>
            </w:r>
          </w:p>
        </w:tc>
        <w:tc>
          <w:tcPr>
            <w:tcW w:w="7474" w:type="dxa"/>
            <w:vAlign w:val="center"/>
          </w:tcPr>
          <w:p w14:paraId="44D322AA" w14:textId="77777777" w:rsidR="000139E5" w:rsidRPr="00A032E6" w:rsidRDefault="000139E5" w:rsidP="000139E5">
            <w:pPr>
              <w:pStyle w:val="afff8"/>
              <w:rPr>
                <w:rFonts w:eastAsiaTheme="minorEastAsia"/>
                <w:sz w:val="24"/>
              </w:rPr>
            </w:pPr>
            <w:r w:rsidRPr="00A032E6">
              <w:rPr>
                <w:rFonts w:eastAsiaTheme="minorEastAsia"/>
                <w:sz w:val="24"/>
              </w:rPr>
              <w:t>Серьёзные нежелательные явления</w:t>
            </w:r>
          </w:p>
        </w:tc>
      </w:tr>
      <w:tr w:rsidR="000139E5" w:rsidRPr="00A032E6" w14:paraId="7E1B72C2" w14:textId="77777777" w:rsidTr="00A76175">
        <w:trPr>
          <w:trHeight w:val="20"/>
        </w:trPr>
        <w:tc>
          <w:tcPr>
            <w:tcW w:w="1871" w:type="dxa"/>
            <w:vAlign w:val="center"/>
          </w:tcPr>
          <w:p w14:paraId="70E29102" w14:textId="77777777" w:rsidR="000139E5" w:rsidRPr="00A032E6" w:rsidRDefault="000139E5" w:rsidP="000139E5">
            <w:pPr>
              <w:pStyle w:val="afff8"/>
              <w:rPr>
                <w:rFonts w:eastAsiaTheme="minorEastAsia"/>
                <w:sz w:val="24"/>
              </w:rPr>
            </w:pPr>
            <w:r w:rsidRPr="00A032E6">
              <w:rPr>
                <w:rFonts w:eastAsiaTheme="minorEastAsia"/>
                <w:sz w:val="24"/>
              </w:rPr>
              <w:t>СПИД</w:t>
            </w:r>
          </w:p>
        </w:tc>
        <w:tc>
          <w:tcPr>
            <w:tcW w:w="7474" w:type="dxa"/>
            <w:vAlign w:val="center"/>
          </w:tcPr>
          <w:p w14:paraId="3EE1F908" w14:textId="77777777" w:rsidR="000139E5" w:rsidRPr="00A032E6" w:rsidRDefault="000139E5" w:rsidP="000139E5">
            <w:pPr>
              <w:pStyle w:val="afff8"/>
              <w:rPr>
                <w:rFonts w:eastAsiaTheme="minorEastAsia"/>
                <w:sz w:val="24"/>
              </w:rPr>
            </w:pPr>
            <w:r w:rsidRPr="00A032E6">
              <w:rPr>
                <w:rFonts w:eastAsiaTheme="minorEastAsia"/>
                <w:sz w:val="24"/>
              </w:rPr>
              <w:t>Синдром приобретенного иммунодефицита</w:t>
            </w:r>
          </w:p>
        </w:tc>
      </w:tr>
      <w:tr w:rsidR="000139E5" w:rsidRPr="00A032E6" w14:paraId="1AE81399" w14:textId="77777777" w:rsidTr="00A76175">
        <w:trPr>
          <w:trHeight w:val="20"/>
        </w:trPr>
        <w:tc>
          <w:tcPr>
            <w:tcW w:w="1871" w:type="dxa"/>
            <w:vAlign w:val="center"/>
          </w:tcPr>
          <w:p w14:paraId="7E0E67EC" w14:textId="77777777" w:rsidR="000139E5" w:rsidRPr="00A032E6" w:rsidRDefault="000139E5" w:rsidP="000139E5">
            <w:pPr>
              <w:pStyle w:val="afff8"/>
              <w:rPr>
                <w:rFonts w:eastAsiaTheme="minorEastAsia"/>
                <w:sz w:val="24"/>
              </w:rPr>
            </w:pPr>
            <w:r w:rsidRPr="00A032E6">
              <w:rPr>
                <w:rFonts w:eastAsiaTheme="minorEastAsia"/>
                <w:sz w:val="24"/>
              </w:rPr>
              <w:t>ЦНС</w:t>
            </w:r>
          </w:p>
        </w:tc>
        <w:tc>
          <w:tcPr>
            <w:tcW w:w="7474" w:type="dxa"/>
            <w:vAlign w:val="center"/>
          </w:tcPr>
          <w:p w14:paraId="09B5B4DC" w14:textId="77777777" w:rsidR="000139E5" w:rsidRPr="00A032E6" w:rsidRDefault="000139E5" w:rsidP="000139E5">
            <w:pPr>
              <w:pStyle w:val="afff8"/>
              <w:rPr>
                <w:rFonts w:eastAsiaTheme="minorEastAsia"/>
                <w:sz w:val="24"/>
              </w:rPr>
            </w:pPr>
            <w:r w:rsidRPr="00A032E6">
              <w:rPr>
                <w:rFonts w:eastAsiaTheme="minorEastAsia"/>
                <w:sz w:val="24"/>
              </w:rPr>
              <w:t>Центральная нервная система</w:t>
            </w:r>
          </w:p>
        </w:tc>
      </w:tr>
      <w:tr w:rsidR="004D7C17" w:rsidRPr="00A032E6" w14:paraId="341829D6" w14:textId="77777777" w:rsidTr="00A76175">
        <w:trPr>
          <w:trHeight w:val="20"/>
        </w:trPr>
        <w:tc>
          <w:tcPr>
            <w:tcW w:w="1871" w:type="dxa"/>
            <w:vAlign w:val="center"/>
          </w:tcPr>
          <w:p w14:paraId="5C07D7DA" w14:textId="39BA1E88" w:rsidR="004D7C17" w:rsidRPr="004D7C17" w:rsidRDefault="004D7C17" w:rsidP="000139E5">
            <w:pPr>
              <w:pStyle w:val="afff8"/>
              <w:rPr>
                <w:rFonts w:eastAsiaTheme="minorEastAsia"/>
                <w:sz w:val="24"/>
              </w:rPr>
            </w:pPr>
            <w:r>
              <w:rPr>
                <w:rFonts w:eastAsiaTheme="minorEastAsia"/>
                <w:sz w:val="24"/>
              </w:rPr>
              <w:t>ФКД</w:t>
            </w:r>
          </w:p>
        </w:tc>
        <w:tc>
          <w:tcPr>
            <w:tcW w:w="7474" w:type="dxa"/>
            <w:vAlign w:val="center"/>
          </w:tcPr>
          <w:p w14:paraId="33F0B338" w14:textId="2B87F1E2" w:rsidR="004D7C17" w:rsidRPr="00A032E6" w:rsidRDefault="004D7C17" w:rsidP="000139E5">
            <w:pPr>
              <w:pStyle w:val="afff8"/>
              <w:rPr>
                <w:rFonts w:eastAsiaTheme="minorEastAsia"/>
                <w:sz w:val="24"/>
              </w:rPr>
            </w:pPr>
            <w:r>
              <w:rPr>
                <w:rFonts w:eastAsiaTheme="minorEastAsia"/>
                <w:sz w:val="24"/>
              </w:rPr>
              <w:t>Фиксированная комбинация доз</w:t>
            </w:r>
          </w:p>
        </w:tc>
      </w:tr>
      <w:tr w:rsidR="00516DC5" w:rsidRPr="00A032E6" w14:paraId="50198CC4" w14:textId="77777777" w:rsidTr="00A76175">
        <w:trPr>
          <w:trHeight w:val="144"/>
        </w:trPr>
        <w:tc>
          <w:tcPr>
            <w:tcW w:w="1871" w:type="dxa"/>
            <w:vAlign w:val="center"/>
          </w:tcPr>
          <w:p w14:paraId="69D56B58" w14:textId="7F7FD281" w:rsidR="00516DC5" w:rsidRPr="00516DC5" w:rsidRDefault="00516DC5" w:rsidP="00516DC5">
            <w:pPr>
              <w:pStyle w:val="afff8"/>
              <w:rPr>
                <w:rFonts w:eastAsiaTheme="minorEastAsia"/>
                <w:sz w:val="24"/>
              </w:rPr>
            </w:pPr>
            <w:r w:rsidRPr="00516DC5">
              <w:rPr>
                <w:color w:val="000000" w:themeColor="text1"/>
                <w:sz w:val="24"/>
              </w:rPr>
              <w:t>ЭКГ</w:t>
            </w:r>
          </w:p>
        </w:tc>
        <w:tc>
          <w:tcPr>
            <w:tcW w:w="7474" w:type="dxa"/>
            <w:vAlign w:val="center"/>
          </w:tcPr>
          <w:p w14:paraId="3B83F34C" w14:textId="65BB93AD" w:rsidR="00516DC5" w:rsidRPr="00516DC5" w:rsidRDefault="00516DC5" w:rsidP="00516DC5">
            <w:pPr>
              <w:pStyle w:val="afff8"/>
              <w:rPr>
                <w:rFonts w:eastAsiaTheme="minorEastAsia"/>
                <w:sz w:val="24"/>
              </w:rPr>
            </w:pPr>
            <w:r w:rsidRPr="00516DC5">
              <w:rPr>
                <w:color w:val="000000" w:themeColor="text1"/>
                <w:sz w:val="24"/>
              </w:rPr>
              <w:t>Электрокардиограмма</w:t>
            </w:r>
          </w:p>
        </w:tc>
      </w:tr>
    </w:tbl>
    <w:p w14:paraId="6C4BE062" w14:textId="77777777" w:rsidR="000139E5" w:rsidRPr="000139E5" w:rsidRDefault="000139E5" w:rsidP="000139E5"/>
    <w:p w14:paraId="4A8C0FA1" w14:textId="77777777" w:rsidR="00A72D8A" w:rsidRDefault="00A72D8A" w:rsidP="00A72D8A">
      <w:pPr>
        <w:pStyle w:val="12"/>
        <w:pageBreakBefore/>
        <w:spacing w:line="240" w:lineRule="auto"/>
        <w:rPr>
          <w:rFonts w:cs="Times New Roman"/>
          <w:color w:val="000000" w:themeColor="text1"/>
          <w:szCs w:val="24"/>
        </w:rPr>
      </w:pPr>
      <w:bookmarkStart w:id="8" w:name="_Toc115217901"/>
      <w:bookmarkStart w:id="9" w:name="_Toc117179156"/>
      <w:bookmarkEnd w:id="6"/>
      <w:r>
        <w:rPr>
          <w:rFonts w:cs="Times New Roman"/>
          <w:color w:val="000000" w:themeColor="text1"/>
          <w:szCs w:val="24"/>
        </w:rPr>
        <w:lastRenderedPageBreak/>
        <w:t>ИСТОРИЯ ДОКУМЕНТА</w:t>
      </w:r>
      <w:bookmarkEnd w:id="8"/>
      <w:bookmarkEnd w:id="9"/>
    </w:p>
    <w:tbl>
      <w:tblPr>
        <w:tblStyle w:val="a8"/>
        <w:tblW w:w="0" w:type="auto"/>
        <w:tblLook w:val="04A0" w:firstRow="1" w:lastRow="0" w:firstColumn="1" w:lastColumn="0" w:noHBand="0" w:noVBand="1"/>
      </w:tblPr>
      <w:tblGrid>
        <w:gridCol w:w="3114"/>
        <w:gridCol w:w="6231"/>
      </w:tblGrid>
      <w:tr w:rsidR="00A72D8A" w14:paraId="404C9663" w14:textId="77777777" w:rsidTr="00A72D8A">
        <w:trPr>
          <w:trHeight w:val="659"/>
        </w:trPr>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4068D4" w14:textId="77777777" w:rsidR="00A72D8A" w:rsidRDefault="00A72D8A">
            <w:pPr>
              <w:jc w:val="center"/>
              <w:rPr>
                <w:b/>
              </w:rPr>
            </w:pPr>
            <w:r>
              <w:rPr>
                <w:b/>
              </w:rPr>
              <w:t>Версия</w:t>
            </w:r>
          </w:p>
        </w:tc>
        <w:tc>
          <w:tcPr>
            <w:tcW w:w="6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0288F3" w14:textId="77777777" w:rsidR="00A72D8A" w:rsidRDefault="00A72D8A">
            <w:pPr>
              <w:jc w:val="center"/>
              <w:rPr>
                <w:b/>
              </w:rPr>
            </w:pPr>
            <w:r>
              <w:rPr>
                <w:b/>
              </w:rPr>
              <w:t>Описание изменений</w:t>
            </w:r>
          </w:p>
        </w:tc>
      </w:tr>
      <w:tr w:rsidR="00A72D8A" w14:paraId="066B2D63" w14:textId="77777777" w:rsidTr="00A72D8A">
        <w:trPr>
          <w:trHeight w:val="304"/>
        </w:trPr>
        <w:tc>
          <w:tcPr>
            <w:tcW w:w="3114" w:type="dxa"/>
            <w:tcBorders>
              <w:top w:val="single" w:sz="4" w:space="0" w:color="auto"/>
              <w:left w:val="single" w:sz="4" w:space="0" w:color="auto"/>
              <w:bottom w:val="single" w:sz="4" w:space="0" w:color="auto"/>
              <w:right w:val="single" w:sz="4" w:space="0" w:color="auto"/>
            </w:tcBorders>
            <w:vAlign w:val="center"/>
            <w:hideMark/>
          </w:tcPr>
          <w:p w14:paraId="55323213" w14:textId="0EEB14D3" w:rsidR="00A72D8A" w:rsidRDefault="00A72D8A">
            <w:pPr>
              <w:jc w:val="left"/>
            </w:pPr>
            <w:r>
              <w:t xml:space="preserve">1.0 от </w:t>
            </w:r>
            <w:r w:rsidR="00A97B7A">
              <w:rPr>
                <w:lang w:val="en-US"/>
              </w:rPr>
              <w:t>24</w:t>
            </w:r>
            <w:r w:rsidRPr="008B0B82">
              <w:t xml:space="preserve"> октября 2022 г.</w:t>
            </w:r>
          </w:p>
        </w:tc>
        <w:tc>
          <w:tcPr>
            <w:tcW w:w="6231" w:type="dxa"/>
            <w:tcBorders>
              <w:top w:val="single" w:sz="4" w:space="0" w:color="auto"/>
              <w:left w:val="single" w:sz="4" w:space="0" w:color="auto"/>
              <w:bottom w:val="single" w:sz="4" w:space="0" w:color="auto"/>
              <w:right w:val="single" w:sz="4" w:space="0" w:color="auto"/>
            </w:tcBorders>
            <w:vAlign w:val="center"/>
            <w:hideMark/>
          </w:tcPr>
          <w:p w14:paraId="01B7E224" w14:textId="77777777" w:rsidR="00A72D8A" w:rsidRDefault="00A72D8A">
            <w:r>
              <w:t>Исходная версия.</w:t>
            </w:r>
          </w:p>
        </w:tc>
      </w:tr>
    </w:tbl>
    <w:p w14:paraId="54F021E8" w14:textId="77777777" w:rsidR="00295007" w:rsidRDefault="00295007" w:rsidP="00295007">
      <w:pPr>
        <w:ind w:firstLine="709"/>
        <w:rPr>
          <w:color w:val="000000" w:themeColor="text1"/>
          <w:highlight w:val="yellow"/>
          <w:lang w:eastAsia="ru-RU"/>
        </w:rPr>
      </w:pPr>
    </w:p>
    <w:p w14:paraId="1B5197FA" w14:textId="77777777" w:rsidR="00295007" w:rsidRPr="005E6358" w:rsidRDefault="00295007" w:rsidP="00295007">
      <w:pPr>
        <w:rPr>
          <w:color w:val="000000" w:themeColor="text1"/>
        </w:rPr>
      </w:pPr>
    </w:p>
    <w:p w14:paraId="24400B5E" w14:textId="77777777" w:rsidR="00295007" w:rsidRPr="005E6358" w:rsidRDefault="00295007" w:rsidP="00295007">
      <w:pPr>
        <w:rPr>
          <w:color w:val="000000" w:themeColor="text1"/>
        </w:rPr>
      </w:pPr>
    </w:p>
    <w:p w14:paraId="4800DBCE" w14:textId="77777777" w:rsidR="00295007" w:rsidRPr="005E6358" w:rsidRDefault="00295007" w:rsidP="00295007">
      <w:pPr>
        <w:rPr>
          <w:color w:val="000000" w:themeColor="text1"/>
        </w:rPr>
      </w:pPr>
    </w:p>
    <w:p w14:paraId="63FD52B0" w14:textId="77777777" w:rsidR="00295007" w:rsidRPr="005E6358" w:rsidRDefault="00295007" w:rsidP="00295007">
      <w:pPr>
        <w:rPr>
          <w:color w:val="000000" w:themeColor="text1"/>
        </w:rPr>
      </w:pPr>
    </w:p>
    <w:p w14:paraId="085A1683" w14:textId="77777777" w:rsidR="00295007" w:rsidRPr="005E6358" w:rsidRDefault="00295007" w:rsidP="00295007">
      <w:pPr>
        <w:tabs>
          <w:tab w:val="center" w:pos="4677"/>
        </w:tabs>
        <w:rPr>
          <w:color w:val="000000" w:themeColor="text1"/>
        </w:rPr>
        <w:sectPr w:rsidR="00295007" w:rsidRPr="005E6358" w:rsidSect="00C0440F">
          <w:pgSz w:w="11906" w:h="16838"/>
          <w:pgMar w:top="1393" w:right="850" w:bottom="1134" w:left="1701" w:header="708" w:footer="708" w:gutter="0"/>
          <w:cols w:space="708"/>
          <w:docGrid w:linePitch="360"/>
        </w:sectPr>
      </w:pPr>
      <w:r w:rsidRPr="005E6358">
        <w:rPr>
          <w:color w:val="000000" w:themeColor="text1"/>
        </w:rPr>
        <w:tab/>
      </w:r>
    </w:p>
    <w:p w14:paraId="031E5AA3" w14:textId="77777777" w:rsidR="00295007" w:rsidRPr="007A2314" w:rsidRDefault="00295007" w:rsidP="00295007">
      <w:pPr>
        <w:pStyle w:val="12"/>
        <w:spacing w:line="240" w:lineRule="auto"/>
        <w:rPr>
          <w:rFonts w:cs="Times New Roman"/>
          <w:color w:val="000000" w:themeColor="text1"/>
        </w:rPr>
      </w:pPr>
      <w:bookmarkStart w:id="10" w:name="_Toc117179157"/>
      <w:r w:rsidRPr="007A2314">
        <w:rPr>
          <w:rFonts w:cs="Times New Roman"/>
          <w:color w:val="000000" w:themeColor="text1"/>
        </w:rPr>
        <w:lastRenderedPageBreak/>
        <w:t>РЕЗЮМЕ</w:t>
      </w:r>
      <w:bookmarkEnd w:id="10"/>
    </w:p>
    <w:p w14:paraId="32D309AE" w14:textId="1A7F41C5" w:rsidR="00CA6569" w:rsidRDefault="00CA6569">
      <w:pPr>
        <w:ind w:firstLine="709"/>
      </w:pPr>
      <w:bookmarkStart w:id="11" w:name="_Hlk55553261"/>
      <w:r w:rsidRPr="00B84954">
        <w:t>Вирус иммунодефицита человека (ВИЧ) является вторым по значимости фактором, после недостаточного питания, который приводит к развитию вторичных иммунодефицитных состояний повсеместно. При отсутствии антиретровирусной терапии ВИЧ-инфекция практически всегда прогрессирует в терминальную стадию, синдром приобретенного иммунодефицита (СПИД), которая характеризуется выраженной лимфопенией и развит</w:t>
      </w:r>
      <w:r>
        <w:t>ием оппортунистических инфекций.</w:t>
      </w:r>
      <w:r w:rsidRPr="00CA6569">
        <w:t xml:space="preserve"> </w:t>
      </w:r>
      <w:r w:rsidR="00243FCC">
        <w:t>По данным всемирной организации здравоохранения (ВОЗ) н</w:t>
      </w:r>
      <w:r w:rsidR="00243FCC" w:rsidRPr="0079295E">
        <w:t xml:space="preserve">а конец 2021 года насчитывалось 38,4 миллиона </w:t>
      </w:r>
      <w:r w:rsidR="00243FCC" w:rsidRPr="008B0B82">
        <w:t>(</w:t>
      </w:r>
      <w:r w:rsidR="00243FCC" w:rsidRPr="0079295E">
        <w:t>33,9–43,8 миллиона</w:t>
      </w:r>
      <w:r w:rsidR="00243FCC" w:rsidRPr="008B0B82">
        <w:t>)</w:t>
      </w:r>
      <w:r w:rsidR="00243FCC" w:rsidRPr="0079295E">
        <w:t xml:space="preserve"> человек, живущих с ВИЧ, две трети из которых (25,6 миллиона) проживали в Африканско</w:t>
      </w:r>
      <w:r w:rsidR="00243FCC">
        <w:t xml:space="preserve">м регионе. В 2021 году 650 000 </w:t>
      </w:r>
      <w:r w:rsidR="00243FCC" w:rsidRPr="00984745">
        <w:t>(</w:t>
      </w:r>
      <w:r w:rsidR="00243FCC">
        <w:t>510 000–860 000</w:t>
      </w:r>
      <w:r w:rsidR="00243FCC" w:rsidRPr="00984745">
        <w:t>)</w:t>
      </w:r>
      <w:r w:rsidR="00243FCC" w:rsidRPr="0079295E">
        <w:t xml:space="preserve"> человек умерли от причин, </w:t>
      </w:r>
      <w:r w:rsidR="00243FCC">
        <w:t xml:space="preserve">связанных с ВИЧ и 1,5 миллиона </w:t>
      </w:r>
      <w:r w:rsidR="00243FCC" w:rsidRPr="00984745">
        <w:t>(</w:t>
      </w:r>
      <w:r w:rsidR="00243FCC">
        <w:t>1,1–2,0 миллиона</w:t>
      </w:r>
      <w:r w:rsidR="00243FCC" w:rsidRPr="00984745">
        <w:t>)</w:t>
      </w:r>
      <w:r w:rsidR="00243FCC" w:rsidRPr="0079295E">
        <w:t xml:space="preserve"> человек заразились ВИЧ</w:t>
      </w:r>
      <w:r w:rsidRPr="00B84954">
        <w:t>.</w:t>
      </w:r>
      <w:r w:rsidR="00243FCC">
        <w:t xml:space="preserve"> </w:t>
      </w:r>
      <w:r w:rsidRPr="00B84954">
        <w:t>Ситуация с распространением ВИЧ-инфекции в России остается неблагоприятной. В последнее десятилетие отмечается рост заболеваемости, особенно в сочетании с туберкулезом. В 2016 прирост количества новых выявленных случаев составил 4,1% по сравнению с предыдущим годом, а на конец 2017 г. кумулятивное количество зарегистрированных случаев ВИЧ-инфек</w:t>
      </w:r>
      <w:r w:rsidR="00243FCC">
        <w:t xml:space="preserve">ции составило 1 220 659 человек. </w:t>
      </w:r>
      <w:r w:rsidRPr="00B84954">
        <w:t>Ухудшение эпидемиологической ситуации в отношении ВИЧ-инфекции в России связывают с низким охватом пациентов, получающих антиретровирусную терапию (</w:t>
      </w:r>
      <w:bookmarkStart w:id="12" w:name="_Hlk51242094"/>
      <w:r w:rsidRPr="00B84954">
        <w:t>АРТ</w:t>
      </w:r>
      <w:bookmarkEnd w:id="12"/>
      <w:r w:rsidRPr="00B84954">
        <w:t xml:space="preserve">), что, в свою очередь, обусловлено поздним выявлением заболевания, низкой приверженностью терапии, и недостаточным выбором и качеством АРТ. </w:t>
      </w:r>
    </w:p>
    <w:bookmarkEnd w:id="11"/>
    <w:p w14:paraId="0CA47C9E" w14:textId="6279EDAD" w:rsidR="006E2D95" w:rsidRPr="0021251A" w:rsidRDefault="006E2D95" w:rsidP="00A72D8A">
      <w:pPr>
        <w:pStyle w:val="OT"/>
        <w:spacing w:after="0"/>
        <w:ind w:firstLine="709"/>
        <w:rPr>
          <w:sz w:val="24"/>
          <w:szCs w:val="24"/>
        </w:rPr>
      </w:pPr>
      <w:r w:rsidRPr="0021251A">
        <w:rPr>
          <w:sz w:val="24"/>
          <w:szCs w:val="24"/>
        </w:rPr>
        <w:t xml:space="preserve">Этравирин является ненуклеозидным ингибитором обратной транскриптазы (ННИОТ) вируса иммунодефицита человека – ВИЧ-1. Этравирин непосредственно связывается с обратной транскриптазой и блокирует РНК (рибонуклеиновая кислота)-зависимую и ДНК (дезоксирибонуклеиновая кислота)-зависимую активность ДНК-полимеразы, вызывая разрушение каталитических участков этого фермента. </w:t>
      </w:r>
    </w:p>
    <w:p w14:paraId="45867B5F" w14:textId="617FD928" w:rsidR="006E2D95" w:rsidRPr="0021251A" w:rsidRDefault="006E2D95" w:rsidP="00A72D8A">
      <w:pPr>
        <w:pStyle w:val="OT"/>
        <w:spacing w:after="0"/>
        <w:ind w:firstLine="709"/>
        <w:rPr>
          <w:sz w:val="24"/>
          <w:szCs w:val="24"/>
        </w:rPr>
      </w:pPr>
      <w:r w:rsidRPr="0021251A">
        <w:rPr>
          <w:sz w:val="24"/>
          <w:szCs w:val="24"/>
        </w:rPr>
        <w:t xml:space="preserve">Этравирин в сочетании с другими антиретровирусными препаратами </w:t>
      </w:r>
      <w:r w:rsidR="00C77373" w:rsidRPr="0021251A">
        <w:rPr>
          <w:sz w:val="24"/>
          <w:szCs w:val="24"/>
        </w:rPr>
        <w:t>эффективен</w:t>
      </w:r>
      <w:r w:rsidRPr="0021251A">
        <w:rPr>
          <w:sz w:val="24"/>
          <w:szCs w:val="24"/>
        </w:rPr>
        <w:t xml:space="preserve"> при </w:t>
      </w:r>
      <w:r w:rsidR="004245A8" w:rsidRPr="0021251A">
        <w:rPr>
          <w:sz w:val="24"/>
          <w:szCs w:val="24"/>
        </w:rPr>
        <w:t>лечени</w:t>
      </w:r>
      <w:r w:rsidR="004245A8">
        <w:rPr>
          <w:sz w:val="24"/>
          <w:szCs w:val="24"/>
        </w:rPr>
        <w:t>и</w:t>
      </w:r>
      <w:r w:rsidR="004245A8" w:rsidRPr="0021251A">
        <w:rPr>
          <w:sz w:val="24"/>
          <w:szCs w:val="24"/>
        </w:rPr>
        <w:t xml:space="preserve"> </w:t>
      </w:r>
      <w:r w:rsidRPr="0021251A">
        <w:rPr>
          <w:sz w:val="24"/>
          <w:szCs w:val="24"/>
        </w:rPr>
        <w:t>инфекции, вызванной вирусом иммунодефицита человека ВИЧ-1 у ранее не лечившихся пациентов и у пациентов, у которых предыдущая терапия оказалась неэффективной. Препарат эффективен при устойчивости штаммов ВИЧ-1 ко многим антиретровирусным препаратам, включая ННИОТ</w:t>
      </w:r>
      <w:r w:rsidR="0021251A">
        <w:rPr>
          <w:sz w:val="24"/>
          <w:szCs w:val="24"/>
        </w:rPr>
        <w:t>.</w:t>
      </w:r>
    </w:p>
    <w:p w14:paraId="7C6E192D" w14:textId="3E11A227" w:rsidR="00295007" w:rsidRPr="0021251A" w:rsidRDefault="00295007" w:rsidP="00A72D8A">
      <w:pPr>
        <w:pStyle w:val="OT"/>
        <w:spacing w:after="0"/>
        <w:ind w:firstLine="709"/>
        <w:rPr>
          <w:sz w:val="24"/>
          <w:szCs w:val="24"/>
        </w:rPr>
      </w:pPr>
      <w:r w:rsidRPr="0021251A">
        <w:rPr>
          <w:sz w:val="24"/>
          <w:szCs w:val="24"/>
        </w:rPr>
        <w:t xml:space="preserve">Для изучения </w:t>
      </w:r>
      <w:r w:rsidRPr="0021251A">
        <w:rPr>
          <w:color w:val="000000"/>
          <w:sz w:val="24"/>
          <w:szCs w:val="24"/>
        </w:rPr>
        <w:t>этравирина</w:t>
      </w:r>
      <w:r w:rsidRPr="0021251A">
        <w:rPr>
          <w:sz w:val="24"/>
          <w:szCs w:val="24"/>
        </w:rPr>
        <w:t xml:space="preserve"> было проведено большое количество доклинических исследований. Эти исследования включали серию исследований как </w:t>
      </w:r>
      <w:r w:rsidRPr="0021251A">
        <w:rPr>
          <w:i/>
          <w:iCs/>
          <w:sz w:val="24"/>
          <w:szCs w:val="24"/>
        </w:rPr>
        <w:t>in vitro</w:t>
      </w:r>
      <w:r w:rsidRPr="0021251A">
        <w:rPr>
          <w:sz w:val="24"/>
          <w:szCs w:val="24"/>
        </w:rPr>
        <w:t xml:space="preserve">, так и </w:t>
      </w:r>
      <w:r w:rsidRPr="0021251A">
        <w:rPr>
          <w:i/>
          <w:iCs/>
          <w:sz w:val="24"/>
          <w:szCs w:val="24"/>
        </w:rPr>
        <w:t>in vivo</w:t>
      </w:r>
      <w:r w:rsidRPr="0021251A">
        <w:rPr>
          <w:sz w:val="24"/>
          <w:szCs w:val="24"/>
        </w:rPr>
        <w:t xml:space="preserve">, в результате которых были хорошо изучены фармакодинамические, фармакокинетические и токсикологические свойства </w:t>
      </w:r>
      <w:r w:rsidRPr="0021251A">
        <w:rPr>
          <w:color w:val="000000"/>
          <w:sz w:val="24"/>
          <w:szCs w:val="24"/>
        </w:rPr>
        <w:t>этравирина</w:t>
      </w:r>
      <w:r w:rsidRPr="0021251A">
        <w:rPr>
          <w:sz w:val="24"/>
          <w:szCs w:val="24"/>
        </w:rPr>
        <w:t>.</w:t>
      </w:r>
    </w:p>
    <w:p w14:paraId="26C8DE6B" w14:textId="00BAC234" w:rsidR="00295007" w:rsidRPr="0021251A" w:rsidRDefault="00295007" w:rsidP="00A72D8A">
      <w:pPr>
        <w:pStyle w:val="affb"/>
        <w:spacing w:before="0" w:after="0" w:line="240" w:lineRule="auto"/>
        <w:ind w:firstLine="709"/>
      </w:pPr>
      <w:r w:rsidRPr="0021251A">
        <w:t xml:space="preserve">Противовирусная активность этравирина подтверждена </w:t>
      </w:r>
      <w:r w:rsidRPr="0021251A">
        <w:rPr>
          <w:i/>
          <w:iCs/>
        </w:rPr>
        <w:t>in vitro</w:t>
      </w:r>
      <w:r w:rsidRPr="0021251A">
        <w:t xml:space="preserve"> в отношении лабораторных штаммов и клинических изолятов ВИЧ-1 дикого типа в остро инфицированных Т</w:t>
      </w:r>
      <w:r w:rsidRPr="0021251A">
        <w:noBreakHyphen/>
        <w:t xml:space="preserve">клеточных линиях, мононуклеарных клетках периферической крови человека и моноцитах / макрофагах человека. При этом </w:t>
      </w:r>
      <w:r w:rsidR="004245A8" w:rsidRPr="0021251A">
        <w:t>этравирин характеризуется</w:t>
      </w:r>
      <w:r w:rsidRPr="0021251A">
        <w:t xml:space="preserve"> низким потенциалом развития резистентности ВИЧ.</w:t>
      </w:r>
    </w:p>
    <w:p w14:paraId="3F6A01AD" w14:textId="2FEF6BAD" w:rsidR="00FD59A0" w:rsidRDefault="00FD59A0" w:rsidP="00FD59A0">
      <w:pPr>
        <w:ind w:firstLine="709"/>
      </w:pPr>
      <w:r>
        <w:lastRenderedPageBreak/>
        <w:t xml:space="preserve">Эффективность лекарственных препаратов, содержащих этравирин, в качестве средства для лечения ВИЧ-1 взрослых и детей с опытом предшествующей терапии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w:t>
      </w:r>
      <w:r w:rsidR="00E729EF">
        <w:t>этравирина</w:t>
      </w:r>
      <w:r>
        <w:t xml:space="preserve"> в составе комбинированной высокоэффективной АРТ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60CF11B4" w14:textId="45316C0D" w:rsidR="00FD59A0" w:rsidRDefault="00FD59A0" w:rsidP="00FD59A0">
      <w:pPr>
        <w:ind w:firstLine="709"/>
      </w:pPr>
      <w:r>
        <w:t>Ежедневный пероральный прием этравирина в составе схем АРТ, был эффективен в отношении снижения вирусной нагрузки у ВИЧ-инфицированных пациентов с опытом предшествующей терапии при использовании в составе комбинированной АРТ. Польза от применения этравирина продемонстрирована результатами двух основных регистрационных исследований – DUET 1 и DUET 2 (TMC125-C206 и TMC125-C216), в которых этравирин эффективно снижал вирусную нагрузку у ВИЧ-инфицированных пациентов с опытом предшествующей терапии и вирусологической неудачей в анамнезе (≥ 1 мутации резистентности ННИОТ; анализ на 48, 96 неделе терапии). Вирусологическая супрессия (РНК ВИЧ &lt; 50 копий/мл) на 48 неделе достигнута у 60% пациентов, получавших этравирин, и 38%, получавших плацебо, на фоне базовой АРТ; у 71% и 46% пациентов, соответственно, вирусная нагрузка была менее 400 копий /мл; средний прирост CD4+ лимфоцитов по сравнению с исходным уровнем – 96 клеток/мкл и 68 клеток/мкл, соответственно. По данным 96-недельного объединенного анализа, доля участников, поддерживающих вирусологическую супрессию (РНК ВИЧ &lt;50 копий/мл), была значительно выше в группе этравирина по сравнению с плацебо (57% vs. 36%; p &lt;0,0001), независимо от исходных характеристик включенных в исследование пациентов. В педиатрическом исследовании PIANO при включении в схему терапии этравирина на 48 неделе 57 из 101 (56%) участников достигли вирусологической супрессии (РНК ВИЧ &lt;50 копий/мл, ITT-популяция). Вновь возникшая резистентность к ННИОТ была обнаружена у 18 из 30 (60%) детей без вирусологической супрессии в прошлом, среди выявленных мутаций наиболее часто обнаруживалась мутация Y181C (n = 8).</w:t>
      </w:r>
    </w:p>
    <w:p w14:paraId="478E5635" w14:textId="77777777" w:rsidR="00147F06" w:rsidRDefault="00147F06" w:rsidP="00147F06">
      <w:pPr>
        <w:pStyle w:val="affb"/>
        <w:spacing w:before="0" w:after="0" w:line="240" w:lineRule="auto"/>
        <w:ind w:firstLine="709"/>
      </w:pPr>
      <w:r w:rsidRPr="00BD07AE">
        <w:rPr>
          <w:iCs/>
        </w:rPr>
        <w:t>В общей сложности 1093 пациентов получали этравирин-содержащие схемы АРТ (в исследованиях IIB и III фазы); из их 861 пациент принимали этравирин не менее 24 недель и 27</w:t>
      </w:r>
      <w:r>
        <w:rPr>
          <w:iCs/>
        </w:rPr>
        <w:t>9 – не менее 48 недель.</w:t>
      </w:r>
      <w:r w:rsidRPr="00BD07AE">
        <w:rPr>
          <w:iCs/>
        </w:rPr>
        <w:t xml:space="preserve"> В объединенный анализ DUET (рандомизированные плацебо-контролируемые исследования TMC125-C206 и TMC125-C216) вошло в общей сложности 599 ВИЧ-инфицированных, получавших этравирин (200 мг 2 раза в день) и 604 пациента, получавших плацебо. По данным объединенного анализа исследований DUET средняя продолжительность приема этравирина и плацебо составила 52,3 и 51,0 нед. соответственно</w:t>
      </w:r>
      <w:r>
        <w:rPr>
          <w:iCs/>
        </w:rPr>
        <w:t xml:space="preserve">. </w:t>
      </w:r>
      <w:r w:rsidRPr="000B3E26">
        <w:t>Наиболее частыми побочными эффектами препарата (показано в ключевых исследованиях DUET и на постмаркетинговом этапе) являются: головная боль, диарея, тошнота и сыпь (встречаются очень часто (≥1/10)); часто встречаются (≥1/100 – &lt;1/10): тромбоцитопения, анемия, снижение числа нейтрофилов, гиперчувствительность к препарату, сахарный диабет, гипергликемия, гиперхолестеринемия, увеличение концентрации ЛПНП, гипертриглицеридемия, ги</w:t>
      </w:r>
      <w:r w:rsidRPr="000B3E26">
        <w:lastRenderedPageBreak/>
        <w:t>перлипидемия, дислипидемия, анорексия, тревожность, бессонница, нарушения сна, периферическая нейропатия, парестезии, гипестезии, амнезия, сонливость, нечёткость зрения, инфаркт миокарда, гипертензия, одышка при нагрузке, гастроэзофагеальная рефлюксная болезнь, рвота, боль в животе, вздутие живота, метеоризм, гастрит, запор, сухость во рту, стоматит, повышение активности липазы, повышение активности амилазы в крови, повышение активности АЛТ/АСТ, ночная потливость, сухость кожи, пруриго, почечная недостаточность, повышение концентрации креатинина в крови, утомляемость. СНЯ наблюдались редко (в 2,8% vs. 2,0% плацебо)</w:t>
      </w:r>
      <w:r>
        <w:t>.</w:t>
      </w:r>
    </w:p>
    <w:p w14:paraId="140B0DE2" w14:textId="65A6C69B" w:rsidR="00147F06" w:rsidRPr="004865CA" w:rsidRDefault="00147F06" w:rsidP="00A76175">
      <w:pPr>
        <w:pStyle w:val="affb"/>
        <w:spacing w:before="0" w:after="0" w:line="240" w:lineRule="auto"/>
        <w:ind w:firstLine="709"/>
      </w:pPr>
      <w:r>
        <w:t>Частота, тип и тяжесть нежелательных реакций на лекарственные препараты у детей были сравнимы с таковыми у взрослых, за исключением сыпи, которая чаще наблюдалась у детей. Наиболее частыми побочными реакциями на лекарственные средства, по крайней мере у 2% детей, были сыпь и диарея. Сыпь (2 и более степени тяжести) наблюдалось у 15% детей. В большинстве случаев сыпь была легкой или умеренной, макулярно-папулезного типа, возникала на второй неделе терапии. Сыпь была ограниченной и обычно разрешалась в течение 1 недели при продолжении терапии. Частота прекращения лечения из-за сыпи составила 4%. Сыпь, в том числе значительная (3 или 4</w:t>
      </w:r>
      <w:r w:rsidRPr="00147F06">
        <w:t xml:space="preserve"> </w:t>
      </w:r>
      <w:r>
        <w:t>степени тяжести), и прекращение терапии чаще наблюдались у пациентов женского пола.</w:t>
      </w:r>
    </w:p>
    <w:p w14:paraId="1AC6B9BB" w14:textId="4623AF88" w:rsidR="00295007" w:rsidRPr="0021251A" w:rsidRDefault="00295007" w:rsidP="00A72D8A">
      <w:pPr>
        <w:ind w:firstLine="709"/>
        <w:rPr>
          <w:lang w:eastAsia="ru-RU"/>
        </w:rPr>
      </w:pPr>
      <w:r w:rsidRPr="0021251A">
        <w:t xml:space="preserve">Лекарственные препараты, содержащие этравирин, давно и успешно применяются во многих странах мира, включая страны </w:t>
      </w:r>
      <w:bookmarkStart w:id="13" w:name="_Hlk112734674"/>
      <w:r w:rsidRPr="0021251A">
        <w:t>ЕС, США</w:t>
      </w:r>
      <w:bookmarkEnd w:id="13"/>
      <w:r w:rsidRPr="0021251A">
        <w:t>, Россию, для лечения пациентов с ВИЧ-инфекцией. Впервые оригинальный препарат Интеленс</w:t>
      </w:r>
      <w:r w:rsidRPr="0021251A">
        <w:rPr>
          <w:vertAlign w:val="superscript"/>
        </w:rPr>
        <w:t>®</w:t>
      </w:r>
      <w:r w:rsidR="00FD59A0">
        <w:t xml:space="preserve"> </w:t>
      </w:r>
      <w:r w:rsidRPr="0021251A">
        <w:t>(</w:t>
      </w:r>
      <w:r w:rsidR="00FD59A0">
        <w:t xml:space="preserve">ООО «Джонсон </w:t>
      </w:r>
      <w:r w:rsidR="00FD59A0" w:rsidRPr="009B427E">
        <w:t xml:space="preserve">&amp; </w:t>
      </w:r>
      <w:r w:rsidR="00FD59A0">
        <w:t>Джонсон», Россия</w:t>
      </w:r>
      <w:r w:rsidRPr="0021251A">
        <w:t>) был разрешен для применения в США в 2008 г для лечения ВИЧ-1-инфекции у взрослых пациентов с опытом предшествующей терапии. Лекарственные препараты с действующим веществом этравирин у взрослых рекомендуются в первой</w:t>
      </w:r>
      <w:r w:rsidR="004A5A08">
        <w:t>,</w:t>
      </w:r>
      <w:r w:rsidRPr="0021251A">
        <w:t xml:space="preserve"> второй </w:t>
      </w:r>
      <w:r w:rsidR="004A5A08">
        <w:t xml:space="preserve">и последующих линиях </w:t>
      </w:r>
      <w:r w:rsidRPr="0021251A">
        <w:t xml:space="preserve">терапии в комбинации с другими антиретровирусными препаратами. Этравирин рекомендуется для лечения ВИЧ инфекции у </w:t>
      </w:r>
      <w:r w:rsidR="004245A8" w:rsidRPr="0021251A">
        <w:t>детей старше</w:t>
      </w:r>
      <w:r w:rsidRPr="0021251A">
        <w:t xml:space="preserve"> двух лет и включен в Список жизненно необходимых и важнейших лекарственных препаратов.</w:t>
      </w:r>
    </w:p>
    <w:p w14:paraId="54CFF2C2" w14:textId="6211C421" w:rsidR="00295007" w:rsidRDefault="00295007" w:rsidP="00A72D8A">
      <w:pPr>
        <w:ind w:firstLine="709"/>
        <w:rPr>
          <w:lang w:eastAsia="ru-RU"/>
        </w:rPr>
      </w:pPr>
      <w:r w:rsidRPr="0021251A">
        <w:rPr>
          <w:lang w:eastAsia="ru-RU"/>
        </w:rPr>
        <w:t>За время, прошедшее с момента регистрации препарата Интеленс</w:t>
      </w:r>
      <w:r w:rsidRPr="008B0B82">
        <w:rPr>
          <w:vertAlign w:val="superscript"/>
          <w:lang w:eastAsia="ru-RU"/>
        </w:rPr>
        <w:t>®</w:t>
      </w:r>
      <w:r w:rsidRPr="0021251A">
        <w:rPr>
          <w:lang w:eastAsia="ru-RU"/>
        </w:rPr>
        <w:t>, таблетки 25 мг, 100 мг, 200 мг (</w:t>
      </w:r>
      <w:r w:rsidR="00FD59A0">
        <w:t xml:space="preserve">ООО «Джонсон </w:t>
      </w:r>
      <w:r w:rsidR="00FD59A0" w:rsidRPr="009B427E">
        <w:t xml:space="preserve">&amp; </w:t>
      </w:r>
      <w:r w:rsidR="00FD59A0">
        <w:t>Джонсон», Россия</w:t>
      </w:r>
      <w:r w:rsidRPr="0021251A">
        <w:rPr>
          <w:lang w:eastAsia="ru-RU"/>
        </w:rPr>
        <w:t xml:space="preserve">), в открытых источниках не появилось новых данных, изменивших представление о профиле его безопасности, в том числе, не было выявлено каких-либо непредвиденных </w:t>
      </w:r>
      <w:r w:rsidR="001B7474" w:rsidRPr="0021251A">
        <w:rPr>
          <w:lang w:eastAsia="ru-RU"/>
        </w:rPr>
        <w:t>нежелательных я</w:t>
      </w:r>
      <w:r w:rsidR="007249D3" w:rsidRPr="0021251A">
        <w:rPr>
          <w:lang w:eastAsia="ru-RU"/>
        </w:rPr>
        <w:t>влений</w:t>
      </w:r>
      <w:r w:rsidRPr="0021251A">
        <w:rPr>
          <w:lang w:eastAsia="ru-RU"/>
        </w:rPr>
        <w:t xml:space="preserve">, а полученные данные о частоте и характере </w:t>
      </w:r>
      <w:r w:rsidR="007249D3" w:rsidRPr="0021251A">
        <w:rPr>
          <w:lang w:eastAsia="ru-RU"/>
        </w:rPr>
        <w:t xml:space="preserve">нежелательных явлений </w:t>
      </w:r>
      <w:r w:rsidRPr="0021251A">
        <w:rPr>
          <w:lang w:eastAsia="ru-RU"/>
        </w:rPr>
        <w:t>хорошо согласуются с ранее опубликованными работами.</w:t>
      </w:r>
    </w:p>
    <w:p w14:paraId="31FE07BE" w14:textId="0FED79B4" w:rsidR="002B4B03" w:rsidRPr="005B3C21" w:rsidRDefault="002B4B03" w:rsidP="002B4B03">
      <w:pPr>
        <w:ind w:firstLine="709"/>
        <w:rPr>
          <w:color w:val="000000"/>
        </w:rPr>
      </w:pPr>
      <w:r w:rsidRPr="0075401B">
        <w:rPr>
          <w:lang w:val="en-US"/>
        </w:rPr>
        <w:t>DT</w:t>
      </w:r>
      <w:r w:rsidRPr="0075401B">
        <w:t>-</w:t>
      </w:r>
      <w:r w:rsidRPr="0075401B">
        <w:rPr>
          <w:lang w:val="en-US"/>
        </w:rPr>
        <w:t>ETR</w:t>
      </w:r>
      <w:r w:rsidRPr="0075401B">
        <w:rPr>
          <w:bCs/>
          <w:lang w:eastAsia="ru-RU"/>
        </w:rPr>
        <w:t xml:space="preserve">, таблетки, 100 мг и 200 мг, - воспроизведенный препарат этравирина, разработанный дочерним подразделением ГК «Р-Фарм», Россия – ООО «Технология лекарств», по заказу АО «Р-Фарм». </w:t>
      </w:r>
      <w:r w:rsidR="00F56C97">
        <w:rPr>
          <w:color w:val="000000"/>
        </w:rPr>
        <w:t xml:space="preserve">Он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препарату </w:t>
      </w:r>
      <w:r w:rsidR="00E729EF">
        <w:rPr>
          <w:color w:val="000000"/>
        </w:rPr>
        <w:t xml:space="preserve">этравирина </w:t>
      </w:r>
      <w:r w:rsidR="00F56C97">
        <w:rPr>
          <w:color w:val="000000"/>
        </w:rPr>
        <w:t>Интеленс</w:t>
      </w:r>
      <w:r w:rsidR="00F56C97" w:rsidRPr="00DA75AA">
        <w:rPr>
          <w:color w:val="000000"/>
          <w:vertAlign w:val="superscript"/>
        </w:rPr>
        <w:t>®</w:t>
      </w:r>
      <w:r w:rsidR="00F56C97" w:rsidRPr="00DA75AA">
        <w:rPr>
          <w:color w:val="000000"/>
        </w:rPr>
        <w:t xml:space="preserve"> </w:t>
      </w:r>
      <w:r w:rsidR="00F56C97" w:rsidRPr="00DA75AA">
        <w:rPr>
          <w:lang w:eastAsia="ru-RU"/>
        </w:rPr>
        <w:t xml:space="preserve">(владелец РУ </w:t>
      </w:r>
      <w:r w:rsidR="00F56C97">
        <w:rPr>
          <w:lang w:eastAsia="ru-RU"/>
        </w:rPr>
        <w:t xml:space="preserve">– ООО «Джонсон </w:t>
      </w:r>
      <w:r w:rsidR="00F56C97" w:rsidRPr="009B427E">
        <w:rPr>
          <w:lang w:eastAsia="ru-RU"/>
        </w:rPr>
        <w:t xml:space="preserve">&amp; </w:t>
      </w:r>
      <w:r w:rsidR="00F56C97">
        <w:rPr>
          <w:lang w:eastAsia="ru-RU"/>
        </w:rPr>
        <w:t>Джонсон», Россия</w:t>
      </w:r>
      <w:r w:rsidR="00F56C97" w:rsidRPr="00DA75AA">
        <w:rPr>
          <w:lang w:eastAsia="ru-RU"/>
        </w:rPr>
        <w:t xml:space="preserve">), </w:t>
      </w:r>
      <w:r w:rsidR="00F56C97">
        <w:rPr>
          <w:lang w:eastAsia="ru-RU"/>
        </w:rPr>
        <w:t>имея отличия в качественном и количественном составе некоторых вспомогательных веществ.</w:t>
      </w:r>
      <w:r w:rsidR="00F56C97">
        <w:rPr>
          <w:color w:val="000000"/>
        </w:rPr>
        <w:t xml:space="preserve"> </w:t>
      </w:r>
      <w:r w:rsidRPr="0075401B">
        <w:rPr>
          <w:color w:val="000000"/>
        </w:rPr>
        <w:t xml:space="preserve">Для доказательства эквивалентности препарата </w:t>
      </w:r>
      <w:r w:rsidRPr="0075401B">
        <w:rPr>
          <w:color w:val="000000"/>
          <w:lang w:val="en-US"/>
        </w:rPr>
        <w:t>DT</w:t>
      </w:r>
      <w:r w:rsidRPr="0075401B">
        <w:rPr>
          <w:color w:val="000000"/>
        </w:rPr>
        <w:t>-</w:t>
      </w:r>
      <w:r w:rsidRPr="0075401B">
        <w:rPr>
          <w:color w:val="000000"/>
          <w:lang w:val="en-US"/>
        </w:rPr>
        <w:t>ETR</w:t>
      </w:r>
      <w:r w:rsidRPr="0075401B">
        <w:rPr>
          <w:color w:val="000000"/>
        </w:rPr>
        <w:t xml:space="preserve"> были проведены исследования сравнительной кинетики растворения в сравнении с референтным препаратом Интеленс</w:t>
      </w:r>
      <w:r w:rsidRPr="0075401B">
        <w:rPr>
          <w:color w:val="000000"/>
          <w:vertAlign w:val="superscript"/>
        </w:rPr>
        <w:t>®</w:t>
      </w:r>
      <w:r w:rsidRPr="0075401B">
        <w:rPr>
          <w:color w:val="000000"/>
        </w:rPr>
        <w:t xml:space="preserve"> </w:t>
      </w:r>
      <w:r w:rsidRPr="0075401B">
        <w:rPr>
          <w:lang w:eastAsia="ru-RU"/>
        </w:rPr>
        <w:t>(</w:t>
      </w:r>
      <w:r w:rsidR="00FD59A0">
        <w:t xml:space="preserve">ООО «Джонсон </w:t>
      </w:r>
      <w:r w:rsidR="00FD59A0" w:rsidRPr="009B427E">
        <w:t xml:space="preserve">&amp; </w:t>
      </w:r>
      <w:r w:rsidR="00FD59A0">
        <w:t>Джонсон», Россия</w:t>
      </w:r>
      <w:r w:rsidRPr="005B3C21">
        <w:rPr>
          <w:lang w:eastAsia="ru-RU"/>
        </w:rPr>
        <w:t xml:space="preserve">) </w:t>
      </w:r>
      <w:r w:rsidRPr="005B3C21">
        <w:rPr>
          <w:rFonts w:eastAsia="Calibri"/>
          <w:color w:val="000000"/>
        </w:rPr>
        <w:t xml:space="preserve">в дозировке 200 мг </w:t>
      </w:r>
      <w:r w:rsidRPr="005B3C21">
        <w:rPr>
          <w:color w:val="000000"/>
        </w:rPr>
        <w:t xml:space="preserve">(в трех модельных </w:t>
      </w:r>
      <w:r w:rsidRPr="005B3C21">
        <w:rPr>
          <w:color w:val="000000"/>
        </w:rPr>
        <w:lastRenderedPageBreak/>
        <w:t>средах с рН 1,2; 4,5, 6,8, а также в среде по НД (</w:t>
      </w:r>
      <w:r w:rsidRPr="005B3C21">
        <w:t>0,01 М растворе хлороводородной кислоты и 2,25 % раствор натрия лаурилсульфата в 0,01 М растворе хлороводородной кислоты в соотношении 10:8</w:t>
      </w:r>
      <w:r w:rsidRPr="005B3C21">
        <w:rPr>
          <w:color w:val="000000"/>
        </w:rPr>
        <w:t xml:space="preserve">). Согласно полученным данным, кинетика растворения </w:t>
      </w:r>
      <w:r w:rsidRPr="005B3C21">
        <w:rPr>
          <w:color w:val="000000"/>
          <w:lang w:val="en-US"/>
        </w:rPr>
        <w:t>DT</w:t>
      </w:r>
      <w:r w:rsidRPr="005B3C21">
        <w:rPr>
          <w:color w:val="000000"/>
        </w:rPr>
        <w:t>-</w:t>
      </w:r>
      <w:r w:rsidRPr="005B3C21">
        <w:rPr>
          <w:color w:val="000000"/>
          <w:lang w:val="en-US"/>
        </w:rPr>
        <w:t>ETR</w:t>
      </w:r>
      <w:r w:rsidRPr="005B3C21">
        <w:rPr>
          <w:color w:val="000000"/>
        </w:rPr>
        <w:t xml:space="preserve"> эквивалентна кинетике растворения референтного препарата Интеленс</w:t>
      </w:r>
      <w:r w:rsidRPr="005B3C21">
        <w:rPr>
          <w:color w:val="000000"/>
          <w:vertAlign w:val="superscript"/>
        </w:rPr>
        <w:t>®</w:t>
      </w:r>
      <w:r w:rsidRPr="005B3C21">
        <w:rPr>
          <w:color w:val="000000"/>
        </w:rPr>
        <w:t>, что позволяет предполагать также эквивалентность фармакологических свойств обоих препаратов.</w:t>
      </w:r>
    </w:p>
    <w:p w14:paraId="5CD7B845" w14:textId="78ADE366" w:rsidR="00243FCC" w:rsidRDefault="002B4B03" w:rsidP="00FD59A0">
      <w:pPr>
        <w:ind w:firstLine="709"/>
        <w:rPr>
          <w:bCs/>
          <w:lang w:eastAsia="ru-RU"/>
        </w:rPr>
      </w:pPr>
      <w:r w:rsidRPr="005B3C21">
        <w:rPr>
          <w:bCs/>
          <w:lang w:eastAsia="ru-RU"/>
        </w:rPr>
        <w:t xml:space="preserve">Внедрение в клиническую практику нового воспроизведенного препарата </w:t>
      </w:r>
      <w:r>
        <w:rPr>
          <w:rFonts w:eastAsia="Calibri"/>
          <w:lang w:eastAsia="ar-SA"/>
        </w:rPr>
        <w:t>этравирина</w:t>
      </w:r>
      <w:r w:rsidRPr="005B3C21">
        <w:rPr>
          <w:bCs/>
          <w:lang w:eastAsia="ru-RU"/>
        </w:rPr>
        <w:t xml:space="preserve"> позволит снизить цену современной терапии </w:t>
      </w:r>
      <w:r>
        <w:rPr>
          <w:bCs/>
          <w:lang w:eastAsia="ru-RU"/>
        </w:rPr>
        <w:t xml:space="preserve">ВИЧ-инфекции </w:t>
      </w:r>
      <w:r w:rsidRPr="005B3C21">
        <w:rPr>
          <w:bCs/>
          <w:lang w:eastAsia="ru-RU"/>
        </w:rPr>
        <w:t>и повысить её доступность.</w:t>
      </w:r>
    </w:p>
    <w:p w14:paraId="41F9C14E" w14:textId="77777777" w:rsidR="00243FCC" w:rsidRDefault="00243FCC">
      <w:pPr>
        <w:rPr>
          <w:bCs/>
          <w:lang w:eastAsia="ru-RU"/>
        </w:rPr>
      </w:pPr>
      <w:r>
        <w:rPr>
          <w:bCs/>
          <w:lang w:eastAsia="ru-RU"/>
        </w:rPr>
        <w:br w:type="page"/>
      </w:r>
    </w:p>
    <w:p w14:paraId="04CA1F37" w14:textId="77777777" w:rsidR="00295007" w:rsidRPr="005E6358" w:rsidRDefault="00295007" w:rsidP="00295007">
      <w:pPr>
        <w:pStyle w:val="12"/>
        <w:tabs>
          <w:tab w:val="left" w:pos="142"/>
          <w:tab w:val="left" w:pos="284"/>
        </w:tabs>
        <w:spacing w:line="240" w:lineRule="auto"/>
        <w:rPr>
          <w:rFonts w:cs="Times New Roman"/>
          <w:color w:val="000000" w:themeColor="text1"/>
          <w:szCs w:val="24"/>
        </w:rPr>
      </w:pPr>
      <w:bookmarkStart w:id="14" w:name="_Toc415001065"/>
      <w:bookmarkStart w:id="15" w:name="_Toc117179158"/>
      <w:r w:rsidRPr="005E6358">
        <w:rPr>
          <w:rFonts w:cs="Times New Roman"/>
          <w:color w:val="000000" w:themeColor="text1"/>
          <w:szCs w:val="24"/>
        </w:rPr>
        <w:lastRenderedPageBreak/>
        <w:t>1. ВВЕДЕНИЕ</w:t>
      </w:r>
      <w:bookmarkEnd w:id="14"/>
      <w:bookmarkEnd w:id="15"/>
    </w:p>
    <w:p w14:paraId="591C2CD0" w14:textId="77777777" w:rsidR="00295007" w:rsidRPr="005E6358" w:rsidRDefault="00295007" w:rsidP="00295007">
      <w:pPr>
        <w:pStyle w:val="2"/>
        <w:spacing w:line="240" w:lineRule="auto"/>
        <w:rPr>
          <w:color w:val="000000" w:themeColor="text1"/>
          <w:szCs w:val="24"/>
        </w:rPr>
      </w:pPr>
      <w:bookmarkStart w:id="16" w:name="_Toc415001066"/>
      <w:bookmarkStart w:id="17" w:name="_Toc117179159"/>
      <w:r w:rsidRPr="005E6358">
        <w:rPr>
          <w:color w:val="000000" w:themeColor="text1"/>
          <w:szCs w:val="24"/>
        </w:rPr>
        <w:t>1.1. Химическое название</w:t>
      </w:r>
      <w:bookmarkEnd w:id="16"/>
      <w:bookmarkEnd w:id="17"/>
    </w:p>
    <w:p w14:paraId="28F00B5E" w14:textId="0585FF86" w:rsidR="00295007" w:rsidRPr="00984745" w:rsidRDefault="00295007" w:rsidP="00295007">
      <w:pPr>
        <w:pStyle w:val="OT"/>
        <w:rPr>
          <w:rStyle w:val="afff1"/>
          <w:rFonts w:eastAsia="MS Mincho"/>
          <w:b w:val="0"/>
          <w:bCs w:val="0"/>
          <w:color w:val="auto"/>
          <w:spacing w:val="0"/>
          <w:shd w:val="clear" w:color="auto" w:fill="auto"/>
          <w:lang w:bidi="ar-SA"/>
        </w:rPr>
      </w:pPr>
      <w:bookmarkStart w:id="18" w:name="_Toc415001067"/>
      <w:r w:rsidRPr="00DF5647">
        <w:rPr>
          <w:rStyle w:val="afff1"/>
          <w:b w:val="0"/>
          <w:bCs w:val="0"/>
          <w:color w:val="auto"/>
          <w:spacing w:val="0"/>
          <w:shd w:val="clear" w:color="auto" w:fill="auto"/>
          <w:lang w:bidi="ar-SA"/>
        </w:rPr>
        <w:t xml:space="preserve">4-[6-амино-5-бромо-2-(4-цианоанилино) пиримидин-4-ил] окси-3,5-диметилбензонитрил </w:t>
      </w:r>
      <w:r>
        <w:rPr>
          <w:rStyle w:val="afff1"/>
          <w:b w:val="0"/>
          <w:bCs w:val="0"/>
          <w:color w:val="auto"/>
          <w:spacing w:val="0"/>
          <w:shd w:val="clear" w:color="auto" w:fill="auto"/>
          <w:lang w:bidi="ar-SA"/>
        </w:rPr>
        <w:fldChar w:fldCharType="begin"/>
      </w:r>
      <w:r>
        <w:rPr>
          <w:rStyle w:val="afff1"/>
          <w:b w:val="0"/>
          <w:bCs w:val="0"/>
          <w:color w:val="auto"/>
          <w:spacing w:val="0"/>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Pr>
          <w:rStyle w:val="afff1"/>
          <w:b w:val="0"/>
          <w:bCs w:val="0"/>
          <w:color w:val="auto"/>
          <w:spacing w:val="0"/>
          <w:shd w:val="clear" w:color="auto" w:fill="auto"/>
          <w:lang w:bidi="ar-SA"/>
        </w:rPr>
        <w:fldChar w:fldCharType="separate"/>
      </w:r>
      <w:r w:rsidR="00984745" w:rsidRPr="00984745">
        <w:t>[</w:t>
      </w:r>
      <w:r w:rsidRPr="0000147D">
        <w:t>1</w:t>
      </w:r>
      <w:r w:rsidR="00984745" w:rsidRPr="00984745">
        <w:t>].</w:t>
      </w:r>
      <w:r>
        <w:rPr>
          <w:rStyle w:val="afff1"/>
          <w:b w:val="0"/>
          <w:bCs w:val="0"/>
          <w:color w:val="auto"/>
          <w:spacing w:val="0"/>
          <w:shd w:val="clear" w:color="auto" w:fill="auto"/>
          <w:lang w:bidi="ar-SA"/>
        </w:rPr>
        <w:fldChar w:fldCharType="end"/>
      </w:r>
    </w:p>
    <w:p w14:paraId="1BF0ECE4" w14:textId="77777777" w:rsidR="00295007" w:rsidRPr="005E6358" w:rsidRDefault="00295007" w:rsidP="00295007">
      <w:pPr>
        <w:pStyle w:val="2"/>
        <w:spacing w:line="240" w:lineRule="auto"/>
        <w:rPr>
          <w:color w:val="000000" w:themeColor="text1"/>
          <w:szCs w:val="24"/>
        </w:rPr>
      </w:pPr>
      <w:bookmarkStart w:id="19" w:name="_Toc117179160"/>
      <w:r w:rsidRPr="005E6358">
        <w:rPr>
          <w:color w:val="000000" w:themeColor="text1"/>
          <w:szCs w:val="24"/>
        </w:rPr>
        <w:t>1.2. Международное непатентованное название</w:t>
      </w:r>
      <w:bookmarkEnd w:id="18"/>
      <w:bookmarkEnd w:id="19"/>
    </w:p>
    <w:p w14:paraId="04BCB535" w14:textId="55A0830C" w:rsidR="00295007" w:rsidRPr="00F7520E" w:rsidRDefault="00295007" w:rsidP="00295007">
      <w:pPr>
        <w:ind w:firstLine="709"/>
      </w:pPr>
      <w:r w:rsidRPr="00F7520E">
        <w:t>Этравирин</w:t>
      </w:r>
      <w:r w:rsidR="00243FCC">
        <w:t>.</w:t>
      </w:r>
    </w:p>
    <w:p w14:paraId="56806594" w14:textId="77777777" w:rsidR="00295007" w:rsidRPr="005E6358" w:rsidRDefault="00295007" w:rsidP="00295007">
      <w:pPr>
        <w:pStyle w:val="2"/>
        <w:spacing w:line="240" w:lineRule="auto"/>
        <w:rPr>
          <w:color w:val="000000" w:themeColor="text1"/>
          <w:szCs w:val="24"/>
        </w:rPr>
      </w:pPr>
      <w:bookmarkStart w:id="20" w:name="_Toc415001068"/>
      <w:bookmarkStart w:id="21" w:name="_Toc117179161"/>
      <w:r w:rsidRPr="005E6358">
        <w:rPr>
          <w:color w:val="000000" w:themeColor="text1"/>
          <w:szCs w:val="24"/>
        </w:rPr>
        <w:t>1.3. Торговое название</w:t>
      </w:r>
      <w:bookmarkEnd w:id="20"/>
      <w:bookmarkEnd w:id="21"/>
    </w:p>
    <w:p w14:paraId="16C5C8DE" w14:textId="4B959F43" w:rsidR="00295007" w:rsidRPr="00A06854" w:rsidRDefault="00295007" w:rsidP="00295007">
      <w:pPr>
        <w:pStyle w:val="af3"/>
      </w:pPr>
      <w:r w:rsidRPr="00A06854">
        <w:rPr>
          <w:lang w:eastAsia="ru-RU"/>
        </w:rPr>
        <w:t xml:space="preserve">Торговое наименование – </w:t>
      </w:r>
      <w:r w:rsidR="004245A8">
        <w:rPr>
          <w:lang w:eastAsia="ru-RU"/>
        </w:rPr>
        <w:t>ЭТРАВИРИН</w:t>
      </w:r>
      <w:r w:rsidR="00A06854" w:rsidRPr="00A06854">
        <w:rPr>
          <w:lang w:eastAsia="ru-RU"/>
        </w:rPr>
        <w:t>.</w:t>
      </w:r>
    </w:p>
    <w:p w14:paraId="7FE6EF6B" w14:textId="097AE904" w:rsidR="00A72D8A" w:rsidRPr="00876EAE" w:rsidRDefault="00A72D8A" w:rsidP="00A72D8A">
      <w:pPr>
        <w:ind w:firstLine="709"/>
      </w:pPr>
      <w:r w:rsidRPr="00876EAE">
        <w:t xml:space="preserve">Внутреннее название - </w:t>
      </w:r>
      <w:r w:rsidRPr="00876EAE">
        <w:rPr>
          <w:shd w:val="clear" w:color="auto" w:fill="FFFFFF"/>
        </w:rPr>
        <w:t>DT-ETR.</w:t>
      </w:r>
    </w:p>
    <w:p w14:paraId="3CB7A7EB" w14:textId="4B49E2F1" w:rsidR="00295007" w:rsidRPr="00876EAE" w:rsidRDefault="00A72D8A" w:rsidP="00A72D8A">
      <w:pPr>
        <w:ind w:firstLine="709"/>
      </w:pPr>
      <w:r w:rsidRPr="00876EAE">
        <w:t xml:space="preserve">Код продукта - </w:t>
      </w:r>
      <w:r w:rsidRPr="00876EAE">
        <w:rPr>
          <w:shd w:val="clear" w:color="auto" w:fill="FFFFFF"/>
        </w:rPr>
        <w:t>J05630.</w:t>
      </w:r>
    </w:p>
    <w:p w14:paraId="6CB1AFD8" w14:textId="77777777" w:rsidR="00295007" w:rsidRPr="005E6358" w:rsidRDefault="00295007" w:rsidP="00295007">
      <w:pPr>
        <w:pStyle w:val="2"/>
        <w:spacing w:line="240" w:lineRule="auto"/>
        <w:rPr>
          <w:color w:val="000000" w:themeColor="text1"/>
          <w:szCs w:val="24"/>
        </w:rPr>
      </w:pPr>
      <w:bookmarkStart w:id="22" w:name="_Toc415001069"/>
      <w:bookmarkStart w:id="23" w:name="_Toc117179162"/>
      <w:r w:rsidRPr="005E6358">
        <w:rPr>
          <w:color w:val="000000" w:themeColor="text1"/>
          <w:szCs w:val="24"/>
        </w:rPr>
        <w:t>1.4. Активные ингредиенты</w:t>
      </w:r>
      <w:bookmarkEnd w:id="22"/>
      <w:bookmarkEnd w:id="23"/>
    </w:p>
    <w:p w14:paraId="77B3EAA0" w14:textId="09D04213" w:rsidR="00295007" w:rsidRPr="008A360D" w:rsidRDefault="004245A8" w:rsidP="00295007">
      <w:pPr>
        <w:pStyle w:val="af3"/>
      </w:pPr>
      <w:r w:rsidRPr="00707D60">
        <w:rPr>
          <w:color w:val="000000" w:themeColor="text1"/>
        </w:rPr>
        <w:t xml:space="preserve">Действующее вещество </w:t>
      </w:r>
      <w:r w:rsidR="00243FCC">
        <w:t>-</w:t>
      </w:r>
      <w:r w:rsidR="00243FCC" w:rsidRPr="00886280">
        <w:t xml:space="preserve"> </w:t>
      </w:r>
      <w:r w:rsidR="00295007" w:rsidRPr="00886280">
        <w:t>этравирин</w:t>
      </w:r>
      <w:r w:rsidR="00295007">
        <w:rPr>
          <w:lang w:eastAsia="ru-RU"/>
        </w:rPr>
        <w:t xml:space="preserve"> </w:t>
      </w:r>
      <w:r w:rsidR="00984745">
        <w:rPr>
          <w:rStyle w:val="afff1"/>
          <w:rFonts w:eastAsia="MS Mincho"/>
          <w:b w:val="0"/>
          <w:bCs w:val="0"/>
          <w:color w:val="auto"/>
          <w:spacing w:val="0"/>
          <w:shd w:val="clear" w:color="auto" w:fill="auto"/>
          <w:lang w:bidi="ar-SA"/>
        </w:rPr>
        <w:fldChar w:fldCharType="begin"/>
      </w:r>
      <w:r w:rsidR="00984745">
        <w:rPr>
          <w:rStyle w:val="afff1"/>
          <w:rFonts w:eastAsia="MS Mincho"/>
          <w:b w:val="0"/>
          <w:bCs w:val="0"/>
          <w:color w:val="auto"/>
          <w:spacing w:val="0"/>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sidR="00984745">
        <w:rPr>
          <w:rStyle w:val="afff1"/>
          <w:rFonts w:eastAsia="MS Mincho"/>
          <w:b w:val="0"/>
          <w:bCs w:val="0"/>
          <w:color w:val="auto"/>
          <w:spacing w:val="0"/>
          <w:shd w:val="clear" w:color="auto" w:fill="auto"/>
          <w:lang w:bidi="ar-SA"/>
        </w:rPr>
        <w:fldChar w:fldCharType="separate"/>
      </w:r>
      <w:r w:rsidR="00984745" w:rsidRPr="00984745">
        <w:t>.</w:t>
      </w:r>
      <w:r w:rsidR="00984745">
        <w:rPr>
          <w:rStyle w:val="afff1"/>
          <w:rFonts w:eastAsia="MS Mincho"/>
          <w:b w:val="0"/>
          <w:bCs w:val="0"/>
          <w:color w:val="auto"/>
          <w:spacing w:val="0"/>
          <w:shd w:val="clear" w:color="auto" w:fill="auto"/>
          <w:lang w:bidi="ar-SA"/>
        </w:rPr>
        <w:fldChar w:fldCharType="end"/>
      </w:r>
    </w:p>
    <w:p w14:paraId="4C3CF163" w14:textId="77777777" w:rsidR="00295007" w:rsidRDefault="00295007" w:rsidP="00295007">
      <w:pPr>
        <w:pStyle w:val="2"/>
        <w:spacing w:line="240" w:lineRule="auto"/>
        <w:rPr>
          <w:color w:val="000000" w:themeColor="text1"/>
          <w:szCs w:val="24"/>
        </w:rPr>
      </w:pPr>
      <w:bookmarkStart w:id="24" w:name="_Toc415001070"/>
      <w:bookmarkStart w:id="25" w:name="_Toc117179163"/>
      <w:r w:rsidRPr="005E6358">
        <w:rPr>
          <w:color w:val="000000" w:themeColor="text1"/>
          <w:szCs w:val="24"/>
        </w:rPr>
        <w:t>1.5. Фармакологическая группа</w:t>
      </w:r>
      <w:bookmarkEnd w:id="24"/>
      <w:bookmarkEnd w:id="25"/>
    </w:p>
    <w:p w14:paraId="59054725" w14:textId="23A7D061" w:rsidR="00295007" w:rsidRDefault="004245A8" w:rsidP="00243FCC">
      <w:pPr>
        <w:pStyle w:val="af3"/>
        <w:ind w:left="0" w:firstLine="720"/>
      </w:pPr>
      <w:r>
        <w:t>П</w:t>
      </w:r>
      <w:r w:rsidRPr="00886280">
        <w:t>ротивовирусн</w:t>
      </w:r>
      <w:r>
        <w:t xml:space="preserve">ые препараты для системного примнения. Противовирусные препараты прямого действия. Ненуклеозиды – ингибиторы обратной транскриптазы. </w:t>
      </w:r>
      <w:r w:rsidRPr="00886280">
        <w:t xml:space="preserve"> </w:t>
      </w:r>
    </w:p>
    <w:p w14:paraId="3A872AA9" w14:textId="77777777" w:rsidR="00295007" w:rsidRPr="005E6358" w:rsidRDefault="00295007" w:rsidP="00295007">
      <w:pPr>
        <w:pStyle w:val="2"/>
        <w:spacing w:line="240" w:lineRule="auto"/>
        <w:rPr>
          <w:color w:val="000000" w:themeColor="text1"/>
          <w:szCs w:val="24"/>
        </w:rPr>
      </w:pPr>
      <w:bookmarkStart w:id="26" w:name="_Toc415001071"/>
      <w:bookmarkStart w:id="27" w:name="_Toc117179164"/>
      <w:r w:rsidRPr="005E6358">
        <w:rPr>
          <w:color w:val="000000" w:themeColor="text1"/>
          <w:szCs w:val="24"/>
        </w:rPr>
        <w:t>1.6. Код по АТХ</w:t>
      </w:r>
      <w:bookmarkEnd w:id="26"/>
      <w:bookmarkEnd w:id="27"/>
    </w:p>
    <w:p w14:paraId="6E7C7586" w14:textId="13586DDF" w:rsidR="00295007" w:rsidRDefault="00295007" w:rsidP="00295007">
      <w:pPr>
        <w:pStyle w:val="af3"/>
        <w:contextualSpacing w:val="0"/>
        <w:rPr>
          <w:rStyle w:val="afff1"/>
          <w:rFonts w:eastAsia="MS Mincho"/>
          <w:b w:val="0"/>
        </w:rPr>
      </w:pPr>
      <w:bookmarkStart w:id="28" w:name="_Toc415001072"/>
      <w:r w:rsidRPr="00886280">
        <w:rPr>
          <w:rStyle w:val="afff1"/>
          <w:rFonts w:eastAsia="MS Mincho"/>
          <w:b w:val="0"/>
        </w:rPr>
        <w:t>J05AG04</w:t>
      </w:r>
    </w:p>
    <w:p w14:paraId="37B5979B" w14:textId="77777777" w:rsidR="00295007" w:rsidRPr="005E6358" w:rsidRDefault="00295007" w:rsidP="00295007">
      <w:pPr>
        <w:pStyle w:val="2"/>
        <w:numPr>
          <w:ilvl w:val="1"/>
          <w:numId w:val="1"/>
        </w:numPr>
        <w:tabs>
          <w:tab w:val="left" w:pos="284"/>
          <w:tab w:val="left" w:pos="426"/>
        </w:tabs>
        <w:spacing w:line="240" w:lineRule="auto"/>
        <w:ind w:left="0" w:firstLine="0"/>
        <w:rPr>
          <w:color w:val="000000" w:themeColor="text1"/>
          <w:szCs w:val="24"/>
        </w:rPr>
      </w:pPr>
      <w:bookmarkStart w:id="29" w:name="_Toc117179165"/>
      <w:r w:rsidRPr="005E6358">
        <w:rPr>
          <w:color w:val="000000" w:themeColor="text1"/>
          <w:szCs w:val="24"/>
        </w:rPr>
        <w:t>Обоснование для изучения исследуемого препарата</w:t>
      </w:r>
      <w:bookmarkEnd w:id="28"/>
      <w:bookmarkEnd w:id="29"/>
    </w:p>
    <w:p w14:paraId="4C85EDF3" w14:textId="77777777" w:rsidR="00295007" w:rsidRDefault="00295007" w:rsidP="00295007">
      <w:pPr>
        <w:pStyle w:val="3"/>
        <w:spacing w:after="240"/>
        <w:rPr>
          <w:rFonts w:ascii="Times New Roman" w:hAnsi="Times New Roman"/>
          <w:color w:val="000000" w:themeColor="text1"/>
          <w:szCs w:val="24"/>
        </w:rPr>
      </w:pPr>
      <w:bookmarkStart w:id="30" w:name="_Toc117179166"/>
      <w:r w:rsidRPr="005E6358">
        <w:rPr>
          <w:rFonts w:ascii="Times New Roman" w:hAnsi="Times New Roman"/>
          <w:color w:val="000000" w:themeColor="text1"/>
          <w:szCs w:val="24"/>
        </w:rPr>
        <w:t>1.7.1. Общие сведения о заболевании</w:t>
      </w:r>
      <w:bookmarkEnd w:id="30"/>
    </w:p>
    <w:p w14:paraId="4906588C" w14:textId="629A4406" w:rsidR="00295007" w:rsidRDefault="00295007" w:rsidP="00A72D8A">
      <w:pPr>
        <w:pStyle w:val="af3"/>
        <w:ind w:left="0" w:firstLine="709"/>
      </w:pPr>
      <w:r>
        <w:t>ВИЧ-инфекция – инфекционное хроническое заболевание, медленно прогрессирующее и характеризующееся поражением иммунной системы с развитием СПИД (</w:t>
      </w:r>
      <w:r w:rsidRPr="00F35B24">
        <w:t>синдром приобретённого иммунодефицита</w:t>
      </w:r>
      <w:r>
        <w:t xml:space="preserve">). Клиническими проявлениями несостоятельности иммунной системы являются оппортунистические инфекции, злокачественные новообразования, дистрофические и аутоиммунные процессы </w:t>
      </w:r>
      <w:r w:rsidR="00984745">
        <w:rPr>
          <w:rStyle w:val="afff1"/>
          <w:rFonts w:eastAsia="MS Mincho"/>
          <w:b w:val="0"/>
          <w:bCs w:val="0"/>
          <w:color w:val="auto"/>
          <w:spacing w:val="0"/>
          <w:shd w:val="clear" w:color="auto" w:fill="auto"/>
          <w:lang w:bidi="ar-SA"/>
        </w:rPr>
        <w:fldChar w:fldCharType="begin"/>
      </w:r>
      <w:r w:rsidR="00984745">
        <w:rPr>
          <w:rStyle w:val="afff1"/>
          <w:rFonts w:eastAsia="MS Mincho"/>
          <w:b w:val="0"/>
          <w:bCs w:val="0"/>
          <w:color w:val="auto"/>
          <w:spacing w:val="0"/>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sidR="00984745">
        <w:rPr>
          <w:rStyle w:val="afff1"/>
          <w:rFonts w:eastAsia="MS Mincho"/>
          <w:b w:val="0"/>
          <w:bCs w:val="0"/>
          <w:color w:val="auto"/>
          <w:spacing w:val="0"/>
          <w:shd w:val="clear" w:color="auto" w:fill="auto"/>
          <w:lang w:bidi="ar-SA"/>
        </w:rPr>
        <w:fldChar w:fldCharType="separate"/>
      </w:r>
      <w:r w:rsidR="00984745" w:rsidRPr="00984745">
        <w:t>[4-6].</w:t>
      </w:r>
      <w:r w:rsidR="00984745">
        <w:rPr>
          <w:rStyle w:val="afff1"/>
          <w:rFonts w:eastAsia="MS Mincho"/>
          <w:b w:val="0"/>
          <w:bCs w:val="0"/>
          <w:color w:val="auto"/>
          <w:spacing w:val="0"/>
          <w:shd w:val="clear" w:color="auto" w:fill="auto"/>
          <w:lang w:bidi="ar-SA"/>
        </w:rPr>
        <w:fldChar w:fldCharType="end"/>
      </w:r>
    </w:p>
    <w:p w14:paraId="137FC176" w14:textId="6CBFEA02" w:rsidR="00295007" w:rsidRDefault="00295007" w:rsidP="00A72D8A">
      <w:pPr>
        <w:pStyle w:val="OT"/>
        <w:spacing w:after="0"/>
        <w:ind w:firstLine="709"/>
        <w:rPr>
          <w:sz w:val="24"/>
          <w:szCs w:val="24"/>
        </w:rPr>
      </w:pPr>
      <w:r>
        <w:rPr>
          <w:sz w:val="24"/>
          <w:szCs w:val="24"/>
        </w:rPr>
        <w:t>По данным всемирной организации здравоохранения (ВОЗ) н</w:t>
      </w:r>
      <w:r w:rsidRPr="0079295E">
        <w:rPr>
          <w:sz w:val="24"/>
          <w:szCs w:val="24"/>
        </w:rPr>
        <w:t xml:space="preserve">а конец 2021 года насчитывалось 38,4 миллиона </w:t>
      </w:r>
      <w:r w:rsidR="004245A8" w:rsidRPr="008B0B82">
        <w:rPr>
          <w:sz w:val="24"/>
          <w:szCs w:val="24"/>
        </w:rPr>
        <w:t>(</w:t>
      </w:r>
      <w:r w:rsidRPr="0079295E">
        <w:rPr>
          <w:sz w:val="24"/>
          <w:szCs w:val="24"/>
        </w:rPr>
        <w:t>33,9–43,8 миллиона</w:t>
      </w:r>
      <w:r w:rsidR="004245A8" w:rsidRPr="008B0B82">
        <w:rPr>
          <w:sz w:val="24"/>
          <w:szCs w:val="24"/>
        </w:rPr>
        <w:t>)</w:t>
      </w:r>
      <w:r w:rsidR="004245A8" w:rsidRPr="0079295E">
        <w:rPr>
          <w:sz w:val="24"/>
          <w:szCs w:val="24"/>
        </w:rPr>
        <w:t xml:space="preserve"> </w:t>
      </w:r>
      <w:r w:rsidRPr="0079295E">
        <w:rPr>
          <w:sz w:val="24"/>
          <w:szCs w:val="24"/>
        </w:rPr>
        <w:t>человек, живущих с ВИЧ, две трети из которых (25,6 миллиона) проживали в Африканско</w:t>
      </w:r>
      <w:r w:rsidR="00984745">
        <w:rPr>
          <w:sz w:val="24"/>
          <w:szCs w:val="24"/>
        </w:rPr>
        <w:t xml:space="preserve">м регионе. В 2021 году 650 000 </w:t>
      </w:r>
      <w:r w:rsidR="00984745" w:rsidRPr="00984745">
        <w:rPr>
          <w:sz w:val="24"/>
          <w:szCs w:val="24"/>
        </w:rPr>
        <w:t>(</w:t>
      </w:r>
      <w:r w:rsidR="00984745">
        <w:rPr>
          <w:sz w:val="24"/>
          <w:szCs w:val="24"/>
        </w:rPr>
        <w:t>510 000–860 000</w:t>
      </w:r>
      <w:r w:rsidR="00984745" w:rsidRPr="00984745">
        <w:rPr>
          <w:sz w:val="24"/>
          <w:szCs w:val="24"/>
        </w:rPr>
        <w:t>)</w:t>
      </w:r>
      <w:r w:rsidRPr="0079295E">
        <w:rPr>
          <w:sz w:val="24"/>
          <w:szCs w:val="24"/>
        </w:rPr>
        <w:t xml:space="preserve"> человек умерли от причин, </w:t>
      </w:r>
      <w:r w:rsidR="00984745">
        <w:rPr>
          <w:sz w:val="24"/>
          <w:szCs w:val="24"/>
        </w:rPr>
        <w:t xml:space="preserve">связанных с ВИЧ и 1,5 миллиона </w:t>
      </w:r>
      <w:r w:rsidR="00984745" w:rsidRPr="00984745">
        <w:rPr>
          <w:sz w:val="24"/>
          <w:szCs w:val="24"/>
        </w:rPr>
        <w:t>(</w:t>
      </w:r>
      <w:r w:rsidR="00984745">
        <w:rPr>
          <w:sz w:val="24"/>
          <w:szCs w:val="24"/>
        </w:rPr>
        <w:t>1,1–2,0 миллиона</w:t>
      </w:r>
      <w:r w:rsidR="00984745" w:rsidRPr="00984745">
        <w:rPr>
          <w:sz w:val="24"/>
          <w:szCs w:val="24"/>
        </w:rPr>
        <w:t>)</w:t>
      </w:r>
      <w:r w:rsidRPr="0079295E">
        <w:rPr>
          <w:sz w:val="24"/>
          <w:szCs w:val="24"/>
        </w:rPr>
        <w:t xml:space="preserve"> человек заразились ВИЧ</w:t>
      </w:r>
      <w:r>
        <w:rPr>
          <w:sz w:val="24"/>
          <w:szCs w:val="24"/>
        </w:rPr>
        <w:t xml:space="preserve"> </w:t>
      </w:r>
      <w:r w:rsidR="00984745">
        <w:rPr>
          <w:rStyle w:val="afff1"/>
          <w:b w:val="0"/>
          <w:bCs w:val="0"/>
          <w:color w:val="auto"/>
          <w:spacing w:val="0"/>
          <w:shd w:val="clear" w:color="auto" w:fill="auto"/>
          <w:lang w:bidi="ar-SA"/>
        </w:rPr>
        <w:fldChar w:fldCharType="begin"/>
      </w:r>
      <w:r w:rsidR="00984745">
        <w:rPr>
          <w:rStyle w:val="afff1"/>
          <w:b w:val="0"/>
          <w:bCs w:val="0"/>
          <w:color w:val="auto"/>
          <w:spacing w:val="0"/>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sidR="00984745">
        <w:rPr>
          <w:rStyle w:val="afff1"/>
          <w:b w:val="0"/>
          <w:bCs w:val="0"/>
          <w:color w:val="auto"/>
          <w:spacing w:val="0"/>
          <w:shd w:val="clear" w:color="auto" w:fill="auto"/>
          <w:lang w:bidi="ar-SA"/>
        </w:rPr>
        <w:fldChar w:fldCharType="separate"/>
      </w:r>
      <w:r w:rsidR="00984745" w:rsidRPr="00984745">
        <w:t>[7].</w:t>
      </w:r>
      <w:r w:rsidR="00984745">
        <w:rPr>
          <w:rStyle w:val="afff1"/>
          <w:b w:val="0"/>
          <w:bCs w:val="0"/>
          <w:color w:val="auto"/>
          <w:spacing w:val="0"/>
          <w:shd w:val="clear" w:color="auto" w:fill="auto"/>
          <w:lang w:bidi="ar-SA"/>
        </w:rPr>
        <w:fldChar w:fldCharType="end"/>
      </w:r>
    </w:p>
    <w:p w14:paraId="272D941A" w14:textId="6BE72711" w:rsidR="00295007" w:rsidRPr="002E2E87" w:rsidRDefault="00295007" w:rsidP="00A72D8A">
      <w:pPr>
        <w:pStyle w:val="OT"/>
        <w:spacing w:after="0"/>
        <w:ind w:firstLine="709"/>
        <w:rPr>
          <w:sz w:val="24"/>
          <w:szCs w:val="24"/>
        </w:rPr>
      </w:pPr>
      <w:r w:rsidRPr="00B817BC">
        <w:rPr>
          <w:sz w:val="24"/>
          <w:szCs w:val="24"/>
        </w:rPr>
        <w:t xml:space="preserve">В последнее десятилетие в некоторых регионах, включая Северную Америку, Южную Америку, Океанию (западная часть Тихого океана) и Европу, </w:t>
      </w:r>
      <w:r w:rsidRPr="00B817BC">
        <w:rPr>
          <w:sz w:val="24"/>
          <w:szCs w:val="24"/>
        </w:rPr>
        <w:lastRenderedPageBreak/>
        <w:t xml:space="preserve">наблюдался всплеск заболеваемости </w:t>
      </w:r>
      <w:r w:rsidRPr="0079295E">
        <w:rPr>
          <w:sz w:val="24"/>
          <w:szCs w:val="24"/>
        </w:rPr>
        <w:t>ВИЧ</w:t>
      </w:r>
      <w:r w:rsidRPr="00B817BC">
        <w:rPr>
          <w:sz w:val="24"/>
          <w:szCs w:val="24"/>
        </w:rPr>
        <w:t xml:space="preserve"> (</w:t>
      </w:r>
      <w:r>
        <w:rPr>
          <w:sz w:val="24"/>
          <w:szCs w:val="24"/>
        </w:rPr>
        <w:t>Рисунок</w:t>
      </w:r>
      <w:r w:rsidRPr="00B817BC">
        <w:rPr>
          <w:sz w:val="24"/>
          <w:szCs w:val="24"/>
        </w:rPr>
        <w:t xml:space="preserve"> 1</w:t>
      </w:r>
      <w:r>
        <w:rPr>
          <w:sz w:val="24"/>
          <w:szCs w:val="24"/>
        </w:rPr>
        <w:t>-1</w:t>
      </w:r>
      <w:r w:rsidRPr="00B817BC">
        <w:rPr>
          <w:sz w:val="24"/>
          <w:szCs w:val="24"/>
        </w:rPr>
        <w:t xml:space="preserve">А). Этот рост наблюдается уже более десяти лет. Темпы роста высоки в России, Португалии, Украине и Бразилии. Эта тенденция роста присутствует также при анализе стандартизированных по возрасту показателей. Прогнозируется, что уровень заболеваемости </w:t>
      </w:r>
      <w:r>
        <w:rPr>
          <w:sz w:val="24"/>
          <w:szCs w:val="24"/>
        </w:rPr>
        <w:t xml:space="preserve">в этих странах </w:t>
      </w:r>
      <w:r w:rsidRPr="00B817BC">
        <w:rPr>
          <w:sz w:val="24"/>
          <w:szCs w:val="24"/>
        </w:rPr>
        <w:t>будет продолжать расти в течение следующих двух десятилетий</w:t>
      </w:r>
      <w:r>
        <w:rPr>
          <w:sz w:val="24"/>
          <w:szCs w:val="24"/>
        </w:rPr>
        <w:t>. Однако, в</w:t>
      </w:r>
      <w:r w:rsidRPr="00F26504">
        <w:rPr>
          <w:sz w:val="24"/>
          <w:szCs w:val="24"/>
        </w:rPr>
        <w:t xml:space="preserve"> Южной Африке, Кении и других африканских странах наблюдается неуклонное снижение</w:t>
      </w:r>
      <w:r>
        <w:rPr>
          <w:sz w:val="24"/>
          <w:szCs w:val="24"/>
        </w:rPr>
        <w:t xml:space="preserve"> заболеваемости</w:t>
      </w:r>
      <w:r w:rsidRPr="00F26504">
        <w:rPr>
          <w:sz w:val="24"/>
          <w:szCs w:val="24"/>
        </w:rPr>
        <w:t xml:space="preserve">. После быстрого роста с 1990 по 2000 год заболеваемость ВИЧ/СПИД в Южной Африке резко снизилась до 2005 года, а затем темпы снижения заболеваемости замедлились. Существенное снижение показателей заболеваемости за последние два десятилетия также наблюдается в Китае и </w:t>
      </w:r>
      <w:r>
        <w:rPr>
          <w:sz w:val="24"/>
          <w:szCs w:val="24"/>
        </w:rPr>
        <w:t>в Индии.</w:t>
      </w:r>
      <w:r w:rsidRPr="00F26504">
        <w:rPr>
          <w:sz w:val="24"/>
          <w:szCs w:val="24"/>
        </w:rPr>
        <w:t xml:space="preserve"> Несмотря на снижение показателей, в странах Африки к югу от Сахары по-прежнему сохраняется самое большое в мире число новых инфекций</w:t>
      </w:r>
      <w:r>
        <w:rPr>
          <w:sz w:val="24"/>
          <w:szCs w:val="24"/>
        </w:rPr>
        <w:t xml:space="preserve"> </w:t>
      </w:r>
      <w:r w:rsidR="00984745" w:rsidRPr="008B0B82">
        <w:rPr>
          <w:rStyle w:val="afff1"/>
          <w:b w:val="0"/>
          <w:bCs w:val="0"/>
          <w:color w:val="auto"/>
          <w:spacing w:val="0"/>
          <w:sz w:val="24"/>
          <w:szCs w:val="24"/>
          <w:shd w:val="clear" w:color="auto" w:fill="auto"/>
          <w:lang w:bidi="ar-SA"/>
        </w:rPr>
        <w:fldChar w:fldCharType="begin"/>
      </w:r>
      <w:r w:rsidR="00984745" w:rsidRPr="008B0B82">
        <w:rPr>
          <w:rStyle w:val="afff1"/>
          <w:b w:val="0"/>
          <w:bCs w:val="0"/>
          <w:color w:val="auto"/>
          <w:spacing w:val="0"/>
          <w:sz w:val="24"/>
          <w:szCs w:val="24"/>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sidR="00984745" w:rsidRPr="008B0B82">
        <w:rPr>
          <w:rStyle w:val="afff1"/>
          <w:b w:val="0"/>
          <w:bCs w:val="0"/>
          <w:color w:val="auto"/>
          <w:spacing w:val="0"/>
          <w:sz w:val="24"/>
          <w:szCs w:val="24"/>
          <w:shd w:val="clear" w:color="auto" w:fill="auto"/>
          <w:lang w:bidi="ar-SA"/>
        </w:rPr>
        <w:fldChar w:fldCharType="separate"/>
      </w:r>
      <w:r w:rsidR="00984745" w:rsidRPr="008B0B82">
        <w:rPr>
          <w:sz w:val="24"/>
          <w:szCs w:val="24"/>
        </w:rPr>
        <w:t>[8].</w:t>
      </w:r>
      <w:r w:rsidR="00984745" w:rsidRPr="008B0B82">
        <w:rPr>
          <w:rStyle w:val="afff1"/>
          <w:b w:val="0"/>
          <w:bCs w:val="0"/>
          <w:color w:val="auto"/>
          <w:spacing w:val="0"/>
          <w:sz w:val="24"/>
          <w:szCs w:val="24"/>
          <w:shd w:val="clear" w:color="auto" w:fill="auto"/>
          <w:lang w:bidi="ar-SA"/>
        </w:rPr>
        <w:fldChar w:fldCharType="end"/>
      </w:r>
    </w:p>
    <w:p w14:paraId="0D95CAF3" w14:textId="77777777" w:rsidR="004245A8" w:rsidRPr="008B0B82" w:rsidRDefault="004245A8">
      <w:pPr>
        <w:rPr>
          <w:lang w:eastAsia="en-US"/>
        </w:rPr>
      </w:pPr>
    </w:p>
    <w:p w14:paraId="55BFF318" w14:textId="4E20F814" w:rsidR="00A72D8A" w:rsidRPr="00602EA6" w:rsidRDefault="00A72D8A" w:rsidP="00A76175">
      <w:pPr>
        <w:pStyle w:val="aff1"/>
        <w:spacing w:before="0"/>
        <w:contextualSpacing/>
        <w:rPr>
          <w:rFonts w:eastAsia="TimesNewRomanPSMT"/>
          <w:color w:val="000000"/>
          <w:lang w:eastAsia="en-US"/>
        </w:rPr>
      </w:pPr>
      <w:bookmarkStart w:id="31" w:name="_Toc111670969"/>
      <w:r w:rsidRPr="000F298A">
        <w:rPr>
          <w:b/>
          <w:bCs/>
        </w:rPr>
        <w:t xml:space="preserve">Рисунок </w:t>
      </w:r>
      <w:r w:rsidRPr="000F298A">
        <w:rPr>
          <w:b/>
          <w:bCs/>
        </w:rPr>
        <w:fldChar w:fldCharType="begin"/>
      </w:r>
      <w:r w:rsidRPr="000F298A">
        <w:rPr>
          <w:b/>
          <w:bCs/>
        </w:rPr>
        <w:instrText xml:space="preserve"> SEQ Рисунок \* ARABIC </w:instrText>
      </w:r>
      <w:r w:rsidRPr="000F298A">
        <w:rPr>
          <w:b/>
          <w:bCs/>
        </w:rPr>
        <w:fldChar w:fldCharType="separate"/>
      </w:r>
      <w:r>
        <w:rPr>
          <w:b/>
          <w:bCs/>
          <w:noProof/>
        </w:rPr>
        <w:t>1</w:t>
      </w:r>
      <w:r w:rsidRPr="000F298A">
        <w:rPr>
          <w:b/>
          <w:bCs/>
          <w:noProof/>
        </w:rPr>
        <w:fldChar w:fldCharType="end"/>
      </w:r>
      <w:r w:rsidR="004245A8">
        <w:rPr>
          <w:b/>
          <w:bCs/>
        </w:rPr>
        <w:t>-</w:t>
      </w:r>
      <w:r w:rsidRPr="000F298A">
        <w:rPr>
          <w:b/>
          <w:bCs/>
        </w:rPr>
        <w:t>1</w:t>
      </w:r>
      <w:r>
        <w:rPr>
          <w:b/>
          <w:bCs/>
        </w:rPr>
        <w:t>.</w:t>
      </w:r>
      <w:r w:rsidRPr="00672F10">
        <w:rPr>
          <w:b/>
          <w:bCs/>
        </w:rPr>
        <w:t xml:space="preserve"> </w:t>
      </w:r>
      <w:r w:rsidRPr="00876EAE">
        <w:rPr>
          <w:bCs/>
        </w:rPr>
        <w:t>Эпидемиологические изменения в области заболеваемости и смертности ВИЧ/СПИДа по данным ВОЗ</w:t>
      </w:r>
      <w:r w:rsidR="004245A8">
        <w:rPr>
          <w:bCs/>
        </w:rPr>
        <w:t xml:space="preserve"> </w:t>
      </w:r>
      <w:r w:rsidR="004245A8" w:rsidRPr="008B0B82">
        <w:rPr>
          <w:bCs/>
        </w:rPr>
        <w:t>[8]</w:t>
      </w:r>
      <w:bookmarkEnd w:id="31"/>
      <w:r w:rsidR="00876EAE">
        <w:rPr>
          <w:rFonts w:eastAsia="TimesNewRomanPSMT"/>
          <w:bCs/>
          <w:color w:val="000000"/>
          <w:lang w:eastAsia="en-US"/>
        </w:rPr>
        <w:t>.</w:t>
      </w:r>
    </w:p>
    <w:p w14:paraId="4CA8407C" w14:textId="299DE6CF" w:rsidR="00295007" w:rsidRDefault="00295007" w:rsidP="00A97B7A">
      <w:pPr>
        <w:autoSpaceDE w:val="0"/>
        <w:autoSpaceDN w:val="0"/>
        <w:adjustRightInd w:val="0"/>
        <w:contextualSpacing/>
        <w:jc w:val="left"/>
        <w:rPr>
          <w:rFonts w:eastAsia="TimesNewRomanPSMT"/>
          <w:color w:val="000000"/>
          <w:lang w:eastAsia="en-US"/>
        </w:rPr>
      </w:pPr>
      <w:r>
        <w:rPr>
          <w:noProof/>
          <w:lang w:eastAsia="ru-RU"/>
        </w:rPr>
        <w:drawing>
          <wp:inline distT="0" distB="0" distL="0" distR="0" wp14:anchorId="33E40B58" wp14:editId="075062DD">
            <wp:extent cx="5276850" cy="5798606"/>
            <wp:effectExtent l="19050" t="19050" r="19050" b="1206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93249" cy="5816626"/>
                    </a:xfrm>
                    <a:prstGeom prst="rect">
                      <a:avLst/>
                    </a:prstGeom>
                    <a:noFill/>
                    <a:ln>
                      <a:solidFill>
                        <a:schemeClr val="tx1"/>
                      </a:solidFill>
                    </a:ln>
                  </pic:spPr>
                </pic:pic>
              </a:graphicData>
            </a:graphic>
          </wp:inline>
        </w:drawing>
      </w:r>
    </w:p>
    <w:p w14:paraId="179CB57D" w14:textId="55F816E1" w:rsidR="00A97B7A" w:rsidRPr="00A97B7A" w:rsidRDefault="00A97B7A" w:rsidP="00A97B7A">
      <w:pPr>
        <w:pStyle w:val="aff1"/>
        <w:spacing w:before="0"/>
        <w:contextualSpacing/>
        <w:rPr>
          <w:b/>
          <w:bCs/>
          <w:sz w:val="20"/>
        </w:rPr>
      </w:pPr>
      <w:r w:rsidRPr="00A97B7A">
        <w:rPr>
          <w:b/>
          <w:bCs/>
          <w:sz w:val="20"/>
        </w:rPr>
        <w:lastRenderedPageBreak/>
        <w:t xml:space="preserve">Примечание: </w:t>
      </w:r>
    </w:p>
    <w:p w14:paraId="15278582" w14:textId="1B11DECA" w:rsidR="004245A8" w:rsidRPr="00A97B7A" w:rsidRDefault="004245A8" w:rsidP="00A97B7A">
      <w:pPr>
        <w:pStyle w:val="aff1"/>
        <w:spacing w:before="0"/>
        <w:contextualSpacing/>
        <w:rPr>
          <w:b/>
          <w:bCs/>
          <w:sz w:val="20"/>
        </w:rPr>
      </w:pPr>
      <w:r w:rsidRPr="00A97B7A">
        <w:rPr>
          <w:b/>
          <w:bCs/>
          <w:sz w:val="20"/>
        </w:rPr>
        <w:t xml:space="preserve">(А) Уровень заболеваемости на 100000 населения. </w:t>
      </w:r>
    </w:p>
    <w:p w14:paraId="283993DC" w14:textId="5CC68F4E" w:rsidR="004245A8" w:rsidRPr="00A97B7A" w:rsidRDefault="004245A8" w:rsidP="00A97B7A">
      <w:pPr>
        <w:contextualSpacing/>
        <w:rPr>
          <w:sz w:val="20"/>
          <w:szCs w:val="20"/>
          <w:lang w:eastAsia="ru-RU"/>
        </w:rPr>
      </w:pPr>
      <w:r w:rsidRPr="00A97B7A">
        <w:rPr>
          <w:sz w:val="20"/>
          <w:szCs w:val="20"/>
          <w:lang w:eastAsia="ru-RU"/>
        </w:rPr>
        <w:t>Incidence rate per 100</w:t>
      </w:r>
      <w:r w:rsidR="00CB30A0" w:rsidRPr="00A97B7A">
        <w:rPr>
          <w:sz w:val="20"/>
          <w:szCs w:val="20"/>
          <w:lang w:eastAsia="ru-RU"/>
        </w:rPr>
        <w:t>,</w:t>
      </w:r>
      <w:r w:rsidRPr="00A97B7A">
        <w:rPr>
          <w:sz w:val="20"/>
          <w:szCs w:val="20"/>
          <w:lang w:eastAsia="ru-RU"/>
        </w:rPr>
        <w:t>000 population – уровень заболеваемости на 100000 населения.</w:t>
      </w:r>
    </w:p>
    <w:p w14:paraId="43EA2B46" w14:textId="77777777" w:rsidR="004245A8" w:rsidRPr="00A97B7A" w:rsidRDefault="004245A8" w:rsidP="00A97B7A">
      <w:pPr>
        <w:pStyle w:val="aff1"/>
        <w:spacing w:before="0"/>
        <w:contextualSpacing/>
        <w:rPr>
          <w:sz w:val="20"/>
        </w:rPr>
      </w:pPr>
      <w:r w:rsidRPr="00A97B7A">
        <w:rPr>
          <w:sz w:val="20"/>
          <w:lang w:val="en-US"/>
        </w:rPr>
        <w:t>Rising</w:t>
      </w:r>
      <w:r w:rsidRPr="00A97B7A">
        <w:rPr>
          <w:sz w:val="20"/>
        </w:rPr>
        <w:t xml:space="preserve"> </w:t>
      </w:r>
      <w:r w:rsidRPr="00A97B7A">
        <w:rPr>
          <w:sz w:val="20"/>
          <w:lang w:val="en-US"/>
        </w:rPr>
        <w:t>rates</w:t>
      </w:r>
      <w:r w:rsidRPr="00A97B7A">
        <w:rPr>
          <w:sz w:val="20"/>
        </w:rPr>
        <w:t xml:space="preserve"> </w:t>
      </w:r>
      <w:r w:rsidRPr="00A97B7A">
        <w:rPr>
          <w:sz w:val="20"/>
          <w:lang w:val="en-US"/>
        </w:rPr>
        <w:t>of</w:t>
      </w:r>
      <w:r w:rsidRPr="00A97B7A">
        <w:rPr>
          <w:sz w:val="20"/>
        </w:rPr>
        <w:t xml:space="preserve"> </w:t>
      </w:r>
      <w:r w:rsidRPr="00A97B7A">
        <w:rPr>
          <w:sz w:val="20"/>
          <w:lang w:val="en-US"/>
        </w:rPr>
        <w:t>new</w:t>
      </w:r>
      <w:r w:rsidRPr="00A97B7A">
        <w:rPr>
          <w:sz w:val="20"/>
        </w:rPr>
        <w:t xml:space="preserve"> </w:t>
      </w:r>
      <w:r w:rsidRPr="00A97B7A">
        <w:rPr>
          <w:sz w:val="20"/>
          <w:lang w:val="en-US"/>
        </w:rPr>
        <w:t>cases</w:t>
      </w:r>
      <w:r w:rsidRPr="00A97B7A">
        <w:rPr>
          <w:sz w:val="20"/>
        </w:rPr>
        <w:t xml:space="preserve"> (</w:t>
      </w:r>
      <w:r w:rsidRPr="00A97B7A">
        <w:rPr>
          <w:sz w:val="20"/>
          <w:lang w:val="en-US"/>
        </w:rPr>
        <w:t>excluding</w:t>
      </w:r>
      <w:r w:rsidRPr="00A97B7A">
        <w:rPr>
          <w:sz w:val="20"/>
        </w:rPr>
        <w:t xml:space="preserve"> </w:t>
      </w:r>
      <w:r w:rsidRPr="00A97B7A">
        <w:rPr>
          <w:sz w:val="20"/>
          <w:lang w:val="en-US"/>
        </w:rPr>
        <w:t>pre</w:t>
      </w:r>
      <w:r w:rsidRPr="00A97B7A">
        <w:rPr>
          <w:sz w:val="20"/>
        </w:rPr>
        <w:t>-</w:t>
      </w:r>
      <w:r w:rsidRPr="00A97B7A">
        <w:rPr>
          <w:sz w:val="20"/>
          <w:lang w:val="en-US"/>
        </w:rPr>
        <w:t>exiting</w:t>
      </w:r>
      <w:r w:rsidRPr="00A97B7A">
        <w:rPr>
          <w:sz w:val="20"/>
        </w:rPr>
        <w:t xml:space="preserve"> </w:t>
      </w:r>
      <w:r w:rsidRPr="00A97B7A">
        <w:rPr>
          <w:sz w:val="20"/>
          <w:lang w:val="en-US"/>
        </w:rPr>
        <w:t>cases</w:t>
      </w:r>
      <w:r w:rsidRPr="00A97B7A">
        <w:rPr>
          <w:sz w:val="20"/>
        </w:rPr>
        <w:t>) – рост числа новых случаев (исключая ранее существовавшие случаи).</w:t>
      </w:r>
    </w:p>
    <w:p w14:paraId="098AF9CB" w14:textId="77777777" w:rsidR="004245A8" w:rsidRPr="00A97B7A" w:rsidRDefault="004245A8" w:rsidP="00A97B7A">
      <w:pPr>
        <w:pStyle w:val="aff1"/>
        <w:spacing w:before="0"/>
        <w:contextualSpacing/>
        <w:rPr>
          <w:b/>
          <w:bCs/>
          <w:sz w:val="20"/>
        </w:rPr>
      </w:pPr>
      <w:r w:rsidRPr="00A97B7A">
        <w:rPr>
          <w:b/>
          <w:bCs/>
          <w:sz w:val="20"/>
        </w:rPr>
        <w:t xml:space="preserve">(B) Уровень смертности на 100000 населения. </w:t>
      </w:r>
    </w:p>
    <w:p w14:paraId="339DA0A9" w14:textId="6B115268" w:rsidR="004245A8" w:rsidRPr="00A97B7A" w:rsidRDefault="004245A8" w:rsidP="00A97B7A">
      <w:pPr>
        <w:contextualSpacing/>
        <w:rPr>
          <w:sz w:val="20"/>
          <w:szCs w:val="20"/>
          <w:lang w:eastAsia="ru-RU"/>
        </w:rPr>
      </w:pPr>
      <w:r w:rsidRPr="00A97B7A">
        <w:rPr>
          <w:sz w:val="20"/>
          <w:szCs w:val="20"/>
          <w:lang w:val="en-US" w:eastAsia="ru-RU"/>
        </w:rPr>
        <w:t>Mortality</w:t>
      </w:r>
      <w:r w:rsidRPr="00A97B7A">
        <w:rPr>
          <w:sz w:val="20"/>
          <w:szCs w:val="20"/>
          <w:lang w:eastAsia="ru-RU"/>
        </w:rPr>
        <w:t xml:space="preserve"> </w:t>
      </w:r>
      <w:r w:rsidRPr="00A97B7A">
        <w:rPr>
          <w:sz w:val="20"/>
          <w:szCs w:val="20"/>
          <w:lang w:val="en-US" w:eastAsia="ru-RU"/>
        </w:rPr>
        <w:t>rate</w:t>
      </w:r>
      <w:r w:rsidRPr="00A97B7A">
        <w:rPr>
          <w:sz w:val="20"/>
          <w:szCs w:val="20"/>
          <w:lang w:eastAsia="ru-RU"/>
        </w:rPr>
        <w:t xml:space="preserve"> (</w:t>
      </w:r>
      <w:r w:rsidRPr="00A97B7A">
        <w:rPr>
          <w:sz w:val="20"/>
          <w:szCs w:val="20"/>
          <w:lang w:val="en-US" w:eastAsia="ru-RU"/>
        </w:rPr>
        <w:t>deaths</w:t>
      </w:r>
      <w:r w:rsidRPr="00A97B7A">
        <w:rPr>
          <w:sz w:val="20"/>
          <w:szCs w:val="20"/>
          <w:lang w:eastAsia="ru-RU"/>
        </w:rPr>
        <w:t xml:space="preserve"> </w:t>
      </w:r>
      <w:r w:rsidRPr="00A97B7A">
        <w:rPr>
          <w:sz w:val="20"/>
          <w:szCs w:val="20"/>
          <w:lang w:val="en-US" w:eastAsia="ru-RU"/>
        </w:rPr>
        <w:t>rate</w:t>
      </w:r>
      <w:r w:rsidRPr="00A97B7A">
        <w:rPr>
          <w:sz w:val="20"/>
          <w:szCs w:val="20"/>
          <w:lang w:eastAsia="ru-RU"/>
        </w:rPr>
        <w:t xml:space="preserve"> </w:t>
      </w:r>
      <w:r w:rsidRPr="00A97B7A">
        <w:rPr>
          <w:sz w:val="20"/>
          <w:szCs w:val="20"/>
          <w:lang w:val="en-US" w:eastAsia="ru-RU"/>
        </w:rPr>
        <w:t>per</w:t>
      </w:r>
      <w:r w:rsidRPr="00A97B7A">
        <w:rPr>
          <w:sz w:val="20"/>
          <w:szCs w:val="20"/>
          <w:lang w:eastAsia="ru-RU"/>
        </w:rPr>
        <w:t xml:space="preserve"> 100</w:t>
      </w:r>
      <w:r w:rsidR="00CB30A0" w:rsidRPr="00A97B7A">
        <w:rPr>
          <w:sz w:val="20"/>
          <w:szCs w:val="20"/>
          <w:lang w:eastAsia="ru-RU"/>
        </w:rPr>
        <w:t>,</w:t>
      </w:r>
      <w:r w:rsidRPr="00A97B7A">
        <w:rPr>
          <w:sz w:val="20"/>
          <w:szCs w:val="20"/>
          <w:lang w:eastAsia="ru-RU"/>
        </w:rPr>
        <w:t xml:space="preserve">000 </w:t>
      </w:r>
      <w:r w:rsidRPr="00A97B7A">
        <w:rPr>
          <w:sz w:val="20"/>
          <w:szCs w:val="20"/>
          <w:lang w:val="en-US" w:eastAsia="ru-RU"/>
        </w:rPr>
        <w:t>population</w:t>
      </w:r>
      <w:r w:rsidRPr="00A97B7A">
        <w:rPr>
          <w:sz w:val="20"/>
          <w:szCs w:val="20"/>
          <w:lang w:eastAsia="ru-RU"/>
        </w:rPr>
        <w:t>) – уровень смертности (смертность на 100 000 населения).</w:t>
      </w:r>
    </w:p>
    <w:p w14:paraId="423FAB88" w14:textId="77777777" w:rsidR="00A97B7A" w:rsidRDefault="00A97B7A" w:rsidP="00A97B7A">
      <w:pPr>
        <w:ind w:firstLine="709"/>
        <w:contextualSpacing/>
        <w:rPr>
          <w:rFonts w:eastAsia="TimesNewRomanPSMT"/>
          <w:color w:val="000000"/>
          <w:lang w:eastAsia="en-US"/>
        </w:rPr>
      </w:pPr>
      <w:r w:rsidRPr="00007879">
        <w:rPr>
          <w:rFonts w:eastAsia="TimesNewRomanPSMT"/>
          <w:color w:val="000000"/>
          <w:lang w:eastAsia="en-US"/>
        </w:rPr>
        <w:t>Показатели смертности снизились по сравнению с пиковым значением в 2005 г. во всем мире (</w:t>
      </w:r>
      <w:r>
        <w:t>Рисунок</w:t>
      </w:r>
      <w:r w:rsidRPr="00B817BC">
        <w:t xml:space="preserve"> 1</w:t>
      </w:r>
      <w:r>
        <w:t>-1</w:t>
      </w:r>
      <w:r>
        <w:rPr>
          <w:lang w:val="en-US"/>
        </w:rPr>
        <w:t>B</w:t>
      </w:r>
      <w:r w:rsidRPr="00007879">
        <w:rPr>
          <w:rFonts w:eastAsia="TimesNewRomanPSMT"/>
          <w:color w:val="000000"/>
          <w:lang w:eastAsia="en-US"/>
        </w:rPr>
        <w:t>). Это снижение началось в середине 1990-х гг. в странах с более развитыми системами здравоохранения</w:t>
      </w:r>
      <w:r>
        <w:rPr>
          <w:rFonts w:eastAsia="TimesNewRomanPSMT"/>
          <w:color w:val="000000"/>
          <w:lang w:eastAsia="en-US"/>
        </w:rPr>
        <w:t xml:space="preserve"> и связано с началом лечения ВИЧ/СПИД препаратами антиретровирусной терапии (АТР)</w:t>
      </w:r>
      <w:r w:rsidRPr="00007879">
        <w:rPr>
          <w:rFonts w:eastAsia="TimesNewRomanPSMT"/>
          <w:color w:val="000000"/>
          <w:lang w:eastAsia="en-US"/>
        </w:rPr>
        <w:t>. Прогнозы показывают, что нынешний уровень смертности, составляющий 11 смертей на 100 000 человек, продолжит снижаться до 8,5 смертей</w:t>
      </w:r>
      <w:r>
        <w:rPr>
          <w:rFonts w:eastAsia="TimesNewRomanPSMT"/>
          <w:color w:val="000000"/>
          <w:lang w:eastAsia="en-US"/>
        </w:rPr>
        <w:t xml:space="preserve"> </w:t>
      </w:r>
      <w:r w:rsidRPr="00007879">
        <w:rPr>
          <w:rFonts w:eastAsia="TimesNewRomanPSMT"/>
          <w:color w:val="000000"/>
          <w:lang w:eastAsia="en-US"/>
        </w:rPr>
        <w:t>на 100 000 человек к 2040 году</w:t>
      </w:r>
      <w:r>
        <w:rPr>
          <w:rFonts w:eastAsia="TimesNewRomanPSMT"/>
          <w:color w:val="000000"/>
          <w:lang w:eastAsia="en-US"/>
        </w:rPr>
        <w:t xml:space="preserve"> </w:t>
      </w:r>
      <w:r>
        <w:rPr>
          <w:rStyle w:val="afff1"/>
          <w:rFonts w:eastAsia="MS Mincho"/>
          <w:b w:val="0"/>
          <w:bCs w:val="0"/>
          <w:color w:val="auto"/>
          <w:spacing w:val="0"/>
          <w:shd w:val="clear" w:color="auto" w:fill="auto"/>
          <w:lang w:bidi="ar-SA"/>
        </w:rPr>
        <w:fldChar w:fldCharType="begin"/>
      </w:r>
      <w:r>
        <w:rPr>
          <w:rStyle w:val="afff1"/>
          <w:rFonts w:eastAsia="MS Mincho"/>
          <w:b w:val="0"/>
          <w:bCs w:val="0"/>
          <w:color w:val="auto"/>
          <w:spacing w:val="0"/>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Pr>
          <w:rStyle w:val="afff1"/>
          <w:rFonts w:eastAsia="MS Mincho"/>
          <w:b w:val="0"/>
          <w:bCs w:val="0"/>
          <w:color w:val="auto"/>
          <w:spacing w:val="0"/>
          <w:shd w:val="clear" w:color="auto" w:fill="auto"/>
          <w:lang w:bidi="ar-SA"/>
        </w:rPr>
        <w:fldChar w:fldCharType="separate"/>
      </w:r>
      <w:r w:rsidRPr="00984745">
        <w:t>[8].</w:t>
      </w:r>
      <w:r>
        <w:rPr>
          <w:rStyle w:val="afff1"/>
          <w:rFonts w:eastAsia="MS Mincho"/>
          <w:b w:val="0"/>
          <w:bCs w:val="0"/>
          <w:color w:val="auto"/>
          <w:spacing w:val="0"/>
          <w:shd w:val="clear" w:color="auto" w:fill="auto"/>
          <w:lang w:bidi="ar-SA"/>
        </w:rPr>
        <w:fldChar w:fldCharType="end"/>
      </w:r>
    </w:p>
    <w:p w14:paraId="1FB8472F" w14:textId="546AC5A7" w:rsidR="00243FCC" w:rsidRPr="00B84954" w:rsidRDefault="00243FCC" w:rsidP="00243FCC">
      <w:pPr>
        <w:ind w:firstLine="709"/>
      </w:pPr>
      <w:r w:rsidRPr="00B84954">
        <w:t>Ситуация с распространением ВИЧ-инфекции в России остается неблагоприятной. В последнее десятилетие отмечается рост заболеваемости, особенно в сочетании с туберкулезом. В 2016 прирост количества новых выявленных случаев составил 4,1% по сравнению с предыдущим годом, а на конец 2017 г. кумулятивное количество зарегистрированных случаев ВИЧ-инфекции составило 1 220 659 человек [</w:t>
      </w:r>
      <w:r>
        <w:t>13</w:t>
      </w:r>
      <w:r w:rsidRPr="00B84954">
        <w:t>]. На конец 2016 г., заболеваемость ВИЧ-инфекцией в сочетании с туберкулезом возросла на 85,2% в сравнении с 2009 г. [</w:t>
      </w:r>
      <w:r>
        <w:t>14</w:t>
      </w:r>
      <w:r w:rsidRPr="00B84954">
        <w:t>]. За период с 2005 по 2016 год значительно выросли показатели заболеваемости (с 27,3 до 59,2 на 100 тысяч населения) и распространенности ВИЧ-инфекции (с 152,7 до 416,4 на 100 тысяч населения), а также смертности (с 1,1 до 12,7 на 100 тысяч населения) [</w:t>
      </w:r>
      <w:r>
        <w:t>14</w:t>
      </w:r>
      <w:r w:rsidRPr="00B84954">
        <w:t>]. Отмечается выход ВИЧ-инфекции за пределы уязвимых групп, в частности гомосексуалов и потребителей инъекционных наркотиков, и рост распространения вируса в общей популяции путем гетеросексуального полового контакта [</w:t>
      </w:r>
      <w:r>
        <w:t>13</w:t>
      </w:r>
      <w:r w:rsidRPr="00B84954">
        <w:t>]. Ухудшение эпидемиологической ситуации в отношении ВИЧ-инфекции в России связывают с низким охватом пациентов, получающих антиретровирусную терапию (АРТ), что, в свою очередь, обусловлено поздним выявлением заболевания, низкой приверженностью терапии, и недостаточным выбором и качеством АРТ [</w:t>
      </w:r>
      <w:r>
        <w:t>15</w:t>
      </w:r>
      <w:r w:rsidRPr="00B84954">
        <w:t xml:space="preserve">]. </w:t>
      </w:r>
    </w:p>
    <w:p w14:paraId="26E1F8DA" w14:textId="032805E3" w:rsidR="00295007" w:rsidRPr="002E2E87" w:rsidRDefault="00295007" w:rsidP="00C354BD">
      <w:pPr>
        <w:pStyle w:val="OT"/>
        <w:spacing w:after="0"/>
        <w:ind w:firstLine="567"/>
        <w:contextualSpacing/>
        <w:rPr>
          <w:rFonts w:eastAsia="TimesNewRomanPSMT"/>
          <w:color w:val="000000"/>
          <w:sz w:val="24"/>
          <w:szCs w:val="24"/>
        </w:rPr>
      </w:pPr>
      <w:r w:rsidRPr="0079295E">
        <w:rPr>
          <w:rFonts w:eastAsia="TimesNewRomanPSMT"/>
          <w:color w:val="000000"/>
          <w:sz w:val="24"/>
          <w:szCs w:val="24"/>
        </w:rPr>
        <w:t>Вирус иммунодефицита человека, впервые выделенный в 1983 году, относится к семейству ретровирусов, особенностью которых является наличие фермента обратной транскриптазы, которая обеспечивает обратное направление потока генетической информации: от РНК к ДНК. Вирус содержит две нити РНК; ферменты, необходимые для его репликации (обратная транскриптаза, интеграза, протеаза); белки и гликопротеиды (</w:t>
      </w:r>
      <w:bookmarkStart w:id="32" w:name="_Hlk112227966"/>
      <w:r w:rsidRPr="0079295E">
        <w:rPr>
          <w:rFonts w:eastAsia="TimesNewRomanPSMT"/>
          <w:color w:val="000000"/>
          <w:sz w:val="24"/>
          <w:szCs w:val="24"/>
        </w:rPr>
        <w:t xml:space="preserve">gp41 и </w:t>
      </w:r>
      <w:r w:rsidRPr="002E2E87">
        <w:rPr>
          <w:rFonts w:eastAsia="TimesNewRomanPSMT"/>
          <w:color w:val="000000"/>
          <w:sz w:val="24"/>
          <w:szCs w:val="24"/>
        </w:rPr>
        <w:t>gp120</w:t>
      </w:r>
      <w:bookmarkEnd w:id="32"/>
      <w:r w:rsidRPr="002E2E87">
        <w:rPr>
          <w:rFonts w:eastAsia="TimesNewRomanPSMT"/>
          <w:color w:val="000000"/>
          <w:sz w:val="24"/>
          <w:szCs w:val="24"/>
        </w:rPr>
        <w:t xml:space="preserve">), образующие оболочки вируса. Характеризуется высокой изменчивостью. В настоящее время известны два типа вируса иммунодефицита человека, имеющие некоторые антигенные различия – ВИЧ-1 и ВИЧ-2; последний встречается в основном в Западной Африке </w:t>
      </w:r>
      <w:r w:rsidR="00D236D7" w:rsidRPr="008B0B82">
        <w:rPr>
          <w:rStyle w:val="afff1"/>
          <w:b w:val="0"/>
          <w:bCs w:val="0"/>
          <w:color w:val="auto"/>
          <w:spacing w:val="0"/>
          <w:sz w:val="24"/>
          <w:szCs w:val="24"/>
          <w:shd w:val="clear" w:color="auto" w:fill="auto"/>
          <w:lang w:bidi="ar-SA"/>
        </w:rPr>
        <w:fldChar w:fldCharType="begin"/>
      </w:r>
      <w:r w:rsidR="00D236D7" w:rsidRPr="008B0B82">
        <w:rPr>
          <w:rStyle w:val="afff1"/>
          <w:b w:val="0"/>
          <w:bCs w:val="0"/>
          <w:color w:val="auto"/>
          <w:spacing w:val="0"/>
          <w:sz w:val="24"/>
          <w:szCs w:val="24"/>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sidR="00D236D7" w:rsidRPr="008B0B82">
        <w:rPr>
          <w:rStyle w:val="afff1"/>
          <w:b w:val="0"/>
          <w:bCs w:val="0"/>
          <w:color w:val="auto"/>
          <w:spacing w:val="0"/>
          <w:sz w:val="24"/>
          <w:szCs w:val="24"/>
          <w:shd w:val="clear" w:color="auto" w:fill="auto"/>
          <w:lang w:bidi="ar-SA"/>
        </w:rPr>
        <w:fldChar w:fldCharType="separate"/>
      </w:r>
      <w:r w:rsidR="00D236D7" w:rsidRPr="008B0B82">
        <w:rPr>
          <w:sz w:val="24"/>
          <w:szCs w:val="24"/>
        </w:rPr>
        <w:t>[4].</w:t>
      </w:r>
      <w:r w:rsidR="00D236D7" w:rsidRPr="008B0B82">
        <w:rPr>
          <w:rStyle w:val="afff1"/>
          <w:b w:val="0"/>
          <w:bCs w:val="0"/>
          <w:color w:val="auto"/>
          <w:spacing w:val="0"/>
          <w:sz w:val="24"/>
          <w:szCs w:val="24"/>
          <w:shd w:val="clear" w:color="auto" w:fill="auto"/>
          <w:lang w:bidi="ar-SA"/>
        </w:rPr>
        <w:fldChar w:fldCharType="end"/>
      </w:r>
    </w:p>
    <w:p w14:paraId="4614922B" w14:textId="6BB20CA8" w:rsidR="00295007" w:rsidRPr="002E2E87" w:rsidRDefault="00295007" w:rsidP="00295007">
      <w:pPr>
        <w:pStyle w:val="OT"/>
        <w:spacing w:after="0"/>
        <w:ind w:firstLine="567"/>
        <w:rPr>
          <w:rFonts w:eastAsia="TimesNewRomanPSMT"/>
          <w:color w:val="000000"/>
          <w:sz w:val="24"/>
          <w:szCs w:val="24"/>
        </w:rPr>
      </w:pPr>
      <w:r w:rsidRPr="002E2E87">
        <w:rPr>
          <w:rFonts w:eastAsia="TimesNewRomanPSMT"/>
          <w:color w:val="000000"/>
          <w:sz w:val="24"/>
          <w:szCs w:val="24"/>
        </w:rPr>
        <w:t xml:space="preserve">Источником заболевания является ВИЧ-инфицированный человек (с момента заражения, весь период жизни до смерти). Наиболее опасен ВИЧ инфицированный больной на ранних стадиях заболевания, когда происходит активное размножение вируса в организме больного, а также на поздних стадиях заболевания </w:t>
      </w:r>
      <w:r w:rsidR="00D236D7" w:rsidRPr="008B0B82">
        <w:rPr>
          <w:rStyle w:val="afff1"/>
          <w:b w:val="0"/>
          <w:bCs w:val="0"/>
          <w:color w:val="auto"/>
          <w:spacing w:val="0"/>
          <w:sz w:val="24"/>
          <w:szCs w:val="24"/>
          <w:shd w:val="clear" w:color="auto" w:fill="auto"/>
          <w:lang w:bidi="ar-SA"/>
        </w:rPr>
        <w:fldChar w:fldCharType="begin"/>
      </w:r>
      <w:r w:rsidR="00D236D7" w:rsidRPr="008B0B82">
        <w:rPr>
          <w:rStyle w:val="afff1"/>
          <w:b w:val="0"/>
          <w:bCs w:val="0"/>
          <w:color w:val="auto"/>
          <w:spacing w:val="0"/>
          <w:sz w:val="24"/>
          <w:szCs w:val="24"/>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sidR="00D236D7" w:rsidRPr="008B0B82">
        <w:rPr>
          <w:rStyle w:val="afff1"/>
          <w:b w:val="0"/>
          <w:bCs w:val="0"/>
          <w:color w:val="auto"/>
          <w:spacing w:val="0"/>
          <w:sz w:val="24"/>
          <w:szCs w:val="24"/>
          <w:shd w:val="clear" w:color="auto" w:fill="auto"/>
          <w:lang w:bidi="ar-SA"/>
        </w:rPr>
        <w:fldChar w:fldCharType="separate"/>
      </w:r>
      <w:r w:rsidR="00D236D7" w:rsidRPr="008B0B82">
        <w:rPr>
          <w:sz w:val="24"/>
          <w:szCs w:val="24"/>
        </w:rPr>
        <w:t>[9].</w:t>
      </w:r>
      <w:r w:rsidR="00D236D7" w:rsidRPr="008B0B82">
        <w:rPr>
          <w:rStyle w:val="afff1"/>
          <w:b w:val="0"/>
          <w:bCs w:val="0"/>
          <w:color w:val="auto"/>
          <w:spacing w:val="0"/>
          <w:sz w:val="24"/>
          <w:szCs w:val="24"/>
          <w:shd w:val="clear" w:color="auto" w:fill="auto"/>
          <w:lang w:bidi="ar-SA"/>
        </w:rPr>
        <w:fldChar w:fldCharType="end"/>
      </w:r>
    </w:p>
    <w:p w14:paraId="1E3866B2" w14:textId="26B162B4" w:rsidR="00295007" w:rsidRPr="002E2E87" w:rsidRDefault="00295007" w:rsidP="00295007">
      <w:pPr>
        <w:pStyle w:val="af3"/>
        <w:ind w:left="0" w:firstLine="709"/>
      </w:pPr>
      <w:r w:rsidRPr="002E2E87">
        <w:lastRenderedPageBreak/>
        <w:t>Вирус проникает в клетки, имеющие на поверхности рецептор CD4 (Т-хелперы, моноциты,</w:t>
      </w:r>
      <w:r w:rsidRPr="002E2E87">
        <w:rPr>
          <w:rFonts w:eastAsia="TimesNewRomanPSMT"/>
        </w:rPr>
        <w:t xml:space="preserve"> </w:t>
      </w:r>
      <w:r w:rsidRPr="002E2E87">
        <w:t>макрофаги, клетки Лангерганса, фолликулярные клетки лимфатических узлов, микроглия)</w:t>
      </w:r>
      <w:r w:rsidRPr="002E2E87">
        <w:rPr>
          <w:rFonts w:eastAsia="TimesNewRomanPSMT"/>
        </w:rPr>
        <w:t xml:space="preserve"> </w:t>
      </w:r>
      <w:r w:rsidRPr="002E2E87">
        <w:t>путём связывания его гликопротеидов с молекулой CD4 и хемокиновыми рецепторами. В клетке</w:t>
      </w:r>
      <w:r w:rsidRPr="002E2E87">
        <w:rPr>
          <w:rFonts w:eastAsia="TimesNewRomanPSMT"/>
        </w:rPr>
        <w:t xml:space="preserve"> </w:t>
      </w:r>
      <w:r w:rsidRPr="002E2E87">
        <w:t>происходит преобразование РНК ВИЧ в ДНК (обратная транскрипция), которая в ядре клетки-хозяина встраивается в ДНК при помощи вирусного фермента интегразы. Образуемые в клетке</w:t>
      </w:r>
      <w:r w:rsidRPr="002E2E87">
        <w:rPr>
          <w:rFonts w:eastAsia="TimesNewRomanPSMT"/>
        </w:rPr>
        <w:t xml:space="preserve"> </w:t>
      </w:r>
      <w:r w:rsidRPr="002E2E87">
        <w:t>белки ВИЧ подвергаются воздействию фермента протеазы, который делает их функционально</w:t>
      </w:r>
      <w:r w:rsidRPr="002E2E87">
        <w:rPr>
          <w:rFonts w:eastAsia="TimesNewRomanPSMT"/>
        </w:rPr>
        <w:t xml:space="preserve"> </w:t>
      </w:r>
      <w:r w:rsidRPr="002E2E87">
        <w:t>способными. После сборки вирионы покидают клетку. Таким образом, клетка – хозяин</w:t>
      </w:r>
      <w:r w:rsidRPr="002E2E87">
        <w:rPr>
          <w:rFonts w:eastAsia="TimesNewRomanPSMT"/>
        </w:rPr>
        <w:t xml:space="preserve"> </w:t>
      </w:r>
      <w:r w:rsidRPr="002E2E87">
        <w:t>превращается в «машину» для производства новых вирионов (ВИЧ обладает очень высокой</w:t>
      </w:r>
      <w:r w:rsidRPr="002E2E87">
        <w:rPr>
          <w:rFonts w:eastAsia="TimesNewRomanPSMT"/>
        </w:rPr>
        <w:t xml:space="preserve"> </w:t>
      </w:r>
      <w:r w:rsidRPr="002E2E87">
        <w:t>репликативной активностью)</w:t>
      </w:r>
      <w:r w:rsidRPr="002E2E87">
        <w:rPr>
          <w:rFonts w:eastAsia="TimesNewRomanPSMT"/>
          <w:color w:val="000000"/>
        </w:rPr>
        <w:t xml:space="preserve"> </w:t>
      </w:r>
      <w:r w:rsidR="00D236D7" w:rsidRPr="00B36E71">
        <w:rPr>
          <w:rStyle w:val="afff1"/>
          <w:rFonts w:eastAsia="MS Mincho"/>
          <w:b w:val="0"/>
          <w:bCs w:val="0"/>
          <w:color w:val="auto"/>
          <w:spacing w:val="0"/>
          <w:shd w:val="clear" w:color="auto" w:fill="auto"/>
          <w:lang w:bidi="ar-SA"/>
        </w:rPr>
        <w:fldChar w:fldCharType="begin"/>
      </w:r>
      <w:r w:rsidR="00D236D7" w:rsidRPr="002E2E87">
        <w:rPr>
          <w:rStyle w:val="afff1"/>
          <w:rFonts w:eastAsia="MS Mincho"/>
          <w:b w:val="0"/>
          <w:bCs w:val="0"/>
          <w:color w:val="auto"/>
          <w:spacing w:val="0"/>
          <w:shd w:val="clear" w:color="auto" w:fill="auto"/>
          <w:lang w:bidi="ar-SA"/>
        </w:rPr>
        <w:instrText xml:space="preserve"> ADDIN ZOTERO_ITEM CSL_CITATION {"citationID":"KBokLOZq","properties":{"formattedCitation":"(1)","plainCitation":"(1)","noteIndex":0},"citationItems":[{"id":2460,"uris":["http://zotero.org/users/5483459/items/AZ4GNHE7"],"itemData":{"id":2460,"type":"document","title":"Product Monograph INTELENCE® etravirine tablets 25 mg, 100 mg, 200 mg. Janssen Inc.  Date of Revision: May 17, 2017."}}],"schema":"https://github.com/citation-style-language/schema/raw/master/csl-citation.json"} </w:instrText>
      </w:r>
      <w:r w:rsidR="00D236D7" w:rsidRPr="00B36E71">
        <w:rPr>
          <w:rStyle w:val="afff1"/>
          <w:rFonts w:eastAsia="MS Mincho"/>
          <w:b w:val="0"/>
          <w:bCs w:val="0"/>
          <w:color w:val="auto"/>
          <w:spacing w:val="0"/>
          <w:shd w:val="clear" w:color="auto" w:fill="auto"/>
          <w:lang w:bidi="ar-SA"/>
        </w:rPr>
        <w:fldChar w:fldCharType="separate"/>
      </w:r>
      <w:r w:rsidR="00D236D7" w:rsidRPr="002E2E87">
        <w:t>[</w:t>
      </w:r>
      <w:r w:rsidR="00D236D7" w:rsidRPr="008B0B82">
        <w:t>9</w:t>
      </w:r>
      <w:r w:rsidR="00D236D7" w:rsidRPr="002E2E87">
        <w:t>].</w:t>
      </w:r>
      <w:r w:rsidR="00D236D7" w:rsidRPr="00B36E71">
        <w:rPr>
          <w:rStyle w:val="afff1"/>
          <w:rFonts w:eastAsia="MS Mincho"/>
          <w:b w:val="0"/>
          <w:bCs w:val="0"/>
          <w:color w:val="auto"/>
          <w:spacing w:val="0"/>
          <w:shd w:val="clear" w:color="auto" w:fill="auto"/>
          <w:lang w:bidi="ar-SA"/>
        </w:rPr>
        <w:fldChar w:fldCharType="end"/>
      </w:r>
    </w:p>
    <w:p w14:paraId="74C883CB" w14:textId="5B92C7C2" w:rsidR="00295007" w:rsidRPr="002E2E87" w:rsidRDefault="00295007" w:rsidP="00295007">
      <w:pPr>
        <w:pStyle w:val="af3"/>
        <w:ind w:left="0" w:firstLine="709"/>
        <w:rPr>
          <w:color w:val="000000"/>
          <w:lang w:eastAsia="en-US"/>
        </w:rPr>
      </w:pPr>
      <w:r w:rsidRPr="002E2E87">
        <w:t xml:space="preserve">Поражение Т-лимфоцитов хелперов (CD4) приводит к нарушению межклеточных взаимодействий внутри иммунной системы, ею функциональной несостоятельности, постепенному истощению и, как результат, прогрессирующему иммунодефициту. Большое количество циркулирующих в крови вирусных частиц («вирусная нагрузка» ВН) </w:t>
      </w:r>
      <w:r w:rsidRPr="002E2E87">
        <w:rPr>
          <w:color w:val="000000"/>
          <w:lang w:eastAsia="en-US"/>
        </w:rPr>
        <w:t xml:space="preserve">определяет вероятность быстрого снижения количества иммунных клеток. Имеется чёткая связь между темпом снижения количества CD4 и скоростью прогрессирования ВИЧ-инфекции у пациента </w:t>
      </w:r>
      <w:r w:rsidRPr="00B36E71">
        <w:rPr>
          <w:rFonts w:eastAsia="TimesNewRomanPSMT"/>
          <w:color w:val="000000"/>
          <w:lang w:eastAsia="en-US"/>
        </w:rPr>
        <w:fldChar w:fldCharType="begin"/>
      </w:r>
      <w:r w:rsidRPr="002E2E87">
        <w:rPr>
          <w:rFonts w:eastAsia="TimesNewRomanPSMT"/>
          <w:color w:val="000000"/>
          <w:lang w:eastAsia="en-US"/>
        </w:rPr>
        <w:instrText xml:space="preserve"> ADDIN ZOTERO_ITEM CSL_CITATION {"citationID":"r0uZv1At","properties":{"formattedCitation":"(4,10,11)","plainCitation":"(4,10,11)","noteIndex":0},"citationItems":[{"id":2461,"uris":["http://zotero.org/users/5483459/items/TE38ARHZ"],"itemData":{"id":2461,"type":"document","title":"Министерство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2020."},"label":"page"},{"id":2478,"uris":["http://zotero.org/users/5483459/items/6IJV4SJ3"],"itemData":{"id":2478,"type":"article-journal","abstract":"When the first cases of HIV infection appeared in the 1980s, AIDS was a deadly disease without any therapeutic alternatives. Currently, there is still no cure for most cases mainly due to the multiple tissues that act as a reservoir for this virus besides the high viral mutagenesis that leads to an antiretroviral drug resistance. Throughout the years, multiple drugs with specific mechanisms of action on distinct targets have been approved. In this review, the most recent phase III clinical studies and other research therapies as advanced antiretroviral nanodelivery systems will be here discussed. Although the combined antiretroviral therapy is effective in reducing viral loading to undetectable levels, it also presents some disadvantages, such as usual side effects, high frequency of administration, and the possibility of drug resistance. Therefore, several new drugs, delivery systems, and vaccines have been tested in pre-clinical and clinical trials. Regarding drug delivery, an attempt to change the route of administration of some conventional antiretrovirals has proven to be successful and surpassed some issues related to patient compliance. Nanotechnology has brought a new approach to overcoming certain obstacles of formulation design including drug solubility and biodistribution. Overall, the encapsulation of antiretroviral drugs into nanosystems has shown improved drug release and pharmacokinetic profile.","container-title":"Molecules (Basel, Switzerland)","DOI":"10.3390/molecules26175305","ISSN":"1420-3049","issue":"17","journalAbbreviation":"Molecules","language":"eng","note":"PMID: 34500737\nPMCID: PMC8434305","page":"5305","source":"PubMed","title":"Novel Antiretroviral Therapeutic Strategies for HIV","volume":"26","author":[{"family":"Cunha","given":"Rita F."},{"family":"Simões","given":"Sandra"},{"family":"Carvalheiro","given":"Manuela"},{"family":"Pereira","given":"José M. Azevedo"},{"family":"Costa","given":"Quirina"},{"family":"Ascenso","given":"Andreia"}],"issued":{"date-parts":[["2021",8,31]]}},"label":"act"},{"id":2468,"uris":["http://zotero.org/users/5483459/items/UUJUP3PW"],"itemData":{"id":2468,"type":"article-journal","abstract":"Despite the success of antiretroviral therapy (ART) for people living with HIV, lifelong treatment is required and there is no cure. HIV can integrate in the host genome and persist for the life span of the infected cell. These latently infected cells are not recognized as foreign because they are largely transcriptionally silent, but contain replication-competent virus that drives resurgence of the infection once ART is stopped. With a combination of immune activators, neutralizing antibodies, and therapeutic vaccines, some nonhuman primate models have been cured, providing optimism for these approaches now being evaluated in human clinical trials. In vivo delivery of gene-editing tools to either target the virus, boost immunity or protect cells from infection, also holds promise for future HIV cure strategies. In this Review, we discuss advances related to HIV cure in the last 5 years, highlight remaining knowledge gaps and identify priority areas for research for the next 5 years.","container-title":"Nature Medicine","DOI":"10.1038/s41591-021-01590-5","ISSN":"1546-170X","issue":"12","journalAbbreviation":"Nat Med","language":"eng","note":"PMID: 34848888","page":"2085-2098","source":"PubMed","title":"Research priorities for an HIV cure: International AIDS Society Global Scientific Strategy 2021","title-short":"Research priorities for an HIV cure","volume":"27","author":[{"family":"Deeks","given":"Steven G."},{"family":"Archin","given":"Nancie"},{"family":"Cannon","given":"Paula"},{"family":"Collins","given":"Simon"},{"family":"Jones","given":"R. Brad"},{"family":"Jong","given":"Marein A. W. P.","non-dropping-particle":"de"},{"family":"Lambotte","given":"Olivier"},{"family":"Lamplough","given":"Rosanne"},{"family":"Ndung'u","given":"Thumbi"},{"family":"Sugarman","given":"Jeremy"},{"family":"Tiemessen","given":"Caroline T."},{"family":"Vandekerckhove","given":"Linos"},{"family":"Lewin","given":"Sharon R."},{"literal":"International AIDS Society (IAS) Global Scientific Strategy working group"}],"issued":{"date-parts":[["2021",12]]}},"label":"act"}],"schema":"https://github.com/citation-style-language/schema/raw/master/csl-citation.json"} </w:instrText>
      </w:r>
      <w:r w:rsidRPr="00B36E71">
        <w:rPr>
          <w:rFonts w:eastAsia="TimesNewRomanPSMT"/>
          <w:color w:val="000000"/>
          <w:lang w:eastAsia="en-US"/>
        </w:rPr>
        <w:fldChar w:fldCharType="separate"/>
      </w:r>
      <w:r w:rsidR="00D236D7" w:rsidRPr="008B0B82">
        <w:t>[</w:t>
      </w:r>
      <w:r w:rsidRPr="002E2E87">
        <w:t>4,10,11</w:t>
      </w:r>
      <w:r w:rsidR="00D236D7" w:rsidRPr="008B0B82">
        <w:t>]</w:t>
      </w:r>
      <w:r w:rsidRPr="00B36E71">
        <w:rPr>
          <w:rFonts w:eastAsia="TimesNewRomanPSMT"/>
          <w:color w:val="000000"/>
          <w:lang w:eastAsia="en-US"/>
        </w:rPr>
        <w:fldChar w:fldCharType="end"/>
      </w:r>
      <w:r w:rsidRPr="002E2E87">
        <w:rPr>
          <w:rFonts w:eastAsia="TimesNewRomanPSMT"/>
          <w:color w:val="000000"/>
          <w:lang w:eastAsia="en-US"/>
        </w:rPr>
        <w:t>.</w:t>
      </w:r>
    </w:p>
    <w:p w14:paraId="4B74E760" w14:textId="2B75B48D" w:rsidR="00295007" w:rsidRPr="002E2E87" w:rsidRDefault="00295007" w:rsidP="00295007">
      <w:pPr>
        <w:autoSpaceDE w:val="0"/>
        <w:autoSpaceDN w:val="0"/>
        <w:adjustRightInd w:val="0"/>
        <w:ind w:firstLine="709"/>
        <w:rPr>
          <w:rFonts w:eastAsia="TimesNewRomanPSMT"/>
          <w:color w:val="000000"/>
          <w:lang w:eastAsia="en-US"/>
        </w:rPr>
      </w:pPr>
      <w:r w:rsidRPr="002E2E87">
        <w:rPr>
          <w:rFonts w:eastAsia="TimesNewRomanPSMT"/>
          <w:color w:val="000000"/>
          <w:lang w:eastAsia="en-US"/>
        </w:rPr>
        <w:t xml:space="preserve">Характерным проявлением ВИЧ-инфекции является хроническое воспаление с поражением всех органов и систем: аутоиммунные реакции, болезни иммунных комплексов и метаболические нарушения приводят к поражению эндотелия сосудов и соединительной ткани с развитием кардиоваскулярной, неврологической, эндокринной и костно-суставной патологии. Все это обуславливает полиорганность поражений и разнообразие клинической симптоматики </w:t>
      </w:r>
      <w:r w:rsidRPr="00B36E71">
        <w:rPr>
          <w:rFonts w:eastAsia="TimesNewRomanPSMT"/>
          <w:color w:val="000000"/>
          <w:lang w:eastAsia="en-US"/>
        </w:rPr>
        <w:fldChar w:fldCharType="begin"/>
      </w:r>
      <w:r w:rsidRPr="002E2E87">
        <w:rPr>
          <w:rFonts w:eastAsia="TimesNewRomanPSMT"/>
          <w:color w:val="000000"/>
          <w:lang w:eastAsia="en-US"/>
        </w:rPr>
        <w:instrText xml:space="preserve"> ADDIN ZOTERO_ITEM CSL_CITATION {"citationID":"90FhHEgW","properties":{"formattedCitation":"(4,10)","plainCitation":"(4,10)","noteIndex":0},"citationItems":[{"id":2461,"uris":["http://zotero.org/users/5483459/items/TE38ARHZ"],"itemData":{"id":2461,"type":"document","title":"Министерство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2020."},"label":"page"},{"id":2478,"uris":["http://zotero.org/users/5483459/items/6IJV4SJ3"],"itemData":{"id":2478,"type":"article-journal","abstract":"When the first cases of HIV infection appeared in the 1980s, AIDS was a deadly disease without any therapeutic alternatives. Currently, there is still no cure for most cases mainly due to the multiple tissues that act as a reservoir for this virus besides the high viral mutagenesis that leads to an antiretroviral drug resistance. Throughout the years, multiple drugs with specific mechanisms of action on distinct targets have been approved. In this review, the most recent phase III clinical studies and other research therapies as advanced antiretroviral nanodelivery systems will be here discussed. Although the combined antiretroviral therapy is effective in reducing viral loading to undetectable levels, it also presents some disadvantages, such as usual side effects, high frequency of administration, and the possibility of drug resistance. Therefore, several new drugs, delivery systems, and vaccines have been tested in pre-clinical and clinical trials. Regarding drug delivery, an attempt to change the route of administration of some conventional antiretrovirals has proven to be successful and surpassed some issues related to patient compliance. Nanotechnology has brought a new approach to overcoming certain obstacles of formulation design including drug solubility and biodistribution. Overall, the encapsulation of antiretroviral drugs into nanosystems has shown improved drug release and pharmacokinetic profile.","container-title":"Molecules (Basel, Switzerland)","DOI":"10.3390/molecules26175305","ISSN":"1420-3049","issue":"17","journalAbbreviation":"Molecules","language":"eng","note":"PMID: 34500737\nPMCID: PMC8434305","page":"5305","source":"PubMed","title":"Novel Antiretroviral Therapeutic Strategies for HIV","volume":"26","author":[{"family":"Cunha","given":"Rita F."},{"family":"Simões","given":"Sandra"},{"family":"Carvalheiro","given":"Manuela"},{"family":"Pereira","given":"José M. Azevedo"},{"family":"Costa","given":"Quirina"},{"family":"Ascenso","given":"Andreia"}],"issued":{"date-parts":[["2021",8,31]]}},"label":"act"}],"schema":"https://github.com/citation-style-language/schema/raw/master/csl-citation.json"} </w:instrText>
      </w:r>
      <w:r w:rsidRPr="00B36E71">
        <w:rPr>
          <w:rFonts w:eastAsia="TimesNewRomanPSMT"/>
          <w:color w:val="000000"/>
          <w:lang w:eastAsia="en-US"/>
        </w:rPr>
        <w:fldChar w:fldCharType="separate"/>
      </w:r>
      <w:r w:rsidR="00D236D7" w:rsidRPr="008B0B82">
        <w:t>[</w:t>
      </w:r>
      <w:r w:rsidRPr="002E2E87">
        <w:t>4,10</w:t>
      </w:r>
      <w:r w:rsidR="00D236D7" w:rsidRPr="008B0B82">
        <w:t>]</w:t>
      </w:r>
      <w:r w:rsidRPr="00B36E71">
        <w:rPr>
          <w:rFonts w:eastAsia="TimesNewRomanPSMT"/>
          <w:color w:val="000000"/>
          <w:lang w:eastAsia="en-US"/>
        </w:rPr>
        <w:fldChar w:fldCharType="end"/>
      </w:r>
      <w:r w:rsidRPr="002E2E87">
        <w:rPr>
          <w:rFonts w:eastAsia="TimesNewRomanPSMT"/>
          <w:color w:val="000000"/>
          <w:lang w:eastAsia="en-US"/>
        </w:rPr>
        <w:t>.</w:t>
      </w:r>
    </w:p>
    <w:p w14:paraId="5EDD259D" w14:textId="26C0EA5D" w:rsidR="00295007" w:rsidRPr="002E2E87" w:rsidRDefault="00295007">
      <w:pPr>
        <w:autoSpaceDE w:val="0"/>
        <w:autoSpaceDN w:val="0"/>
        <w:adjustRightInd w:val="0"/>
        <w:ind w:firstLine="709"/>
        <w:rPr>
          <w:rFonts w:eastAsia="TimesNewRomanPSMT"/>
          <w:color w:val="000000"/>
          <w:lang w:eastAsia="en-US"/>
        </w:rPr>
      </w:pPr>
      <w:r w:rsidRPr="002E2E87">
        <w:rPr>
          <w:rFonts w:eastAsia="TimesNewRomanPSMT"/>
          <w:color w:val="000000"/>
          <w:lang w:eastAsia="en-US"/>
        </w:rPr>
        <w:t xml:space="preserve">Результатом нарушений в иммунной системе является снижение сопротивляемости организма, развивается широкий спектр вторичных заболеваний: вторичные (оппортунистические) инфекции, онкологические, гематологические, аутоиммунные и лимфопролиферативные заболевания. Пути передачи вируса: естественные (половой, от матери ребенку) и искусственный (парентеральный </w:t>
      </w:r>
      <w:r w:rsidR="000F298A" w:rsidRPr="002E2E87">
        <w:rPr>
          <w:rFonts w:eastAsia="TimesNewRomanPSMT"/>
          <w:color w:val="000000"/>
          <w:lang w:eastAsia="en-US"/>
        </w:rPr>
        <w:t>–</w:t>
      </w:r>
      <w:r w:rsidRPr="002E2E87">
        <w:rPr>
          <w:rFonts w:eastAsia="TimesNewRomanPSMT"/>
          <w:color w:val="000000"/>
          <w:lang w:eastAsia="en-US"/>
        </w:rPr>
        <w:t xml:space="preserve"> инъекционный, трансфузионный, трансплантационный). ВИЧ-1 передается через кровь, сперму, секрет влагалища, грудное молоко </w:t>
      </w:r>
      <w:r w:rsidRPr="00B36E71">
        <w:rPr>
          <w:rFonts w:eastAsia="TimesNewRomanPSMT"/>
          <w:color w:val="000000"/>
          <w:lang w:eastAsia="en-US"/>
        </w:rPr>
        <w:fldChar w:fldCharType="begin"/>
      </w:r>
      <w:r w:rsidRPr="002E2E87">
        <w:rPr>
          <w:rFonts w:eastAsia="TimesNewRomanPSMT"/>
          <w:color w:val="000000"/>
          <w:lang w:eastAsia="en-US"/>
        </w:rPr>
        <w:instrText xml:space="preserve"> ADDIN ZOTERO_ITEM CSL_CITATION {"citationID":"sMFX9xHC","properties":{"formattedCitation":"(4,10,11)","plainCitation":"(4,10,11)","noteIndex":0},"citationItems":[{"id":2461,"uris":["http://zotero.org/users/5483459/items/TE38ARHZ"],"itemData":{"id":2461,"type":"document","title":"Министерство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2020."},"label":"page"},{"id":2478,"uris":["http://zotero.org/users/5483459/items/6IJV4SJ3"],"itemData":{"id":2478,"type":"article-journal","abstract":"When the first cases of HIV infection appeared in the 1980s, AIDS was a deadly disease without any therapeutic alternatives. Currently, there is still no cure for most cases mainly due to the multiple tissues that act as a reservoir for this virus besides the high viral mutagenesis that leads to an antiretroviral drug resistance. Throughout the years, multiple drugs with specific mechanisms of action on distinct targets have been approved. In this review, the most recent phase III clinical studies and other research therapies as advanced antiretroviral nanodelivery systems will be here discussed. Although the combined antiretroviral therapy is effective in reducing viral loading to undetectable levels, it also presents some disadvantages, such as usual side effects, high frequency of administration, and the possibility of drug resistance. Therefore, several new drugs, delivery systems, and vaccines have been tested in pre-clinical and clinical trials. Regarding drug delivery, an attempt to change the route of administration of some conventional antiretrovirals has proven to be successful and surpassed some issues related to patient compliance. Nanotechnology has brought a new approach to overcoming certain obstacles of formulation design including drug solubility and biodistribution. Overall, the encapsulation of antiretroviral drugs into nanosystems has shown improved drug release and pharmacokinetic profile.","container-title":"Molecules (Basel, Switzerland)","DOI":"10.3390/molecules26175305","ISSN":"1420-3049","issue":"17","journalAbbreviation":"Molecules","language":"eng","note":"PMID: 34500737\nPMCID: PMC8434305","page":"5305","source":"PubMed","title":"Novel Antiretroviral Therapeutic Strategies for HIV","volume":"26","author":[{"family":"Cunha","given":"Rita F."},{"family":"Simões","given":"Sandra"},{"family":"Carvalheiro","given":"Manuela"},{"family":"Pereira","given":"José M. Azevedo"},{"family":"Costa","given":"Quirina"},{"family":"Ascenso","given":"Andreia"}],"issued":{"date-parts":[["2021",8,31]]}},"label":"act"},{"id":2468,"uris":["http://zotero.org/users/5483459/items/UUJUP3PW"],"itemData":{"id":2468,"type":"article-journal","abstract":"Despite the success of antiretroviral therapy (ART) for people living with HIV, lifelong treatment is required and there is no cure. HIV can integrate in the host genome and persist for the life span of the infected cell. These latently infected cells are not recognized as foreign because they are largely transcriptionally silent, but contain replication-competent virus that drives resurgence of the infection once ART is stopped. With a combination of immune activators, neutralizing antibodies, and therapeutic vaccines, some nonhuman primate models have been cured, providing optimism for these approaches now being evaluated in human clinical trials. In vivo delivery of gene-editing tools to either target the virus, boost immunity or protect cells from infection, also holds promise for future HIV cure strategies. In this Review, we discuss advances related to HIV cure in the last 5 years, highlight remaining knowledge gaps and identify priority areas for research for the next 5 years.","container-title":"Nature Medicine","DOI":"10.1038/s41591-021-01590-5","ISSN":"1546-170X","issue":"12","journalAbbreviation":"Nat Med","language":"eng","note":"PMID: 34848888","page":"2085-2098","source":"PubMed","title":"Research priorities for an HIV cure: International AIDS Society Global Scientific Strategy 2021","title-short":"Research priorities for an HIV cure","volume":"27","author":[{"family":"Deeks","given":"Steven G."},{"family":"Archin","given":"Nancie"},{"family":"Cannon","given":"Paula"},{"family":"Collins","given":"Simon"},{"family":"Jones","given":"R. Brad"},{"family":"Jong","given":"Marein A. W. P.","non-dropping-particle":"de"},{"family":"Lambotte","given":"Olivier"},{"family":"Lamplough","given":"Rosanne"},{"family":"Ndung'u","given":"Thumbi"},{"family":"Sugarman","given":"Jeremy"},{"family":"Tiemessen","given":"Caroline T."},{"family":"Vandekerckhove","given":"Linos"},{"family":"Lewin","given":"Sharon R."},{"literal":"International AIDS Society (IAS) Global Scientific Strategy working group"}],"issued":{"date-parts":[["2021",12]]}},"label":"act"}],"schema":"https://github.com/citation-style-language/schema/raw/master/csl-citation.json"} </w:instrText>
      </w:r>
      <w:r w:rsidRPr="00B36E71">
        <w:rPr>
          <w:rFonts w:eastAsia="TimesNewRomanPSMT"/>
          <w:color w:val="000000"/>
          <w:lang w:eastAsia="en-US"/>
        </w:rPr>
        <w:fldChar w:fldCharType="separate"/>
      </w:r>
      <w:r w:rsidR="00D236D7" w:rsidRPr="002E2E87">
        <w:t>[</w:t>
      </w:r>
      <w:r w:rsidRPr="002E2E87">
        <w:t>4,10,11</w:t>
      </w:r>
      <w:r w:rsidR="00D236D7" w:rsidRPr="002E2E87">
        <w:t>]</w:t>
      </w:r>
      <w:r w:rsidRPr="00B36E71">
        <w:rPr>
          <w:rFonts w:eastAsia="TimesNewRomanPSMT"/>
          <w:color w:val="000000"/>
          <w:lang w:eastAsia="en-US"/>
        </w:rPr>
        <w:fldChar w:fldCharType="end"/>
      </w:r>
      <w:r w:rsidRPr="002E2E87">
        <w:rPr>
          <w:rFonts w:eastAsia="TimesNewRomanPSMT"/>
          <w:color w:val="000000"/>
          <w:lang w:eastAsia="en-US"/>
        </w:rPr>
        <w:t>.</w:t>
      </w:r>
    </w:p>
    <w:p w14:paraId="64F8ECC6" w14:textId="369C9FDB" w:rsidR="00295007" w:rsidRPr="002E2E87" w:rsidRDefault="00295007">
      <w:pPr>
        <w:autoSpaceDE w:val="0"/>
        <w:autoSpaceDN w:val="0"/>
        <w:adjustRightInd w:val="0"/>
        <w:ind w:firstLine="709"/>
        <w:rPr>
          <w:rFonts w:eastAsia="TimesNewRomanPSMT"/>
          <w:color w:val="000000"/>
          <w:lang w:eastAsia="en-US"/>
        </w:rPr>
      </w:pPr>
      <w:r w:rsidRPr="002E2E87">
        <w:rPr>
          <w:rFonts w:eastAsia="TimesNewRomanPSMT"/>
          <w:color w:val="000000"/>
          <w:lang w:eastAsia="en-US"/>
        </w:rPr>
        <w:t xml:space="preserve">В педиатрической практике скорость развития инфекционного процесса отличается от естественного течения ВИЧ-инфекции у взрослых в сторону более быстрого прогрессирования у детей младшего возраста. Также у детей первым признаком прогрессирования ВИЧ-инфекции может выступать задержка физического и/или психомоторного развития, опережая развернутую клинику вторичных заболеваний </w:t>
      </w:r>
      <w:r w:rsidRPr="00B36E71">
        <w:rPr>
          <w:rFonts w:eastAsia="TimesNewRomanPSMT"/>
          <w:color w:val="000000"/>
          <w:lang w:eastAsia="en-US"/>
        </w:rPr>
        <w:fldChar w:fldCharType="begin"/>
      </w:r>
      <w:r w:rsidRPr="002E2E87">
        <w:rPr>
          <w:rFonts w:eastAsia="TimesNewRomanPSMT"/>
          <w:color w:val="000000"/>
          <w:lang w:eastAsia="en-US"/>
        </w:rPr>
        <w:instrText xml:space="preserve"> ADDIN ZOTERO_ITEM CSL_CITATION {"citationID":"OFkDo0ql","properties":{"formattedCitation":"(12)","plainCitation":"(12)","noteIndex":0},"citationItems":[{"id":2490,"uris":["http://zotero.org/users/5483459/items/A2PPE6TL"],"itemData":{"id":2490,"type":"document","title":"Министерство здравоохранения Российской Федерации. Клинические рекомендации ВИЧ-инфекция у детей. 2020."}}],"schema":"https://github.com/citation-style-language/schema/raw/master/csl-citation.json"} </w:instrText>
      </w:r>
      <w:r w:rsidRPr="00B36E71">
        <w:rPr>
          <w:rFonts w:eastAsia="TimesNewRomanPSMT"/>
          <w:color w:val="000000"/>
          <w:lang w:eastAsia="en-US"/>
        </w:rPr>
        <w:fldChar w:fldCharType="separate"/>
      </w:r>
      <w:r w:rsidR="00F431B8" w:rsidRPr="008B0B82">
        <w:t>[</w:t>
      </w:r>
      <w:r w:rsidRPr="002E2E87">
        <w:t>12</w:t>
      </w:r>
      <w:r w:rsidR="00F431B8" w:rsidRPr="008B0B82">
        <w:t>]</w:t>
      </w:r>
      <w:r w:rsidRPr="00B36E71">
        <w:rPr>
          <w:rFonts w:eastAsia="TimesNewRomanPSMT"/>
          <w:color w:val="000000"/>
          <w:lang w:eastAsia="en-US"/>
        </w:rPr>
        <w:fldChar w:fldCharType="end"/>
      </w:r>
      <w:r w:rsidRPr="002E2E87">
        <w:rPr>
          <w:rFonts w:eastAsia="TimesNewRomanPSMT"/>
          <w:color w:val="000000"/>
          <w:lang w:eastAsia="en-US"/>
        </w:rPr>
        <w:t>.</w:t>
      </w:r>
    </w:p>
    <w:p w14:paraId="3CA0419F" w14:textId="5D246569" w:rsidR="00295007" w:rsidRPr="002E2E87" w:rsidRDefault="00295007">
      <w:pPr>
        <w:autoSpaceDE w:val="0"/>
        <w:autoSpaceDN w:val="0"/>
        <w:adjustRightInd w:val="0"/>
        <w:ind w:firstLine="709"/>
        <w:rPr>
          <w:rFonts w:eastAsia="TimesNewRomanPSMT"/>
          <w:color w:val="000000"/>
          <w:lang w:eastAsia="en-US"/>
        </w:rPr>
      </w:pPr>
      <w:r w:rsidRPr="002E2E87">
        <w:rPr>
          <w:rFonts w:eastAsia="TimesNewRomanPSMT"/>
          <w:color w:val="000000"/>
          <w:lang w:eastAsia="en-US"/>
        </w:rPr>
        <w:t xml:space="preserve">Согласно действующей в России классификации ВИЧ-инфекции (2006) стадия заболевания устанавливаются только на основании клинических проявлений. Уровень ВН и CD4 не являются критериями для определения клинической стадии или фазы заболевания </w:t>
      </w:r>
      <w:r w:rsidRPr="00B36E71">
        <w:rPr>
          <w:rFonts w:eastAsia="TimesNewRomanPSMT"/>
          <w:color w:val="000000"/>
          <w:lang w:eastAsia="en-US"/>
        </w:rPr>
        <w:fldChar w:fldCharType="begin"/>
      </w:r>
      <w:r w:rsidRPr="002E2E87">
        <w:rPr>
          <w:rFonts w:eastAsia="TimesNewRomanPSMT"/>
          <w:color w:val="000000"/>
          <w:lang w:eastAsia="en-US"/>
        </w:rPr>
        <w:instrText xml:space="preserve"> ADDIN ZOTERO_ITEM CSL_CITATION {"citationID":"qfbTqHdq","properties":{"formattedCitation":"(4)","plainCitation":"(4)","noteIndex":0},"citationItems":[{"id":2461,"uris":["http://zotero.org/users/5483459/items/TE38ARHZ"],"itemData":{"id":2461,"type":"document","title":"Министерство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sidRPr="00B36E71">
        <w:rPr>
          <w:rFonts w:eastAsia="TimesNewRomanPSMT"/>
          <w:color w:val="000000"/>
          <w:lang w:eastAsia="en-US"/>
        </w:rPr>
        <w:fldChar w:fldCharType="separate"/>
      </w:r>
      <w:r w:rsidR="00D236D7" w:rsidRPr="002E2E87">
        <w:t>[</w:t>
      </w:r>
      <w:r w:rsidRPr="002E2E87">
        <w:t>4</w:t>
      </w:r>
      <w:r w:rsidR="00D236D7" w:rsidRPr="002E2E87">
        <w:t>]</w:t>
      </w:r>
      <w:r w:rsidRPr="00B36E71">
        <w:rPr>
          <w:rFonts w:eastAsia="TimesNewRomanPSMT"/>
          <w:color w:val="000000"/>
          <w:lang w:eastAsia="en-US"/>
        </w:rPr>
        <w:fldChar w:fldCharType="end"/>
      </w:r>
      <w:r w:rsidRPr="002E2E87">
        <w:rPr>
          <w:rFonts w:eastAsia="TimesNewRomanPSMT"/>
          <w:color w:val="000000"/>
          <w:lang w:eastAsia="en-US"/>
        </w:rPr>
        <w:t>.</w:t>
      </w:r>
    </w:p>
    <w:p w14:paraId="08A50C05" w14:textId="77777777" w:rsidR="00F431B8" w:rsidRDefault="00F431B8" w:rsidP="008B0B82">
      <w:pPr>
        <w:autoSpaceDE w:val="0"/>
        <w:autoSpaceDN w:val="0"/>
        <w:adjustRightInd w:val="0"/>
        <w:rPr>
          <w:rStyle w:val="ac"/>
          <w:lang w:eastAsia="en-US"/>
        </w:rPr>
      </w:pPr>
    </w:p>
    <w:p w14:paraId="6B02347F" w14:textId="0B7E558F" w:rsidR="00295007" w:rsidRPr="002E2E87" w:rsidRDefault="00295007" w:rsidP="008B0B82">
      <w:pPr>
        <w:autoSpaceDE w:val="0"/>
        <w:autoSpaceDN w:val="0"/>
        <w:adjustRightInd w:val="0"/>
        <w:rPr>
          <w:rStyle w:val="ac"/>
          <w:lang w:eastAsia="en-US"/>
        </w:rPr>
      </w:pPr>
      <w:r w:rsidRPr="002E2E87">
        <w:rPr>
          <w:rStyle w:val="ac"/>
          <w:lang w:eastAsia="en-US"/>
        </w:rPr>
        <w:t>Характеристика стадий ВИЧ-инфекции согласно Российской клинической классификации ВИЧ-инфекции (2006)</w:t>
      </w:r>
    </w:p>
    <w:p w14:paraId="289AD8A7" w14:textId="77777777" w:rsidR="00F431B8" w:rsidRDefault="00F431B8">
      <w:pPr>
        <w:autoSpaceDE w:val="0"/>
        <w:autoSpaceDN w:val="0"/>
        <w:adjustRightInd w:val="0"/>
        <w:ind w:firstLine="709"/>
        <w:rPr>
          <w:rFonts w:eastAsia="TimesNewRomanPSMT"/>
          <w:color w:val="000000"/>
          <w:lang w:eastAsia="en-US"/>
        </w:rPr>
      </w:pPr>
    </w:p>
    <w:p w14:paraId="4EA4CDC5" w14:textId="18D46E5E" w:rsidR="00295007" w:rsidRPr="002E2E87" w:rsidRDefault="00295007">
      <w:pPr>
        <w:autoSpaceDE w:val="0"/>
        <w:autoSpaceDN w:val="0"/>
        <w:adjustRightInd w:val="0"/>
        <w:ind w:firstLine="709"/>
        <w:rPr>
          <w:rFonts w:eastAsia="TimesNewRomanPSMT"/>
          <w:color w:val="000000"/>
          <w:lang w:eastAsia="en-US"/>
        </w:rPr>
      </w:pPr>
      <w:r w:rsidRPr="002E2E87">
        <w:rPr>
          <w:rFonts w:eastAsia="TimesNewRomanPSMT"/>
          <w:color w:val="000000"/>
          <w:lang w:eastAsia="en-US"/>
        </w:rPr>
        <w:lastRenderedPageBreak/>
        <w:t>Стадия 1 – стадия инкубации – период от момента заражения до появления реакции организма в виде клинических проявлений «острой инфекции» и/или выработки антител.</w:t>
      </w:r>
    </w:p>
    <w:p w14:paraId="2376CC1F" w14:textId="77777777" w:rsidR="00295007" w:rsidRPr="002E2E87" w:rsidRDefault="00295007">
      <w:pPr>
        <w:pStyle w:val="OT"/>
        <w:spacing w:after="0"/>
        <w:ind w:firstLine="709"/>
        <w:rPr>
          <w:rFonts w:eastAsia="TimesNewRomanPSMT"/>
          <w:sz w:val="24"/>
          <w:szCs w:val="24"/>
        </w:rPr>
      </w:pPr>
      <w:r w:rsidRPr="002E2E87">
        <w:rPr>
          <w:rFonts w:eastAsia="TimesNewRomanPSMT"/>
          <w:sz w:val="24"/>
          <w:szCs w:val="24"/>
        </w:rPr>
        <w:t xml:space="preserve">Стадия 2 – стадия первичных проявлений. В этот период активная репликация ВИЧ продолжается и появляется первичный ответ организма на внедрение возбудителя в виде клинических симптомов и/или выработки антител. </w:t>
      </w:r>
    </w:p>
    <w:p w14:paraId="1F8174AA" w14:textId="77777777" w:rsidR="00295007" w:rsidRPr="002E2E87" w:rsidRDefault="00295007">
      <w:pPr>
        <w:pStyle w:val="OT"/>
        <w:numPr>
          <w:ilvl w:val="0"/>
          <w:numId w:val="10"/>
        </w:numPr>
        <w:spacing w:after="0"/>
        <w:rPr>
          <w:rFonts w:eastAsia="TimesNewRomanPSMT"/>
          <w:sz w:val="24"/>
          <w:szCs w:val="24"/>
        </w:rPr>
      </w:pPr>
      <w:r w:rsidRPr="002E2E87">
        <w:rPr>
          <w:rFonts w:eastAsia="TimesNewRomanPSMT"/>
          <w:sz w:val="24"/>
          <w:szCs w:val="24"/>
        </w:rPr>
        <w:t>Стадия 2А – бессимптомная, когда какие-либо клинические проявления ВИЧ-инфекции или оппортунистических заболеваний, развивающихся на фоне иммунодефицита, отсутствуют.</w:t>
      </w:r>
    </w:p>
    <w:p w14:paraId="44656876" w14:textId="77777777" w:rsidR="00295007" w:rsidRPr="002E2E87" w:rsidRDefault="00295007">
      <w:pPr>
        <w:pStyle w:val="OT"/>
        <w:numPr>
          <w:ilvl w:val="0"/>
          <w:numId w:val="10"/>
        </w:numPr>
        <w:spacing w:after="0"/>
        <w:rPr>
          <w:rFonts w:eastAsia="TimesNewRomanPSMT"/>
          <w:sz w:val="24"/>
          <w:szCs w:val="24"/>
        </w:rPr>
      </w:pPr>
      <w:r w:rsidRPr="002E2E87">
        <w:rPr>
          <w:rFonts w:eastAsia="TimesNewRomanPSMT"/>
          <w:sz w:val="24"/>
          <w:szCs w:val="24"/>
        </w:rPr>
        <w:t>Стадия 2Б – острая ВИЧ-инфекция без вторичных заболеваний может проявляться разнообразными клиническими симптомами. Чаще всего это увеличение лимфатических узлов, лихорадка, фарингит, высыпания (уртикарные, папулёзные, петехиальные) на коже и слизистых оболочках. Может отмечаться увеличение печени, селезёнки, появление диареи.</w:t>
      </w:r>
    </w:p>
    <w:p w14:paraId="01655462" w14:textId="77777777" w:rsidR="00295007" w:rsidRPr="002E2E87" w:rsidRDefault="00295007">
      <w:pPr>
        <w:pStyle w:val="OT"/>
        <w:numPr>
          <w:ilvl w:val="0"/>
          <w:numId w:val="10"/>
        </w:numPr>
        <w:spacing w:after="0"/>
        <w:rPr>
          <w:rFonts w:eastAsia="TimesNewRomanPSMT"/>
          <w:sz w:val="24"/>
          <w:szCs w:val="24"/>
        </w:rPr>
      </w:pPr>
      <w:r w:rsidRPr="002E2E87">
        <w:rPr>
          <w:rFonts w:eastAsia="TimesNewRomanPSMT"/>
          <w:sz w:val="24"/>
          <w:szCs w:val="24"/>
        </w:rPr>
        <w:t xml:space="preserve">Стадия 2В – острая ВИЧ-инфекция с вторичными заболеваниями. </w:t>
      </w:r>
    </w:p>
    <w:p w14:paraId="2762DB17" w14:textId="77777777" w:rsidR="00295007" w:rsidRPr="002E2E87" w:rsidRDefault="00295007">
      <w:pPr>
        <w:pStyle w:val="OT"/>
        <w:spacing w:after="0"/>
        <w:ind w:firstLine="709"/>
        <w:rPr>
          <w:rFonts w:eastAsia="TimesNewRomanPSMT"/>
          <w:sz w:val="24"/>
          <w:szCs w:val="24"/>
        </w:rPr>
      </w:pPr>
      <w:r w:rsidRPr="002E2E87">
        <w:rPr>
          <w:rFonts w:eastAsia="TimesNewRomanPSMT"/>
          <w:sz w:val="24"/>
          <w:szCs w:val="24"/>
        </w:rPr>
        <w:t>Стадия 3 – субклиническая – характеризуется медленным прогрессированием иммунодефицита, компенсируемого за счёт модификации иммунного ответа и избыточного воспроизводства CD4. В этот период отмечается постепенное снижение количества CD4 со средней скоростью 50–70 мкл. в год.</w:t>
      </w:r>
    </w:p>
    <w:p w14:paraId="167BD0A2" w14:textId="77777777" w:rsidR="00295007" w:rsidRPr="002E2E87" w:rsidRDefault="00295007">
      <w:pPr>
        <w:pStyle w:val="OT"/>
        <w:spacing w:after="0"/>
        <w:ind w:firstLine="709"/>
        <w:rPr>
          <w:rFonts w:eastAsia="TimesNewRomanPSMT"/>
          <w:sz w:val="24"/>
          <w:szCs w:val="24"/>
        </w:rPr>
      </w:pPr>
      <w:r w:rsidRPr="002E2E87">
        <w:rPr>
          <w:rFonts w:eastAsia="TimesNewRomanPSMT"/>
          <w:sz w:val="24"/>
          <w:szCs w:val="24"/>
        </w:rPr>
        <w:t xml:space="preserve">Стадия 4 – стадия вторичных заболеваний. </w:t>
      </w:r>
    </w:p>
    <w:p w14:paraId="26FF9C93" w14:textId="77777777" w:rsidR="00295007" w:rsidRPr="002E2E87" w:rsidRDefault="00295007">
      <w:pPr>
        <w:pStyle w:val="OT"/>
        <w:numPr>
          <w:ilvl w:val="0"/>
          <w:numId w:val="11"/>
        </w:numPr>
        <w:spacing w:after="0"/>
        <w:rPr>
          <w:rFonts w:eastAsia="TimesNewRomanPSMT"/>
          <w:sz w:val="24"/>
          <w:szCs w:val="24"/>
        </w:rPr>
      </w:pPr>
      <w:r w:rsidRPr="002E2E87">
        <w:rPr>
          <w:rFonts w:eastAsia="TimesNewRomanPSMT"/>
          <w:sz w:val="24"/>
          <w:szCs w:val="24"/>
        </w:rPr>
        <w:t>Стадия 4А (обычно развивается через 6–7 лет от момента заражения). Для неё характерны бактериальные, грибковые и вирусные поражения слизистых оболочек и кожных покровов, воспалительные заболевания верхних дыхательных путей. Обычно стадия 4А развивается у пациентов с уровнем CD4 около 350 мкл.</w:t>
      </w:r>
    </w:p>
    <w:p w14:paraId="37267AB3" w14:textId="77777777" w:rsidR="00295007" w:rsidRPr="002E2E87" w:rsidRDefault="00295007">
      <w:pPr>
        <w:pStyle w:val="OT"/>
        <w:numPr>
          <w:ilvl w:val="0"/>
          <w:numId w:val="11"/>
        </w:numPr>
        <w:spacing w:after="0"/>
        <w:rPr>
          <w:rFonts w:eastAsia="TimesNewRomanPSMT"/>
          <w:sz w:val="24"/>
          <w:szCs w:val="24"/>
        </w:rPr>
      </w:pPr>
      <w:r w:rsidRPr="002E2E87">
        <w:rPr>
          <w:rFonts w:eastAsia="TimesNewRomanPSMT"/>
          <w:sz w:val="24"/>
          <w:szCs w:val="24"/>
        </w:rPr>
        <w:t xml:space="preserve">Стадия 4Б (обычно через 7–10 лет от момента заражения) — кожные поражения носят более глубокий характер и склонны к затяжному течению. Развиваются поражения внутренних органов. Кроме того, могут отмечаться локализованная саркома Капоши, умеренно выраженные конституциональные симптомы (потеря массы тела, лихорадка), поражение периферической нервной системы, туберкулёз. </w:t>
      </w:r>
    </w:p>
    <w:p w14:paraId="5A3DE534" w14:textId="77777777" w:rsidR="00295007" w:rsidRPr="002E2E87" w:rsidRDefault="00295007">
      <w:pPr>
        <w:pStyle w:val="OT"/>
        <w:numPr>
          <w:ilvl w:val="0"/>
          <w:numId w:val="11"/>
        </w:numPr>
        <w:spacing w:after="0"/>
        <w:rPr>
          <w:rFonts w:eastAsia="TimesNewRomanPSMT"/>
          <w:sz w:val="24"/>
          <w:szCs w:val="24"/>
        </w:rPr>
      </w:pPr>
      <w:r w:rsidRPr="002E2E87">
        <w:rPr>
          <w:rFonts w:eastAsia="TimesNewRomanPSMT"/>
          <w:sz w:val="24"/>
          <w:szCs w:val="24"/>
        </w:rPr>
        <w:t>Стадия 4В (обычно через 10–12 лет от момента заражения) характеризуется развитием тяжёлых, угрожающих жизни вторичных (оппортунистических) заболеваний, их генерализованным характером, поражением центральной нервной системы. Обычно стадия 4В развивается у пациентов с уровнем CD4 &lt;200 мкл.</w:t>
      </w:r>
    </w:p>
    <w:p w14:paraId="138ED8A8" w14:textId="2A6ACB19" w:rsidR="00295007" w:rsidRDefault="00295007">
      <w:pPr>
        <w:autoSpaceDE w:val="0"/>
        <w:autoSpaceDN w:val="0"/>
        <w:adjustRightInd w:val="0"/>
        <w:ind w:firstLine="709"/>
        <w:rPr>
          <w:rFonts w:eastAsia="TimesNewRomanPSMT"/>
          <w:color w:val="000000"/>
          <w:lang w:eastAsia="en-US"/>
        </w:rPr>
      </w:pPr>
      <w:r w:rsidRPr="002E2E87">
        <w:rPr>
          <w:rFonts w:eastAsia="TimesNewRomanPSMT"/>
          <w:color w:val="000000"/>
          <w:lang w:eastAsia="en-US"/>
        </w:rPr>
        <w:t>Стадия 5 – терминальная – была введена в клиническую классификацию ВИЧ-инфекции в 1989 г., когда высокоактивной АРТ ещё не существовало и, несмотря на адекватную (по тем временам) терапию, имеющиеся у болеющих вторичные заболевания приобретали необратимый характер, и пациент по</w:t>
      </w:r>
      <w:r w:rsidRPr="006C56ED">
        <w:rPr>
          <w:rFonts w:eastAsia="TimesNewRomanPSMT"/>
          <w:color w:val="000000"/>
          <w:lang w:eastAsia="en-US"/>
        </w:rPr>
        <w:t>гибал в течение нескольких месяцев после их развития</w:t>
      </w:r>
      <w:r>
        <w:rPr>
          <w:rFonts w:eastAsia="TimesNewRomanPSMT"/>
          <w:color w:val="000000"/>
          <w:lang w:eastAsia="en-US"/>
        </w:rPr>
        <w:t xml:space="preserve"> </w:t>
      </w:r>
      <w:r>
        <w:rPr>
          <w:rFonts w:eastAsia="TimesNewRomanPSMT"/>
          <w:color w:val="000000"/>
          <w:lang w:eastAsia="en-US"/>
        </w:rPr>
        <w:fldChar w:fldCharType="begin"/>
      </w:r>
      <w:r>
        <w:rPr>
          <w:rFonts w:eastAsia="TimesNewRomanPSMT"/>
          <w:color w:val="000000"/>
          <w:lang w:eastAsia="en-US"/>
        </w:rPr>
        <w:instrText xml:space="preserve"> ADDIN ZOTERO_ITEM CSL_CITATION {"citationID":"75T9hUgg","properties":{"formattedCitation":"(4,13)","plainCitation":"(4,13)","noteIndex":0},"citationItems":[{"id":2461,"uris":["http://zotero.org/users/5483459/items/TE38ARHZ"],"itemData":{"id":2461,"type":"document","title":"Министерство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2020."},"label":"page"},{"id":2497,"uris":["http://zotero.org/users/5483459/items/QWDHGYY5"],"itemData":{"id":2497,"type":"document","title":"Клиническая классификация ВИЧ-инфекции. Приложение к Инструкции по заполнению годовой формы государственного федерального статистического наблюдения № 61 \"Сведения о контингентах больных ВИЧ-инфекцией\", утвержденной Приказом Минздравсоцразвития России от 17.03.2006 г. № 166."},"label":"page"}],"schema":"https://github.com/citation-style-language/schema/raw/master/csl-citation.json"} </w:instrText>
      </w:r>
      <w:r>
        <w:rPr>
          <w:rFonts w:eastAsia="TimesNewRomanPSMT"/>
          <w:color w:val="000000"/>
          <w:lang w:eastAsia="en-US"/>
        </w:rPr>
        <w:fldChar w:fldCharType="separate"/>
      </w:r>
      <w:r w:rsidR="00D236D7" w:rsidRPr="00D236D7">
        <w:t>[</w:t>
      </w:r>
      <w:r w:rsidRPr="00156725">
        <w:t>4,13</w:t>
      </w:r>
      <w:r w:rsidR="00D236D7" w:rsidRPr="00D236D7">
        <w:t>]</w:t>
      </w:r>
      <w:r>
        <w:rPr>
          <w:rFonts w:eastAsia="TimesNewRomanPSMT"/>
          <w:color w:val="000000"/>
          <w:lang w:eastAsia="en-US"/>
        </w:rPr>
        <w:fldChar w:fldCharType="end"/>
      </w:r>
      <w:r>
        <w:rPr>
          <w:rFonts w:eastAsia="TimesNewRomanPSMT"/>
          <w:color w:val="000000"/>
          <w:lang w:eastAsia="en-US"/>
        </w:rPr>
        <w:t>.</w:t>
      </w:r>
    </w:p>
    <w:p w14:paraId="6A1A538F" w14:textId="77777777" w:rsidR="00295007" w:rsidRDefault="00295007" w:rsidP="00295007">
      <w:pPr>
        <w:pStyle w:val="3"/>
        <w:spacing w:after="240"/>
        <w:rPr>
          <w:rFonts w:ascii="Times New Roman" w:hAnsi="Times New Roman"/>
          <w:color w:val="000000" w:themeColor="text1"/>
          <w:szCs w:val="24"/>
        </w:rPr>
      </w:pPr>
      <w:bookmarkStart w:id="33" w:name="_Toc395011863"/>
      <w:bookmarkStart w:id="34" w:name="_Toc117179167"/>
      <w:r w:rsidRPr="006A21BF">
        <w:rPr>
          <w:rFonts w:ascii="Times New Roman" w:hAnsi="Times New Roman"/>
          <w:color w:val="000000" w:themeColor="text1"/>
          <w:szCs w:val="24"/>
        </w:rPr>
        <w:t>1.7.2. Существующие варианты терапии</w:t>
      </w:r>
      <w:bookmarkStart w:id="35" w:name="_Hlk521882537"/>
      <w:bookmarkEnd w:id="33"/>
      <w:bookmarkEnd w:id="34"/>
    </w:p>
    <w:p w14:paraId="0F048D70" w14:textId="097FADFB" w:rsidR="00295007" w:rsidRPr="003B0B14" w:rsidRDefault="00295007" w:rsidP="00C354BD">
      <w:pPr>
        <w:ind w:firstLine="709"/>
      </w:pPr>
      <w:r>
        <w:t xml:space="preserve">В настоящее время основным компонентом лечения пациентов с ВИЧ-инфекцией является антиретровирусная терапия (АРТ), с помощью которой </w:t>
      </w:r>
      <w:r>
        <w:lastRenderedPageBreak/>
        <w:t xml:space="preserve">можно добиться контролируемого течения заболевания. Раннее начало АРТ позволяет достичь не только улучшения клинического прогноза заболевания, но и снижения уровня распространённости ВИЧ-инфекции в популяции </w:t>
      </w:r>
      <w:r>
        <w:rPr>
          <w:rFonts w:eastAsia="TimesNewRomanPSMT"/>
          <w:color w:val="000000"/>
          <w:lang w:eastAsia="en-US"/>
        </w:rPr>
        <w:fldChar w:fldCharType="begin"/>
      </w:r>
      <w:r>
        <w:rPr>
          <w:rFonts w:eastAsia="TimesNewRomanPSMT"/>
          <w:color w:val="000000"/>
          <w:lang w:eastAsia="en-US"/>
        </w:rPr>
        <w:instrText xml:space="preserve"> ADDIN ZOTERO_ITEM CSL_CITATION {"citationID":"fiJnuBJH","properties":{"formattedCitation":"(4)","plainCitation":"(4)","noteIndex":0},"citationItems":[{"id":2461,"uris":["http://zotero.org/users/5483459/items/TE38ARHZ"],"itemData":{"id":2461,"type":"document","title":"Министерство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Pr>
          <w:rFonts w:eastAsia="TimesNewRomanPSMT"/>
          <w:color w:val="000000"/>
          <w:lang w:eastAsia="en-US"/>
        </w:rPr>
        <w:fldChar w:fldCharType="separate"/>
      </w:r>
      <w:r w:rsidR="00D236D7" w:rsidRPr="00D236D7">
        <w:t>[</w:t>
      </w:r>
      <w:r w:rsidRPr="00156725">
        <w:t>4</w:t>
      </w:r>
      <w:r w:rsidR="00D236D7" w:rsidRPr="00D236D7">
        <w:t>]</w:t>
      </w:r>
      <w:r>
        <w:rPr>
          <w:rFonts w:eastAsia="TimesNewRomanPSMT"/>
          <w:color w:val="000000"/>
          <w:lang w:eastAsia="en-US"/>
        </w:rPr>
        <w:fldChar w:fldCharType="end"/>
      </w:r>
      <w:r>
        <w:rPr>
          <w:rFonts w:eastAsia="TimesNewRomanPSMT"/>
          <w:color w:val="000000"/>
          <w:lang w:eastAsia="en-US"/>
        </w:rPr>
        <w:t>.</w:t>
      </w:r>
    </w:p>
    <w:p w14:paraId="3CB2B829" w14:textId="624BDC49" w:rsidR="00295007" w:rsidRDefault="00295007" w:rsidP="00C354BD">
      <w:pPr>
        <w:ind w:firstLine="709"/>
      </w:pPr>
      <w:r w:rsidRPr="00632E1F">
        <w:t>Несмотря на успех АРТ для людей, живущих с ВИЧ, требуется пожизненное лечение и излечения не существует</w:t>
      </w:r>
      <w:r>
        <w:t xml:space="preserve"> </w:t>
      </w:r>
      <w:r>
        <w:fldChar w:fldCharType="begin"/>
      </w:r>
      <w:r>
        <w:instrText xml:space="preserve"> ADDIN ZOTERO_ITEM CSL_CITATION {"citationID":"EmLEJFrj","properties":{"formattedCitation":"(11)","plainCitation":"(11)","noteIndex":0},"citationItems":[{"id":2468,"uris":["http://zotero.org/users/5483459/items/UUJUP3PW"],"itemData":{"id":2468,"type":"article-journal","abstract":"Despite the success of antiretroviral therapy (ART) for people living with HIV, lifelong treatment is required and there is no cure. HIV can integrate in the host genome and persist for the life span of the infected cell. These latently infected cells are not recognized as foreign because they are largely transcriptionally silent, but contain replication-competent virus that drives resurgence of the infection once ART is stopped. With a combination of immune activators, neutralizing antibodies, and therapeutic vaccines, some nonhuman primate models have been cured, providing optimism for these approaches now being evaluated in human clinical trials. In vivo delivery of gene-editing tools to either target the virus, boost immunity or protect cells from infection, also holds promise for future HIV cure strategies. In this Review, we discuss advances related to HIV cure in the last 5 years, highlight remaining knowledge gaps and identify priority areas for research for the next 5 years.","container-title":"Nature Medicine","DOI":"10.1038/s41591-021-01590-5","ISSN":"1546-170X","issue":"12","journalAbbreviation":"Nat Med","language":"eng","note":"PMID: 34848888","page":"2085-2098","source":"PubMed","title":"Research priorities for an HIV cure: International AIDS Society Global Scientific Strategy 2021","title-short":"Research priorities for an HIV cure","volume":"27","author":[{"family":"Deeks","given":"Steven G."},{"family":"Archin","given":"Nancie"},{"family":"Cannon","given":"Paula"},{"family":"Collins","given":"Simon"},{"family":"Jones","given":"R. Brad"},{"family":"Jong","given":"Marein A. W. P.","non-dropping-particle":"de"},{"family":"Lambotte","given":"Olivier"},{"family":"Lamplough","given":"Rosanne"},{"family":"Ndung'u","given":"Thumbi"},{"family":"Sugarman","given":"Jeremy"},{"family":"Tiemessen","given":"Caroline T."},{"family":"Vandekerckhove","given":"Linos"},{"family":"Lewin","given":"Sharon R."},{"literal":"International AIDS Society (IAS) Global Scientific Strategy working group"}],"issued":{"date-parts":[["2021",12]]}}}],"schema":"https://github.com/citation-style-language/schema/raw/master/csl-citation.json"} </w:instrText>
      </w:r>
      <w:r>
        <w:fldChar w:fldCharType="separate"/>
      </w:r>
      <w:r w:rsidR="00D236D7" w:rsidRPr="00D236D7">
        <w:t>[</w:t>
      </w:r>
      <w:r w:rsidRPr="00156725">
        <w:t>11</w:t>
      </w:r>
      <w:r w:rsidR="00D236D7" w:rsidRPr="00D236D7">
        <w:t>]</w:t>
      </w:r>
      <w:r>
        <w:fldChar w:fldCharType="end"/>
      </w:r>
      <w:r>
        <w:t xml:space="preserve">. </w:t>
      </w:r>
    </w:p>
    <w:p w14:paraId="2F4FD8C2" w14:textId="2E68D7D4" w:rsidR="00295007" w:rsidRDefault="00295007" w:rsidP="00C354BD">
      <w:pPr>
        <w:ind w:firstLine="709"/>
      </w:pPr>
      <w:r>
        <w:t xml:space="preserve">Основной задачей АРТ является максимальное подавление размножения ВИЧ, что сопровождается снижением содержания РНК ВИЧ в крови вирусной нагрузки (ВН) до неопределяемого методом </w:t>
      </w:r>
      <w:bookmarkStart w:id="36" w:name="_Hlk112736864"/>
      <w:r>
        <w:t xml:space="preserve">полимеразной цепной реакции (ПЦР) </w:t>
      </w:r>
      <w:bookmarkEnd w:id="36"/>
      <w:r>
        <w:t xml:space="preserve">уровня </w:t>
      </w:r>
      <w:r>
        <w:fldChar w:fldCharType="begin"/>
      </w:r>
      <w:r>
        <w:instrText xml:space="preserve"> ADDIN ZOTERO_ITEM CSL_CITATION {"citationID":"p2QMyjyX","properties":{"formattedCitation":"(4,5,7,14)","plainCitation":"(4,5,7,14)","noteIndex":0},"citationItems":[{"id":2461,"uris":["http://zotero.org/users/5483459/items/TE38ARHZ"],"itemData":{"id":2461,"type":"document","title":"Министерство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2020."},"label":"page"},{"id":2481,"uris":["http://zotero.org/users/5483459/items/XECSFSCZ"],"itemData":{"id":2481,"type":"document","title":"British HIV Association (BHIVA) guidelines on antiretroviral treatment for adults living with HIV-1. 2022."},"label":"act"},{"id":2462,"uris":["http://zotero.org/users/5483459/items/MEVJCF2M"],"itemData":{"id":2462,"type":"document","title":"World Health Organization. Factsheet. 27 July 2022. https://www.who.int/news-room/fact-sheets/detail/hiv-aids"},"label":"act"},{"id":2487,"uris":["http://zotero.org/users/5483459/items/8ZZMR9EY"],"itemData":{"id":2487,"type":"document","title":"European AIDS Clinical Society (EACS)  Guidelines. 2021."},"label":"act"}],"schema":"https://github.com/citation-style-language/schema/raw/master/csl-citation.json"} </w:instrText>
      </w:r>
      <w:r>
        <w:fldChar w:fldCharType="separate"/>
      </w:r>
      <w:r w:rsidR="00D236D7" w:rsidRPr="00D236D7">
        <w:t>[</w:t>
      </w:r>
      <w:r w:rsidRPr="00156725">
        <w:t>4,5,7,14</w:t>
      </w:r>
      <w:r w:rsidR="00D236D7" w:rsidRPr="00D236D7">
        <w:t>]</w:t>
      </w:r>
      <w:r>
        <w:fldChar w:fldCharType="end"/>
      </w:r>
      <w:r>
        <w:t>.</w:t>
      </w:r>
    </w:p>
    <w:p w14:paraId="253B587B" w14:textId="6C1D6E59" w:rsidR="00295007" w:rsidRDefault="00295007" w:rsidP="00A97B7A">
      <w:pPr>
        <w:ind w:firstLine="709"/>
      </w:pPr>
      <w:r>
        <w:t>В настоящее время зарегистрировано</w:t>
      </w:r>
      <w:r w:rsidRPr="00D73EF4">
        <w:t xml:space="preserve"> более 30 антиретровирусных препаратов, комбинированная</w:t>
      </w:r>
      <w:r>
        <w:t xml:space="preserve"> </w:t>
      </w:r>
      <w:r w:rsidR="002D194B">
        <w:t>АРТ</w:t>
      </w:r>
      <w:r w:rsidRPr="00D73EF4">
        <w:t xml:space="preserve"> терапия превратила инфекцию ВИЧ-1 в хроническое, но управляемое заболевание. Тем не менее, лекарственная токсичность и приобретенная и передаваемая лекарственная устойчивость</w:t>
      </w:r>
      <w:r>
        <w:t xml:space="preserve">, </w:t>
      </w:r>
      <w:r w:rsidRPr="00E25E3F">
        <w:t xml:space="preserve">высокая частота </w:t>
      </w:r>
      <w:r>
        <w:t>приема препаратов</w:t>
      </w:r>
      <w:r w:rsidRPr="00D73EF4">
        <w:t xml:space="preserve"> остаются основными угрозами для успеха </w:t>
      </w:r>
      <w:r w:rsidR="002D194B">
        <w:t xml:space="preserve">АРТ </w:t>
      </w:r>
      <w:r>
        <w:fldChar w:fldCharType="begin"/>
      </w:r>
      <w:r>
        <w:instrText xml:space="preserve"> ADDIN ZOTERO_ITEM CSL_CITATION {"citationID":"vJxIkrhY","properties":{"formattedCitation":"(10,15)","plainCitation":"(10,15)","noteIndex":0},"citationItems":[{"id":2474,"uris":["http://zotero.org/users/5483459/items/X69Z65QZ"],"itemData":{"id":2474,"type":"article-journal","abstract":"Since the first cases of AIDS appeared in 1981, human immunodeficiency virus type 1 (HIV-1) infection has reached pandemic proportions. Forty years later, research has led to the approval of more than 30 antiretroviral drugs, while combination therapies have turned HIV-1 infection into a chronic, but manageable disease. Still, drug toxicity and acquired and transmitted drug resistance remain as major threats to therapy success. In this review, we provide an overview on currently available anti-HIV drugs and the latest developments in antiretroviral therapy, focused on new antiretroviral agents acting on known and unexploited antiviral targets, prevention therapies aimed to improve available drug combinations, and research on new long-acting therapies, particularly those involving novel drug candidates such as lenacapavir or islatravir.","container-title":"Trends in Pharmacological Sciences","DOI":"10.1016/j.tips.2021.10.004","ISSN":"1873-3735","issue":"1","journalAbbreviation":"Trends Pharmacol Sci","language":"eng","note":"PMID: 34742581","page":"16-29","source":"PubMed","title":"Update and latest advances in antiretroviral therapy","volume":"43","author":[{"family":"Menéndez-Arias","given":"Luis"},{"family":"Delgado","given":"Rafael"}],"issued":{"date-parts":[["2022",1]]}},"label":"page"},{"id":2478,"uris":["http://zotero.org/users/5483459/items/6IJV4SJ3"],"itemData":{"id":2478,"type":"article-journal","abstract":"When the first cases of HIV infection appeared in the 1980s, AIDS was a deadly disease without any therapeutic alternatives. Currently, there is still no cure for most cases mainly due to the multiple tissues that act as a reservoir for this virus besides the high viral mutagenesis that leads to an antiretroviral drug resistance. Throughout the years, multiple drugs with specific mechanisms of action on distinct targets have been approved. In this review, the most recent phase III clinical studies and other research therapies as advanced antiretroviral nanodelivery systems will be here discussed. Although the combined antiretroviral therapy is effective in reducing viral loading to undetectable levels, it also presents some disadvantages, such as usual side effects, high frequency of administration, and the possibility of drug resistance. Therefore, several new drugs, delivery systems, and vaccines have been tested in pre-clinical and clinical trials. Regarding drug delivery, an attempt to change the route of administration of some conventional antiretrovirals has proven to be successful and surpassed some issues related to patient compliance. Nanotechnology has brought a new approach to overcoming certain obstacles of formulation design including drug solubility and biodistribution. Overall, the encapsulation of antiretroviral drugs into nanosystems has shown improved drug release and pharmacokinetic profile.","container-title":"Molecules (Basel, Switzerland)","DOI":"10.3390/molecules26175305","ISSN":"1420-3049","issue":"17","journalAbbreviation":"Molecules","language":"eng","note":"PMID: 34500737\nPMCID: PMC8434305","page":"5305","source":"PubMed","title":"Novel Antiretroviral Therapeutic Strategies for HIV","volume":"26","author":[{"family":"Cunha","given":"Rita F."},{"family":"Simões","given":"Sandra"},{"family":"Carvalheiro","given":"Manuela"},{"family":"Pereira","given":"José M. Azevedo"},{"family":"Costa","given":"Quirina"},{"family":"Ascenso","given":"Andreia"}],"issued":{"date-parts":[["2021",8,31]]}},"label":"act"}],"schema":"https://github.com/citation-style-language/schema/raw/master/csl-citation.json"} </w:instrText>
      </w:r>
      <w:r>
        <w:fldChar w:fldCharType="separate"/>
      </w:r>
      <w:r w:rsidR="00D236D7" w:rsidRPr="00B66676">
        <w:t>[</w:t>
      </w:r>
      <w:r w:rsidRPr="00156725">
        <w:t>10,15</w:t>
      </w:r>
      <w:r w:rsidR="00D236D7" w:rsidRPr="00B66676">
        <w:t>]</w:t>
      </w:r>
      <w:r>
        <w:fldChar w:fldCharType="end"/>
      </w:r>
      <w:r>
        <w:t>. Ниже приведены показания к АРТ в неотложном и быстром порядке, принятые в Российской Федерации.</w:t>
      </w:r>
    </w:p>
    <w:p w14:paraId="70BE1D87" w14:textId="31AD6B1A" w:rsidR="00295007" w:rsidRPr="0015381A" w:rsidRDefault="00295007" w:rsidP="00A97B7A">
      <w:pPr>
        <w:autoSpaceDE w:val="0"/>
        <w:autoSpaceDN w:val="0"/>
        <w:adjustRightInd w:val="0"/>
        <w:rPr>
          <w:rFonts w:eastAsia="TimesNewRomanPSMT"/>
          <w:b/>
          <w:bCs/>
          <w:color w:val="000000"/>
          <w:lang w:eastAsia="en-US"/>
        </w:rPr>
      </w:pPr>
      <w:r w:rsidRPr="0015381A">
        <w:rPr>
          <w:rFonts w:eastAsia="TimesNewRomanPSMT"/>
          <w:b/>
          <w:bCs/>
          <w:color w:val="000000"/>
          <w:lang w:eastAsia="en-US"/>
        </w:rPr>
        <w:t>Показания</w:t>
      </w:r>
      <w:r>
        <w:rPr>
          <w:rFonts w:eastAsia="TimesNewRomanPSMT"/>
          <w:b/>
          <w:bCs/>
          <w:color w:val="000000"/>
          <w:lang w:eastAsia="en-US"/>
        </w:rPr>
        <w:t>ми</w:t>
      </w:r>
      <w:r w:rsidRPr="0015381A">
        <w:rPr>
          <w:rFonts w:eastAsia="TimesNewRomanPSMT"/>
          <w:b/>
          <w:bCs/>
          <w:color w:val="000000"/>
          <w:lang w:eastAsia="en-US"/>
        </w:rPr>
        <w:t xml:space="preserve"> для АРТ в неотложном порядке (не позднее 1 недели) являются:</w:t>
      </w:r>
    </w:p>
    <w:p w14:paraId="487FC2BF" w14:textId="77777777" w:rsidR="00295007" w:rsidRPr="007F266D" w:rsidRDefault="00295007" w:rsidP="00A97B7A">
      <w:pPr>
        <w:pStyle w:val="af3"/>
        <w:numPr>
          <w:ilvl w:val="0"/>
          <w:numId w:val="14"/>
        </w:numPr>
        <w:autoSpaceDE w:val="0"/>
        <w:autoSpaceDN w:val="0"/>
        <w:adjustRightInd w:val="0"/>
        <w:contextualSpacing w:val="0"/>
        <w:rPr>
          <w:rFonts w:eastAsia="TimesNewRomanPSMT"/>
          <w:color w:val="000000"/>
          <w:lang w:eastAsia="en-US"/>
        </w:rPr>
      </w:pPr>
      <w:r w:rsidRPr="007F266D">
        <w:rPr>
          <w:rFonts w:eastAsia="TimesNewRomanPSMT"/>
          <w:color w:val="000000"/>
          <w:lang w:eastAsia="en-US"/>
        </w:rPr>
        <w:t>количестве CD4 &lt;200 мкл</w:t>
      </w:r>
      <w:r>
        <w:rPr>
          <w:rFonts w:eastAsia="TimesNewRomanPSMT"/>
          <w:color w:val="000000"/>
          <w:lang w:eastAsia="en-US"/>
        </w:rPr>
        <w:t>;</w:t>
      </w:r>
    </w:p>
    <w:p w14:paraId="685EF938" w14:textId="77777777" w:rsidR="00295007" w:rsidRPr="007511B9" w:rsidRDefault="00295007" w:rsidP="00A97B7A">
      <w:pPr>
        <w:pStyle w:val="af3"/>
        <w:numPr>
          <w:ilvl w:val="0"/>
          <w:numId w:val="12"/>
        </w:numPr>
        <w:autoSpaceDE w:val="0"/>
        <w:autoSpaceDN w:val="0"/>
        <w:adjustRightInd w:val="0"/>
        <w:contextualSpacing w:val="0"/>
        <w:rPr>
          <w:rFonts w:eastAsia="TimesNewRomanPSMT"/>
          <w:color w:val="000000"/>
          <w:lang w:eastAsia="en-US"/>
        </w:rPr>
      </w:pPr>
      <w:r w:rsidRPr="007511B9">
        <w:rPr>
          <w:rFonts w:eastAsia="TimesNewRomanPSMT"/>
          <w:color w:val="000000"/>
          <w:lang w:eastAsia="en-US"/>
        </w:rPr>
        <w:t>ВИЧ-инфекция у беременной женщины на сроке гестации 13 недель и более;</w:t>
      </w:r>
    </w:p>
    <w:p w14:paraId="1E8BBF66" w14:textId="771A13DE" w:rsidR="00295007" w:rsidRPr="007F266D" w:rsidRDefault="00295007" w:rsidP="00A97B7A">
      <w:pPr>
        <w:pStyle w:val="af3"/>
        <w:numPr>
          <w:ilvl w:val="0"/>
          <w:numId w:val="12"/>
        </w:numPr>
        <w:autoSpaceDE w:val="0"/>
        <w:autoSpaceDN w:val="0"/>
        <w:adjustRightInd w:val="0"/>
        <w:contextualSpacing w:val="0"/>
        <w:rPr>
          <w:rFonts w:eastAsia="TimesNewRomanPSMT"/>
          <w:color w:val="000000"/>
          <w:lang w:eastAsia="en-US"/>
        </w:rPr>
      </w:pPr>
      <w:r w:rsidRPr="007F266D">
        <w:rPr>
          <w:rFonts w:eastAsia="TimesNewRomanPSMT"/>
          <w:color w:val="000000"/>
          <w:lang w:eastAsia="en-US"/>
        </w:rPr>
        <w:t>при выявлении ВИЧ-инфекции у беременной женщины с CD4 &lt;350 мкл и / или ВН&gt;100 000 копий/мл на сроке гестации менее 13 недель</w:t>
      </w:r>
      <w:r>
        <w:rPr>
          <w:rFonts w:eastAsia="TimesNewRomanPSMT"/>
          <w:color w:val="000000"/>
          <w:lang w:eastAsia="en-US"/>
        </w:rPr>
        <w:t xml:space="preserve"> </w:t>
      </w:r>
      <w:r>
        <w:rPr>
          <w:rFonts w:eastAsia="TimesNewRomanPSMT"/>
          <w:color w:val="000000"/>
          <w:lang w:eastAsia="en-US"/>
        </w:rPr>
        <w:fldChar w:fldCharType="begin"/>
      </w:r>
      <w:r>
        <w:rPr>
          <w:rFonts w:eastAsia="TimesNewRomanPSMT"/>
          <w:color w:val="000000"/>
          <w:lang w:eastAsia="en-US"/>
        </w:rPr>
        <w:instrText xml:space="preserve"> ADDIN ZOTERO_ITEM CSL_CITATION {"citationID":"IJb4n76N","properties":{"formattedCitation":"(4)","plainCitation":"(4)","noteIndex":0},"citationItems":[{"id":2461,"uris":["http://zotero.org/users/5483459/items/TE38ARHZ"],"itemData":{"id":2461,"type":"document","title":"Министерство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Pr>
          <w:rFonts w:eastAsia="TimesNewRomanPSMT"/>
          <w:color w:val="000000"/>
          <w:lang w:eastAsia="en-US"/>
        </w:rPr>
        <w:fldChar w:fldCharType="separate"/>
      </w:r>
      <w:r w:rsidR="00D236D7" w:rsidRPr="00D236D7">
        <w:t>[</w:t>
      </w:r>
      <w:r w:rsidRPr="00156725">
        <w:t>4</w:t>
      </w:r>
      <w:r w:rsidR="00D236D7" w:rsidRPr="00D236D7">
        <w:t>]</w:t>
      </w:r>
      <w:r>
        <w:rPr>
          <w:rFonts w:eastAsia="TimesNewRomanPSMT"/>
          <w:color w:val="000000"/>
          <w:lang w:eastAsia="en-US"/>
        </w:rPr>
        <w:fldChar w:fldCharType="end"/>
      </w:r>
      <w:r>
        <w:rPr>
          <w:rFonts w:eastAsia="TimesNewRomanPSMT"/>
          <w:color w:val="000000"/>
          <w:lang w:eastAsia="en-US"/>
        </w:rPr>
        <w:t>.</w:t>
      </w:r>
    </w:p>
    <w:p w14:paraId="723A6EAA" w14:textId="77777777" w:rsidR="00295007" w:rsidRPr="0015381A" w:rsidRDefault="00295007" w:rsidP="00A97B7A">
      <w:pPr>
        <w:autoSpaceDE w:val="0"/>
        <w:autoSpaceDN w:val="0"/>
        <w:adjustRightInd w:val="0"/>
        <w:rPr>
          <w:rFonts w:eastAsia="TimesNewRomanPSMT"/>
          <w:b/>
          <w:bCs/>
          <w:color w:val="000000"/>
          <w:lang w:eastAsia="en-US"/>
        </w:rPr>
      </w:pPr>
      <w:r w:rsidRPr="0015381A">
        <w:rPr>
          <w:rFonts w:eastAsia="TimesNewRomanPSMT"/>
          <w:b/>
          <w:bCs/>
          <w:color w:val="000000"/>
          <w:lang w:eastAsia="en-US"/>
        </w:rPr>
        <w:t>Показаниями для быстрого начала АРТ (не позднее 2 недель) являются:</w:t>
      </w:r>
    </w:p>
    <w:p w14:paraId="46B45BF4" w14:textId="77777777" w:rsidR="00295007" w:rsidRPr="0068533B" w:rsidRDefault="00295007" w:rsidP="00A97B7A">
      <w:pPr>
        <w:pStyle w:val="af3"/>
        <w:numPr>
          <w:ilvl w:val="0"/>
          <w:numId w:val="13"/>
        </w:numPr>
        <w:autoSpaceDE w:val="0"/>
        <w:autoSpaceDN w:val="0"/>
        <w:adjustRightInd w:val="0"/>
        <w:contextualSpacing w:val="0"/>
        <w:rPr>
          <w:rFonts w:eastAsia="TimesNewRomanPSMT"/>
          <w:color w:val="000000"/>
          <w:lang w:eastAsia="en-US"/>
        </w:rPr>
      </w:pPr>
      <w:r w:rsidRPr="0068533B">
        <w:rPr>
          <w:rFonts w:eastAsia="TimesNewRomanPSMT"/>
          <w:color w:val="000000"/>
          <w:lang w:eastAsia="en-US"/>
        </w:rPr>
        <w:t>клинические стадии 2, 4 и 5 по Российской классификации (2006).</w:t>
      </w:r>
    </w:p>
    <w:p w14:paraId="10388493" w14:textId="77777777" w:rsidR="00295007" w:rsidRPr="0068533B" w:rsidRDefault="00295007" w:rsidP="00A97B7A">
      <w:pPr>
        <w:pStyle w:val="af3"/>
        <w:numPr>
          <w:ilvl w:val="0"/>
          <w:numId w:val="13"/>
        </w:numPr>
        <w:autoSpaceDE w:val="0"/>
        <w:autoSpaceDN w:val="0"/>
        <w:adjustRightInd w:val="0"/>
        <w:contextualSpacing w:val="0"/>
        <w:rPr>
          <w:rFonts w:eastAsia="TimesNewRomanPSMT"/>
          <w:color w:val="000000"/>
          <w:lang w:eastAsia="en-US"/>
        </w:rPr>
      </w:pPr>
      <w:r w:rsidRPr="0068533B">
        <w:rPr>
          <w:rFonts w:eastAsia="TimesNewRomanPSMT"/>
          <w:color w:val="000000"/>
          <w:lang w:eastAsia="en-US"/>
        </w:rPr>
        <w:t>при количестве CD4 &lt;350 мкл;</w:t>
      </w:r>
    </w:p>
    <w:p w14:paraId="6342A237" w14:textId="77777777" w:rsidR="00295007" w:rsidRPr="0068533B" w:rsidRDefault="00295007" w:rsidP="00A97B7A">
      <w:pPr>
        <w:pStyle w:val="af3"/>
        <w:numPr>
          <w:ilvl w:val="0"/>
          <w:numId w:val="13"/>
        </w:numPr>
        <w:autoSpaceDE w:val="0"/>
        <w:autoSpaceDN w:val="0"/>
        <w:adjustRightInd w:val="0"/>
        <w:contextualSpacing w:val="0"/>
        <w:rPr>
          <w:rFonts w:eastAsia="TimesNewRomanPSMT"/>
          <w:color w:val="000000"/>
          <w:lang w:eastAsia="en-US"/>
        </w:rPr>
      </w:pPr>
      <w:r w:rsidRPr="0068533B">
        <w:rPr>
          <w:rFonts w:eastAsia="TimesNewRomanPSMT"/>
          <w:color w:val="000000"/>
          <w:lang w:eastAsia="en-US"/>
        </w:rPr>
        <w:t>ВН&gt; 100 000 копий/мл</w:t>
      </w:r>
      <w:r>
        <w:rPr>
          <w:rFonts w:eastAsia="TimesNewRomanPSMT"/>
          <w:color w:val="000000"/>
          <w:lang w:eastAsia="en-US"/>
        </w:rPr>
        <w:t>;</w:t>
      </w:r>
      <w:r w:rsidRPr="0068533B">
        <w:rPr>
          <w:rFonts w:eastAsia="TimesNewRomanPSMT"/>
          <w:color w:val="000000"/>
          <w:lang w:eastAsia="en-US"/>
        </w:rPr>
        <w:t xml:space="preserve"> </w:t>
      </w:r>
    </w:p>
    <w:p w14:paraId="0E55F545" w14:textId="77777777" w:rsidR="00295007" w:rsidRPr="0068533B" w:rsidRDefault="00295007" w:rsidP="00A97B7A">
      <w:pPr>
        <w:pStyle w:val="af3"/>
        <w:numPr>
          <w:ilvl w:val="0"/>
          <w:numId w:val="13"/>
        </w:numPr>
        <w:autoSpaceDE w:val="0"/>
        <w:autoSpaceDN w:val="0"/>
        <w:adjustRightInd w:val="0"/>
        <w:contextualSpacing w:val="0"/>
        <w:rPr>
          <w:rFonts w:eastAsia="TimesNewRomanPSMT"/>
          <w:color w:val="000000"/>
          <w:lang w:eastAsia="en-US"/>
        </w:rPr>
      </w:pPr>
      <w:r w:rsidRPr="0068533B">
        <w:rPr>
          <w:rFonts w:eastAsia="TimesNewRomanPSMT"/>
          <w:color w:val="000000"/>
          <w:lang w:eastAsia="en-US"/>
        </w:rPr>
        <w:t>хронического вирусного гепатита В, требующего лечения</w:t>
      </w:r>
      <w:r>
        <w:rPr>
          <w:rFonts w:eastAsia="TimesNewRomanPSMT"/>
          <w:color w:val="000000"/>
          <w:lang w:eastAsia="en-US"/>
        </w:rPr>
        <w:t>;</w:t>
      </w:r>
    </w:p>
    <w:p w14:paraId="12AF1104" w14:textId="0B9AE0F9" w:rsidR="00295007" w:rsidRDefault="00295007" w:rsidP="00A97B7A">
      <w:pPr>
        <w:pStyle w:val="af3"/>
        <w:numPr>
          <w:ilvl w:val="0"/>
          <w:numId w:val="13"/>
        </w:numPr>
        <w:autoSpaceDE w:val="0"/>
        <w:autoSpaceDN w:val="0"/>
        <w:adjustRightInd w:val="0"/>
        <w:contextualSpacing w:val="0"/>
        <w:rPr>
          <w:rFonts w:eastAsia="TimesNewRomanPSMT"/>
          <w:color w:val="000000"/>
          <w:lang w:eastAsia="en-US"/>
        </w:rPr>
      </w:pPr>
      <w:r>
        <w:rPr>
          <w:rFonts w:eastAsia="TimesNewRomanPSMT"/>
          <w:color w:val="000000"/>
          <w:lang w:eastAsia="en-US"/>
        </w:rPr>
        <w:t xml:space="preserve">при наличии </w:t>
      </w:r>
      <w:r w:rsidRPr="0068533B">
        <w:rPr>
          <w:rFonts w:eastAsia="TimesNewRomanPSMT"/>
          <w:color w:val="000000"/>
          <w:lang w:eastAsia="en-US"/>
        </w:rPr>
        <w:t>заболеваний, требующих длительного применения терапии, угнетающей иммунитет, неврологических заболеваний</w:t>
      </w:r>
      <w:r>
        <w:rPr>
          <w:rFonts w:eastAsia="TimesNewRomanPSMT"/>
          <w:color w:val="000000"/>
          <w:lang w:eastAsia="en-US"/>
        </w:rPr>
        <w:t xml:space="preserve"> </w:t>
      </w:r>
      <w:r>
        <w:rPr>
          <w:rFonts w:eastAsia="TimesNewRomanPSMT"/>
          <w:color w:val="000000"/>
          <w:lang w:eastAsia="en-US"/>
        </w:rPr>
        <w:fldChar w:fldCharType="begin"/>
      </w:r>
      <w:r>
        <w:rPr>
          <w:rFonts w:eastAsia="TimesNewRomanPSMT"/>
          <w:color w:val="000000"/>
          <w:lang w:eastAsia="en-US"/>
        </w:rPr>
        <w:instrText xml:space="preserve"> ADDIN ZOTERO_ITEM CSL_CITATION {"citationID":"vUNSFo7A","properties":{"formattedCitation":"(4)","plainCitation":"(4)","noteIndex":0},"citationItems":[{"id":2461,"uris":["http://zotero.org/users/5483459/items/TE38ARHZ"],"itemData":{"id":2461,"type":"document","title":"Министерство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Pr>
          <w:rFonts w:eastAsia="TimesNewRomanPSMT"/>
          <w:color w:val="000000"/>
          <w:lang w:eastAsia="en-US"/>
        </w:rPr>
        <w:fldChar w:fldCharType="separate"/>
      </w:r>
      <w:r w:rsidR="00D236D7" w:rsidRPr="00D236D7">
        <w:t>[</w:t>
      </w:r>
      <w:r w:rsidRPr="00156725">
        <w:t>4</w:t>
      </w:r>
      <w:r w:rsidR="00D236D7" w:rsidRPr="00D236D7">
        <w:t>]</w:t>
      </w:r>
      <w:r>
        <w:rPr>
          <w:rFonts w:eastAsia="TimesNewRomanPSMT"/>
          <w:color w:val="000000"/>
          <w:lang w:eastAsia="en-US"/>
        </w:rPr>
        <w:fldChar w:fldCharType="end"/>
      </w:r>
      <w:r>
        <w:rPr>
          <w:rFonts w:eastAsia="TimesNewRomanPSMT"/>
          <w:color w:val="000000"/>
          <w:lang w:eastAsia="en-US"/>
        </w:rPr>
        <w:t>.</w:t>
      </w:r>
    </w:p>
    <w:p w14:paraId="02936E08" w14:textId="2563D64B" w:rsidR="00295007" w:rsidRDefault="00295007" w:rsidP="00A97B7A">
      <w:pPr>
        <w:ind w:firstLine="709"/>
        <w:rPr>
          <w:rFonts w:eastAsia="TimesNewRomanPSMT"/>
          <w:color w:val="000000"/>
          <w:lang w:eastAsia="en-US"/>
        </w:rPr>
      </w:pPr>
      <w:r w:rsidRPr="00F27AD3">
        <w:t>В Российской Федерации разрешен</w:t>
      </w:r>
      <w:r>
        <w:t>ы</w:t>
      </w:r>
      <w:r w:rsidRPr="00F27AD3">
        <w:t xml:space="preserve"> к применению несколько групп </w:t>
      </w:r>
      <w:bookmarkStart w:id="37" w:name="_Hlk111553356"/>
      <w:r>
        <w:t>антиретровирусных препаратов (</w:t>
      </w:r>
      <w:r w:rsidRPr="00295A1A">
        <w:t>АРВП</w:t>
      </w:r>
      <w:r>
        <w:t>)</w:t>
      </w:r>
      <w:r w:rsidRPr="00F27AD3">
        <w:t xml:space="preserve"> </w:t>
      </w:r>
      <w:r w:rsidR="00DD77C0">
        <w:t>нескольких</w:t>
      </w:r>
      <w:r w:rsidRPr="00F27AD3">
        <w:t xml:space="preserve"> фармакологических групп</w:t>
      </w:r>
      <w:bookmarkEnd w:id="37"/>
      <w:r w:rsidRPr="00F27AD3">
        <w:t>: НИОТ</w:t>
      </w:r>
      <w:r>
        <w:t xml:space="preserve"> (</w:t>
      </w:r>
      <w:r w:rsidRPr="00812F5A">
        <w:t>нуклеозидные ингибиторы обратной транскриптазы ВИЧ</w:t>
      </w:r>
      <w:r>
        <w:t>)</w:t>
      </w:r>
      <w:r w:rsidRPr="00F27AD3">
        <w:t>, ННИОТ</w:t>
      </w:r>
      <w:r>
        <w:t xml:space="preserve"> (</w:t>
      </w:r>
      <w:r w:rsidRPr="00812F5A">
        <w:t>ненуклеозидные ингибиторы обратной транскриптазы ВИЧ</w:t>
      </w:r>
      <w:r>
        <w:t>)</w:t>
      </w:r>
      <w:r w:rsidRPr="00F27AD3">
        <w:t>, ИП</w:t>
      </w:r>
      <w:r>
        <w:t xml:space="preserve"> (</w:t>
      </w:r>
      <w:r w:rsidRPr="00DD7A41">
        <w:t>ингибиторы протеазы ВИЧ</w:t>
      </w:r>
      <w:r>
        <w:t>)</w:t>
      </w:r>
      <w:r w:rsidRPr="00F27AD3">
        <w:t>, ИИ</w:t>
      </w:r>
      <w:r>
        <w:t xml:space="preserve"> (</w:t>
      </w:r>
      <w:r w:rsidRPr="00DD7A41">
        <w:t>ингибиторы интегразы ВИЧ</w:t>
      </w:r>
      <w:r>
        <w:t>)</w:t>
      </w:r>
      <w:r w:rsidRPr="00F27AD3">
        <w:t xml:space="preserve">, ингибиторы слияния (фузии) и ингибиторы (блокаторы) рецепторов. В рамках АРТ пациенту назначают определенную схему лечения, которая содержит несколько (не менее трех) </w:t>
      </w:r>
      <w:r w:rsidRPr="00DD7A41">
        <w:t>антиретровирусных препаратов</w:t>
      </w:r>
      <w:r>
        <w:t xml:space="preserve"> </w:t>
      </w:r>
      <w:r>
        <w:rPr>
          <w:rFonts w:eastAsia="TimesNewRomanPSMT"/>
          <w:color w:val="000000"/>
          <w:lang w:eastAsia="en-US"/>
        </w:rPr>
        <w:fldChar w:fldCharType="begin"/>
      </w:r>
      <w:r>
        <w:rPr>
          <w:rFonts w:eastAsia="TimesNewRomanPSMT"/>
          <w:color w:val="000000"/>
          <w:lang w:eastAsia="en-US"/>
        </w:rPr>
        <w:instrText xml:space="preserve"> ADDIN ZOTERO_ITEM CSL_CITATION {"citationID":"sn4ZXPXE","properties":{"formattedCitation":"(4)","plainCitation":"(4)","noteIndex":0},"citationItems":[{"id":2461,"uris":["http://zotero.org/users/5483459/items/TE38ARHZ"],"itemData":{"id":2461,"type":"document","title":"Министерство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Pr>
          <w:rFonts w:eastAsia="TimesNewRomanPSMT"/>
          <w:color w:val="000000"/>
          <w:lang w:eastAsia="en-US"/>
        </w:rPr>
        <w:fldChar w:fldCharType="separate"/>
      </w:r>
      <w:r w:rsidR="00D236D7" w:rsidRPr="00D236D7">
        <w:t>[</w:t>
      </w:r>
      <w:r w:rsidRPr="00156725">
        <w:t>4</w:t>
      </w:r>
      <w:r w:rsidR="00D236D7" w:rsidRPr="00D236D7">
        <w:t>]</w:t>
      </w:r>
      <w:r>
        <w:rPr>
          <w:rFonts w:eastAsia="TimesNewRomanPSMT"/>
          <w:color w:val="000000"/>
          <w:lang w:eastAsia="en-US"/>
        </w:rPr>
        <w:fldChar w:fldCharType="end"/>
      </w:r>
      <w:r>
        <w:rPr>
          <w:rFonts w:eastAsia="TimesNewRomanPSMT"/>
          <w:color w:val="000000"/>
          <w:lang w:eastAsia="en-US"/>
        </w:rPr>
        <w:t>.</w:t>
      </w:r>
    </w:p>
    <w:p w14:paraId="6CF0EC1D" w14:textId="7BD2E173" w:rsidR="00295007" w:rsidRPr="000B2FFC" w:rsidRDefault="00295007" w:rsidP="00295007">
      <w:pPr>
        <w:ind w:firstLine="851"/>
        <w:rPr>
          <w:color w:val="000000" w:themeColor="text1"/>
        </w:rPr>
      </w:pPr>
      <w:r w:rsidRPr="000B2FFC">
        <w:rPr>
          <w:rFonts w:eastAsia="TimesNewRomanPSMT"/>
          <w:color w:val="000000" w:themeColor="text1"/>
          <w:lang w:eastAsia="en-US"/>
        </w:rPr>
        <w:t xml:space="preserve">В Таблице 1-1 приведены основные антиретровирусные препараты, применяемые при лечении ВИЧ/СПИД как в Российской Федерации, так и в </w:t>
      </w:r>
      <w:r>
        <w:rPr>
          <w:rFonts w:eastAsia="TimesNewRomanPSMT"/>
          <w:color w:val="000000" w:themeColor="text1"/>
          <w:lang w:eastAsia="en-US"/>
        </w:rPr>
        <w:t>мире</w:t>
      </w:r>
      <w:r w:rsidRPr="000B2FFC">
        <w:rPr>
          <w:rFonts w:eastAsia="TimesNewRomanPSMT"/>
          <w:color w:val="000000" w:themeColor="text1"/>
          <w:lang w:eastAsia="en-US"/>
        </w:rPr>
        <w:t xml:space="preserve"> </w:t>
      </w:r>
      <w:r w:rsidRPr="000B2FFC">
        <w:rPr>
          <w:color w:val="000000" w:themeColor="text1"/>
        </w:rPr>
        <w:fldChar w:fldCharType="begin"/>
      </w:r>
      <w:r>
        <w:rPr>
          <w:color w:val="000000" w:themeColor="text1"/>
        </w:rPr>
        <w:instrText xml:space="preserve"> ADDIN ZOTERO_ITEM CSL_CITATION {"citationID":"KLLayV3R","properties":{"formattedCitation":"(4,5,7,14)","plainCitation":"(4,5,7,14)","noteIndex":0},"citationItems":[{"id":2461,"uris":["http://zotero.org/users/5483459/items/TE38ARHZ"],"itemData":{"id":2461,"type":"document","title":"Министерство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2020."},"label":"page"},{"id":2481,"uris":["http://zotero.org/users/5483459/items/XECSFSCZ"],"itemData":{"id":2481,"type":"document","title":"British HIV Association (BHIVA) guidelines on antiretroviral treatment for adults living with HIV-1. 2022."},"label":"act"},{"id":2462,"uris":["http://zotero.org/users/5483459/items/MEVJCF2M"],"itemData":{"id":2462,"type":"document","title":"World Health Organization. Factsheet. 27 July 2022. https://www.who.int/news-room/fact-sheets/detail/hiv-aids"},"label":"act"},{"id":2487,"uris":["http://zotero.org/users/5483459/items/8ZZMR9EY"],"itemData":{"id":2487,"type":"document","title":"European AIDS Clinical Society (EACS)  Guidelines. 2021."},"label":"act"}],"schema":"https://github.com/citation-style-language/schema/raw/master/csl-citation.json"} </w:instrText>
      </w:r>
      <w:r w:rsidRPr="000B2FFC">
        <w:rPr>
          <w:color w:val="000000" w:themeColor="text1"/>
        </w:rPr>
        <w:fldChar w:fldCharType="separate"/>
      </w:r>
      <w:r w:rsidR="00D236D7" w:rsidRPr="00D236D7">
        <w:t>[</w:t>
      </w:r>
      <w:r w:rsidRPr="00156725">
        <w:t>4,5,7,14</w:t>
      </w:r>
      <w:r w:rsidR="00D236D7" w:rsidRPr="00D236D7">
        <w:t>]</w:t>
      </w:r>
      <w:r w:rsidRPr="000B2FFC">
        <w:rPr>
          <w:color w:val="000000" w:themeColor="text1"/>
        </w:rPr>
        <w:fldChar w:fldCharType="end"/>
      </w:r>
      <w:r w:rsidRPr="000B2FFC">
        <w:rPr>
          <w:color w:val="000000" w:themeColor="text1"/>
        </w:rPr>
        <w:t>.</w:t>
      </w:r>
    </w:p>
    <w:p w14:paraId="719F121D" w14:textId="1969DEA5" w:rsidR="00295007" w:rsidRDefault="00295007">
      <w:pPr>
        <w:ind w:firstLine="851"/>
      </w:pPr>
      <w:r>
        <w:t xml:space="preserve">Следует отметить, что в современных клинических рекомендациях по лечению ВИЧ/СПИД предпочтение отдается АРВП в составе </w:t>
      </w:r>
      <w:bookmarkStart w:id="38" w:name="_Hlk112228348"/>
      <w:r>
        <w:t xml:space="preserve">фиксированных комбинаций доз (ФКД) </w:t>
      </w:r>
      <w:bookmarkEnd w:id="38"/>
      <w:r>
        <w:t xml:space="preserve">для повышения приверженности терапии и удобства приёма </w:t>
      </w:r>
      <w:r>
        <w:fldChar w:fldCharType="begin"/>
      </w:r>
      <w:r>
        <w:instrText xml:space="preserve"> ADDIN ZOTERO_ITEM CSL_CITATION {"citationID":"hU7km2pI","properties":{"formattedCitation":"(16,17)","plainCitation":"(16,17)","noteIndex":0},"citationItems":[{"id":2491,"uris":["http://zotero.org/users/5483459/items/T297JXHZ"],"itemData":{"id":2491,"type":"article-journal","abstract":"INTRODUCTION: Treatment options for patients with HIV-1 infection have grown over the past two decades to include multiple fixed-dose combination pharmacotherapies that have greatly simplified administration of antiretroviral therapy (ART) for both patients and providers. Effective virologic control can often be achieved with once-daily use of a single-tablet regimen. Over the past three years, ART drug development has focused on the next generation of fixed-dose combinations for initial and maintenance therapy with improved efficacy, safety and tolerability.\nAREAS COVERED: This review covers pre-clinical and clinical data searched through PubMed and presented at major conferences through November 2017.\nEXPERT OPINION: Currently available single-tablet regimens have clinical limitations related to adverse event profiles, drug-drug and drug-food interactions and variable barriers to resistance. Anticipated advances in ART fixed-dose combinations promise combinations of current multiple tablet regimens into single tablets, as well as combinations with novel drugs with improved safety and tolerability. The traditional dogma of effective ART containing at least three active antiretroviral drugs is being challenged by promising data to support efficacy of certain regimens containing two drugs. Implementation of next generation ART will bring to light issues of clinical preference and cost-effectiveness as patents of existing drugs expire and more generic formulations become available.","container-title":"Expert Opinion on Pharmacotherapy","DOI":"10.1080/14656566.2018.1450866","ISSN":"1744-7666","issue":"6","journalAbbreviation":"Expert Opin Pharmacother","language":"eng","note":"PMID: 29557204","page":"589-596","source":"PubMed","title":"Next generation fixed dose combination pharmacotherapies for treating HIV","volume":"19","author":[{"family":"Caplan","given":"Margaret R."},{"family":"Daar","given":"Eric S."},{"family":"Corado","given":"Katya C."}],"issued":{"date-parts":[["2018",4]]}},"label":"page"},{"id":2493,"uris":["http://zotero.org/users/5483459/items/JTAWXXGK"],"itemData":{"id":2493,"type":"article-journal","abstract":"BACKGROUND: Tenofovir disoproxil fumarate (TDF) can cause renal and bone toxicity, which is associated with high plasma tenofovir concentrations in antiretroviral treatment of HIV-1 infected patients. Tenofovir alafenamide (TAF) is a novel tenofovir prodrug with a 90% reduction in plasma tenofovir concentrations. We aimed to assess the non-inferiority of a TAF-containing combination regimen versus a TDF-containing fixed-dose single-tablet regimen in the antiretroviral-treatment-naive, HIV-1-infected patients.\nMETHODS: We searched PubMed, Embase, Web of Science, and the Cochrane Trial Registry, from January 2001 to July 2019, using relevant keywords. Available data were extracted from eligible randomized trials (RCTs) and pooled as risk ratios (RRs) or standardized mean differences (SMDs) in a meta-analysis model using Stata/SE.\nRESULTS: We included seven eligible randomized controlled trials (RCTs) with a total of 6269 participants. Patients who were antiretroviral-naive adults with HIV-1 on both the TAF-containing regimens and the TDF-containing regimens had similar virologic suppression effects (RR, 1.02; 95% CI, 1.00-1.04; p &gt; 0.05) at week 24 (93.99% vs. 94.20%), week 48 (90.71% vs. 89.54%), and week 96 (86.16% vs. 84.80%). Both groups had no significant improvements in CD4 cell count for the naive patients during 48 weeks of therapy (SMD, 0.09; 95% CI, 0.01 to 0.16; p &lt; 0.05). Both treatments were safe and well-tolerated, and most adverse events were similar as mild to moderate in severity. Moreover, compared with the TDF-containing regimens, the TAF-containing regimens in patients had significantly smaller reductions in both hip (RR, 0.33; 95CI, 0.29-0.39; p &lt; 0.05) and spine (RR, 0.58; 95CI, 0.51-0.65; p &lt; 0.05). Additionally, the TAF-containing regimens in patients had significantly fewer increases for renal events than those of the TDF-containing regimens through 48 weeks (0.31; 95% CI, 0.18-0.55; p &lt; 0.05).\nCONCLUSIONS: Our meta-analysis indicated that efficacy, safety, and tolerability of TAF-containing regimens were non-inferior in fixed-dose single-tablet regimens for initial treatment of HIV-1 infection. Furthermore, compared with those receiving the TDF-containing regimens, patients on the TAF-containing regimens had significant advantages in renal function, bone parameters, and lipid profile for the naive patients.","container-title":"International journal of infectious diseases: IJID: official publication of the International Society for Infectious Diseases","DOI":"10.1016/j.ijid.2020.01.035","ISSN":"1878-3511","journalAbbreviation":"Int J Infect Dis","language":"eng","note":"PMID: 31988012","page":"108-117","source":"PubMed","title":"Efficacy and safety of the regimens containing tenofovir alafenamide versus tenofovir disoproxil fumarate in fixed-dose single-tablet regimens for initial treatment of HIV-1 infection: A meta-analysis of randomized controlled trials","title-short":"Efficacy and safety of the regimens containing tenofovir alafenamide versus tenofovir disoproxil fumarate in fixed-dose single-tablet regimens for initial treatment of HIV-1 infection","volume":"93","author":[{"family":"Tao","given":"Xingbao"},{"family":"Lu","given":"Yanqiu"},{"family":"Zhou","given":"Yihong"},{"family":"Zhang","given":"Lvlang"},{"family":"Chen","given":"Yaokai"}],"issued":{"date-parts":[["2020",4]]}},"label":"page"}],"schema":"https://github.com/citation-style-language/schema/raw/master/csl-citation.json"} </w:instrText>
      </w:r>
      <w:r>
        <w:fldChar w:fldCharType="separate"/>
      </w:r>
      <w:r w:rsidR="00D236D7">
        <w:rPr>
          <w:lang w:val="en-US"/>
        </w:rPr>
        <w:t>[</w:t>
      </w:r>
      <w:r w:rsidRPr="00156725">
        <w:t>16,17</w:t>
      </w:r>
      <w:r w:rsidR="00D236D7">
        <w:rPr>
          <w:lang w:val="en-US"/>
        </w:rPr>
        <w:t>]</w:t>
      </w:r>
      <w:r>
        <w:fldChar w:fldCharType="end"/>
      </w:r>
      <w:r>
        <w:t>.</w:t>
      </w:r>
    </w:p>
    <w:p w14:paraId="7EFCDFE0" w14:textId="77777777" w:rsidR="00876EAE" w:rsidRDefault="00876EAE">
      <w:pPr>
        <w:ind w:firstLine="851"/>
      </w:pPr>
    </w:p>
    <w:p w14:paraId="3886000E" w14:textId="64F2966A" w:rsidR="00295007" w:rsidRPr="00DD77C0" w:rsidRDefault="00295007" w:rsidP="008B0B82">
      <w:pPr>
        <w:pStyle w:val="aff1"/>
        <w:spacing w:before="0"/>
        <w:rPr>
          <w:rFonts w:eastAsia="TimesNewRomanPSMT"/>
          <w:b/>
          <w:bCs/>
          <w:color w:val="000000"/>
          <w:lang w:eastAsia="en-US"/>
        </w:rPr>
      </w:pPr>
      <w:r w:rsidRPr="00F349C1">
        <w:rPr>
          <w:b/>
          <w:bCs/>
        </w:rPr>
        <w:lastRenderedPageBreak/>
        <w:t xml:space="preserve">Таблица </w:t>
      </w:r>
      <w:r>
        <w:rPr>
          <w:b/>
          <w:bCs/>
        </w:rPr>
        <w:t>1</w:t>
      </w:r>
      <w:r w:rsidR="00F431B8" w:rsidRPr="008B0B82">
        <w:rPr>
          <w:b/>
          <w:bCs/>
        </w:rPr>
        <w:t>-</w:t>
      </w:r>
      <w:r>
        <w:rPr>
          <w:b/>
          <w:bCs/>
        </w:rPr>
        <w:t>1.</w:t>
      </w:r>
      <w:r w:rsidRPr="00D236D7">
        <w:rPr>
          <w:bCs/>
        </w:rPr>
        <w:t xml:space="preserve"> Анти</w:t>
      </w:r>
      <w:r w:rsidR="00A06854">
        <w:rPr>
          <w:bCs/>
        </w:rPr>
        <w:t>ретровирусные препараты (АРВП)</w:t>
      </w:r>
      <w:r w:rsidRPr="00D236D7">
        <w:rPr>
          <w:bCs/>
        </w:rPr>
        <w:t xml:space="preserve">, применяемые при лечении ВИЧ/СПИД </w:t>
      </w:r>
      <w:r w:rsidR="00DD77C0" w:rsidRPr="00D236D7">
        <w:rPr>
          <w:rFonts w:eastAsia="TimesNewRomanPSMT"/>
          <w:bCs/>
          <w:color w:val="000000"/>
          <w:lang w:eastAsia="en-US"/>
        </w:rPr>
        <w:fldChar w:fldCharType="begin"/>
      </w:r>
      <w:r w:rsidR="00DD77C0" w:rsidRPr="00D236D7">
        <w:rPr>
          <w:rFonts w:eastAsia="TimesNewRomanPSMT"/>
          <w:bCs/>
          <w:color w:val="000000"/>
          <w:lang w:eastAsia="en-US"/>
        </w:rPr>
        <w:instrText xml:space="preserve"> ADDIN ZOTERO_ITEM CSL_CITATION {"citationID":"vUNSFo7A","properties":{"formattedCitation":"(4)","plainCitation":"(4)","noteIndex":0},"citationItems":[{"id":2461,"uris":["http://zotero.org/users/5483459/items/TE38ARHZ"],"itemData":{"id":2461,"type":"document","title":"Министерство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sidR="00DD77C0" w:rsidRPr="00D236D7">
        <w:rPr>
          <w:rFonts w:eastAsia="TimesNewRomanPSMT"/>
          <w:bCs/>
          <w:color w:val="000000"/>
          <w:lang w:eastAsia="en-US"/>
        </w:rPr>
        <w:fldChar w:fldCharType="separate"/>
      </w:r>
      <w:r w:rsidR="00D236D7" w:rsidRPr="00B66676">
        <w:rPr>
          <w:bCs/>
        </w:rPr>
        <w:t>[</w:t>
      </w:r>
      <w:r w:rsidR="00DD77C0" w:rsidRPr="00D236D7">
        <w:rPr>
          <w:bCs/>
        </w:rPr>
        <w:t>4</w:t>
      </w:r>
      <w:r w:rsidR="00D236D7" w:rsidRPr="00B66676">
        <w:rPr>
          <w:bCs/>
        </w:rPr>
        <w:t>].</w:t>
      </w:r>
      <w:r w:rsidR="00DD77C0" w:rsidRPr="00D236D7">
        <w:rPr>
          <w:rFonts w:eastAsia="TimesNewRomanPSMT"/>
          <w:bCs/>
          <w:color w:val="000000"/>
          <w:lang w:eastAsia="en-US"/>
        </w:rPr>
        <w:fldChar w:fldCharType="end"/>
      </w:r>
    </w:p>
    <w:tbl>
      <w:tblPr>
        <w:tblStyle w:val="a8"/>
        <w:tblW w:w="9385" w:type="dxa"/>
        <w:tblInd w:w="-5" w:type="dxa"/>
        <w:tblLook w:val="04A0" w:firstRow="1" w:lastRow="0" w:firstColumn="1" w:lastColumn="0" w:noHBand="0" w:noVBand="1"/>
      </w:tblPr>
      <w:tblGrid>
        <w:gridCol w:w="2521"/>
        <w:gridCol w:w="3111"/>
        <w:gridCol w:w="3753"/>
      </w:tblGrid>
      <w:tr w:rsidR="00295007" w14:paraId="0EA39D5E" w14:textId="77777777" w:rsidTr="00A97B7A">
        <w:trPr>
          <w:tblHeader/>
        </w:trPr>
        <w:tc>
          <w:tcPr>
            <w:tcW w:w="2521" w:type="dxa"/>
            <w:shd w:val="clear" w:color="auto" w:fill="D9D9D9" w:themeFill="background1" w:themeFillShade="D9"/>
            <w:vAlign w:val="center"/>
          </w:tcPr>
          <w:p w14:paraId="07BCD974" w14:textId="77777777" w:rsidR="00295007" w:rsidRPr="00E729EF" w:rsidRDefault="00295007" w:rsidP="00A97B7A">
            <w:pPr>
              <w:jc w:val="center"/>
              <w:rPr>
                <w:rFonts w:eastAsia="TimesNewRomanPSMT"/>
                <w:b/>
                <w:bCs/>
                <w:color w:val="000000"/>
                <w:lang w:eastAsia="en-US"/>
              </w:rPr>
            </w:pPr>
            <w:r w:rsidRPr="00E729EF">
              <w:rPr>
                <w:rFonts w:eastAsia="TimesNewRomanPSMT"/>
                <w:b/>
                <w:bCs/>
                <w:color w:val="000000"/>
                <w:lang w:eastAsia="en-US"/>
              </w:rPr>
              <w:t>Фармакологическая группа</w:t>
            </w:r>
          </w:p>
        </w:tc>
        <w:tc>
          <w:tcPr>
            <w:tcW w:w="3111" w:type="dxa"/>
            <w:shd w:val="clear" w:color="auto" w:fill="D9D9D9" w:themeFill="background1" w:themeFillShade="D9"/>
            <w:vAlign w:val="center"/>
          </w:tcPr>
          <w:p w14:paraId="72EEEBBD" w14:textId="77777777" w:rsidR="00295007" w:rsidRPr="00E729EF" w:rsidRDefault="00295007" w:rsidP="00A97B7A">
            <w:pPr>
              <w:jc w:val="center"/>
              <w:rPr>
                <w:rFonts w:eastAsia="TimesNewRomanPSMT"/>
                <w:b/>
                <w:bCs/>
                <w:color w:val="000000"/>
                <w:lang w:eastAsia="en-US"/>
              </w:rPr>
            </w:pPr>
            <w:r w:rsidRPr="00E729EF">
              <w:rPr>
                <w:rFonts w:eastAsia="TimesNewRomanPSMT"/>
                <w:b/>
                <w:bCs/>
                <w:color w:val="000000"/>
                <w:lang w:eastAsia="en-US"/>
              </w:rPr>
              <w:t>Препараты</w:t>
            </w:r>
          </w:p>
        </w:tc>
        <w:tc>
          <w:tcPr>
            <w:tcW w:w="3753" w:type="dxa"/>
            <w:shd w:val="clear" w:color="auto" w:fill="D9D9D9" w:themeFill="background1" w:themeFillShade="D9"/>
            <w:vAlign w:val="center"/>
          </w:tcPr>
          <w:p w14:paraId="52D69F21" w14:textId="77777777" w:rsidR="00295007" w:rsidRPr="008A0F27" w:rsidRDefault="00295007" w:rsidP="00A97B7A">
            <w:pPr>
              <w:jc w:val="center"/>
              <w:rPr>
                <w:rFonts w:eastAsia="TimesNewRomanPSMT"/>
                <w:b/>
                <w:bCs/>
                <w:color w:val="000000"/>
                <w:lang w:eastAsia="en-US"/>
              </w:rPr>
            </w:pPr>
            <w:r w:rsidRPr="008A0F27">
              <w:rPr>
                <w:rFonts w:eastAsia="TimesNewRomanPSMT"/>
                <w:b/>
                <w:bCs/>
                <w:color w:val="000000"/>
                <w:lang w:eastAsia="en-US"/>
              </w:rPr>
              <w:t>Механизм действия</w:t>
            </w:r>
          </w:p>
        </w:tc>
      </w:tr>
      <w:tr w:rsidR="00295007" w14:paraId="2D158EFC" w14:textId="77777777" w:rsidTr="00A97B7A">
        <w:tc>
          <w:tcPr>
            <w:tcW w:w="2521" w:type="dxa"/>
          </w:tcPr>
          <w:p w14:paraId="35D8D399" w14:textId="77777777" w:rsidR="00295007" w:rsidRPr="008A0F27" w:rsidRDefault="00295007" w:rsidP="00AD3C2C">
            <w:pPr>
              <w:rPr>
                <w:rFonts w:eastAsia="TimesNewRomanPSMT"/>
                <w:color w:val="000000"/>
                <w:lang w:eastAsia="en-US"/>
              </w:rPr>
            </w:pPr>
            <w:r w:rsidRPr="00E729EF">
              <w:rPr>
                <w:rFonts w:eastAsia="TimesNewRomanPSMT"/>
                <w:b/>
                <w:bCs/>
                <w:color w:val="000000"/>
                <w:lang w:eastAsia="en-US"/>
              </w:rPr>
              <w:t>НИОТ</w:t>
            </w:r>
            <w:r w:rsidRPr="00E729EF">
              <w:rPr>
                <w:rFonts w:eastAsia="TimesNewRomanPSMT"/>
                <w:color w:val="000000"/>
                <w:lang w:eastAsia="en-US"/>
              </w:rPr>
              <w:t xml:space="preserve"> (</w:t>
            </w:r>
            <w:r w:rsidRPr="00E729EF">
              <w:t>нуклеозидные ингибиторы обратной транскриптазы ВИЧ)</w:t>
            </w:r>
          </w:p>
        </w:tc>
        <w:tc>
          <w:tcPr>
            <w:tcW w:w="3111" w:type="dxa"/>
          </w:tcPr>
          <w:p w14:paraId="5A3A741D" w14:textId="77777777" w:rsidR="00295007" w:rsidRPr="00E729EF" w:rsidRDefault="00295007" w:rsidP="00AD3C2C">
            <w:pPr>
              <w:rPr>
                <w:rFonts w:eastAsia="TimesNewRomanPSMT"/>
                <w:color w:val="000000"/>
                <w:lang w:eastAsia="en-US"/>
              </w:rPr>
            </w:pPr>
            <w:r w:rsidRPr="008A0F27">
              <w:rPr>
                <w:rFonts w:eastAsia="TimesNewRomanPSMT"/>
                <w:color w:val="000000"/>
                <w:lang w:eastAsia="en-US"/>
              </w:rPr>
              <w:t>ABC</w:t>
            </w:r>
            <w:r w:rsidRPr="00A97B7A">
              <w:t xml:space="preserve"> (абакавир)</w:t>
            </w:r>
          </w:p>
          <w:p w14:paraId="0F856D15" w14:textId="77777777" w:rsidR="00295007" w:rsidRPr="008A0F27" w:rsidRDefault="00295007" w:rsidP="00AD3C2C">
            <w:r w:rsidRPr="00E729EF">
              <w:t>ZDV (з</w:t>
            </w:r>
            <w:r w:rsidRPr="008A0F27">
              <w:t>идовудин)</w:t>
            </w:r>
          </w:p>
          <w:p w14:paraId="0CB66B5D" w14:textId="01C44AAD" w:rsidR="00295007" w:rsidRPr="004160EA" w:rsidRDefault="00295007" w:rsidP="00AD3C2C">
            <w:r w:rsidRPr="004160EA">
              <w:t xml:space="preserve">ddI </w:t>
            </w:r>
            <w:r w:rsidR="00F431B8" w:rsidRPr="004160EA">
              <w:t>(диданозин</w:t>
            </w:r>
            <w:r w:rsidRPr="004160EA">
              <w:t>)</w:t>
            </w:r>
          </w:p>
          <w:p w14:paraId="4D41931F" w14:textId="77777777" w:rsidR="00295007" w:rsidRPr="00E729EF" w:rsidRDefault="00295007" w:rsidP="00AD3C2C">
            <w:r w:rsidRPr="00C20FD3">
              <w:t xml:space="preserve">FTC </w:t>
            </w:r>
            <w:r w:rsidRPr="00A97B7A">
              <w:t>(эмтрицитабин)</w:t>
            </w:r>
          </w:p>
          <w:p w14:paraId="67B5D8E9" w14:textId="627175BC" w:rsidR="00295007" w:rsidRPr="008A0F27" w:rsidRDefault="00295007" w:rsidP="00AD3C2C">
            <w:r w:rsidRPr="00E729EF">
              <w:t>TDF</w:t>
            </w:r>
            <w:r w:rsidR="00F431B8" w:rsidRPr="008A0F27">
              <w:t xml:space="preserve"> </w:t>
            </w:r>
            <w:r w:rsidRPr="008A0F27">
              <w:t>(тенофовира дизопроксил фумарат)</w:t>
            </w:r>
          </w:p>
          <w:p w14:paraId="464F5BE1" w14:textId="77777777" w:rsidR="00295007" w:rsidRPr="00E729EF" w:rsidRDefault="00295007" w:rsidP="00AD3C2C">
            <w:r w:rsidRPr="008A0F27">
              <w:t xml:space="preserve">3TC </w:t>
            </w:r>
            <w:r w:rsidRPr="00A97B7A">
              <w:t>(ламивудин)</w:t>
            </w:r>
          </w:p>
          <w:p w14:paraId="6D849C87" w14:textId="77777777" w:rsidR="00295007" w:rsidRPr="00E729EF" w:rsidRDefault="00295007" w:rsidP="00AD3C2C">
            <w:pPr>
              <w:rPr>
                <w:rFonts w:eastAsia="TimesNewRomanPSMT"/>
                <w:color w:val="000000"/>
                <w:lang w:eastAsia="en-US"/>
              </w:rPr>
            </w:pPr>
          </w:p>
        </w:tc>
        <w:tc>
          <w:tcPr>
            <w:tcW w:w="3753" w:type="dxa"/>
          </w:tcPr>
          <w:p w14:paraId="1375E66D" w14:textId="3DDA7F7F" w:rsidR="00295007" w:rsidRPr="004160EA" w:rsidRDefault="00295007" w:rsidP="00AD3C2C">
            <w:pPr>
              <w:rPr>
                <w:rFonts w:eastAsia="TimesNewRomanPSMT"/>
                <w:color w:val="000000"/>
                <w:lang w:eastAsia="en-US"/>
              </w:rPr>
            </w:pPr>
            <w:r w:rsidRPr="008A0F27">
              <w:rPr>
                <w:rFonts w:eastAsia="TimesNewRomanPSMT"/>
                <w:color w:val="000000"/>
                <w:lang w:eastAsia="en-US"/>
              </w:rPr>
              <w:t>блокируют процесс обратной транскрипции (синтез провирусной ДНК на матрице вирусной РНК), встраиваясь в</w:t>
            </w:r>
            <w:r w:rsidRPr="004160EA">
              <w:rPr>
                <w:rFonts w:eastAsia="TimesNewRomanPSMT"/>
                <w:color w:val="000000"/>
                <w:lang w:eastAsia="en-US"/>
              </w:rPr>
              <w:t xml:space="preserve"> синтезируемую цепочку ДНК, и прекращая её дальнейшую сборку</w:t>
            </w:r>
          </w:p>
        </w:tc>
      </w:tr>
      <w:tr w:rsidR="00295007" w14:paraId="57F98780" w14:textId="77777777" w:rsidTr="00A97B7A">
        <w:tc>
          <w:tcPr>
            <w:tcW w:w="2521" w:type="dxa"/>
          </w:tcPr>
          <w:p w14:paraId="2F1B138B" w14:textId="77777777" w:rsidR="00295007" w:rsidRPr="008A0F27" w:rsidRDefault="00295007" w:rsidP="00AD3C2C">
            <w:pPr>
              <w:rPr>
                <w:rFonts w:eastAsia="TimesNewRomanPSMT"/>
                <w:color w:val="000000"/>
                <w:lang w:eastAsia="en-US"/>
              </w:rPr>
            </w:pPr>
            <w:r w:rsidRPr="00E729EF">
              <w:rPr>
                <w:b/>
                <w:bCs/>
              </w:rPr>
              <w:t>ННИОТ</w:t>
            </w:r>
            <w:r w:rsidRPr="00E729EF">
              <w:t xml:space="preserve"> (ненуклеозидные ингибиторы обратной транскриптазы ВИЧ</w:t>
            </w:r>
            <w:r w:rsidRPr="008A0F27">
              <w:t>)</w:t>
            </w:r>
          </w:p>
        </w:tc>
        <w:tc>
          <w:tcPr>
            <w:tcW w:w="3111" w:type="dxa"/>
          </w:tcPr>
          <w:p w14:paraId="3CC9859A" w14:textId="77777777" w:rsidR="00295007" w:rsidRPr="00E729EF" w:rsidRDefault="00295007" w:rsidP="00AD3C2C">
            <w:bookmarkStart w:id="39" w:name="_Hlk112174598"/>
            <w:r w:rsidRPr="008A0F27">
              <w:t>EFV (</w:t>
            </w:r>
            <w:r w:rsidRPr="00A97B7A">
              <w:t>эфавиренз</w:t>
            </w:r>
            <w:r w:rsidRPr="00E729EF">
              <w:t>)</w:t>
            </w:r>
          </w:p>
          <w:p w14:paraId="1A173113" w14:textId="77777777" w:rsidR="00295007" w:rsidRPr="00E729EF" w:rsidRDefault="00295007" w:rsidP="00AD3C2C">
            <w:r w:rsidRPr="00E729EF">
              <w:t>ETR (этравирин)</w:t>
            </w:r>
          </w:p>
          <w:p w14:paraId="06C26E5D" w14:textId="77777777" w:rsidR="00295007" w:rsidRPr="008A0F27" w:rsidRDefault="00295007" w:rsidP="00AD3C2C">
            <w:r w:rsidRPr="00E729EF">
              <w:t>NVP (н</w:t>
            </w:r>
            <w:r w:rsidRPr="008A0F27">
              <w:t>евирапин)</w:t>
            </w:r>
          </w:p>
          <w:p w14:paraId="6C108BB2" w14:textId="77777777" w:rsidR="00295007" w:rsidRPr="004160EA" w:rsidRDefault="00295007" w:rsidP="00AD3C2C">
            <w:r w:rsidRPr="004160EA">
              <w:t xml:space="preserve">DOR (доравирин) </w:t>
            </w:r>
            <w:bookmarkEnd w:id="39"/>
          </w:p>
          <w:p w14:paraId="51CC286B" w14:textId="77777777" w:rsidR="00295007" w:rsidRPr="009C450D" w:rsidRDefault="00295007" w:rsidP="00AD3C2C">
            <w:pPr>
              <w:rPr>
                <w:rFonts w:eastAsia="TimesNewRomanPSMT"/>
                <w:color w:val="000000"/>
                <w:lang w:eastAsia="en-US"/>
              </w:rPr>
            </w:pPr>
            <w:r w:rsidRPr="009C450D">
              <w:rPr>
                <w:rFonts w:eastAsia="TimesNewRomanPSMT"/>
                <w:color w:val="000000"/>
                <w:lang w:eastAsia="en-US"/>
              </w:rPr>
              <w:t>RPV (рилпивирин)</w:t>
            </w:r>
          </w:p>
          <w:p w14:paraId="20377B59" w14:textId="77777777" w:rsidR="00295007" w:rsidRPr="00E729EF" w:rsidRDefault="00295007" w:rsidP="00AD3C2C">
            <w:pPr>
              <w:rPr>
                <w:rFonts w:eastAsia="TimesNewRomanPSMT"/>
                <w:color w:val="000000"/>
                <w:lang w:eastAsia="en-US"/>
              </w:rPr>
            </w:pPr>
            <w:r w:rsidRPr="00E729EF">
              <w:rPr>
                <w:rFonts w:eastAsia="TimesNewRomanPSMT"/>
                <w:color w:val="000000"/>
                <w:lang w:eastAsia="en-US"/>
              </w:rPr>
              <w:t>ESV (элсульфавирин)</w:t>
            </w:r>
          </w:p>
        </w:tc>
        <w:tc>
          <w:tcPr>
            <w:tcW w:w="3753" w:type="dxa"/>
          </w:tcPr>
          <w:p w14:paraId="0B83BD15" w14:textId="77777777" w:rsidR="00295007" w:rsidRPr="00E729EF" w:rsidRDefault="00295007" w:rsidP="00AD3C2C">
            <w:pPr>
              <w:rPr>
                <w:rFonts w:eastAsia="TimesNewRomanPSMT"/>
                <w:color w:val="000000"/>
                <w:lang w:eastAsia="en-US"/>
              </w:rPr>
            </w:pPr>
            <w:r w:rsidRPr="00E729EF">
              <w:rPr>
                <w:noProof/>
              </w:rPr>
              <w:t>блокируют необходимый для осуществления обратной транскрипции вирусный фермент обратную транскриптазу</w:t>
            </w:r>
          </w:p>
        </w:tc>
      </w:tr>
      <w:tr w:rsidR="00295007" w14:paraId="7A27D118" w14:textId="77777777" w:rsidTr="00A97B7A">
        <w:tc>
          <w:tcPr>
            <w:tcW w:w="2521" w:type="dxa"/>
          </w:tcPr>
          <w:p w14:paraId="1AD00E2C" w14:textId="77777777" w:rsidR="00295007" w:rsidRPr="00E729EF" w:rsidRDefault="00295007" w:rsidP="00AD3C2C">
            <w:pPr>
              <w:rPr>
                <w:rFonts w:eastAsia="TimesNewRomanPSMT"/>
                <w:color w:val="000000"/>
                <w:lang w:eastAsia="en-US"/>
              </w:rPr>
            </w:pPr>
            <w:r w:rsidRPr="00E729EF">
              <w:rPr>
                <w:b/>
                <w:bCs/>
              </w:rPr>
              <w:t>ИП</w:t>
            </w:r>
            <w:r w:rsidRPr="00E729EF">
              <w:t xml:space="preserve"> (ингибиторы протеазы ВИЧ)</w:t>
            </w:r>
          </w:p>
        </w:tc>
        <w:tc>
          <w:tcPr>
            <w:tcW w:w="3111" w:type="dxa"/>
          </w:tcPr>
          <w:p w14:paraId="3ABC6B34" w14:textId="77777777" w:rsidR="00295007" w:rsidRPr="00E729EF" w:rsidRDefault="00295007" w:rsidP="00AD3C2C">
            <w:r w:rsidRPr="00E729EF">
              <w:rPr>
                <w:lang w:val="en-US"/>
              </w:rPr>
              <w:t>ATV</w:t>
            </w:r>
            <w:r w:rsidRPr="00E729EF">
              <w:t>/</w:t>
            </w:r>
            <w:r w:rsidRPr="00E729EF">
              <w:rPr>
                <w:lang w:val="en-US"/>
              </w:rPr>
              <w:t>r</w:t>
            </w:r>
            <w:r w:rsidRPr="00E729EF">
              <w:t xml:space="preserve"> (атазанавир/</w:t>
            </w:r>
            <w:r w:rsidRPr="00A97B7A">
              <w:t xml:space="preserve"> </w:t>
            </w:r>
            <w:r w:rsidRPr="00E729EF">
              <w:t>ритонавир)</w:t>
            </w:r>
          </w:p>
          <w:p w14:paraId="69696CB9" w14:textId="77777777" w:rsidR="00295007" w:rsidRPr="00E729EF" w:rsidRDefault="00295007" w:rsidP="00AD3C2C">
            <w:r w:rsidRPr="00E729EF">
              <w:rPr>
                <w:lang w:val="en-US"/>
              </w:rPr>
              <w:t>DRV</w:t>
            </w:r>
            <w:r w:rsidRPr="00E729EF">
              <w:t>/</w:t>
            </w:r>
            <w:r w:rsidRPr="00E729EF">
              <w:rPr>
                <w:lang w:val="en-US"/>
              </w:rPr>
              <w:t>r</w:t>
            </w:r>
            <w:r w:rsidRPr="00E729EF">
              <w:t xml:space="preserve"> (дарунавир/</w:t>
            </w:r>
            <w:r w:rsidRPr="00A97B7A">
              <w:t xml:space="preserve"> </w:t>
            </w:r>
            <w:r w:rsidRPr="00E729EF">
              <w:t>ритонавир)</w:t>
            </w:r>
          </w:p>
          <w:p w14:paraId="0C7CF650" w14:textId="77777777" w:rsidR="00295007" w:rsidRPr="00E729EF" w:rsidRDefault="00295007" w:rsidP="00AD3C2C">
            <w:r w:rsidRPr="00E729EF">
              <w:rPr>
                <w:lang w:val="en-US"/>
              </w:rPr>
              <w:t>FPV</w:t>
            </w:r>
            <w:r w:rsidRPr="00E729EF">
              <w:t>/</w:t>
            </w:r>
            <w:r w:rsidRPr="00E729EF">
              <w:rPr>
                <w:lang w:val="en-US"/>
              </w:rPr>
              <w:t>r</w:t>
            </w:r>
            <w:r w:rsidRPr="00E729EF">
              <w:t xml:space="preserve"> (фосампренавир</w:t>
            </w:r>
            <w:r w:rsidRPr="00E729EF">
              <w:cr/>
              <w:t>/</w:t>
            </w:r>
            <w:r w:rsidRPr="00A97B7A">
              <w:t xml:space="preserve"> </w:t>
            </w:r>
            <w:r w:rsidRPr="00E729EF">
              <w:t>ритонавир)</w:t>
            </w:r>
          </w:p>
          <w:p w14:paraId="31020D44" w14:textId="77777777" w:rsidR="00295007" w:rsidRPr="00E729EF" w:rsidRDefault="00295007" w:rsidP="00AD3C2C">
            <w:r w:rsidRPr="00E729EF">
              <w:rPr>
                <w:lang w:val="en-US"/>
              </w:rPr>
              <w:t>LPV</w:t>
            </w:r>
            <w:r w:rsidRPr="00E729EF">
              <w:t>/</w:t>
            </w:r>
            <w:r w:rsidRPr="00E729EF">
              <w:rPr>
                <w:lang w:val="en-US"/>
              </w:rPr>
              <w:t>r</w:t>
            </w:r>
            <w:r w:rsidRPr="00E729EF">
              <w:t xml:space="preserve"> (лопинавир/ ритонавир</w:t>
            </w:r>
            <w:r w:rsidRPr="00A97B7A">
              <w:t>)</w:t>
            </w:r>
          </w:p>
          <w:p w14:paraId="0D76D116" w14:textId="35BE918E" w:rsidR="00295007" w:rsidRPr="00E729EF" w:rsidRDefault="00295007" w:rsidP="00AD3C2C">
            <w:pPr>
              <w:rPr>
                <w:rFonts w:eastAsia="TimesNewRomanPSMT"/>
                <w:color w:val="000000"/>
                <w:lang w:eastAsia="en-US"/>
              </w:rPr>
            </w:pPr>
            <w:r w:rsidRPr="00E729EF">
              <w:rPr>
                <w:lang w:val="en-US"/>
              </w:rPr>
              <w:t>SQV</w:t>
            </w:r>
            <w:r w:rsidRPr="00E729EF">
              <w:t>/</w:t>
            </w:r>
            <w:r w:rsidRPr="00E729EF">
              <w:rPr>
                <w:lang w:val="en-US"/>
              </w:rPr>
              <w:t>r</w:t>
            </w:r>
            <w:r w:rsidRPr="00E729EF">
              <w:t xml:space="preserve"> (саквинавир/ ритонавир)</w:t>
            </w:r>
          </w:p>
        </w:tc>
        <w:tc>
          <w:tcPr>
            <w:tcW w:w="3753" w:type="dxa"/>
          </w:tcPr>
          <w:p w14:paraId="0C6D6618" w14:textId="72DDB0F4" w:rsidR="00295007" w:rsidRPr="004160EA" w:rsidRDefault="00295007" w:rsidP="00AD3C2C">
            <w:pPr>
              <w:rPr>
                <w:noProof/>
              </w:rPr>
            </w:pPr>
            <w:r w:rsidRPr="008A0F27">
              <w:rPr>
                <w:noProof/>
              </w:rPr>
              <w:t>блокируют процесс формирования полноценных белков ВИЧ и, в</w:t>
            </w:r>
            <w:r w:rsidR="00356D0F" w:rsidRPr="008A0F27">
              <w:rPr>
                <w:noProof/>
              </w:rPr>
              <w:t xml:space="preserve"> </w:t>
            </w:r>
            <w:r w:rsidRPr="008A0F27">
              <w:rPr>
                <w:noProof/>
              </w:rPr>
              <w:t>конечном итоге, сборку новых вирусов</w:t>
            </w:r>
          </w:p>
          <w:p w14:paraId="5BF2515A" w14:textId="77777777" w:rsidR="00295007" w:rsidRPr="009C450D" w:rsidRDefault="00295007" w:rsidP="00AD3C2C">
            <w:pPr>
              <w:rPr>
                <w:rFonts w:eastAsia="TimesNewRomanPSMT"/>
                <w:color w:val="000000"/>
                <w:lang w:eastAsia="en-US"/>
              </w:rPr>
            </w:pPr>
          </w:p>
        </w:tc>
      </w:tr>
      <w:tr w:rsidR="00295007" w14:paraId="0B7C351C" w14:textId="77777777" w:rsidTr="00A97B7A">
        <w:tc>
          <w:tcPr>
            <w:tcW w:w="2521" w:type="dxa"/>
          </w:tcPr>
          <w:p w14:paraId="648D7908" w14:textId="77777777" w:rsidR="00295007" w:rsidRPr="00E729EF" w:rsidRDefault="00295007" w:rsidP="00AD3C2C">
            <w:pPr>
              <w:rPr>
                <w:rFonts w:eastAsia="TimesNewRomanPSMT"/>
                <w:color w:val="000000"/>
                <w:lang w:eastAsia="en-US"/>
              </w:rPr>
            </w:pPr>
            <w:r w:rsidRPr="00E729EF">
              <w:rPr>
                <w:b/>
                <w:bCs/>
              </w:rPr>
              <w:t>ИИ</w:t>
            </w:r>
            <w:r w:rsidRPr="00E729EF">
              <w:t xml:space="preserve"> (ингибиторы интегразы ВИЧ)</w:t>
            </w:r>
          </w:p>
        </w:tc>
        <w:tc>
          <w:tcPr>
            <w:tcW w:w="3111" w:type="dxa"/>
          </w:tcPr>
          <w:p w14:paraId="226916BA" w14:textId="77777777" w:rsidR="00295007" w:rsidRPr="008A0F27" w:rsidRDefault="00295007" w:rsidP="00AD3C2C">
            <w:r w:rsidRPr="00E729EF">
              <w:t xml:space="preserve">RAL </w:t>
            </w:r>
            <w:r w:rsidRPr="008A0F27">
              <w:t>(ралтегравир)</w:t>
            </w:r>
          </w:p>
          <w:p w14:paraId="3499A9D9" w14:textId="77777777" w:rsidR="00295007" w:rsidRPr="004160EA" w:rsidRDefault="00295007" w:rsidP="00AD3C2C">
            <w:pPr>
              <w:rPr>
                <w:rFonts w:eastAsia="TimesNewRomanPSMT"/>
                <w:color w:val="000000"/>
                <w:lang w:eastAsia="en-US"/>
              </w:rPr>
            </w:pPr>
            <w:r w:rsidRPr="004160EA">
              <w:t>BIC/FTC/TAF (биктегравир/тенофовир алафенамид/эмтрицитабин),</w:t>
            </w:r>
          </w:p>
        </w:tc>
        <w:tc>
          <w:tcPr>
            <w:tcW w:w="3753" w:type="dxa"/>
          </w:tcPr>
          <w:p w14:paraId="0615C03A" w14:textId="77777777" w:rsidR="00295007" w:rsidRPr="009C450D" w:rsidRDefault="00295007" w:rsidP="00AD3C2C">
            <w:pPr>
              <w:rPr>
                <w:rFonts w:eastAsia="TimesNewRomanPSMT"/>
                <w:color w:val="000000"/>
                <w:lang w:eastAsia="en-US"/>
              </w:rPr>
            </w:pPr>
            <w:r w:rsidRPr="009C450D">
              <w:rPr>
                <w:rFonts w:eastAsia="TimesNewRomanPSMT"/>
                <w:color w:val="000000"/>
                <w:lang w:eastAsia="en-US"/>
              </w:rPr>
              <w:t>блокируют процесс встраивания провирусной ДНК в ДНК человека, который осуществляется с помощью вирусного фермента – интегразы</w:t>
            </w:r>
          </w:p>
        </w:tc>
      </w:tr>
      <w:tr w:rsidR="00295007" w14:paraId="23BC658B" w14:textId="77777777" w:rsidTr="00A97B7A">
        <w:tc>
          <w:tcPr>
            <w:tcW w:w="2521" w:type="dxa"/>
          </w:tcPr>
          <w:p w14:paraId="370E23F3" w14:textId="77777777" w:rsidR="00295007" w:rsidRPr="00E729EF" w:rsidRDefault="00295007" w:rsidP="00AD3C2C">
            <w:pPr>
              <w:rPr>
                <w:b/>
                <w:bCs/>
              </w:rPr>
            </w:pPr>
            <w:r w:rsidRPr="00E729EF">
              <w:rPr>
                <w:b/>
                <w:bCs/>
              </w:rPr>
              <w:t xml:space="preserve">ИС </w:t>
            </w:r>
            <w:r w:rsidRPr="00E729EF">
              <w:t xml:space="preserve">ингибитор слияния  </w:t>
            </w:r>
          </w:p>
        </w:tc>
        <w:tc>
          <w:tcPr>
            <w:tcW w:w="3111" w:type="dxa"/>
          </w:tcPr>
          <w:p w14:paraId="348604A2" w14:textId="7CC9BF22" w:rsidR="00295007" w:rsidRPr="008A0F27" w:rsidRDefault="00295007" w:rsidP="00AD3C2C">
            <w:r w:rsidRPr="00E729EF">
              <w:t xml:space="preserve">ENF </w:t>
            </w:r>
            <w:r w:rsidR="00F35CC7" w:rsidRPr="008A0F27">
              <w:t>(</w:t>
            </w:r>
            <w:r w:rsidRPr="008A0F27">
              <w:t>энфувиртид</w:t>
            </w:r>
            <w:r w:rsidR="00F35CC7" w:rsidRPr="008A0F27">
              <w:t>)</w:t>
            </w:r>
          </w:p>
        </w:tc>
        <w:tc>
          <w:tcPr>
            <w:tcW w:w="3753" w:type="dxa"/>
          </w:tcPr>
          <w:p w14:paraId="146C8F26" w14:textId="77777777" w:rsidR="00295007" w:rsidRPr="004160EA" w:rsidRDefault="00295007" w:rsidP="00AD3C2C">
            <w:pPr>
              <w:rPr>
                <w:rFonts w:eastAsia="TimesNewRomanPSMT"/>
                <w:color w:val="000000"/>
                <w:lang w:eastAsia="en-US"/>
              </w:rPr>
            </w:pPr>
            <w:r w:rsidRPr="004160EA">
              <w:rPr>
                <w:rFonts w:eastAsia="TimesNewRomanPSMT"/>
                <w:color w:val="000000"/>
                <w:lang w:eastAsia="en-US"/>
              </w:rPr>
              <w:t>специфически связываясь с гликопротеидом gp41 ВИЧ-1 вне клетки и ингибируя его структурную реаранжировку, блокирует проникновение вируса внутрь клетки</w:t>
            </w:r>
          </w:p>
        </w:tc>
      </w:tr>
    </w:tbl>
    <w:p w14:paraId="0D905CF1" w14:textId="77777777" w:rsidR="00295007" w:rsidRDefault="00295007" w:rsidP="00295007"/>
    <w:p w14:paraId="764A3C0D" w14:textId="16D7F6B0" w:rsidR="00295007" w:rsidRDefault="00295007" w:rsidP="00C354BD">
      <w:pPr>
        <w:ind w:firstLine="709"/>
        <w:rPr>
          <w:rFonts w:eastAsia="TimesNewRomanPSMT"/>
          <w:color w:val="000000"/>
          <w:lang w:eastAsia="en-US"/>
        </w:rPr>
      </w:pPr>
      <w:r>
        <w:rPr>
          <w:rFonts w:eastAsia="TimesNewRomanPSMT"/>
          <w:color w:val="000000"/>
          <w:lang w:eastAsia="en-US"/>
        </w:rPr>
        <w:t>В рекомендациях Министерства здравоохранения РФ, ВОЗ</w:t>
      </w:r>
      <w:bookmarkStart w:id="40" w:name="_Hlk112228383"/>
      <w:r>
        <w:rPr>
          <w:rFonts w:eastAsia="TimesNewRomanPSMT"/>
          <w:color w:val="000000"/>
          <w:lang w:eastAsia="en-US"/>
        </w:rPr>
        <w:t xml:space="preserve">, </w:t>
      </w:r>
      <w:r w:rsidRPr="00A902F8">
        <w:rPr>
          <w:rFonts w:eastAsia="TimesNewRomanPSMT"/>
          <w:color w:val="000000"/>
          <w:lang w:eastAsia="en-US"/>
        </w:rPr>
        <w:t>Европейск</w:t>
      </w:r>
      <w:r>
        <w:rPr>
          <w:rFonts w:eastAsia="TimesNewRomanPSMT"/>
          <w:color w:val="000000"/>
          <w:lang w:eastAsia="en-US"/>
        </w:rPr>
        <w:t xml:space="preserve">ого </w:t>
      </w:r>
      <w:r w:rsidRPr="00A902F8">
        <w:rPr>
          <w:rFonts w:eastAsia="TimesNewRomanPSMT"/>
          <w:color w:val="000000"/>
          <w:lang w:eastAsia="en-US"/>
        </w:rPr>
        <w:t>клиническ</w:t>
      </w:r>
      <w:r>
        <w:rPr>
          <w:rFonts w:eastAsia="TimesNewRomanPSMT"/>
          <w:color w:val="000000"/>
          <w:lang w:eastAsia="en-US"/>
        </w:rPr>
        <w:t>ого</w:t>
      </w:r>
      <w:r w:rsidRPr="00A902F8">
        <w:rPr>
          <w:rFonts w:eastAsia="TimesNewRomanPSMT"/>
          <w:color w:val="000000"/>
          <w:lang w:eastAsia="en-US"/>
        </w:rPr>
        <w:t xml:space="preserve"> обществ</w:t>
      </w:r>
      <w:r>
        <w:rPr>
          <w:rFonts w:eastAsia="TimesNewRomanPSMT"/>
          <w:color w:val="000000"/>
          <w:lang w:eastAsia="en-US"/>
        </w:rPr>
        <w:t>а</w:t>
      </w:r>
      <w:r w:rsidRPr="00A902F8">
        <w:rPr>
          <w:rFonts w:eastAsia="TimesNewRomanPSMT"/>
          <w:color w:val="000000"/>
          <w:lang w:eastAsia="en-US"/>
        </w:rPr>
        <w:t xml:space="preserve"> по СПИД (EACS)</w:t>
      </w:r>
      <w:r>
        <w:rPr>
          <w:rFonts w:eastAsia="TimesNewRomanPSMT"/>
          <w:color w:val="000000"/>
          <w:lang w:eastAsia="en-US"/>
        </w:rPr>
        <w:t xml:space="preserve"> </w:t>
      </w:r>
      <w:bookmarkEnd w:id="40"/>
      <w:r>
        <w:rPr>
          <w:rFonts w:eastAsia="TimesNewRomanPSMT"/>
          <w:color w:val="000000"/>
          <w:lang w:eastAsia="en-US"/>
        </w:rPr>
        <w:t>п</w:t>
      </w:r>
      <w:r w:rsidRPr="00215186">
        <w:rPr>
          <w:rFonts w:eastAsia="TimesNewRomanPSMT"/>
          <w:color w:val="000000"/>
          <w:lang w:eastAsia="en-US"/>
        </w:rPr>
        <w:t xml:space="preserve">од схемами первого ряда </w:t>
      </w:r>
      <w:r>
        <w:rPr>
          <w:rFonts w:eastAsia="TimesNewRomanPSMT"/>
          <w:color w:val="000000"/>
          <w:lang w:eastAsia="en-US"/>
        </w:rPr>
        <w:t>приняты</w:t>
      </w:r>
      <w:r w:rsidRPr="00215186">
        <w:rPr>
          <w:rFonts w:eastAsia="TimesNewRomanPSMT"/>
          <w:color w:val="000000"/>
          <w:lang w:eastAsia="en-US"/>
        </w:rPr>
        <w:t xml:space="preserve"> схемы, назначаемые пациентам, которые ранее не</w:t>
      </w:r>
      <w:r>
        <w:rPr>
          <w:rFonts w:eastAsia="TimesNewRomanPSMT"/>
          <w:color w:val="000000"/>
          <w:lang w:eastAsia="en-US"/>
        </w:rPr>
        <w:t xml:space="preserve"> </w:t>
      </w:r>
      <w:r w:rsidRPr="00215186">
        <w:rPr>
          <w:rFonts w:eastAsia="TimesNewRomanPSMT"/>
          <w:color w:val="000000"/>
          <w:lang w:eastAsia="en-US"/>
        </w:rPr>
        <w:t xml:space="preserve">получали АРТ. Схема АРТ первого ряда включает </w:t>
      </w:r>
      <w:r>
        <w:rPr>
          <w:rFonts w:eastAsia="TimesNewRomanPSMT"/>
          <w:color w:val="000000"/>
          <w:lang w:eastAsia="en-US"/>
        </w:rPr>
        <w:t>два</w:t>
      </w:r>
      <w:r w:rsidRPr="00215186">
        <w:rPr>
          <w:rFonts w:eastAsia="TimesNewRomanPSMT"/>
          <w:color w:val="000000"/>
          <w:lang w:eastAsia="en-US"/>
        </w:rPr>
        <w:t xml:space="preserve"> НИОТ (нуклеозидная основа) и третий</w:t>
      </w:r>
      <w:r>
        <w:rPr>
          <w:rFonts w:eastAsia="TimesNewRomanPSMT"/>
          <w:color w:val="000000"/>
          <w:lang w:eastAsia="en-US"/>
        </w:rPr>
        <w:t xml:space="preserve"> </w:t>
      </w:r>
      <w:r w:rsidRPr="00215186">
        <w:rPr>
          <w:rFonts w:eastAsia="TimesNewRomanPSMT"/>
          <w:color w:val="000000"/>
          <w:lang w:eastAsia="en-US"/>
        </w:rPr>
        <w:t>препарат, которым может быть ННИОТ, ИИ или ИП, комбинированный с ритонавиром</w:t>
      </w:r>
      <w:r>
        <w:rPr>
          <w:rFonts w:eastAsia="TimesNewRomanPSMT"/>
          <w:color w:val="000000"/>
          <w:lang w:eastAsia="en-US"/>
        </w:rPr>
        <w:t xml:space="preserve"> </w:t>
      </w:r>
      <w:r>
        <w:rPr>
          <w:rFonts w:eastAsia="TimesNewRomanPSMT"/>
          <w:color w:val="000000"/>
          <w:lang w:eastAsia="en-US"/>
        </w:rPr>
        <w:fldChar w:fldCharType="begin"/>
      </w:r>
      <w:r>
        <w:rPr>
          <w:rFonts w:eastAsia="TimesNewRomanPSMT"/>
          <w:color w:val="000000"/>
          <w:lang w:eastAsia="en-US"/>
        </w:rPr>
        <w:instrText xml:space="preserve"> ADDIN ZOTERO_ITEM CSL_CITATION {"citationID":"u7oYuhaw","properties":{"formattedCitation":"(4,5,12,14)","plainCitation":"(4,5,12,14)","noteIndex":0},"citationItems":[{"id":2461,"uris":["http://zotero.org/users/5483459/items/TE38ARHZ"],"itemData":{"id":2461,"type":"document","title":"Министерство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2020."},"label":"page"},{"id":2481,"uris":["http://zotero.org/users/5483459/items/XECSFSCZ"],"itemData":{"id":2481,"type":"document","title":"British HIV Association (BHIVA) guidelines on antiretroviral treatment for adults living with HIV-1. 2022."},"label":"page"},{"id":2490,"uris":["http://zotero.org/users/5483459/items/A2PPE6TL"],"itemData":{"id":2490,"type":"document","title":"Министерство здравоохранения Российской Федерации. Клинические рекомендации ВИЧ-инфекция у детей. 2020."},"label":"page"},{"id":2487,"uris":["http://zotero.org/users/5483459/items/8ZZMR9EY"],"itemData":{"id":2487,"type":"document","title":"European AIDS Clinical Society (EACS)  Guidelines. 2021."},"label":"page"}],"schema":"https://github.com/citation-style-language/schema/raw/master/csl-citation.json"} </w:instrText>
      </w:r>
      <w:r>
        <w:rPr>
          <w:rFonts w:eastAsia="TimesNewRomanPSMT"/>
          <w:color w:val="000000"/>
          <w:lang w:eastAsia="en-US"/>
        </w:rPr>
        <w:fldChar w:fldCharType="separate"/>
      </w:r>
      <w:r w:rsidR="00D236D7" w:rsidRPr="00D236D7">
        <w:t>[</w:t>
      </w:r>
      <w:r w:rsidRPr="00156725">
        <w:t>4,5,12,14</w:t>
      </w:r>
      <w:r w:rsidR="00D236D7" w:rsidRPr="00D236D7">
        <w:t>]</w:t>
      </w:r>
      <w:r>
        <w:rPr>
          <w:rFonts w:eastAsia="TimesNewRomanPSMT"/>
          <w:color w:val="000000"/>
          <w:lang w:eastAsia="en-US"/>
        </w:rPr>
        <w:fldChar w:fldCharType="end"/>
      </w:r>
      <w:r>
        <w:rPr>
          <w:rFonts w:eastAsia="TimesNewRomanPSMT"/>
          <w:color w:val="000000"/>
          <w:lang w:eastAsia="en-US"/>
        </w:rPr>
        <w:t>.</w:t>
      </w:r>
    </w:p>
    <w:p w14:paraId="18EEA8E6" w14:textId="1A590A71" w:rsidR="00295007" w:rsidRDefault="00295007" w:rsidP="00C354BD">
      <w:pPr>
        <w:ind w:firstLine="709"/>
        <w:rPr>
          <w:rFonts w:eastAsia="TimesNewRomanPSMT"/>
          <w:color w:val="000000"/>
          <w:lang w:eastAsia="en-US"/>
        </w:rPr>
      </w:pPr>
      <w:r w:rsidRPr="00DB29F0">
        <w:rPr>
          <w:rFonts w:eastAsia="TimesNewRomanPSMT"/>
          <w:color w:val="000000"/>
          <w:lang w:eastAsia="en-US"/>
        </w:rPr>
        <w:t>Характерной особенностью ВИЧ является перекрёстная устойчивость, нечувствительность к препаратам, с которыми вирус никогда не встречался; она ограничена</w:t>
      </w:r>
      <w:r>
        <w:rPr>
          <w:rFonts w:eastAsia="TimesNewRomanPSMT"/>
          <w:color w:val="000000"/>
          <w:lang w:eastAsia="en-US"/>
        </w:rPr>
        <w:t xml:space="preserve"> </w:t>
      </w:r>
      <w:r w:rsidRPr="00DB29F0">
        <w:rPr>
          <w:rFonts w:eastAsia="TimesNewRomanPSMT"/>
          <w:color w:val="000000"/>
          <w:lang w:eastAsia="en-US"/>
        </w:rPr>
        <w:t>одним и тем же классом препаратов. Это происходит вследствие того, что для разных</w:t>
      </w:r>
      <w:r>
        <w:rPr>
          <w:rFonts w:eastAsia="TimesNewRomanPSMT"/>
          <w:color w:val="000000"/>
          <w:lang w:eastAsia="en-US"/>
        </w:rPr>
        <w:t xml:space="preserve"> </w:t>
      </w:r>
      <w:r w:rsidRPr="00DB29F0">
        <w:rPr>
          <w:rFonts w:eastAsia="TimesNewRomanPSMT"/>
          <w:color w:val="000000"/>
          <w:lang w:eastAsia="en-US"/>
        </w:rPr>
        <w:t>препаратов из одной группы (одного класса) первичные мутации являются идентичными. При</w:t>
      </w:r>
      <w:r>
        <w:rPr>
          <w:rFonts w:eastAsia="TimesNewRomanPSMT"/>
          <w:color w:val="000000"/>
          <w:lang w:eastAsia="en-US"/>
        </w:rPr>
        <w:t xml:space="preserve"> </w:t>
      </w:r>
      <w:r w:rsidRPr="00DB29F0">
        <w:rPr>
          <w:rFonts w:eastAsia="TimesNewRomanPSMT"/>
          <w:color w:val="000000"/>
          <w:lang w:eastAsia="en-US"/>
        </w:rPr>
        <w:t>отсутствии результатов исследования устойчивости молекулярными методами следует заменить</w:t>
      </w:r>
      <w:r>
        <w:rPr>
          <w:rFonts w:eastAsia="TimesNewRomanPSMT"/>
          <w:color w:val="000000"/>
          <w:lang w:eastAsia="en-US"/>
        </w:rPr>
        <w:t xml:space="preserve"> </w:t>
      </w:r>
      <w:r w:rsidRPr="00DB29F0">
        <w:rPr>
          <w:rFonts w:eastAsia="TimesNewRomanPSMT"/>
          <w:color w:val="000000"/>
          <w:lang w:eastAsia="en-US"/>
        </w:rPr>
        <w:t>оба НИОТ и назначить третий препарат из другого класса</w:t>
      </w:r>
      <w:r>
        <w:rPr>
          <w:rFonts w:eastAsia="TimesNewRomanPSMT"/>
          <w:color w:val="000000"/>
          <w:lang w:eastAsia="en-US"/>
        </w:rPr>
        <w:t xml:space="preserve"> </w:t>
      </w:r>
      <w:r>
        <w:rPr>
          <w:rFonts w:eastAsia="TimesNewRomanPSMT"/>
          <w:color w:val="000000"/>
          <w:lang w:eastAsia="en-US"/>
        </w:rPr>
        <w:fldChar w:fldCharType="begin"/>
      </w:r>
      <w:r>
        <w:rPr>
          <w:rFonts w:eastAsia="TimesNewRomanPSMT"/>
          <w:color w:val="000000"/>
          <w:lang w:eastAsia="en-US"/>
        </w:rPr>
        <w:instrText xml:space="preserve"> ADDIN ZOTERO_ITEM CSL_CITATION {"citationID":"68J0UPLl","properties":{"formattedCitation":"(4,5,12,14)","plainCitation":"(4,5,12,14)","noteIndex":0},"citationItems":[{"id":2461,"uris":["http://zotero.org/users/5483459/items/TE38ARHZ"],"itemData":{"id":2461,"type":"document","title":"Министерство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2020."},"label":"page"},{"id":2481,"uris":["http://zotero.org/users/5483459/items/XECSFSCZ"],"itemData":{"id":2481,"type":"document","title":"British HIV Association (BHIVA) guidelines on antiretroviral treatment for adults living with HIV-1. 2022."},"label":"page"},{"id":2490,"uris":["http://zotero.org/users/5483459/items/A2PPE6TL"],"itemData":{"id":2490,"type":"document","title":"Министерство здравоохранения Российской Федерации. Клинические рекомендации ВИЧ-инфекция у детей. 2020."},"label":"page"},{"id":2487,"uris":["http://zotero.org/users/5483459/items/8ZZMR9EY"],"itemData":{"id":2487,"type":"document","title":"European AIDS Clinical Society (EACS)  Guidelines. 2021."},"label":"page"}],"schema":"https://github.com/citation-style-language/schema/raw/master/csl-citation.json"} </w:instrText>
      </w:r>
      <w:r>
        <w:rPr>
          <w:rFonts w:eastAsia="TimesNewRomanPSMT"/>
          <w:color w:val="000000"/>
          <w:lang w:eastAsia="en-US"/>
        </w:rPr>
        <w:fldChar w:fldCharType="separate"/>
      </w:r>
      <w:r w:rsidR="00D236D7" w:rsidRPr="00D236D7">
        <w:t>[</w:t>
      </w:r>
      <w:r w:rsidRPr="00156725">
        <w:t>4,5,12,14</w:t>
      </w:r>
      <w:r w:rsidR="00D236D7" w:rsidRPr="00D236D7">
        <w:t>]</w:t>
      </w:r>
      <w:r>
        <w:rPr>
          <w:rFonts w:eastAsia="TimesNewRomanPSMT"/>
          <w:color w:val="000000"/>
          <w:lang w:eastAsia="en-US"/>
        </w:rPr>
        <w:fldChar w:fldCharType="end"/>
      </w:r>
      <w:r>
        <w:rPr>
          <w:rFonts w:eastAsia="TimesNewRomanPSMT"/>
          <w:color w:val="000000"/>
          <w:lang w:eastAsia="en-US"/>
        </w:rPr>
        <w:t>.</w:t>
      </w:r>
    </w:p>
    <w:p w14:paraId="16D241DE" w14:textId="360E0480" w:rsidR="00295007" w:rsidRDefault="00295007" w:rsidP="00C354BD">
      <w:pPr>
        <w:ind w:firstLine="709"/>
      </w:pPr>
      <w:r>
        <w:t xml:space="preserve">Схемами второго и последующего ряда назначаются режимы АРТ в случае неэффективности терапевтических схем предыдущего ряда. Схемы резерва (спасения) – нестандартные схемы, которые применяются при неэффективности схем второго и последующих рядов. Предпочтительные схемы являются оптимальными по совокупности параметров: эффективность, безопасность (наименьшая вероятность развития угрожающих жизни побочных эффектов), переносимость (частота развития побочных эффектов), удобство приёма, экономичность, в том числе для отдельных групп пациентов. Альтернативные схемы уступают предпочтительным по какому-либо параметру или менее изучены </w:t>
      </w:r>
      <w:r>
        <w:fldChar w:fldCharType="begin"/>
      </w:r>
      <w:r>
        <w:instrText xml:space="preserve"> ADDIN ZOTERO_ITEM CSL_CITATION {"citationID":"PxVQJWa3","properties":{"formattedCitation":"(4,14,18)","plainCitation":"(4,14,18)","noteIndex":0},"citationItems":[{"id":2461,"uris":["http://zotero.org/users/5483459/items/TE38ARHZ"],"itemData":{"id":2461,"type":"document","title":"Министерство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2020."},"label":"page"},{"id":2487,"uris":["http://zotero.org/users/5483459/items/8ZZMR9EY"],"itemData":{"id":2487,"type":"document","title":"European AIDS Clinical Society (EACS)  Guidelines. 2021."},"label":"act"},{"id":2482,"uris":["http://zotero.org/users/5483459/items/3625DM67"],"itemData":{"id":2482,"type":"document","title":"World Health Organization publishes new Consolidated HIV guidelines for prevention, treatment, service delivery &amp; monitoring - news release. 2021."},"label":"act"}],"schema":"https://github.com/citation-style-language/schema/raw/master/csl-citation.json"} </w:instrText>
      </w:r>
      <w:r>
        <w:fldChar w:fldCharType="separate"/>
      </w:r>
      <w:r w:rsidR="00D236D7" w:rsidRPr="00D236D7">
        <w:t>[</w:t>
      </w:r>
      <w:r w:rsidRPr="00156725">
        <w:t>4,14,18</w:t>
      </w:r>
      <w:r w:rsidR="00D236D7" w:rsidRPr="00D236D7">
        <w:t>]</w:t>
      </w:r>
      <w:r>
        <w:fldChar w:fldCharType="end"/>
      </w:r>
      <w:r>
        <w:t xml:space="preserve">. </w:t>
      </w:r>
    </w:p>
    <w:p w14:paraId="1B35B1F9" w14:textId="70F31ED8" w:rsidR="00295007" w:rsidRDefault="00295007" w:rsidP="00C354BD">
      <w:pPr>
        <w:ind w:firstLine="709"/>
      </w:pPr>
      <w:r>
        <w:lastRenderedPageBreak/>
        <w:t xml:space="preserve">В особых случаях применяют схемы, эффективность которых менее изучена, или нежелательные явления выражены в большей степени по сравнению с предпочтительными или альтернативными схемами, либо их стоимость существенно выше. При выборе схемы лечения для конкретного пациента с позиции «общественного здравоохранения» рекомендуется сначала рассмотреть возможность назначения предпочтительных схем </w:t>
      </w:r>
      <w:r>
        <w:fldChar w:fldCharType="begin"/>
      </w:r>
      <w:r>
        <w:instrText xml:space="preserve"> ADDIN ZOTERO_ITEM CSL_CITATION {"citationID":"3Wdeiihr","properties":{"formattedCitation":"(4,5,7,14)","plainCitation":"(4,5,7,14)","noteIndex":0},"citationItems":[{"id":2461,"uris":["http://zotero.org/users/5483459/items/TE38ARHZ"],"itemData":{"id":2461,"type":"document","title":"Министерство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2020."},"label":"page"},{"id":2481,"uris":["http://zotero.org/users/5483459/items/XECSFSCZ"],"itemData":{"id":2481,"type":"document","title":"British HIV Association (BHIVA) guidelines on antiretroviral treatment for adults living with HIV-1. 2022."},"label":"act"},{"id":2462,"uris":["http://zotero.org/users/5483459/items/MEVJCF2M"],"itemData":{"id":2462,"type":"document","title":"World Health Organization. Factsheet. 27 July 2022. https://www.who.int/news-room/fact-sheets/detail/hiv-aids"},"label":"act"},{"id":2487,"uris":["http://zotero.org/users/5483459/items/8ZZMR9EY"],"itemData":{"id":2487,"type":"document","title":"European AIDS Clinical Society (EACS)  Guidelines. 2021."},"label":"act"}],"schema":"https://github.com/citation-style-language/schema/raw/master/csl-citation.json"} </w:instrText>
      </w:r>
      <w:r>
        <w:fldChar w:fldCharType="separate"/>
      </w:r>
      <w:r w:rsidR="00D236D7" w:rsidRPr="00D236D7">
        <w:t>[</w:t>
      </w:r>
      <w:r w:rsidRPr="00156725">
        <w:t>4,5,7,14</w:t>
      </w:r>
      <w:r w:rsidR="00D236D7" w:rsidRPr="00D236D7">
        <w:t>]</w:t>
      </w:r>
      <w:r>
        <w:fldChar w:fldCharType="end"/>
      </w:r>
      <w:r>
        <w:t xml:space="preserve">.  </w:t>
      </w:r>
    </w:p>
    <w:p w14:paraId="75F96C81" w14:textId="77777777" w:rsidR="00295007" w:rsidRDefault="00295007" w:rsidP="00295007">
      <w:pPr>
        <w:pStyle w:val="3"/>
        <w:spacing w:after="240"/>
        <w:rPr>
          <w:rFonts w:ascii="Times New Roman" w:hAnsi="Times New Roman"/>
          <w:color w:val="000000" w:themeColor="text1"/>
          <w:szCs w:val="24"/>
        </w:rPr>
      </w:pPr>
      <w:bookmarkStart w:id="41" w:name="_Toc484086226"/>
      <w:bookmarkStart w:id="42" w:name="_Toc117179168"/>
      <w:bookmarkEnd w:id="35"/>
      <w:r w:rsidRPr="006C20D3">
        <w:rPr>
          <w:rFonts w:ascii="Times New Roman" w:hAnsi="Times New Roman"/>
          <w:color w:val="000000" w:themeColor="text1"/>
          <w:szCs w:val="24"/>
        </w:rPr>
        <w:t>1.7.3.</w:t>
      </w:r>
      <w:r w:rsidRPr="006C20D3">
        <w:rPr>
          <w:rFonts w:ascii="Times New Roman" w:hAnsi="Times New Roman"/>
          <w:color w:val="000000" w:themeColor="text1"/>
          <w:szCs w:val="24"/>
        </w:rPr>
        <w:tab/>
        <w:t>Вводная информация по исследуемой терапии</w:t>
      </w:r>
      <w:bookmarkStart w:id="43" w:name="_Hlk521882563"/>
      <w:bookmarkEnd w:id="41"/>
      <w:bookmarkEnd w:id="42"/>
    </w:p>
    <w:p w14:paraId="0C738457" w14:textId="6AE2C069" w:rsidR="00CC77F8" w:rsidRDefault="00295007" w:rsidP="00C354BD">
      <w:pPr>
        <w:ind w:firstLine="709"/>
      </w:pPr>
      <w:r w:rsidRPr="000C117E">
        <w:t>Этравирин является ННИОТ вируса иммунодефицита человека – ВИЧ-1.</w:t>
      </w:r>
      <w:r w:rsidRPr="00620C59">
        <w:t xml:space="preserve"> </w:t>
      </w:r>
      <w:r>
        <w:t>Этравирин</w:t>
      </w:r>
      <w:r w:rsidRPr="00620C59">
        <w:t xml:space="preserve"> непосредственно связывается с обратной транскриптазой и блокирует РНК</w:t>
      </w:r>
      <w:r w:rsidR="00CE4A3E">
        <w:t>-</w:t>
      </w:r>
      <w:r w:rsidRPr="00620C59">
        <w:t xml:space="preserve"> зависимую и ДНК)-зависимую активность ДНК-полимеразы, вызывая разрушение каталитических участков этого фермента. </w:t>
      </w:r>
    </w:p>
    <w:p w14:paraId="4F64F266" w14:textId="77777777" w:rsidR="00CC77F8" w:rsidRDefault="00295007" w:rsidP="00C354BD">
      <w:pPr>
        <w:ind w:firstLine="709"/>
      </w:pPr>
      <w:r w:rsidRPr="000774CA">
        <w:rPr>
          <w:i/>
          <w:iCs/>
        </w:rPr>
        <w:t>In vitro</w:t>
      </w:r>
      <w:r w:rsidRPr="00620C59">
        <w:t xml:space="preserve"> </w:t>
      </w:r>
      <w:r>
        <w:t>этравирин</w:t>
      </w:r>
      <w:r w:rsidRPr="00620C59">
        <w:t xml:space="preserve"> сохраняет активность против штаммов ВИЧ-1, резистентных к НИОТ и/или ИП ВИЧ</w:t>
      </w:r>
      <w:r>
        <w:t xml:space="preserve">. </w:t>
      </w:r>
    </w:p>
    <w:p w14:paraId="7CC482E7" w14:textId="17FC7575" w:rsidR="00295007" w:rsidRPr="00620C59" w:rsidRDefault="00295007" w:rsidP="00C354BD">
      <w:pPr>
        <w:ind w:firstLine="709"/>
      </w:pPr>
      <w:r>
        <w:t xml:space="preserve">Этравирин в сочетании с другими антиретровирусными препаратами показан </w:t>
      </w:r>
      <w:r w:rsidR="00F431B8">
        <w:t>при лечении</w:t>
      </w:r>
      <w:r>
        <w:t xml:space="preserve"> инфекции, вызванной вирусом иммунодефицита человека ВИЧ-1 у ранее не лечившихся пациентов и у пациентов, у которых предыдущая терапия оказалась неэффективной. Препарат эффективен при устойчивости штаммов ВИЧ-1 ко многим антиретровирусным препаратам, включая ННИОТ</w:t>
      </w:r>
      <w:r w:rsidRPr="00620C59">
        <w:t xml:space="preserve"> </w:t>
      </w:r>
      <w:r>
        <w:fldChar w:fldCharType="begin"/>
      </w:r>
      <w:r>
        <w:instrText xml:space="preserve"> ADDIN ZOTERO_ITEM CSL_CITATION {"citationID":"JdpOzo19","properties":{"formattedCitation":"(1,2)","plainCitation":"(1,2)","noteIndex":0},"citationItems":[{"id":2488,"uris":["http://zotero.org/users/5483459/items/FVT2P5WG"],"itemData":{"id":2488,"type":"document","title":"Инструкция по медицинскому применению препарата Интеленс®, таблетки 25 мг, 100 мг (Янссен-Силаг С.п.А, Италия)  владелец РУ: Мерк Шарп и Доум Б.В., Нидерланды)."},"label":"page"},{"id":2460,"uris":["http://zotero.org/users/5483459/items/AZ4GNHE7"],"itemData":{"id":2460,"type":"document","title":"Product Monograph INTELENCE® etravirine tablets 25 mg, 100 mg, 200 mg. Janssen Inc.  Date of Revision: May 17, 2017."},"label":"act"}],"schema":"https://github.com/citation-style-language/schema/raw/master/csl-citation.json"} </w:instrText>
      </w:r>
      <w:r>
        <w:fldChar w:fldCharType="separate"/>
      </w:r>
      <w:r w:rsidR="00D236D7" w:rsidRPr="00D236D7">
        <w:t>[</w:t>
      </w:r>
      <w:r w:rsidRPr="0000147D">
        <w:t>1,2</w:t>
      </w:r>
      <w:r w:rsidR="00D236D7" w:rsidRPr="00D236D7">
        <w:t>]</w:t>
      </w:r>
      <w:r>
        <w:fldChar w:fldCharType="end"/>
      </w:r>
      <w:r>
        <w:t>.</w:t>
      </w:r>
    </w:p>
    <w:p w14:paraId="19DEC371" w14:textId="0B6E2BC5" w:rsidR="00295007" w:rsidRDefault="00295007" w:rsidP="00C354BD">
      <w:pPr>
        <w:ind w:firstLine="709"/>
        <w:rPr>
          <w:noProof/>
        </w:rPr>
      </w:pPr>
      <w:r>
        <w:rPr>
          <w:noProof/>
        </w:rPr>
        <w:t>В Таблице 1</w:t>
      </w:r>
      <w:r w:rsidR="00F431B8" w:rsidRPr="008B0B82">
        <w:rPr>
          <w:noProof/>
        </w:rPr>
        <w:t>-</w:t>
      </w:r>
      <w:r>
        <w:rPr>
          <w:noProof/>
        </w:rPr>
        <w:t>2 приведены данные действующих клинических рекомендаций у взрослых при лечении ВИЧ/СПИД  Министерства здравоохранения Российской Федерации</w:t>
      </w:r>
      <w:r w:rsidR="00CE4A3E">
        <w:rPr>
          <w:noProof/>
        </w:rPr>
        <w:t xml:space="preserve"> в последней редакции (2020 год)</w:t>
      </w:r>
      <w:r>
        <w:rPr>
          <w:noProof/>
        </w:rPr>
        <w:t>. В схемы первого ряды АРТ для взрослых пациентов,  которые ранее не получали АРТ  в комбинации с д</w:t>
      </w:r>
      <w:r w:rsidR="00BC4288">
        <w:rPr>
          <w:noProof/>
        </w:rPr>
        <w:t>в</w:t>
      </w:r>
      <w:r>
        <w:rPr>
          <w:noProof/>
        </w:rPr>
        <w:t xml:space="preserve">умя </w:t>
      </w:r>
      <w:r w:rsidRPr="00A46444">
        <w:rPr>
          <w:noProof/>
        </w:rPr>
        <w:t xml:space="preserve"> НИОТ </w:t>
      </w:r>
      <w:r>
        <w:rPr>
          <w:noProof/>
        </w:rPr>
        <w:t>включен ННИОТ э</w:t>
      </w:r>
      <w:r w:rsidRPr="00C17AE6">
        <w:rPr>
          <w:noProof/>
        </w:rPr>
        <w:t>травирин</w:t>
      </w:r>
      <w:r>
        <w:rPr>
          <w:noProof/>
        </w:rPr>
        <w:t xml:space="preserve">, который применяется третьим препаратом в схеме АРТ в качестве альтернативы препаратам эфавиренз, элсульфавирин или долутегравир </w:t>
      </w:r>
      <w:r w:rsidRPr="00C17AE6">
        <w:rPr>
          <w:noProof/>
        </w:rPr>
        <w:t>в особых случаях</w:t>
      </w:r>
      <w:r w:rsidRPr="00C334A3">
        <w:rPr>
          <w:noProof/>
        </w:rPr>
        <w:t xml:space="preserve"> </w:t>
      </w:r>
      <w:r>
        <w:rPr>
          <w:noProof/>
        </w:rPr>
        <w:fldChar w:fldCharType="begin"/>
      </w:r>
      <w:r>
        <w:rPr>
          <w:noProof/>
        </w:rPr>
        <w:instrText xml:space="preserve"> ADDIN ZOTERO_ITEM CSL_CITATION {"citationID":"U4c46obm","properties":{"formattedCitation":"(4)","plainCitation":"(4)","noteIndex":0},"citationItems":[{"id":2461,"uris":["http://zotero.org/users/5483459/items/TE38ARHZ"],"itemData":{"id":2461,"type":"document","title":"Министерство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Pr>
          <w:noProof/>
        </w:rPr>
        <w:fldChar w:fldCharType="separate"/>
      </w:r>
      <w:r w:rsidR="00D236D7" w:rsidRPr="00D236D7">
        <w:t>[</w:t>
      </w:r>
      <w:r w:rsidRPr="00156725">
        <w:t>4</w:t>
      </w:r>
      <w:r w:rsidR="00D236D7" w:rsidRPr="00D236D7">
        <w:t>]</w:t>
      </w:r>
      <w:r>
        <w:rPr>
          <w:noProof/>
        </w:rPr>
        <w:fldChar w:fldCharType="end"/>
      </w:r>
      <w:r>
        <w:rPr>
          <w:noProof/>
        </w:rPr>
        <w:t xml:space="preserve">. </w:t>
      </w:r>
    </w:p>
    <w:p w14:paraId="2194D643" w14:textId="77777777" w:rsidR="00295007" w:rsidRDefault="00295007" w:rsidP="00D73033">
      <w:pPr>
        <w:rPr>
          <w:noProof/>
        </w:rPr>
      </w:pPr>
    </w:p>
    <w:p w14:paraId="65EC9E21" w14:textId="74FBB5AE" w:rsidR="00295007" w:rsidRPr="00CE4A3E" w:rsidRDefault="00295007" w:rsidP="00D73033">
      <w:pPr>
        <w:pStyle w:val="aff1"/>
        <w:spacing w:before="0"/>
        <w:rPr>
          <w:b/>
          <w:bCs/>
        </w:rPr>
      </w:pPr>
      <w:r w:rsidRPr="00CE4A3E">
        <w:rPr>
          <w:b/>
          <w:bCs/>
        </w:rPr>
        <w:t>Таблица 1</w:t>
      </w:r>
      <w:r w:rsidR="00F431B8" w:rsidRPr="008B0B82">
        <w:rPr>
          <w:b/>
          <w:bCs/>
        </w:rPr>
        <w:t>-</w:t>
      </w:r>
      <w:r w:rsidRPr="00CE4A3E">
        <w:rPr>
          <w:b/>
          <w:bCs/>
        </w:rPr>
        <w:t xml:space="preserve">2. </w:t>
      </w:r>
      <w:r w:rsidRPr="00876EAE">
        <w:rPr>
          <w:bCs/>
        </w:rPr>
        <w:t xml:space="preserve">Схемы АРТ первого ряда для взрослых по предпочтительности АРВП согласно клиническим рекомендациям при лечении ВИЧ/СПИД  Министерства здравоохранения Российской Федерации </w:t>
      </w:r>
      <w:r w:rsidRPr="00876EAE">
        <w:rPr>
          <w:bCs/>
        </w:rPr>
        <w:fldChar w:fldCharType="begin"/>
      </w:r>
      <w:r w:rsidRPr="00876EAE">
        <w:rPr>
          <w:bCs/>
        </w:rPr>
        <w:instrText xml:space="preserve"> ADDIN ZOTERO_ITEM CSL_CITATION {"citationID":"uj4phAl8","properties":{"formattedCitation":"(4)","plainCitation":"(4)","noteIndex":0},"citationItems":[{"id":2461,"uris":["http://zotero.org/users/5483459/items/TE38ARHZ"],"itemData":{"id":2461,"type":"document","title":"Министерство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sidRPr="00876EAE">
        <w:rPr>
          <w:bCs/>
        </w:rPr>
        <w:fldChar w:fldCharType="separate"/>
      </w:r>
      <w:r w:rsidR="00D236D7" w:rsidRPr="00D236D7">
        <w:rPr>
          <w:bCs/>
        </w:rPr>
        <w:t>[</w:t>
      </w:r>
      <w:r w:rsidRPr="00876EAE">
        <w:rPr>
          <w:bCs/>
        </w:rPr>
        <w:t>4</w:t>
      </w:r>
      <w:r w:rsidR="00D236D7" w:rsidRPr="00D236D7">
        <w:rPr>
          <w:bCs/>
        </w:rPr>
        <w:t>]</w:t>
      </w:r>
      <w:r w:rsidRPr="00876EAE">
        <w:rPr>
          <w:bCs/>
        </w:rPr>
        <w:fldChar w:fldCharType="end"/>
      </w:r>
      <w:r w:rsidR="00876EAE">
        <w:rPr>
          <w:bCs/>
        </w:rPr>
        <w:t>.</w:t>
      </w:r>
    </w:p>
    <w:tbl>
      <w:tblPr>
        <w:tblStyle w:val="a8"/>
        <w:tblW w:w="9356" w:type="dxa"/>
        <w:tblInd w:w="-5" w:type="dxa"/>
        <w:tblLayout w:type="fixed"/>
        <w:tblLook w:val="04A0" w:firstRow="1" w:lastRow="0" w:firstColumn="1" w:lastColumn="0" w:noHBand="0" w:noVBand="1"/>
      </w:tblPr>
      <w:tblGrid>
        <w:gridCol w:w="3119"/>
        <w:gridCol w:w="3003"/>
        <w:gridCol w:w="3234"/>
      </w:tblGrid>
      <w:tr w:rsidR="00CE4A3E" w14:paraId="2439C4A5" w14:textId="77777777" w:rsidTr="00A97B7A">
        <w:trPr>
          <w:trHeight w:val="613"/>
          <w:tblHeader/>
        </w:trPr>
        <w:tc>
          <w:tcPr>
            <w:tcW w:w="3119" w:type="dxa"/>
            <w:shd w:val="clear" w:color="auto" w:fill="D9D9D9" w:themeFill="background1" w:themeFillShade="D9"/>
            <w:vAlign w:val="center"/>
          </w:tcPr>
          <w:p w14:paraId="417B575E" w14:textId="77777777" w:rsidR="00CE4A3E" w:rsidRPr="004B3068" w:rsidRDefault="00CE4A3E" w:rsidP="00A97B7A">
            <w:pPr>
              <w:jc w:val="center"/>
              <w:rPr>
                <w:b/>
                <w:bCs/>
              </w:rPr>
            </w:pPr>
            <w:r w:rsidRPr="004B3068">
              <w:rPr>
                <w:b/>
                <w:bCs/>
              </w:rPr>
              <w:t>Предпочтительная схема</w:t>
            </w:r>
          </w:p>
        </w:tc>
        <w:tc>
          <w:tcPr>
            <w:tcW w:w="3003" w:type="dxa"/>
            <w:shd w:val="clear" w:color="auto" w:fill="D9D9D9" w:themeFill="background1" w:themeFillShade="D9"/>
            <w:vAlign w:val="center"/>
          </w:tcPr>
          <w:p w14:paraId="33D382E5" w14:textId="77777777" w:rsidR="00CE4A3E" w:rsidRPr="004B3068" w:rsidRDefault="00CE4A3E" w:rsidP="00A97B7A">
            <w:pPr>
              <w:jc w:val="center"/>
              <w:rPr>
                <w:b/>
                <w:bCs/>
              </w:rPr>
            </w:pPr>
            <w:r w:rsidRPr="004B3068">
              <w:rPr>
                <w:b/>
                <w:bCs/>
              </w:rPr>
              <w:t>Альтернативная схема</w:t>
            </w:r>
          </w:p>
        </w:tc>
        <w:tc>
          <w:tcPr>
            <w:tcW w:w="3234" w:type="dxa"/>
            <w:shd w:val="clear" w:color="auto" w:fill="D9D9D9" w:themeFill="background1" w:themeFillShade="D9"/>
            <w:vAlign w:val="center"/>
          </w:tcPr>
          <w:p w14:paraId="54516B8C" w14:textId="77777777" w:rsidR="00CE4A3E" w:rsidRPr="004B3068" w:rsidRDefault="00CE4A3E" w:rsidP="00A97B7A">
            <w:pPr>
              <w:jc w:val="center"/>
              <w:rPr>
                <w:b/>
                <w:bCs/>
              </w:rPr>
            </w:pPr>
            <w:r w:rsidRPr="004B3068">
              <w:rPr>
                <w:b/>
                <w:bCs/>
              </w:rPr>
              <w:t>Особые случаи</w:t>
            </w:r>
          </w:p>
        </w:tc>
      </w:tr>
      <w:tr w:rsidR="00CE4A3E" w14:paraId="08F052B7" w14:textId="77777777" w:rsidTr="00A97B7A">
        <w:tc>
          <w:tcPr>
            <w:tcW w:w="3119" w:type="dxa"/>
          </w:tcPr>
          <w:p w14:paraId="5C173355" w14:textId="77777777" w:rsidR="00CE4A3E" w:rsidRPr="00A97B7A" w:rsidRDefault="00CE4A3E" w:rsidP="00876EAE">
            <w:r w:rsidRPr="00A97B7A">
              <w:rPr>
                <w:lang w:val="en-US"/>
              </w:rPr>
              <w:t>TDF</w:t>
            </w:r>
            <w:r w:rsidRPr="00A97B7A">
              <w:t xml:space="preserve"> (тенофовира дизопроксил фумарат) + ЗТС (ламивудин) + EFV (эфавиренз)</w:t>
            </w:r>
          </w:p>
          <w:p w14:paraId="01191A47" w14:textId="77777777" w:rsidR="00CE4A3E" w:rsidRPr="00A97B7A" w:rsidRDefault="00CE4A3E" w:rsidP="00876EAE"/>
          <w:p w14:paraId="3B11B377" w14:textId="77777777" w:rsidR="00CE4A3E" w:rsidRPr="00A97B7A" w:rsidRDefault="00CE4A3E" w:rsidP="00876EAE"/>
          <w:p w14:paraId="311EB360" w14:textId="77777777" w:rsidR="00CE4A3E" w:rsidRPr="00A97B7A" w:rsidRDefault="00CE4A3E" w:rsidP="00876EAE">
            <w:r w:rsidRPr="00A97B7A">
              <w:rPr>
                <w:lang w:val="en-US"/>
              </w:rPr>
              <w:t>TDF</w:t>
            </w:r>
            <w:r w:rsidRPr="00A97B7A">
              <w:t xml:space="preserve"> (тенофовира дизопроксил Фумарат) + FTC (эмтрицитабин)+ EFV (эфавиренз)</w:t>
            </w:r>
          </w:p>
          <w:p w14:paraId="01D43256" w14:textId="77777777" w:rsidR="00CE4A3E" w:rsidRPr="00A97B7A" w:rsidRDefault="00CE4A3E" w:rsidP="00876EAE"/>
          <w:p w14:paraId="449BB328" w14:textId="77777777" w:rsidR="00CE4A3E" w:rsidRPr="00A97B7A" w:rsidRDefault="00CE4A3E" w:rsidP="00876EAE">
            <w:r w:rsidRPr="00A97B7A">
              <w:rPr>
                <w:lang w:val="en-US"/>
              </w:rPr>
              <w:t>TDF</w:t>
            </w:r>
            <w:r w:rsidRPr="00A97B7A">
              <w:t xml:space="preserve"> (тенофовира дизопроксил фумарат) + DTG (долутегравир) + EFV (эфавиренз)</w:t>
            </w:r>
          </w:p>
          <w:p w14:paraId="2434DBEE" w14:textId="77777777" w:rsidR="00CE4A3E" w:rsidRPr="00A97B7A" w:rsidRDefault="00CE4A3E" w:rsidP="00876EAE"/>
          <w:p w14:paraId="1AE5EE23" w14:textId="77777777" w:rsidR="00CE4A3E" w:rsidRPr="00A97B7A" w:rsidRDefault="00CE4A3E" w:rsidP="00876EAE">
            <w:r w:rsidRPr="00A97B7A">
              <w:t>TDF (тенофовира дизопроксил фумарат) + FTC (эмтрицитабин)+ DTG (долутегравир)</w:t>
            </w:r>
          </w:p>
          <w:p w14:paraId="01ED82CB" w14:textId="77777777" w:rsidR="00CE4A3E" w:rsidRPr="00A97B7A" w:rsidRDefault="00CE4A3E" w:rsidP="00876EAE"/>
          <w:p w14:paraId="0FBF6391" w14:textId="77777777" w:rsidR="00CE4A3E" w:rsidRPr="00A97B7A" w:rsidRDefault="00CE4A3E" w:rsidP="00876EAE">
            <w:r w:rsidRPr="00A97B7A">
              <w:rPr>
                <w:lang w:val="en-US"/>
              </w:rPr>
              <w:lastRenderedPageBreak/>
              <w:t>TDF</w:t>
            </w:r>
            <w:r w:rsidRPr="00A97B7A">
              <w:t xml:space="preserve"> (тенофовира дизопроксил фумарат) + ЗТС (ламивудин) + </w:t>
            </w:r>
            <w:r w:rsidRPr="00A97B7A">
              <w:rPr>
                <w:lang w:val="en-US"/>
              </w:rPr>
              <w:t>ESV</w:t>
            </w:r>
            <w:r w:rsidRPr="00A97B7A">
              <w:t xml:space="preserve"> (элсульфавирин)</w:t>
            </w:r>
          </w:p>
          <w:p w14:paraId="3C5B5F89" w14:textId="77777777" w:rsidR="00CE4A3E" w:rsidRPr="00A97B7A" w:rsidRDefault="00CE4A3E" w:rsidP="00876EAE"/>
          <w:p w14:paraId="186CDB8C" w14:textId="77777777" w:rsidR="00CE4A3E" w:rsidRPr="00A97B7A" w:rsidRDefault="00CE4A3E" w:rsidP="00876EAE">
            <w:r w:rsidRPr="00A97B7A">
              <w:rPr>
                <w:lang w:val="en-US"/>
              </w:rPr>
              <w:t>TDF</w:t>
            </w:r>
            <w:r w:rsidRPr="00A97B7A">
              <w:t xml:space="preserve"> (тенофовира дизопроксил фумарат) + FTC (эмтрицитабин)+ </w:t>
            </w:r>
            <w:r w:rsidRPr="00A97B7A">
              <w:rPr>
                <w:lang w:val="en-US"/>
              </w:rPr>
              <w:t>ESV</w:t>
            </w:r>
            <w:r w:rsidRPr="00A97B7A">
              <w:t xml:space="preserve"> (элсульфавирин)</w:t>
            </w:r>
          </w:p>
          <w:p w14:paraId="232F35FF" w14:textId="77777777" w:rsidR="00CE4A3E" w:rsidRPr="00A97B7A" w:rsidRDefault="00CE4A3E" w:rsidP="00876EAE"/>
        </w:tc>
        <w:tc>
          <w:tcPr>
            <w:tcW w:w="3003" w:type="dxa"/>
          </w:tcPr>
          <w:p w14:paraId="1069AA1E" w14:textId="77777777" w:rsidR="00CE4A3E" w:rsidRPr="00A97B7A" w:rsidRDefault="00CE4A3E" w:rsidP="00876EAE">
            <w:r w:rsidRPr="00A97B7A">
              <w:lastRenderedPageBreak/>
              <w:t>ABC (абакавир) + ЗТС (ламивудин)+ DTG (долутегравир)</w:t>
            </w:r>
          </w:p>
          <w:p w14:paraId="40AFEA69" w14:textId="77777777" w:rsidR="00CE4A3E" w:rsidRPr="00A97B7A" w:rsidRDefault="00CE4A3E" w:rsidP="00876EAE"/>
          <w:p w14:paraId="37C089BF" w14:textId="77777777" w:rsidR="00CE4A3E" w:rsidRPr="00A97B7A" w:rsidRDefault="00CE4A3E" w:rsidP="00876EAE">
            <w:r w:rsidRPr="00A97B7A">
              <w:rPr>
                <w:lang w:val="en-US"/>
              </w:rPr>
              <w:t>TDF</w:t>
            </w:r>
            <w:r w:rsidRPr="00A97B7A">
              <w:t xml:space="preserve"> (тенофовира дизопроксил фумарат) + ЗТС (ламивудин) + EFV 400 (эфавиренз)</w:t>
            </w:r>
          </w:p>
          <w:p w14:paraId="707148CA" w14:textId="77777777" w:rsidR="00CE4A3E" w:rsidRPr="00A97B7A" w:rsidRDefault="00CE4A3E" w:rsidP="00876EAE"/>
          <w:p w14:paraId="45025682" w14:textId="77777777" w:rsidR="00CE4A3E" w:rsidRPr="00A97B7A" w:rsidRDefault="00CE4A3E" w:rsidP="00876EAE"/>
        </w:tc>
        <w:tc>
          <w:tcPr>
            <w:tcW w:w="3234" w:type="dxa"/>
          </w:tcPr>
          <w:p w14:paraId="53D9CF31" w14:textId="77777777" w:rsidR="00CE4A3E" w:rsidRPr="00A97B7A" w:rsidRDefault="00CE4A3E" w:rsidP="00876EAE">
            <w:pPr>
              <w:rPr>
                <w:vertAlign w:val="subscript"/>
              </w:rPr>
            </w:pPr>
            <w:r w:rsidRPr="00A97B7A">
              <w:t xml:space="preserve">Схемы, в составы которых входят </w:t>
            </w:r>
            <w:r w:rsidRPr="00A97B7A">
              <w:rPr>
                <w:lang w:val="en-US"/>
              </w:rPr>
              <w:t>TDF</w:t>
            </w:r>
            <w:r w:rsidRPr="00A97B7A">
              <w:t xml:space="preserve"> (тенофовира дизопроксил фумарат), ABC (абакавир), ZDV (зидовудин), AZT (азидотимидин), ЗТС (ламивудин), FTC (эмтрицитабин), усиленные ритоновиром ингибиторы протеазы ATV (атазанавир), ATV (атазанавир) +</w:t>
            </w:r>
            <w:r w:rsidRPr="00A97B7A">
              <w:rPr>
                <w:lang w:val="en-US"/>
              </w:rPr>
              <w:t>r</w:t>
            </w:r>
            <w:r w:rsidRPr="00A97B7A">
              <w:t xml:space="preserve"> (</w:t>
            </w:r>
            <w:r w:rsidRPr="00E729EF">
              <w:t>ритонавир</w:t>
            </w:r>
            <w:r w:rsidRPr="00A97B7A">
              <w:t xml:space="preserve">), </w:t>
            </w:r>
            <w:r w:rsidRPr="00E729EF">
              <w:t>LPV (лопинавир)/</w:t>
            </w:r>
            <w:r w:rsidRPr="00A97B7A">
              <w:t xml:space="preserve"> </w:t>
            </w:r>
            <w:r w:rsidRPr="00A97B7A">
              <w:rPr>
                <w:lang w:val="en-US"/>
              </w:rPr>
              <w:t>r</w:t>
            </w:r>
            <w:r w:rsidRPr="00A97B7A">
              <w:t xml:space="preserve"> (</w:t>
            </w:r>
            <w:r w:rsidRPr="00E729EF">
              <w:t>ритонавир</w:t>
            </w:r>
            <w:r w:rsidRPr="00A97B7A">
              <w:t>),</w:t>
            </w:r>
            <w:r w:rsidRPr="00E729EF">
              <w:t xml:space="preserve"> </w:t>
            </w:r>
            <w:r w:rsidRPr="00A97B7A">
              <w:t xml:space="preserve">DRV дарунавир + </w:t>
            </w:r>
            <w:r w:rsidRPr="00A97B7A">
              <w:rPr>
                <w:lang w:val="en-US"/>
              </w:rPr>
              <w:t>r</w:t>
            </w:r>
            <w:r w:rsidRPr="00A97B7A">
              <w:t xml:space="preserve"> (</w:t>
            </w:r>
            <w:r w:rsidRPr="00E729EF">
              <w:t>ритонавир</w:t>
            </w:r>
            <w:r w:rsidRPr="00A97B7A">
              <w:t>), RAL (ралтегравир), RPV/TDF/FTC (рилпивирин/тенофовир /</w:t>
            </w:r>
            <w:r w:rsidRPr="00E729EF">
              <w:t xml:space="preserve"> </w:t>
            </w:r>
            <w:r w:rsidRPr="00A97B7A">
              <w:t xml:space="preserve">Схемы АРТ первого ряда для взрослых по предпочтительности АРВП эмтрицитабин), </w:t>
            </w:r>
            <w:r w:rsidRPr="00A97B7A">
              <w:rPr>
                <w:b/>
                <w:bCs/>
              </w:rPr>
              <w:t>ETR (этравирин)*,</w:t>
            </w:r>
            <w:r w:rsidRPr="00A97B7A">
              <w:t xml:space="preserve"> COBI/TDF/EVG/FTC (кобицистат/тенофовира алафенамид/элвитегравир/эмтрицитабин), BIC/TDF/FTC (биктегравир/тенофовир алафенамид/эмтрицитабин), DOR (доравирин).</w:t>
            </w:r>
          </w:p>
        </w:tc>
      </w:tr>
      <w:tr w:rsidR="00876EAE" w14:paraId="5F18B238" w14:textId="77777777" w:rsidTr="00A97B7A">
        <w:tblPrEx>
          <w:tblLook w:val="0000" w:firstRow="0" w:lastRow="0" w:firstColumn="0" w:lastColumn="0" w:noHBand="0" w:noVBand="0"/>
        </w:tblPrEx>
        <w:trPr>
          <w:trHeight w:val="264"/>
        </w:trPr>
        <w:tc>
          <w:tcPr>
            <w:tcW w:w="9356" w:type="dxa"/>
            <w:gridSpan w:val="3"/>
          </w:tcPr>
          <w:p w14:paraId="2D09E834" w14:textId="77777777" w:rsidR="00876EAE" w:rsidRPr="00984745" w:rsidRDefault="00876EAE" w:rsidP="00F431B8">
            <w:pPr>
              <w:pStyle w:val="af3"/>
              <w:ind w:left="0"/>
              <w:rPr>
                <w:b/>
                <w:sz w:val="20"/>
                <w:szCs w:val="20"/>
              </w:rPr>
            </w:pPr>
            <w:r w:rsidRPr="00984745">
              <w:rPr>
                <w:b/>
                <w:sz w:val="20"/>
                <w:szCs w:val="20"/>
              </w:rPr>
              <w:t>Примечание:</w:t>
            </w:r>
          </w:p>
          <w:p w14:paraId="05DBDF78" w14:textId="0FED5A99" w:rsidR="00876EAE" w:rsidRDefault="00F431B8" w:rsidP="00F431B8">
            <w:pPr>
              <w:pStyle w:val="af3"/>
              <w:ind w:left="0"/>
              <w:rPr>
                <w:b/>
                <w:sz w:val="22"/>
                <w:szCs w:val="22"/>
              </w:rPr>
            </w:pPr>
            <w:r w:rsidRPr="008B0B82">
              <w:rPr>
                <w:sz w:val="20"/>
                <w:szCs w:val="20"/>
              </w:rPr>
              <w:t>*</w:t>
            </w:r>
            <w:r w:rsidR="00876EAE" w:rsidRPr="00984745">
              <w:rPr>
                <w:sz w:val="20"/>
                <w:szCs w:val="20"/>
              </w:rPr>
              <w:t>Этравирин применяется в особых случаях в схемах АРТ первого ряда.</w:t>
            </w:r>
          </w:p>
        </w:tc>
      </w:tr>
    </w:tbl>
    <w:p w14:paraId="0C76AF3B" w14:textId="77777777" w:rsidR="00295007" w:rsidRDefault="00295007" w:rsidP="00295007"/>
    <w:p w14:paraId="402D288D" w14:textId="4AB2F328" w:rsidR="00295007" w:rsidRDefault="00295007" w:rsidP="00C354BD">
      <w:pPr>
        <w:ind w:firstLine="709"/>
        <w:rPr>
          <w:noProof/>
        </w:rPr>
      </w:pPr>
      <w:r>
        <w:rPr>
          <w:noProof/>
        </w:rPr>
        <w:t xml:space="preserve">Также </w:t>
      </w:r>
      <w:r w:rsidRPr="00381AF9">
        <w:rPr>
          <w:noProof/>
        </w:rPr>
        <w:t xml:space="preserve">этравирин  </w:t>
      </w:r>
      <w:r>
        <w:rPr>
          <w:noProof/>
        </w:rPr>
        <w:t xml:space="preserve">применяется в терапии </w:t>
      </w:r>
      <w:r w:rsidRPr="005439B5">
        <w:rPr>
          <w:noProof/>
        </w:rPr>
        <w:t>второго ряда в случае неэффективности терапевтических схем предыдущего ряда</w:t>
      </w:r>
      <w:r>
        <w:rPr>
          <w:noProof/>
        </w:rPr>
        <w:t xml:space="preserve"> </w:t>
      </w:r>
      <w:r w:rsidRPr="00381AF9">
        <w:rPr>
          <w:noProof/>
        </w:rPr>
        <w:t>в составе альтернативных схем</w:t>
      </w:r>
      <w:r>
        <w:rPr>
          <w:noProof/>
        </w:rPr>
        <w:t xml:space="preserve"> </w:t>
      </w:r>
      <w:r>
        <w:rPr>
          <w:noProof/>
        </w:rPr>
        <w:fldChar w:fldCharType="begin"/>
      </w:r>
      <w:r>
        <w:rPr>
          <w:noProof/>
        </w:rPr>
        <w:instrText xml:space="preserve"> ADDIN ZOTERO_ITEM CSL_CITATION {"citationID":"24ruHdar","properties":{"formattedCitation":"(4)","plainCitation":"(4)","noteIndex":0},"citationItems":[{"id":2461,"uris":["http://zotero.org/users/5483459/items/TE38ARHZ"],"itemData":{"id":2461,"type":"document","title":"Министерство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2020."}}],"schema":"https://github.com/citation-style-language/schema/raw/master/csl-citation.json"} </w:instrText>
      </w:r>
      <w:r>
        <w:rPr>
          <w:noProof/>
        </w:rPr>
        <w:fldChar w:fldCharType="separate"/>
      </w:r>
      <w:r w:rsidR="00D236D7" w:rsidRPr="00D236D7">
        <w:t>[</w:t>
      </w:r>
      <w:r w:rsidRPr="00156725">
        <w:t>4</w:t>
      </w:r>
      <w:r w:rsidR="00D236D7" w:rsidRPr="00D236D7">
        <w:t>]</w:t>
      </w:r>
      <w:r>
        <w:rPr>
          <w:noProof/>
        </w:rPr>
        <w:fldChar w:fldCharType="end"/>
      </w:r>
      <w:r>
        <w:rPr>
          <w:noProof/>
        </w:rPr>
        <w:t>.</w:t>
      </w:r>
    </w:p>
    <w:p w14:paraId="1F7972F4" w14:textId="01685858" w:rsidR="00295007" w:rsidRDefault="00295007" w:rsidP="00C354BD">
      <w:pPr>
        <w:ind w:firstLine="709"/>
        <w:rPr>
          <w:noProof/>
        </w:rPr>
      </w:pPr>
      <w:r>
        <w:rPr>
          <w:noProof/>
        </w:rPr>
        <w:t xml:space="preserve">По </w:t>
      </w:r>
      <w:r w:rsidRPr="00311206">
        <w:rPr>
          <w:noProof/>
        </w:rPr>
        <w:t>данны</w:t>
      </w:r>
      <w:r>
        <w:rPr>
          <w:noProof/>
        </w:rPr>
        <w:t>м</w:t>
      </w:r>
      <w:r w:rsidRPr="00311206">
        <w:rPr>
          <w:noProof/>
        </w:rPr>
        <w:t xml:space="preserve"> действующих клинических рекомендаций Министерства здравоохранения Российской Федерации </w:t>
      </w:r>
      <w:r>
        <w:rPr>
          <w:noProof/>
        </w:rPr>
        <w:t xml:space="preserve"> для детей</w:t>
      </w:r>
      <w:r w:rsidR="00CE4A3E">
        <w:rPr>
          <w:noProof/>
        </w:rPr>
        <w:t xml:space="preserve"> (2020 год)</w:t>
      </w:r>
      <w:r>
        <w:rPr>
          <w:noProof/>
        </w:rPr>
        <w:t xml:space="preserve">, </w:t>
      </w:r>
      <w:r w:rsidRPr="00381AF9">
        <w:rPr>
          <w:noProof/>
        </w:rPr>
        <w:t xml:space="preserve">этравирин  </w:t>
      </w:r>
      <w:r>
        <w:rPr>
          <w:noProof/>
        </w:rPr>
        <w:t>применяется в терапии первого</w:t>
      </w:r>
      <w:r w:rsidRPr="005439B5">
        <w:rPr>
          <w:noProof/>
        </w:rPr>
        <w:t xml:space="preserve"> ряда </w:t>
      </w:r>
      <w:r w:rsidRPr="00FD38A3">
        <w:rPr>
          <w:noProof/>
        </w:rPr>
        <w:t xml:space="preserve">в составе  альтернативной  схемы в качестве </w:t>
      </w:r>
      <w:r>
        <w:rPr>
          <w:noProof/>
        </w:rPr>
        <w:t>третьего</w:t>
      </w:r>
      <w:r w:rsidRPr="00FD38A3">
        <w:rPr>
          <w:noProof/>
        </w:rPr>
        <w:t xml:space="preserve"> препарат</w:t>
      </w:r>
      <w:r w:rsidR="00F64961">
        <w:rPr>
          <w:noProof/>
        </w:rPr>
        <w:t>а</w:t>
      </w:r>
      <w:r w:rsidRPr="00FD38A3">
        <w:rPr>
          <w:noProof/>
        </w:rPr>
        <w:t xml:space="preserve"> к </w:t>
      </w:r>
      <w:r>
        <w:rPr>
          <w:noProof/>
        </w:rPr>
        <w:t>двум</w:t>
      </w:r>
      <w:r w:rsidRPr="00FD38A3">
        <w:rPr>
          <w:noProof/>
        </w:rPr>
        <w:t xml:space="preserve"> НИОТ у детей </w:t>
      </w:r>
      <w:r>
        <w:rPr>
          <w:noProof/>
        </w:rPr>
        <w:t xml:space="preserve">от 6 до 18 лет </w:t>
      </w:r>
      <w:r>
        <w:rPr>
          <w:noProof/>
        </w:rPr>
        <w:fldChar w:fldCharType="begin"/>
      </w:r>
      <w:r>
        <w:rPr>
          <w:noProof/>
        </w:rPr>
        <w:instrText xml:space="preserve"> ADDIN ZOTERO_ITEM CSL_CITATION {"citationID":"3iJA3oTE","properties":{"formattedCitation":"(12)","plainCitation":"(12)","noteIndex":0},"citationItems":[{"id":2490,"uris":["http://zotero.org/users/5483459/items/A2PPE6TL"],"itemData":{"id":2490,"type":"document","title":"Министерство здравоохранения Российской Федерации. Клинические рекомендации ВИЧ-инфекция у детей. 2020."}}],"schema":"https://github.com/citation-style-language/schema/raw/master/csl-citation.json"} </w:instrText>
      </w:r>
      <w:r>
        <w:rPr>
          <w:noProof/>
        </w:rPr>
        <w:fldChar w:fldCharType="separate"/>
      </w:r>
      <w:r w:rsidR="00D236D7" w:rsidRPr="00D236D7">
        <w:t>[</w:t>
      </w:r>
      <w:r w:rsidRPr="00156725">
        <w:t>12</w:t>
      </w:r>
      <w:r w:rsidR="00D236D7" w:rsidRPr="00D236D7">
        <w:t>]</w:t>
      </w:r>
      <w:r>
        <w:rPr>
          <w:noProof/>
        </w:rPr>
        <w:fldChar w:fldCharType="end"/>
      </w:r>
      <w:r>
        <w:rPr>
          <w:noProof/>
        </w:rPr>
        <w:t>.</w:t>
      </w:r>
    </w:p>
    <w:p w14:paraId="62F68E5F" w14:textId="4DEBBF0C" w:rsidR="00F431B8" w:rsidRPr="00AC7A0D" w:rsidRDefault="00F431B8" w:rsidP="00F431B8">
      <w:pPr>
        <w:ind w:firstLine="709"/>
      </w:pPr>
      <w:bookmarkStart w:id="44" w:name="_Hlk111671418"/>
      <w:r w:rsidRPr="00DA75AA">
        <w:rPr>
          <w:lang w:val="en-US"/>
        </w:rPr>
        <w:t>DT</w:t>
      </w:r>
      <w:r w:rsidRPr="00DA75AA">
        <w:t>-</w:t>
      </w:r>
      <w:r>
        <w:rPr>
          <w:lang w:val="en-US"/>
        </w:rPr>
        <w:t>ETR</w:t>
      </w:r>
      <w:r>
        <w:rPr>
          <w:bCs/>
          <w:lang w:eastAsia="ru-RU"/>
        </w:rPr>
        <w:t xml:space="preserve">, таблетки, </w:t>
      </w:r>
      <w:r w:rsidRPr="00707D60">
        <w:t>10</w:t>
      </w:r>
      <w:r>
        <w:t xml:space="preserve">0 </w:t>
      </w:r>
      <w:r w:rsidRPr="00707D60">
        <w:t>мг</w:t>
      </w:r>
      <w:r>
        <w:t xml:space="preserve"> и 200</w:t>
      </w:r>
      <w:r w:rsidRPr="00707D60">
        <w:t xml:space="preserve"> мг </w:t>
      </w:r>
      <w:r>
        <w:rPr>
          <w:bCs/>
          <w:lang w:eastAsia="ru-RU"/>
        </w:rPr>
        <w:t xml:space="preserve">– </w:t>
      </w:r>
      <w:r w:rsidRPr="00DA75AA">
        <w:rPr>
          <w:bCs/>
          <w:lang w:eastAsia="ru-RU"/>
        </w:rPr>
        <w:t xml:space="preserve">воспроизведенный препарат </w:t>
      </w:r>
      <w:r>
        <w:rPr>
          <w:bCs/>
          <w:lang w:eastAsia="ru-RU"/>
        </w:rPr>
        <w:t>этравирина</w:t>
      </w:r>
      <w:r w:rsidRPr="00DA75AA">
        <w:rPr>
          <w:bCs/>
          <w:lang w:eastAsia="ru-RU"/>
        </w:rPr>
        <w:t xml:space="preserve">, разработанный </w:t>
      </w:r>
      <w:r>
        <w:rPr>
          <w:bCs/>
          <w:lang w:eastAsia="ru-RU"/>
        </w:rPr>
        <w:t>дочерним подразделением ГК «Р-Фарм», Россия – ООО «Технология лекарств»</w:t>
      </w:r>
      <w:r w:rsidRPr="00DA75AA">
        <w:rPr>
          <w:bCs/>
          <w:lang w:eastAsia="ru-RU"/>
        </w:rPr>
        <w:t xml:space="preserve">. </w:t>
      </w:r>
      <w:r>
        <w:rPr>
          <w:color w:val="000000"/>
        </w:rPr>
        <w:t xml:space="preserve">Он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препарату </w:t>
      </w:r>
      <w:r w:rsidR="00E729EF">
        <w:rPr>
          <w:color w:val="000000"/>
        </w:rPr>
        <w:t xml:space="preserve">этравирина </w:t>
      </w:r>
      <w:r w:rsidR="00822793">
        <w:rPr>
          <w:color w:val="000000"/>
        </w:rPr>
        <w:t>Интеленс</w:t>
      </w:r>
      <w:r w:rsidRPr="00DA75AA">
        <w:rPr>
          <w:color w:val="000000"/>
          <w:vertAlign w:val="superscript"/>
        </w:rPr>
        <w:t>®</w:t>
      </w:r>
      <w:r w:rsidRPr="00DA75AA">
        <w:rPr>
          <w:color w:val="000000"/>
        </w:rPr>
        <w:t xml:space="preserve"> </w:t>
      </w:r>
      <w:r w:rsidRPr="00DA75AA">
        <w:rPr>
          <w:lang w:eastAsia="ru-RU"/>
        </w:rPr>
        <w:t xml:space="preserve">(владелец РУ </w:t>
      </w:r>
      <w:r>
        <w:rPr>
          <w:lang w:eastAsia="ru-RU"/>
        </w:rPr>
        <w:t xml:space="preserve">– </w:t>
      </w:r>
      <w:r w:rsidR="00822793">
        <w:rPr>
          <w:lang w:eastAsia="ru-RU"/>
        </w:rPr>
        <w:t xml:space="preserve">ООО «Джонсон </w:t>
      </w:r>
      <w:r w:rsidR="00822793" w:rsidRPr="009B427E">
        <w:rPr>
          <w:lang w:eastAsia="ru-RU"/>
        </w:rPr>
        <w:t xml:space="preserve">&amp; </w:t>
      </w:r>
      <w:r w:rsidR="00822793">
        <w:rPr>
          <w:lang w:eastAsia="ru-RU"/>
        </w:rPr>
        <w:t>Джонсон», Россия</w:t>
      </w:r>
      <w:r w:rsidRPr="00DA75AA">
        <w:rPr>
          <w:lang w:eastAsia="ru-RU"/>
        </w:rPr>
        <w:t xml:space="preserve">), </w:t>
      </w:r>
      <w:r>
        <w:rPr>
          <w:lang w:eastAsia="ru-RU"/>
        </w:rPr>
        <w:t>имея отличия в</w:t>
      </w:r>
      <w:r w:rsidR="00822793">
        <w:rPr>
          <w:lang w:eastAsia="ru-RU"/>
        </w:rPr>
        <w:t xml:space="preserve"> качественном и</w:t>
      </w:r>
      <w:r>
        <w:rPr>
          <w:lang w:eastAsia="ru-RU"/>
        </w:rPr>
        <w:t xml:space="preserve"> количественном составе некоторых вспомогательных веществ.</w:t>
      </w:r>
      <w:r>
        <w:rPr>
          <w:color w:val="000000"/>
        </w:rPr>
        <w:t xml:space="preserve"> </w:t>
      </w:r>
      <w:r>
        <w:rPr>
          <w:color w:val="000000" w:themeColor="text1"/>
        </w:rPr>
        <w:t xml:space="preserve">Результаты теста сравнительной кинетики растворения, проведенного в нескольких средах с использованием </w:t>
      </w:r>
      <w:r>
        <w:rPr>
          <w:color w:val="000000" w:themeColor="text1"/>
          <w:lang w:val="en-US"/>
        </w:rPr>
        <w:t>DT</w:t>
      </w:r>
      <w:r>
        <w:rPr>
          <w:color w:val="000000" w:themeColor="text1"/>
        </w:rPr>
        <w:t>-</w:t>
      </w:r>
      <w:r>
        <w:rPr>
          <w:color w:val="000000" w:themeColor="text1"/>
          <w:lang w:val="en-US"/>
        </w:rPr>
        <w:t>E</w:t>
      </w:r>
      <w:r w:rsidR="00822793">
        <w:rPr>
          <w:color w:val="000000" w:themeColor="text1"/>
          <w:lang w:val="en-US"/>
        </w:rPr>
        <w:t>T</w:t>
      </w:r>
      <w:r>
        <w:rPr>
          <w:color w:val="000000" w:themeColor="text1"/>
          <w:lang w:val="en-US"/>
        </w:rPr>
        <w:t>R</w:t>
      </w:r>
      <w:r>
        <w:rPr>
          <w:color w:val="000000" w:themeColor="text1"/>
        </w:rPr>
        <w:t xml:space="preserve"> </w:t>
      </w:r>
      <w:r w:rsidR="00822793">
        <w:rPr>
          <w:color w:val="000000" w:themeColor="text1"/>
        </w:rPr>
        <w:t xml:space="preserve">в дозировке 200 мг </w:t>
      </w:r>
      <w:r>
        <w:rPr>
          <w:color w:val="000000" w:themeColor="text1"/>
        </w:rPr>
        <w:t xml:space="preserve">в сравнении с референтным препаратом </w:t>
      </w:r>
      <w:r w:rsidR="00822793">
        <w:rPr>
          <w:color w:val="000000" w:themeColor="text1"/>
        </w:rPr>
        <w:t>Интеленс</w:t>
      </w:r>
      <w:r>
        <w:rPr>
          <w:color w:val="000000" w:themeColor="text1"/>
          <w:vertAlign w:val="superscript"/>
        </w:rPr>
        <w:t>®</w:t>
      </w:r>
      <w:r w:rsidR="00822793">
        <w:rPr>
          <w:color w:val="000000" w:themeColor="text1"/>
        </w:rPr>
        <w:t xml:space="preserve"> в дозировке 200 мг</w:t>
      </w:r>
      <w:r>
        <w:rPr>
          <w:color w:val="000000" w:themeColor="text1"/>
        </w:rPr>
        <w:t xml:space="preserve">,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Pr="00AC7A0D">
        <w:t>В связи с этим представляется целесообразным проведение клинического исследования биоэквивалентности</w:t>
      </w:r>
      <w:r w:rsidRPr="00AC7A0D">
        <w:rPr>
          <w:bCs/>
          <w:lang w:eastAsia="ru-RU"/>
        </w:rPr>
        <w:t xml:space="preserve"> лекарственного препарата </w:t>
      </w:r>
      <w:r w:rsidR="00E729EF">
        <w:t>ЭТРАВИРИН</w:t>
      </w:r>
      <w:r w:rsidR="00E729EF" w:rsidRPr="00AC7A0D">
        <w:t xml:space="preserve"> </w:t>
      </w:r>
      <w:r w:rsidRPr="00AC7A0D">
        <w:t>(</w:t>
      </w:r>
      <w:r>
        <w:rPr>
          <w:lang w:val="en-US"/>
        </w:rPr>
        <w:t>DT</w:t>
      </w:r>
      <w:r w:rsidRPr="003C5D89">
        <w:t>-</w:t>
      </w:r>
      <w:r>
        <w:rPr>
          <w:lang w:val="en-US"/>
        </w:rPr>
        <w:t>E</w:t>
      </w:r>
      <w:r w:rsidR="00822793">
        <w:rPr>
          <w:lang w:val="en-US"/>
        </w:rPr>
        <w:t>T</w:t>
      </w:r>
      <w:r>
        <w:rPr>
          <w:lang w:val="en-US"/>
        </w:rPr>
        <w:t>R</w:t>
      </w:r>
      <w:r w:rsidRPr="00AC7A0D">
        <w:t xml:space="preserve">), таблетки </w:t>
      </w:r>
      <w:r w:rsidR="00822793" w:rsidRPr="008B0B82">
        <w:t>20</w:t>
      </w:r>
      <w:r w:rsidRPr="00AC7A0D">
        <w:t xml:space="preserve">0 мг (АО «Р-Фарм», Россия) </w:t>
      </w:r>
      <w:r w:rsidRPr="00AC7A0D">
        <w:rPr>
          <w:lang w:eastAsia="ru-RU"/>
        </w:rPr>
        <w:t xml:space="preserve">в сравнении с оригинальным препаратом </w:t>
      </w:r>
      <w:r w:rsidR="00822793">
        <w:t>Интеленс</w:t>
      </w:r>
      <w:r w:rsidRPr="003C5D89">
        <w:rPr>
          <w:vertAlign w:val="superscript"/>
        </w:rPr>
        <w:t>®</w:t>
      </w:r>
      <w:r w:rsidRPr="00AC7A0D">
        <w:t xml:space="preserve">, таблетки </w:t>
      </w:r>
      <w:r w:rsidR="00822793">
        <w:t>20</w:t>
      </w:r>
      <w:r w:rsidRPr="00AC7A0D">
        <w:t>0 мг (</w:t>
      </w:r>
      <w:r w:rsidR="00822793">
        <w:rPr>
          <w:lang w:eastAsia="ru-RU"/>
        </w:rPr>
        <w:t xml:space="preserve">ООО «Джонсон </w:t>
      </w:r>
      <w:r w:rsidR="00822793" w:rsidRPr="009B427E">
        <w:rPr>
          <w:lang w:eastAsia="ru-RU"/>
        </w:rPr>
        <w:t xml:space="preserve">&amp; </w:t>
      </w:r>
      <w:r w:rsidR="00822793">
        <w:rPr>
          <w:lang w:eastAsia="ru-RU"/>
        </w:rPr>
        <w:t>Джонсон», Россия</w:t>
      </w:r>
      <w:r w:rsidRPr="00AC7A0D">
        <w:t>)</w:t>
      </w:r>
      <w:r w:rsidRPr="00AC7A0D">
        <w:rPr>
          <w:bCs/>
          <w:lang w:eastAsia="ru-RU"/>
        </w:rPr>
        <w:t>.</w:t>
      </w:r>
    </w:p>
    <w:bookmarkEnd w:id="44"/>
    <w:p w14:paraId="0F2EDE6E" w14:textId="77777777" w:rsidR="00295007" w:rsidRPr="00A274B9" w:rsidRDefault="00295007" w:rsidP="00C354BD">
      <w:pPr>
        <w:autoSpaceDE w:val="0"/>
        <w:autoSpaceDN w:val="0"/>
        <w:adjustRightInd w:val="0"/>
        <w:ind w:firstLine="709"/>
        <w:rPr>
          <w:bCs/>
          <w:color w:val="FF0000"/>
          <w:lang w:eastAsia="ru-RU"/>
        </w:rPr>
      </w:pPr>
      <w:r w:rsidRPr="00915DE5">
        <w:rPr>
          <w:bCs/>
          <w:lang w:eastAsia="ru-RU"/>
        </w:rPr>
        <w:t xml:space="preserve">Внедрение в клиническую практику нового воспроизведенного препарата </w:t>
      </w:r>
      <w:r w:rsidRPr="00915DE5">
        <w:t xml:space="preserve">этравирин </w:t>
      </w:r>
      <w:r w:rsidRPr="00915DE5">
        <w:rPr>
          <w:bCs/>
          <w:lang w:eastAsia="ru-RU"/>
        </w:rPr>
        <w:t xml:space="preserve">позволит снизить цену современной </w:t>
      </w:r>
      <w:r w:rsidRPr="00915DE5">
        <w:rPr>
          <w:lang w:eastAsia="ru-RU"/>
        </w:rPr>
        <w:t>комбинированной терапии ВИЧ-инфекции</w:t>
      </w:r>
      <w:r>
        <w:rPr>
          <w:color w:val="FF0000"/>
          <w:lang w:eastAsia="ru-RU"/>
        </w:rPr>
        <w:t>.</w:t>
      </w:r>
    </w:p>
    <w:p w14:paraId="1417D9EF" w14:textId="77777777" w:rsidR="00295007" w:rsidRDefault="00295007" w:rsidP="00295007">
      <w:pPr>
        <w:pStyle w:val="2"/>
        <w:numPr>
          <w:ilvl w:val="1"/>
          <w:numId w:val="5"/>
        </w:numPr>
        <w:spacing w:line="240" w:lineRule="auto"/>
        <w:ind w:left="0" w:firstLine="0"/>
        <w:rPr>
          <w:color w:val="000000" w:themeColor="text1"/>
          <w:szCs w:val="24"/>
        </w:rPr>
      </w:pPr>
      <w:bookmarkStart w:id="45" w:name="_Toc535339329"/>
      <w:bookmarkStart w:id="46" w:name="_Toc117179169"/>
      <w:bookmarkEnd w:id="43"/>
      <w:bookmarkEnd w:id="45"/>
      <w:r w:rsidRPr="005E6358">
        <w:rPr>
          <w:color w:val="000000" w:themeColor="text1"/>
          <w:szCs w:val="24"/>
        </w:rPr>
        <w:t>Ожидаемые показания к применению</w:t>
      </w:r>
      <w:bookmarkEnd w:id="46"/>
    </w:p>
    <w:p w14:paraId="72107399" w14:textId="7C46B6A0" w:rsidR="00295007" w:rsidRPr="0096103F" w:rsidRDefault="00822793" w:rsidP="00C354BD">
      <w:pPr>
        <w:ind w:firstLine="709"/>
      </w:pPr>
      <w:r>
        <w:t>Л</w:t>
      </w:r>
      <w:r w:rsidR="00295007" w:rsidRPr="0096103F">
        <w:t xml:space="preserve">ечение инфекции ВИЧ-1 у взрослых, которые ранее получали антиретровирусные препараты, и детей с 2 лет, которые ранее получали антиретровирусные препараты. </w:t>
      </w:r>
    </w:p>
    <w:p w14:paraId="125EF939" w14:textId="0AD28CA5" w:rsidR="00295007" w:rsidRPr="004D7C17" w:rsidRDefault="00295007" w:rsidP="00295007">
      <w:pPr>
        <w:pStyle w:val="2"/>
        <w:spacing w:line="240" w:lineRule="auto"/>
        <w:rPr>
          <w:color w:val="000000" w:themeColor="text1"/>
          <w:szCs w:val="24"/>
          <w:lang w:val="en-US"/>
        </w:rPr>
      </w:pPr>
      <w:bookmarkStart w:id="47" w:name="_Toc32336729"/>
      <w:bookmarkStart w:id="48" w:name="_Toc117179170"/>
      <w:r>
        <w:rPr>
          <w:color w:val="000000" w:themeColor="text1"/>
          <w:szCs w:val="24"/>
        </w:rPr>
        <w:lastRenderedPageBreak/>
        <w:t>Список</w:t>
      </w:r>
      <w:r w:rsidRPr="00602EA6">
        <w:rPr>
          <w:color w:val="000000" w:themeColor="text1"/>
          <w:szCs w:val="24"/>
          <w:lang w:val="en-US"/>
        </w:rPr>
        <w:t xml:space="preserve"> </w:t>
      </w:r>
      <w:r>
        <w:rPr>
          <w:color w:val="000000" w:themeColor="text1"/>
          <w:szCs w:val="24"/>
        </w:rPr>
        <w:t>литературы</w:t>
      </w:r>
      <w:bookmarkEnd w:id="47"/>
      <w:bookmarkEnd w:id="48"/>
    </w:p>
    <w:p w14:paraId="6B0AF9FB" w14:textId="77777777" w:rsidR="00CC77F8" w:rsidRPr="005F7263" w:rsidRDefault="00CC77F8" w:rsidP="00C354BD">
      <w:pPr>
        <w:pStyle w:val="afff2"/>
        <w:ind w:left="709" w:hanging="283"/>
        <w:rPr>
          <w:lang w:val="en-US"/>
        </w:rPr>
      </w:pPr>
      <w:r>
        <w:rPr>
          <w:lang w:val="en-US" w:eastAsia="en-US"/>
        </w:rPr>
        <w:fldChar w:fldCharType="begin"/>
      </w:r>
      <w:r>
        <w:rPr>
          <w:lang w:val="en-US" w:eastAsia="en-US"/>
        </w:rPr>
        <w:instrText xml:space="preserve"> ADDIN ZOTERO_BIBL {"uncited":[],"omitted":[],"custom":[]} CSL_BIBLIOGRAPHY </w:instrText>
      </w:r>
      <w:r>
        <w:rPr>
          <w:lang w:val="en-US" w:eastAsia="en-US"/>
        </w:rPr>
        <w:fldChar w:fldCharType="separate"/>
      </w:r>
      <w:r w:rsidRPr="004E4056">
        <w:rPr>
          <w:lang w:val="en-US"/>
        </w:rPr>
        <w:t>1.</w:t>
      </w:r>
      <w:r w:rsidRPr="004E4056">
        <w:rPr>
          <w:lang w:val="en-US"/>
        </w:rPr>
        <w:tab/>
        <w:t>Product Monograph INTELENCE® etravirine tablets 25 mg, 100 mg, 200 mg. Janssen Inc.  Date</w:t>
      </w:r>
      <w:r w:rsidRPr="005F7263">
        <w:rPr>
          <w:lang w:val="en-US"/>
        </w:rPr>
        <w:t xml:space="preserve"> </w:t>
      </w:r>
      <w:r w:rsidRPr="004E4056">
        <w:rPr>
          <w:lang w:val="en-US"/>
        </w:rPr>
        <w:t>of</w:t>
      </w:r>
      <w:r w:rsidRPr="005F7263">
        <w:rPr>
          <w:lang w:val="en-US"/>
        </w:rPr>
        <w:t xml:space="preserve"> </w:t>
      </w:r>
      <w:r w:rsidRPr="004E4056">
        <w:rPr>
          <w:lang w:val="en-US"/>
        </w:rPr>
        <w:t>Revision</w:t>
      </w:r>
      <w:r w:rsidRPr="005F7263">
        <w:rPr>
          <w:lang w:val="en-US"/>
        </w:rPr>
        <w:t xml:space="preserve">: </w:t>
      </w:r>
      <w:r w:rsidRPr="004E4056">
        <w:rPr>
          <w:lang w:val="en-US"/>
        </w:rPr>
        <w:t>May</w:t>
      </w:r>
      <w:r w:rsidRPr="005F7263">
        <w:rPr>
          <w:lang w:val="en-US"/>
        </w:rPr>
        <w:t xml:space="preserve"> 17, 2017. </w:t>
      </w:r>
    </w:p>
    <w:p w14:paraId="1F24FA30" w14:textId="77777777" w:rsidR="00CC77F8" w:rsidRPr="00A76175" w:rsidRDefault="00CC77F8" w:rsidP="00C354BD">
      <w:pPr>
        <w:pStyle w:val="afff2"/>
        <w:ind w:left="709" w:hanging="283"/>
        <w:rPr>
          <w:lang w:val="en-US"/>
        </w:rPr>
      </w:pPr>
      <w:r w:rsidRPr="00A76175">
        <w:rPr>
          <w:lang w:val="en-US"/>
        </w:rPr>
        <w:t>2.</w:t>
      </w:r>
      <w:r w:rsidRPr="00A76175">
        <w:rPr>
          <w:lang w:val="en-US"/>
        </w:rPr>
        <w:tab/>
      </w:r>
      <w:r>
        <w:t>Инструкция</w:t>
      </w:r>
      <w:r w:rsidRPr="00A76175">
        <w:rPr>
          <w:lang w:val="en-US"/>
        </w:rPr>
        <w:t xml:space="preserve"> </w:t>
      </w:r>
      <w:r>
        <w:t>по</w:t>
      </w:r>
      <w:r w:rsidRPr="00A76175">
        <w:rPr>
          <w:lang w:val="en-US"/>
        </w:rPr>
        <w:t xml:space="preserve"> </w:t>
      </w:r>
      <w:r>
        <w:t>медицинскому</w:t>
      </w:r>
      <w:r w:rsidRPr="00A76175">
        <w:rPr>
          <w:lang w:val="en-US"/>
        </w:rPr>
        <w:t xml:space="preserve"> </w:t>
      </w:r>
      <w:r>
        <w:t>применению</w:t>
      </w:r>
      <w:r w:rsidRPr="00A76175">
        <w:rPr>
          <w:lang w:val="en-US"/>
        </w:rPr>
        <w:t xml:space="preserve"> </w:t>
      </w:r>
      <w:r>
        <w:t>препарата</w:t>
      </w:r>
      <w:r w:rsidRPr="00A76175">
        <w:rPr>
          <w:lang w:val="en-US"/>
        </w:rPr>
        <w:t xml:space="preserve"> </w:t>
      </w:r>
      <w:r>
        <w:t>Интеленс</w:t>
      </w:r>
      <w:r w:rsidRPr="00A76175">
        <w:rPr>
          <w:vertAlign w:val="superscript"/>
          <w:lang w:val="en-US"/>
        </w:rPr>
        <w:t>®</w:t>
      </w:r>
      <w:r w:rsidRPr="00A76175">
        <w:rPr>
          <w:lang w:val="en-US"/>
        </w:rPr>
        <w:t xml:space="preserve">, </w:t>
      </w:r>
      <w:r>
        <w:t>таблетки</w:t>
      </w:r>
      <w:r w:rsidRPr="00A76175">
        <w:rPr>
          <w:lang w:val="en-US"/>
        </w:rPr>
        <w:t xml:space="preserve"> 25 </w:t>
      </w:r>
      <w:r>
        <w:t>мг</w:t>
      </w:r>
      <w:r w:rsidRPr="00A76175">
        <w:rPr>
          <w:lang w:val="en-US"/>
        </w:rPr>
        <w:t xml:space="preserve">, 100 </w:t>
      </w:r>
      <w:r>
        <w:t>мг</w:t>
      </w:r>
      <w:r w:rsidRPr="00A76175">
        <w:rPr>
          <w:lang w:val="en-US"/>
        </w:rPr>
        <w:t xml:space="preserve"> (</w:t>
      </w:r>
      <w:r>
        <w:t>Янссен</w:t>
      </w:r>
      <w:r w:rsidRPr="00A76175">
        <w:rPr>
          <w:lang w:val="en-US"/>
        </w:rPr>
        <w:t>-</w:t>
      </w:r>
      <w:r>
        <w:t>Силаг</w:t>
      </w:r>
      <w:r w:rsidRPr="00A76175">
        <w:rPr>
          <w:lang w:val="en-US"/>
        </w:rPr>
        <w:t xml:space="preserve"> </w:t>
      </w:r>
      <w:r>
        <w:t>С</w:t>
      </w:r>
      <w:r w:rsidRPr="00A76175">
        <w:rPr>
          <w:lang w:val="en-US"/>
        </w:rPr>
        <w:t>.</w:t>
      </w:r>
      <w:r>
        <w:t>п</w:t>
      </w:r>
      <w:r w:rsidRPr="00A76175">
        <w:rPr>
          <w:lang w:val="en-US"/>
        </w:rPr>
        <w:t>.</w:t>
      </w:r>
      <w:r>
        <w:t>А</w:t>
      </w:r>
      <w:r w:rsidRPr="00A76175">
        <w:rPr>
          <w:lang w:val="en-US"/>
        </w:rPr>
        <w:t xml:space="preserve">, </w:t>
      </w:r>
      <w:r>
        <w:t>Италия</w:t>
      </w:r>
      <w:r w:rsidRPr="00A76175">
        <w:rPr>
          <w:lang w:val="en-US"/>
        </w:rPr>
        <w:t xml:space="preserve">)  </w:t>
      </w:r>
      <w:r>
        <w:t>владелец</w:t>
      </w:r>
      <w:r w:rsidRPr="00A76175">
        <w:rPr>
          <w:lang w:val="en-US"/>
        </w:rPr>
        <w:t xml:space="preserve"> </w:t>
      </w:r>
      <w:r>
        <w:t>РУ</w:t>
      </w:r>
      <w:r w:rsidRPr="00A76175">
        <w:rPr>
          <w:lang w:val="en-US"/>
        </w:rPr>
        <w:t xml:space="preserve">: </w:t>
      </w:r>
      <w:r>
        <w:t>Мерк</w:t>
      </w:r>
      <w:r w:rsidRPr="00A76175">
        <w:rPr>
          <w:lang w:val="en-US"/>
        </w:rPr>
        <w:t xml:space="preserve"> </w:t>
      </w:r>
      <w:r>
        <w:t>Шарп</w:t>
      </w:r>
      <w:r w:rsidRPr="00A76175">
        <w:rPr>
          <w:lang w:val="en-US"/>
        </w:rPr>
        <w:t xml:space="preserve"> </w:t>
      </w:r>
      <w:r>
        <w:t>и</w:t>
      </w:r>
      <w:r w:rsidRPr="00A76175">
        <w:rPr>
          <w:lang w:val="en-US"/>
        </w:rPr>
        <w:t xml:space="preserve"> </w:t>
      </w:r>
      <w:r>
        <w:t>Доум</w:t>
      </w:r>
      <w:r w:rsidRPr="00A76175">
        <w:rPr>
          <w:lang w:val="en-US"/>
        </w:rPr>
        <w:t xml:space="preserve"> </w:t>
      </w:r>
      <w:r>
        <w:t>Б</w:t>
      </w:r>
      <w:r w:rsidRPr="00A76175">
        <w:rPr>
          <w:lang w:val="en-US"/>
        </w:rPr>
        <w:t>.</w:t>
      </w:r>
      <w:r>
        <w:t>В</w:t>
      </w:r>
      <w:r w:rsidRPr="00A76175">
        <w:rPr>
          <w:lang w:val="en-US"/>
        </w:rPr>
        <w:t xml:space="preserve">., </w:t>
      </w:r>
      <w:r>
        <w:t>Нидерланды</w:t>
      </w:r>
      <w:r w:rsidRPr="00A76175">
        <w:rPr>
          <w:lang w:val="en-US"/>
        </w:rPr>
        <w:t xml:space="preserve">). </w:t>
      </w:r>
    </w:p>
    <w:p w14:paraId="689EBB68" w14:textId="77777777" w:rsidR="00CC77F8" w:rsidRDefault="00CC77F8" w:rsidP="00C354BD">
      <w:pPr>
        <w:pStyle w:val="afff2"/>
        <w:ind w:left="709" w:hanging="283"/>
      </w:pPr>
      <w:r>
        <w:t>3.</w:t>
      </w:r>
      <w:r>
        <w:tab/>
        <w:t>Инструкция по медицинскому применению препарата Интеленс</w:t>
      </w:r>
      <w:r w:rsidRPr="00A76175">
        <w:rPr>
          <w:vertAlign w:val="superscript"/>
        </w:rPr>
        <w:t>®</w:t>
      </w:r>
      <w:r>
        <w:t xml:space="preserve">, таблетки 200 мг (Янссен-Силаг С.п.А, Италия)  владелец РУ: Мерк Шарп и Доум Б.В., Нидерланды). </w:t>
      </w:r>
    </w:p>
    <w:p w14:paraId="2C8878EC" w14:textId="77777777" w:rsidR="00CC77F8" w:rsidRPr="004E4056" w:rsidRDefault="00CC77F8" w:rsidP="00C354BD">
      <w:pPr>
        <w:pStyle w:val="afff2"/>
        <w:ind w:left="709" w:hanging="283"/>
        <w:rPr>
          <w:lang w:val="en-US"/>
        </w:rPr>
      </w:pPr>
      <w:r>
        <w:t>4.</w:t>
      </w:r>
      <w:r>
        <w:tab/>
        <w:t xml:space="preserve">Министерство здравоохранения Российской Федерации. Клинические рекомендации ВИЧ-инфекция у взрослых. </w:t>
      </w:r>
      <w:r w:rsidRPr="004E4056">
        <w:rPr>
          <w:lang w:val="en-US"/>
        </w:rPr>
        <w:t xml:space="preserve">2020. </w:t>
      </w:r>
    </w:p>
    <w:p w14:paraId="0A93BE0B" w14:textId="77777777" w:rsidR="00CC77F8" w:rsidRPr="004E4056" w:rsidRDefault="00CC77F8" w:rsidP="00C354BD">
      <w:pPr>
        <w:pStyle w:val="afff2"/>
        <w:ind w:left="709" w:hanging="283"/>
        <w:rPr>
          <w:lang w:val="en-US"/>
        </w:rPr>
      </w:pPr>
      <w:r w:rsidRPr="004E4056">
        <w:rPr>
          <w:lang w:val="en-US"/>
        </w:rPr>
        <w:t>5.</w:t>
      </w:r>
      <w:r w:rsidRPr="004E4056">
        <w:rPr>
          <w:lang w:val="en-US"/>
        </w:rPr>
        <w:tab/>
        <w:t xml:space="preserve">British HIV Association (BHIVA) guidelines on antiretroviral treatment for adults living with HIV-1. 2022. </w:t>
      </w:r>
    </w:p>
    <w:p w14:paraId="60EE6A56" w14:textId="77777777" w:rsidR="00CC77F8" w:rsidRPr="004E4056" w:rsidRDefault="00CC77F8" w:rsidP="00C354BD">
      <w:pPr>
        <w:pStyle w:val="afff2"/>
        <w:ind w:left="709" w:hanging="283"/>
        <w:rPr>
          <w:lang w:val="en-US"/>
        </w:rPr>
      </w:pPr>
      <w:r w:rsidRPr="004E4056">
        <w:rPr>
          <w:lang w:val="en-US"/>
        </w:rPr>
        <w:t>6.</w:t>
      </w:r>
      <w:r w:rsidRPr="004E4056">
        <w:rPr>
          <w:lang w:val="en-US"/>
        </w:rPr>
        <w:tab/>
        <w:t xml:space="preserve">Kim J, Vasan S, Kim JH, Ake JA. Current approaches to HIV vaccine development: a narrative review. J Int AIDS Soc. </w:t>
      </w:r>
      <w:r>
        <w:t>ноябрь</w:t>
      </w:r>
      <w:r w:rsidRPr="004E4056">
        <w:rPr>
          <w:lang w:val="en-US"/>
        </w:rPr>
        <w:t xml:space="preserve"> 2021 </w:t>
      </w:r>
      <w:r>
        <w:t>г</w:t>
      </w:r>
      <w:r w:rsidRPr="004E4056">
        <w:rPr>
          <w:lang w:val="en-US"/>
        </w:rPr>
        <w:t xml:space="preserve">.;24 Suppl 7:e25793. </w:t>
      </w:r>
    </w:p>
    <w:p w14:paraId="357243E1" w14:textId="77777777" w:rsidR="00CC77F8" w:rsidRPr="004E4056" w:rsidRDefault="00CC77F8" w:rsidP="00C354BD">
      <w:pPr>
        <w:pStyle w:val="afff2"/>
        <w:ind w:left="709" w:hanging="283"/>
        <w:rPr>
          <w:lang w:val="en-US"/>
        </w:rPr>
      </w:pPr>
      <w:r w:rsidRPr="004E4056">
        <w:rPr>
          <w:lang w:val="en-US"/>
        </w:rPr>
        <w:t>7.</w:t>
      </w:r>
      <w:r w:rsidRPr="004E4056">
        <w:rPr>
          <w:lang w:val="en-US"/>
        </w:rPr>
        <w:tab/>
        <w:t xml:space="preserve">World Health Organization. Factsheet. 27 July 2022. https://www.who.int/news-room/fact-sheets/detail/hiv-aids. </w:t>
      </w:r>
    </w:p>
    <w:p w14:paraId="7BA2D205" w14:textId="77777777" w:rsidR="00CC77F8" w:rsidRPr="004E4056" w:rsidRDefault="00CC77F8" w:rsidP="00C354BD">
      <w:pPr>
        <w:pStyle w:val="afff2"/>
        <w:ind w:left="709" w:hanging="283"/>
        <w:rPr>
          <w:lang w:val="en-US"/>
        </w:rPr>
      </w:pPr>
      <w:r w:rsidRPr="004E4056">
        <w:rPr>
          <w:lang w:val="en-US"/>
        </w:rPr>
        <w:t>8.</w:t>
      </w:r>
      <w:r w:rsidRPr="004E4056">
        <w:rPr>
          <w:lang w:val="en-US"/>
        </w:rPr>
        <w:tab/>
        <w:t xml:space="preserve">Govender RD, Hashim MJ, Khan MA, Mustafa H, Khan G. Global Epidemiology of HIV/AIDS: A Resurgence in North America and Europe. J Epidemiol Glob Health. </w:t>
      </w:r>
      <w:r>
        <w:t>сентябрь</w:t>
      </w:r>
      <w:r w:rsidRPr="004E4056">
        <w:rPr>
          <w:lang w:val="en-US"/>
        </w:rPr>
        <w:t xml:space="preserve"> 2021 </w:t>
      </w:r>
      <w:r>
        <w:t>г</w:t>
      </w:r>
      <w:r w:rsidRPr="004E4056">
        <w:rPr>
          <w:lang w:val="en-US"/>
        </w:rPr>
        <w:t xml:space="preserve">.;11(3):296–301. </w:t>
      </w:r>
    </w:p>
    <w:p w14:paraId="30600E5E" w14:textId="77777777" w:rsidR="00CC77F8" w:rsidRDefault="00CC77F8" w:rsidP="00C354BD">
      <w:pPr>
        <w:pStyle w:val="afff2"/>
        <w:ind w:left="709" w:hanging="283"/>
      </w:pPr>
      <w:r w:rsidRPr="004E4056">
        <w:rPr>
          <w:lang w:val="en-US"/>
        </w:rPr>
        <w:t>9.</w:t>
      </w:r>
      <w:r w:rsidRPr="004E4056">
        <w:rPr>
          <w:lang w:val="en-US"/>
        </w:rPr>
        <w:tab/>
        <w:t xml:space="preserve">Naif HM. Pathogenesis of HIV Infection. </w:t>
      </w:r>
      <w:r>
        <w:t>Infectious Disease Reports [Интернет]. 6 июнь 2013 г. [цитируется по 13 август 2022 г.];5(Suppl 1). Доступно на: https://www.ncbi.nlm.nih.gov/pmc/articles/PMC3892619/</w:t>
      </w:r>
    </w:p>
    <w:p w14:paraId="7013EC0F" w14:textId="3ACFE5DA" w:rsidR="00CC77F8" w:rsidRPr="004E4056" w:rsidRDefault="00C354BD" w:rsidP="00C354BD">
      <w:pPr>
        <w:pStyle w:val="afff2"/>
        <w:ind w:left="709" w:hanging="283"/>
        <w:rPr>
          <w:lang w:val="en-US"/>
        </w:rPr>
      </w:pPr>
      <w:r>
        <w:rPr>
          <w:lang w:val="en-US"/>
        </w:rPr>
        <w:t>10.</w:t>
      </w:r>
      <w:r w:rsidRPr="00C354BD">
        <w:rPr>
          <w:lang w:val="en-US"/>
        </w:rPr>
        <w:t xml:space="preserve"> </w:t>
      </w:r>
      <w:r w:rsidR="00CC77F8" w:rsidRPr="004E4056">
        <w:rPr>
          <w:lang w:val="en-US"/>
        </w:rPr>
        <w:t xml:space="preserve">Cunha RF, Simões S, Carvalheiro M, Pereira JMA, Costa Q, Ascenso A. Novel Antiretroviral Therapeutic Strategies for HIV. Molecules. 31 </w:t>
      </w:r>
      <w:r w:rsidR="00CC77F8">
        <w:t>август</w:t>
      </w:r>
      <w:r w:rsidR="00CC77F8" w:rsidRPr="004E4056">
        <w:rPr>
          <w:lang w:val="en-US"/>
        </w:rPr>
        <w:t xml:space="preserve"> 2021 </w:t>
      </w:r>
      <w:r w:rsidR="00CC77F8">
        <w:t>г</w:t>
      </w:r>
      <w:r w:rsidR="00CC77F8" w:rsidRPr="004E4056">
        <w:rPr>
          <w:lang w:val="en-US"/>
        </w:rPr>
        <w:t xml:space="preserve">.;26(17):5305. </w:t>
      </w:r>
    </w:p>
    <w:p w14:paraId="4753F954" w14:textId="1C7BF19B" w:rsidR="00CC77F8" w:rsidRPr="00B856DD" w:rsidRDefault="00C354BD" w:rsidP="00C354BD">
      <w:pPr>
        <w:pStyle w:val="afff2"/>
        <w:ind w:left="709" w:hanging="283"/>
      </w:pPr>
      <w:r>
        <w:rPr>
          <w:lang w:val="en-US"/>
        </w:rPr>
        <w:t>11.</w:t>
      </w:r>
      <w:r w:rsidRPr="00C354BD">
        <w:rPr>
          <w:lang w:val="en-US"/>
        </w:rPr>
        <w:t xml:space="preserve"> </w:t>
      </w:r>
      <w:r w:rsidR="00CC77F8" w:rsidRPr="004E4056">
        <w:rPr>
          <w:lang w:val="en-US"/>
        </w:rPr>
        <w:t xml:space="preserve">Deeks SG, Archin N, Cannon P, Collins S, Jones RB, de Jong MAWP, </w:t>
      </w:r>
      <w:r w:rsidR="00CC77F8">
        <w:t>и</w:t>
      </w:r>
      <w:r w:rsidR="00CC77F8" w:rsidRPr="004E4056">
        <w:rPr>
          <w:lang w:val="en-US"/>
        </w:rPr>
        <w:t xml:space="preserve"> </w:t>
      </w:r>
      <w:r w:rsidR="00CC77F8">
        <w:t>др</w:t>
      </w:r>
      <w:r w:rsidR="00CC77F8" w:rsidRPr="004E4056">
        <w:rPr>
          <w:lang w:val="en-US"/>
        </w:rPr>
        <w:t xml:space="preserve">. Research priorities for an HIV cure: International AIDS Society Global Scientific Strategy 2021. </w:t>
      </w:r>
      <w:r w:rsidR="00CC77F8" w:rsidRPr="00086C50">
        <w:rPr>
          <w:lang w:val="en-US"/>
        </w:rPr>
        <w:t>Nat</w:t>
      </w:r>
      <w:r w:rsidR="00CC77F8" w:rsidRPr="00B856DD">
        <w:t xml:space="preserve"> </w:t>
      </w:r>
      <w:r w:rsidR="00CC77F8" w:rsidRPr="00086C50">
        <w:rPr>
          <w:lang w:val="en-US"/>
        </w:rPr>
        <w:t>Med</w:t>
      </w:r>
      <w:r w:rsidR="00CC77F8" w:rsidRPr="00B856DD">
        <w:t xml:space="preserve">. </w:t>
      </w:r>
      <w:r w:rsidR="00CC77F8">
        <w:t>декабрь</w:t>
      </w:r>
      <w:r w:rsidR="00CC77F8" w:rsidRPr="00B856DD">
        <w:t xml:space="preserve"> 2021 </w:t>
      </w:r>
      <w:r w:rsidR="00CC77F8">
        <w:t>г</w:t>
      </w:r>
      <w:r w:rsidR="00CC77F8" w:rsidRPr="00B856DD">
        <w:t xml:space="preserve">.;27(12):2085–98. </w:t>
      </w:r>
    </w:p>
    <w:p w14:paraId="7B90EB58" w14:textId="41AF27CB" w:rsidR="00CC77F8" w:rsidRDefault="00C354BD" w:rsidP="00C354BD">
      <w:pPr>
        <w:pStyle w:val="afff2"/>
        <w:ind w:left="709" w:hanging="283"/>
      </w:pPr>
      <w:r>
        <w:t>12.</w:t>
      </w:r>
      <w:r w:rsidR="00243FCC">
        <w:t xml:space="preserve"> </w:t>
      </w:r>
      <w:r w:rsidR="00CC77F8">
        <w:t xml:space="preserve">Министерство здравоохранения Российской Федерации. Клинические рекомендации ВИЧ-инфекция у детей. 2020. </w:t>
      </w:r>
    </w:p>
    <w:p w14:paraId="7E3A39D6" w14:textId="77777777" w:rsidR="00243FCC" w:rsidRPr="00B84954" w:rsidRDefault="00243FCC">
      <w:pPr>
        <w:pStyle w:val="af3"/>
        <w:numPr>
          <w:ilvl w:val="0"/>
          <w:numId w:val="24"/>
        </w:numPr>
      </w:pPr>
      <w:r w:rsidRPr="00B84954">
        <w:t xml:space="preserve">Ладная Н.Н., Покровский В.В., Дементьева Л.А., Соколова Е.В., Айзатулина Р.Р., Липина Е.С. Развитие эпидемии ВИЧ-инфекции в Российской Федерации в 2017 г. МЕЖДУНАРОДНАЯ НАУЧНО-ПРАКТИЧЕСКАЯ КОНФЕРЕНЦИЯ АКТУАЛЬНЫЕ ВОПРОСЫ ВИЧ-ИНФЕКЦИИ. ОХРАНА ЗДОРОВЬЯ ДЕТЕЙ С ВИЧ-ИНФЕКЦИЕЙ В РАМКАХ РЕАЛИЗАЦИИ ПРОГРАММЫ ДЕСЯТИЛЕТИЕ ДЕТСТВА В РОССИИ. Электронный ресурс [http://congress-ph.ru/common/htdocs/upload/fm/vich/18/may/tezis.pdf#page=10], дата обращения </w:t>
      </w:r>
      <w:r>
        <w:t>07</w:t>
      </w:r>
      <w:r w:rsidRPr="00B84954">
        <w:t>.0</w:t>
      </w:r>
      <w:r>
        <w:t>8</w:t>
      </w:r>
      <w:r w:rsidRPr="00B84954">
        <w:t>.202</w:t>
      </w:r>
      <w:r>
        <w:t>2</w:t>
      </w:r>
      <w:r w:rsidRPr="00B84954">
        <w:t xml:space="preserve"> г.</w:t>
      </w:r>
    </w:p>
    <w:p w14:paraId="1AC9CCA4" w14:textId="77777777" w:rsidR="00243FCC" w:rsidRPr="00B84954" w:rsidRDefault="00243FCC" w:rsidP="00243FCC">
      <w:pPr>
        <w:pStyle w:val="af3"/>
        <w:numPr>
          <w:ilvl w:val="0"/>
          <w:numId w:val="24"/>
        </w:numPr>
      </w:pPr>
      <w:r w:rsidRPr="00B84954">
        <w:t>Нечаева О.Б., Подымова А.С. Влияние ВИЧ-инфекции на демографическую ситуацию в России. Центральный научно-исследовательский институт организации и информатизации здравоохранения. 2018. Электронный ресурс [</w:t>
      </w:r>
      <w:r w:rsidRPr="00B84954">
        <w:rPr>
          <w:lang w:val="en-US"/>
        </w:rPr>
        <w:t>http</w:t>
      </w:r>
      <w:r w:rsidRPr="00B84954">
        <w:t>://</w:t>
      </w:r>
      <w:r w:rsidRPr="00B84954">
        <w:rPr>
          <w:lang w:val="en-US"/>
        </w:rPr>
        <w:t>www</w:t>
      </w:r>
      <w:r w:rsidRPr="00B84954">
        <w:t>.</w:t>
      </w:r>
      <w:r w:rsidRPr="00B84954">
        <w:rPr>
          <w:lang w:val="en-US"/>
        </w:rPr>
        <w:t>med</w:t>
      </w:r>
      <w:r w:rsidRPr="00B84954">
        <w:t>-</w:t>
      </w:r>
      <w:r w:rsidRPr="00B84954">
        <w:rPr>
          <w:lang w:val="en-US"/>
        </w:rPr>
        <w:lastRenderedPageBreak/>
        <w:t>alyans</w:t>
      </w:r>
      <w:r w:rsidRPr="00B84954">
        <w:t>.</w:t>
      </w:r>
      <w:r w:rsidRPr="00B84954">
        <w:rPr>
          <w:lang w:val="en-US"/>
        </w:rPr>
        <w:t>ru</w:t>
      </w:r>
      <w:r w:rsidRPr="00B84954">
        <w:t>/</w:t>
      </w:r>
      <w:r w:rsidRPr="00B84954">
        <w:rPr>
          <w:lang w:val="en-US"/>
        </w:rPr>
        <w:t>index</w:t>
      </w:r>
      <w:r w:rsidRPr="00B84954">
        <w:t>.</w:t>
      </w:r>
      <w:r w:rsidRPr="00B84954">
        <w:rPr>
          <w:lang w:val="en-US"/>
        </w:rPr>
        <w:t>php</w:t>
      </w:r>
      <w:r w:rsidRPr="00B84954">
        <w:t>/</w:t>
      </w:r>
      <w:r w:rsidRPr="00B84954">
        <w:rPr>
          <w:lang w:val="en-US"/>
        </w:rPr>
        <w:t>Hahn</w:t>
      </w:r>
      <w:r w:rsidRPr="00B84954">
        <w:t>/</w:t>
      </w:r>
      <w:r w:rsidRPr="00B84954">
        <w:rPr>
          <w:lang w:val="en-US"/>
        </w:rPr>
        <w:t>article</w:t>
      </w:r>
      <w:r w:rsidRPr="00B84954">
        <w:t>/</w:t>
      </w:r>
      <w:r w:rsidRPr="00B84954">
        <w:rPr>
          <w:lang w:val="en-US"/>
        </w:rPr>
        <w:t>view</w:t>
      </w:r>
      <w:r w:rsidRPr="00B84954">
        <w:t xml:space="preserve">/140/724], дата обращения </w:t>
      </w:r>
      <w:r>
        <w:t>07</w:t>
      </w:r>
      <w:r w:rsidRPr="00B84954">
        <w:t>.0</w:t>
      </w:r>
      <w:r>
        <w:t>8</w:t>
      </w:r>
      <w:r w:rsidRPr="00B84954">
        <w:t>.202</w:t>
      </w:r>
      <w:r>
        <w:t>2</w:t>
      </w:r>
      <w:r w:rsidRPr="00B84954">
        <w:t xml:space="preserve"> г.  </w:t>
      </w:r>
    </w:p>
    <w:p w14:paraId="4ABC79D5" w14:textId="77777777" w:rsidR="00243FCC" w:rsidRPr="00B84954" w:rsidRDefault="00243FCC" w:rsidP="00243FCC">
      <w:pPr>
        <w:pStyle w:val="af3"/>
        <w:numPr>
          <w:ilvl w:val="0"/>
          <w:numId w:val="24"/>
        </w:numPr>
        <w:rPr>
          <w:lang w:val="en-US"/>
        </w:rPr>
      </w:pPr>
      <w:r w:rsidRPr="00B84954">
        <w:rPr>
          <w:shd w:val="clear" w:color="auto" w:fill="FFFFFF"/>
          <w:lang w:val="en-US"/>
        </w:rPr>
        <w:t>Belyakov N, Rassokhin V, Kolbin A et al. EPIDEMIOLOGICAL, CLINICAL AND FINANCIAL COMPONENTS OF RESULTS OF LONG-TERM ANTIRETROVIRAL THERAPY OF PATIENTS WITH HIV-INFECTION. </w:t>
      </w:r>
      <w:r w:rsidRPr="00B84954">
        <w:rPr>
          <w:i/>
          <w:iCs/>
          <w:shd w:val="clear" w:color="auto" w:fill="FFFFFF"/>
          <w:lang w:val="en-US"/>
        </w:rPr>
        <w:t>HIV Infection and Immunosuppressive Disorders</w:t>
      </w:r>
      <w:r w:rsidRPr="00B84954">
        <w:rPr>
          <w:shd w:val="clear" w:color="auto" w:fill="FFFFFF"/>
          <w:lang w:val="en-US"/>
        </w:rPr>
        <w:t>. 2020;11(4):7-19. doi:10.22328/2077-9828-2019-11-4-7-19</w:t>
      </w:r>
    </w:p>
    <w:p w14:paraId="15710801" w14:textId="77777777" w:rsidR="00243FCC" w:rsidRPr="00421CA0" w:rsidRDefault="00243FCC" w:rsidP="00A76175">
      <w:pPr>
        <w:rPr>
          <w:lang w:val="en-US"/>
        </w:rPr>
      </w:pPr>
    </w:p>
    <w:p w14:paraId="5F6D8EA2" w14:textId="77777777" w:rsidR="00243FCC" w:rsidRPr="00421CA0" w:rsidRDefault="00243FCC" w:rsidP="00A76175">
      <w:pPr>
        <w:rPr>
          <w:lang w:val="en-US"/>
        </w:rPr>
      </w:pPr>
    </w:p>
    <w:p w14:paraId="01A19B63" w14:textId="77777777" w:rsidR="00CC77F8" w:rsidRPr="00421CA0" w:rsidRDefault="00CC77F8" w:rsidP="00C354BD">
      <w:pPr>
        <w:ind w:left="709" w:hanging="283"/>
        <w:rPr>
          <w:lang w:val="en-US"/>
        </w:rPr>
      </w:pPr>
    </w:p>
    <w:p w14:paraId="3828821D" w14:textId="4047AEF1" w:rsidR="00F64961" w:rsidRDefault="00CC77F8" w:rsidP="00CC77F8">
      <w:pPr>
        <w:rPr>
          <w:lang w:val="en-US" w:eastAsia="en-US"/>
        </w:rPr>
      </w:pPr>
      <w:r>
        <w:rPr>
          <w:lang w:val="en-US" w:eastAsia="en-US"/>
        </w:rPr>
        <w:fldChar w:fldCharType="end"/>
      </w:r>
    </w:p>
    <w:p w14:paraId="190F29CC" w14:textId="77777777" w:rsidR="00F64961" w:rsidRDefault="00F64961">
      <w:pPr>
        <w:rPr>
          <w:lang w:val="en-US" w:eastAsia="en-US"/>
        </w:rPr>
      </w:pPr>
      <w:r>
        <w:rPr>
          <w:lang w:val="en-US" w:eastAsia="en-US"/>
        </w:rPr>
        <w:br w:type="page"/>
      </w:r>
    </w:p>
    <w:p w14:paraId="5A2A748C" w14:textId="44389286" w:rsidR="00295007" w:rsidRPr="005E6358" w:rsidRDefault="00295007" w:rsidP="00295007">
      <w:pPr>
        <w:pStyle w:val="12"/>
        <w:numPr>
          <w:ilvl w:val="0"/>
          <w:numId w:val="1"/>
        </w:numPr>
        <w:tabs>
          <w:tab w:val="left" w:pos="142"/>
          <w:tab w:val="left" w:pos="284"/>
        </w:tabs>
        <w:spacing w:line="240" w:lineRule="auto"/>
        <w:ind w:left="0" w:firstLine="0"/>
        <w:rPr>
          <w:rFonts w:cs="Times New Roman"/>
          <w:color w:val="000000" w:themeColor="text1"/>
          <w:szCs w:val="24"/>
        </w:rPr>
      </w:pPr>
      <w:bookmarkStart w:id="49" w:name="_Toc117179171"/>
      <w:r w:rsidRPr="005E6358">
        <w:rPr>
          <w:rFonts w:cs="Times New Roman"/>
          <w:color w:val="000000" w:themeColor="text1"/>
          <w:szCs w:val="24"/>
        </w:rPr>
        <w:lastRenderedPageBreak/>
        <w:t>ФИЗИЧЕСКИЕ, ХИМИЧЕСКИЕ И ФАРМАЦЕВТИЧЕСКИЕ СВОЙСТВА И ЛЕКАРСТВЕННАЯ ФОРМА</w:t>
      </w:r>
      <w:bookmarkEnd w:id="49"/>
    </w:p>
    <w:p w14:paraId="29C6091C" w14:textId="77777777" w:rsidR="00295007" w:rsidRPr="005E6358" w:rsidRDefault="00295007" w:rsidP="00295007">
      <w:pPr>
        <w:pStyle w:val="2"/>
        <w:spacing w:line="240" w:lineRule="auto"/>
        <w:rPr>
          <w:color w:val="000000" w:themeColor="text1"/>
          <w:szCs w:val="24"/>
        </w:rPr>
      </w:pPr>
      <w:bookmarkStart w:id="50" w:name="_Toc415001079"/>
      <w:bookmarkStart w:id="51" w:name="_Toc117179172"/>
      <w:r w:rsidRPr="005E6358">
        <w:rPr>
          <w:color w:val="000000" w:themeColor="text1"/>
          <w:szCs w:val="24"/>
        </w:rPr>
        <w:t>2.1</w:t>
      </w:r>
      <w:r>
        <w:rPr>
          <w:color w:val="000000" w:themeColor="text1"/>
          <w:szCs w:val="24"/>
        </w:rPr>
        <w:t>.</w:t>
      </w:r>
      <w:r w:rsidRPr="005E6358">
        <w:rPr>
          <w:color w:val="000000" w:themeColor="text1"/>
          <w:szCs w:val="24"/>
        </w:rPr>
        <w:t xml:space="preserve"> Описание свойств исследуемого препарата</w:t>
      </w:r>
      <w:bookmarkEnd w:id="50"/>
      <w:bookmarkEnd w:id="51"/>
    </w:p>
    <w:p w14:paraId="2D584061" w14:textId="77777777" w:rsidR="00295007" w:rsidRDefault="00295007" w:rsidP="00295007">
      <w:pPr>
        <w:pStyle w:val="3"/>
        <w:spacing w:after="240"/>
        <w:rPr>
          <w:rFonts w:ascii="Times New Roman" w:hAnsi="Times New Roman"/>
          <w:color w:val="000000" w:themeColor="text1"/>
          <w:szCs w:val="24"/>
        </w:rPr>
      </w:pPr>
      <w:bookmarkStart w:id="52" w:name="_Toc415001080"/>
      <w:bookmarkStart w:id="53" w:name="_Toc117179173"/>
      <w:r w:rsidRPr="005E6358">
        <w:rPr>
          <w:rFonts w:ascii="Times New Roman" w:hAnsi="Times New Roman"/>
          <w:color w:val="000000" w:themeColor="text1"/>
          <w:szCs w:val="24"/>
        </w:rPr>
        <w:t>2.1.1</w:t>
      </w:r>
      <w:r>
        <w:rPr>
          <w:rFonts w:ascii="Times New Roman" w:hAnsi="Times New Roman"/>
          <w:color w:val="000000" w:themeColor="text1"/>
          <w:szCs w:val="24"/>
        </w:rPr>
        <w:t>.</w:t>
      </w:r>
      <w:r w:rsidRPr="005E6358">
        <w:rPr>
          <w:rFonts w:ascii="Times New Roman" w:hAnsi="Times New Roman"/>
          <w:color w:val="000000" w:themeColor="text1"/>
          <w:szCs w:val="24"/>
        </w:rPr>
        <w:t xml:space="preserve"> Химическая формула</w:t>
      </w:r>
      <w:bookmarkEnd w:id="52"/>
      <w:bookmarkEnd w:id="53"/>
    </w:p>
    <w:p w14:paraId="50A720CE" w14:textId="6D184D30" w:rsidR="00F64961" w:rsidRPr="00A76175" w:rsidRDefault="00F64961" w:rsidP="00F64961">
      <w:pPr>
        <w:ind w:left="567"/>
      </w:pPr>
      <w:r>
        <w:rPr>
          <w:lang w:val="en-US"/>
        </w:rPr>
        <w:t>C</w:t>
      </w:r>
      <w:r w:rsidRPr="00A76175">
        <w:rPr>
          <w:vertAlign w:val="subscript"/>
        </w:rPr>
        <w:t>20</w:t>
      </w:r>
      <w:r>
        <w:rPr>
          <w:lang w:val="en-US"/>
        </w:rPr>
        <w:t>H</w:t>
      </w:r>
      <w:r w:rsidRPr="00A76175">
        <w:rPr>
          <w:vertAlign w:val="subscript"/>
        </w:rPr>
        <w:t>15</w:t>
      </w:r>
      <w:r>
        <w:rPr>
          <w:lang w:val="en-US"/>
        </w:rPr>
        <w:t>BrN</w:t>
      </w:r>
      <w:r w:rsidRPr="00A76175">
        <w:rPr>
          <w:vertAlign w:val="subscript"/>
        </w:rPr>
        <w:t>6</w:t>
      </w:r>
      <w:r>
        <w:rPr>
          <w:lang w:val="en-US"/>
        </w:rPr>
        <w:t>O</w:t>
      </w:r>
    </w:p>
    <w:p w14:paraId="2DAA8E79" w14:textId="360DF61A" w:rsidR="00295007" w:rsidRPr="00D236D7" w:rsidRDefault="00295007" w:rsidP="00F64961">
      <w:pPr>
        <w:ind w:left="567"/>
      </w:pPr>
      <w:r w:rsidRPr="00272640">
        <w:t>4-[6-амино-5-бромо-2-(4-цианоанилино) пиримидин-4-ил] окси-3,5-диметилбензонитрил</w:t>
      </w:r>
      <w:r w:rsidR="00D236D7" w:rsidRPr="00D236D7">
        <w:t>.</w:t>
      </w:r>
    </w:p>
    <w:p w14:paraId="03288B82" w14:textId="77777777" w:rsidR="00295007" w:rsidRDefault="00295007" w:rsidP="00295007">
      <w:pPr>
        <w:pStyle w:val="3"/>
        <w:spacing w:after="240"/>
        <w:rPr>
          <w:rFonts w:ascii="Times New Roman" w:hAnsi="Times New Roman"/>
          <w:color w:val="000000" w:themeColor="text1"/>
          <w:szCs w:val="24"/>
        </w:rPr>
      </w:pPr>
      <w:bookmarkStart w:id="54" w:name="_Toc415001081"/>
      <w:bookmarkStart w:id="55" w:name="_Toc117179174"/>
      <w:r w:rsidRPr="005E6358">
        <w:rPr>
          <w:rFonts w:ascii="Times New Roman" w:hAnsi="Times New Roman"/>
          <w:color w:val="000000" w:themeColor="text1"/>
          <w:szCs w:val="24"/>
        </w:rPr>
        <w:t>2.1.2</w:t>
      </w:r>
      <w:r>
        <w:rPr>
          <w:rFonts w:ascii="Times New Roman" w:hAnsi="Times New Roman"/>
          <w:color w:val="000000" w:themeColor="text1"/>
          <w:szCs w:val="24"/>
        </w:rPr>
        <w:t>.</w:t>
      </w:r>
      <w:r w:rsidRPr="005E6358">
        <w:rPr>
          <w:rFonts w:ascii="Times New Roman" w:hAnsi="Times New Roman"/>
          <w:color w:val="000000" w:themeColor="text1"/>
          <w:szCs w:val="24"/>
        </w:rPr>
        <w:t xml:space="preserve"> Структурная формула</w:t>
      </w:r>
      <w:bookmarkEnd w:id="54"/>
      <w:bookmarkEnd w:id="55"/>
    </w:p>
    <w:p w14:paraId="35704202" w14:textId="23B9428E" w:rsidR="00C354BD" w:rsidRPr="00B66676" w:rsidRDefault="00C354BD" w:rsidP="00C354BD">
      <w:pPr>
        <w:rPr>
          <w:rFonts w:eastAsia="Times New Roman"/>
          <w:bCs/>
          <w:lang w:eastAsia="ru-RU"/>
        </w:rPr>
      </w:pPr>
      <w:r w:rsidRPr="005E6358">
        <w:rPr>
          <w:b/>
          <w:color w:val="000000" w:themeColor="text1"/>
        </w:rPr>
        <w:t>Рисунок 2</w:t>
      </w:r>
      <w:r>
        <w:rPr>
          <w:b/>
          <w:color w:val="000000" w:themeColor="text1"/>
        </w:rPr>
        <w:t>-</w:t>
      </w:r>
      <w:r w:rsidRPr="005E6358">
        <w:rPr>
          <w:b/>
          <w:color w:val="000000" w:themeColor="text1"/>
        </w:rPr>
        <w:t>1.</w:t>
      </w:r>
      <w:r w:rsidRPr="005E6358">
        <w:rPr>
          <w:color w:val="000000" w:themeColor="text1"/>
        </w:rPr>
        <w:t xml:space="preserve"> Структурная формула </w:t>
      </w:r>
      <w:r>
        <w:rPr>
          <w:rFonts w:eastAsia="Times New Roman"/>
          <w:bCs/>
          <w:lang w:eastAsia="ru-RU"/>
        </w:rPr>
        <w:t>этравирина</w:t>
      </w:r>
      <w:r w:rsidR="00D236D7" w:rsidRPr="00B66676">
        <w:t>.</w:t>
      </w:r>
    </w:p>
    <w:p w14:paraId="457C9BA5" w14:textId="77777777" w:rsidR="00295007" w:rsidRPr="006F62F9" w:rsidRDefault="00295007" w:rsidP="00295007">
      <w:r>
        <w:rPr>
          <w:noProof/>
          <w:lang w:eastAsia="ru-RU"/>
        </w:rPr>
        <w:drawing>
          <wp:inline distT="0" distB="0" distL="0" distR="0" wp14:anchorId="1D2EC0E3" wp14:editId="0E4549FA">
            <wp:extent cx="2178685" cy="2276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685" cy="2276475"/>
                    </a:xfrm>
                    <a:prstGeom prst="rect">
                      <a:avLst/>
                    </a:prstGeom>
                    <a:noFill/>
                    <a:ln>
                      <a:noFill/>
                    </a:ln>
                  </pic:spPr>
                </pic:pic>
              </a:graphicData>
            </a:graphic>
          </wp:inline>
        </w:drawing>
      </w:r>
    </w:p>
    <w:p w14:paraId="3DF93A8E" w14:textId="77777777" w:rsidR="00295007" w:rsidRPr="005E6358" w:rsidRDefault="00295007" w:rsidP="00295007">
      <w:pPr>
        <w:rPr>
          <w:color w:val="000000" w:themeColor="text1"/>
        </w:rPr>
      </w:pPr>
    </w:p>
    <w:p w14:paraId="1D48378C" w14:textId="5369FBFD" w:rsidR="00295007" w:rsidRPr="00B66676" w:rsidRDefault="00295007" w:rsidP="00295007">
      <w:pPr>
        <w:rPr>
          <w:rFonts w:eastAsiaTheme="minorHAnsi"/>
          <w:color w:val="000000" w:themeColor="text1"/>
          <w:lang w:eastAsia="en-US"/>
        </w:rPr>
      </w:pPr>
      <w:r w:rsidRPr="00FD0B41">
        <w:t xml:space="preserve"> </w:t>
      </w:r>
      <w:r w:rsidRPr="00EA5D20">
        <w:rPr>
          <w:rStyle w:val="lrzxr"/>
          <w:b/>
        </w:rPr>
        <w:t xml:space="preserve">Молекулярная масса: </w:t>
      </w:r>
      <w:r w:rsidRPr="00F13E25">
        <w:t>435,</w:t>
      </w:r>
      <w:r>
        <w:t>28</w:t>
      </w:r>
      <w:r w:rsidR="00D236D7" w:rsidRPr="00B66676">
        <w:t>.</w:t>
      </w:r>
    </w:p>
    <w:p w14:paraId="7687C727" w14:textId="77777777" w:rsidR="00295007" w:rsidRPr="005E6358" w:rsidRDefault="00295007" w:rsidP="00295007">
      <w:pPr>
        <w:pStyle w:val="3"/>
        <w:spacing w:after="240"/>
        <w:rPr>
          <w:rFonts w:ascii="Times New Roman" w:hAnsi="Times New Roman"/>
          <w:color w:val="000000" w:themeColor="text1"/>
          <w:szCs w:val="24"/>
        </w:rPr>
      </w:pPr>
      <w:bookmarkStart w:id="56" w:name="_Toc323751672"/>
      <w:bookmarkStart w:id="57" w:name="_Toc117179175"/>
      <w:r w:rsidRPr="005E6358">
        <w:rPr>
          <w:rFonts w:ascii="Times New Roman" w:hAnsi="Times New Roman"/>
          <w:color w:val="000000" w:themeColor="text1"/>
          <w:szCs w:val="24"/>
        </w:rPr>
        <w:t>2.1.3. Физико-химические и фармацевтические свойства</w:t>
      </w:r>
      <w:bookmarkEnd w:id="56"/>
      <w:bookmarkEnd w:id="57"/>
    </w:p>
    <w:p w14:paraId="51F02671" w14:textId="153B11FD" w:rsidR="00295007" w:rsidRPr="00D236D7" w:rsidRDefault="00295007" w:rsidP="00C354BD">
      <w:pPr>
        <w:pStyle w:val="OT"/>
        <w:ind w:firstLine="709"/>
        <w:rPr>
          <w:sz w:val="24"/>
          <w:szCs w:val="24"/>
        </w:rPr>
      </w:pPr>
      <w:r w:rsidRPr="005A2239">
        <w:rPr>
          <w:sz w:val="24"/>
          <w:szCs w:val="24"/>
        </w:rPr>
        <w:t xml:space="preserve">Этравирин представляет собой порошок от белого до слегка желтовато-коричневого цвета </w:t>
      </w:r>
      <w:r w:rsidR="001C39B8">
        <w:rPr>
          <w:sz w:val="24"/>
          <w:szCs w:val="24"/>
        </w:rPr>
        <w:t xml:space="preserve">с низкой </w:t>
      </w:r>
      <w:r w:rsidRPr="005A2239">
        <w:rPr>
          <w:sz w:val="24"/>
          <w:szCs w:val="24"/>
        </w:rPr>
        <w:t>растворимостью в воде</w:t>
      </w:r>
      <w:r w:rsidR="001C39B8">
        <w:rPr>
          <w:sz w:val="24"/>
          <w:szCs w:val="24"/>
        </w:rPr>
        <w:t xml:space="preserve">, независимо от </w:t>
      </w:r>
      <w:r w:rsidR="001C39B8">
        <w:rPr>
          <w:sz w:val="24"/>
          <w:szCs w:val="24"/>
          <w:lang w:val="en-US"/>
        </w:rPr>
        <w:t>pH</w:t>
      </w:r>
      <w:r w:rsidR="00D236D7" w:rsidRPr="00D236D7">
        <w:t>.</w:t>
      </w:r>
    </w:p>
    <w:p w14:paraId="04FF9FE3" w14:textId="77777777" w:rsidR="00295007" w:rsidRDefault="00295007" w:rsidP="00295007">
      <w:pPr>
        <w:pStyle w:val="3"/>
        <w:rPr>
          <w:rFonts w:ascii="Times New Roman" w:hAnsi="Times New Roman"/>
        </w:rPr>
      </w:pPr>
      <w:bookmarkStart w:id="58" w:name="_Toc117179176"/>
      <w:r w:rsidRPr="005A2239">
        <w:rPr>
          <w:rFonts w:ascii="Times New Roman" w:hAnsi="Times New Roman"/>
        </w:rPr>
        <w:t>2.2.1. Название лекарственной формы</w:t>
      </w:r>
      <w:bookmarkEnd w:id="58"/>
    </w:p>
    <w:p w14:paraId="5DA56AFB" w14:textId="77777777" w:rsidR="00295007" w:rsidRPr="005A2239" w:rsidRDefault="00295007" w:rsidP="00C354BD">
      <w:pPr>
        <w:spacing w:before="120" w:after="120"/>
        <w:ind w:firstLine="709"/>
      </w:pPr>
      <w:r>
        <w:t>Т</w:t>
      </w:r>
      <w:r w:rsidRPr="00407F86">
        <w:t>аблетки</w:t>
      </w:r>
      <w:r>
        <w:t>.</w:t>
      </w:r>
    </w:p>
    <w:p w14:paraId="2E05FCC5" w14:textId="77777777" w:rsidR="00295007" w:rsidRPr="005E6358" w:rsidRDefault="00295007" w:rsidP="00295007">
      <w:pPr>
        <w:pStyle w:val="3"/>
        <w:spacing w:after="240"/>
        <w:rPr>
          <w:rFonts w:ascii="Times New Roman" w:hAnsi="Times New Roman"/>
          <w:color w:val="000000" w:themeColor="text1"/>
          <w:szCs w:val="24"/>
        </w:rPr>
      </w:pPr>
      <w:bookmarkStart w:id="59" w:name="_Toc117179177"/>
      <w:r w:rsidRPr="005E6358">
        <w:rPr>
          <w:rFonts w:ascii="Times New Roman" w:hAnsi="Times New Roman"/>
          <w:color w:val="000000" w:themeColor="text1"/>
          <w:szCs w:val="24"/>
        </w:rPr>
        <w:t>2.2.2</w:t>
      </w:r>
      <w:r>
        <w:rPr>
          <w:rFonts w:ascii="Times New Roman" w:hAnsi="Times New Roman"/>
          <w:color w:val="000000" w:themeColor="text1"/>
          <w:szCs w:val="24"/>
        </w:rPr>
        <w:t>.</w:t>
      </w:r>
      <w:r w:rsidRPr="005E6358">
        <w:rPr>
          <w:rFonts w:ascii="Times New Roman" w:hAnsi="Times New Roman"/>
          <w:color w:val="000000" w:themeColor="text1"/>
          <w:szCs w:val="24"/>
        </w:rPr>
        <w:t xml:space="preserve"> Описание лекарственной формы</w:t>
      </w:r>
      <w:bookmarkEnd w:id="59"/>
    </w:p>
    <w:p w14:paraId="36BEE663" w14:textId="0509732F" w:rsidR="00295007" w:rsidRDefault="00295007" w:rsidP="00295007">
      <w:pPr>
        <w:ind w:firstLine="709"/>
      </w:pPr>
      <w:r w:rsidRPr="001007C4">
        <w:t>Этравирин планируется выпускать в дозировках: 100 мг</w:t>
      </w:r>
      <w:r w:rsidR="001C39B8" w:rsidRPr="008B0B82">
        <w:t xml:space="preserve"> </w:t>
      </w:r>
      <w:r w:rsidR="001C39B8">
        <w:t>и</w:t>
      </w:r>
      <w:r w:rsidR="001C39B8" w:rsidRPr="001007C4">
        <w:t xml:space="preserve"> </w:t>
      </w:r>
      <w:r w:rsidRPr="001007C4">
        <w:t>200 мг.</w:t>
      </w:r>
    </w:p>
    <w:p w14:paraId="79CE4E05" w14:textId="56948D57" w:rsidR="001007C4" w:rsidRDefault="001C39B8" w:rsidP="001007C4">
      <w:pPr>
        <w:ind w:firstLine="709"/>
      </w:pPr>
      <w:r>
        <w:t>Т</w:t>
      </w:r>
      <w:r w:rsidR="001007C4">
        <w:t>аблетки круглые, двояковыпуклые, белого или почти белого цвета, на поверхности таблеток присутствует мраморность.</w:t>
      </w:r>
    </w:p>
    <w:p w14:paraId="5D8A725F" w14:textId="77777777" w:rsidR="00A97B7A" w:rsidRDefault="00A97B7A" w:rsidP="00295007">
      <w:pPr>
        <w:pStyle w:val="3"/>
        <w:spacing w:after="240"/>
        <w:rPr>
          <w:rFonts w:ascii="Times New Roman" w:hAnsi="Times New Roman"/>
          <w:color w:val="000000" w:themeColor="text1"/>
          <w:szCs w:val="24"/>
        </w:rPr>
        <w:sectPr w:rsidR="00A97B7A" w:rsidSect="00AB01E2">
          <w:pgSz w:w="11906" w:h="16838"/>
          <w:pgMar w:top="1134" w:right="849" w:bottom="1134" w:left="1701" w:header="708" w:footer="709" w:gutter="0"/>
          <w:cols w:space="708"/>
          <w:docGrid w:linePitch="360"/>
        </w:sectPr>
      </w:pPr>
      <w:bookmarkStart w:id="60" w:name="_Toc117179178"/>
    </w:p>
    <w:p w14:paraId="54992F1E" w14:textId="1D017FA4" w:rsidR="00295007" w:rsidRDefault="00295007" w:rsidP="00295007">
      <w:pPr>
        <w:pStyle w:val="3"/>
        <w:spacing w:after="240"/>
        <w:rPr>
          <w:rFonts w:ascii="Times New Roman" w:hAnsi="Times New Roman"/>
          <w:color w:val="000000" w:themeColor="text1"/>
          <w:szCs w:val="24"/>
        </w:rPr>
      </w:pPr>
      <w:r w:rsidRPr="005E6358">
        <w:rPr>
          <w:rFonts w:ascii="Times New Roman" w:hAnsi="Times New Roman"/>
          <w:color w:val="000000" w:themeColor="text1"/>
          <w:szCs w:val="24"/>
        </w:rPr>
        <w:lastRenderedPageBreak/>
        <w:t>2.2.3</w:t>
      </w:r>
      <w:r>
        <w:rPr>
          <w:rFonts w:ascii="Times New Roman" w:hAnsi="Times New Roman"/>
          <w:color w:val="000000" w:themeColor="text1"/>
          <w:szCs w:val="24"/>
        </w:rPr>
        <w:t>.</w:t>
      </w:r>
      <w:r w:rsidRPr="005E6358">
        <w:rPr>
          <w:rFonts w:ascii="Times New Roman" w:hAnsi="Times New Roman"/>
          <w:color w:val="000000" w:themeColor="text1"/>
          <w:szCs w:val="24"/>
        </w:rPr>
        <w:t xml:space="preserve"> Состав лекарственной формы</w:t>
      </w:r>
      <w:bookmarkEnd w:id="60"/>
    </w:p>
    <w:p w14:paraId="718659B9" w14:textId="7CE386B4" w:rsidR="001C39B8" w:rsidRDefault="00C354BD" w:rsidP="001C39B8">
      <w:pPr>
        <w:rPr>
          <w:rFonts w:eastAsia="Times New Roman"/>
          <w:lang w:eastAsia="ru-RU"/>
        </w:rPr>
      </w:pPr>
      <w:r w:rsidRPr="00F445B5">
        <w:rPr>
          <w:b/>
          <w:bCs/>
        </w:rPr>
        <w:t>Таблица 2</w:t>
      </w:r>
      <w:r w:rsidR="00295007" w:rsidRPr="00F445B5">
        <w:rPr>
          <w:b/>
          <w:bCs/>
        </w:rPr>
        <w:noBreakHyphen/>
      </w:r>
      <w:r w:rsidR="001C39B8">
        <w:rPr>
          <w:b/>
          <w:bCs/>
        </w:rPr>
        <w:t>1</w:t>
      </w:r>
      <w:r w:rsidR="00295007" w:rsidRPr="00F445B5">
        <w:rPr>
          <w:b/>
          <w:bCs/>
        </w:rPr>
        <w:t xml:space="preserve">. </w:t>
      </w:r>
      <w:r w:rsidR="001C39B8" w:rsidRPr="008F5C61">
        <w:rPr>
          <w:rFonts w:eastAsia="Times New Roman"/>
          <w:color w:val="000000" w:themeColor="text1"/>
          <w:lang w:eastAsia="ru-RU"/>
        </w:rPr>
        <w:t xml:space="preserve">Состав </w:t>
      </w:r>
      <w:r w:rsidR="001C39B8" w:rsidRPr="00243565">
        <w:t xml:space="preserve">готовой лекарственной формы препарата </w:t>
      </w:r>
      <w:r w:rsidR="001C39B8">
        <w:rPr>
          <w:rFonts w:eastAsiaTheme="minorHAnsi"/>
          <w:color w:val="000000" w:themeColor="text1"/>
          <w:lang w:eastAsia="en-US"/>
        </w:rPr>
        <w:t>DT-</w:t>
      </w:r>
      <w:r w:rsidR="001C39B8">
        <w:rPr>
          <w:rFonts w:eastAsiaTheme="minorHAnsi"/>
          <w:color w:val="000000" w:themeColor="text1"/>
          <w:lang w:val="en-US" w:eastAsia="en-US"/>
        </w:rPr>
        <w:t>ETR</w:t>
      </w:r>
      <w:r w:rsidR="001C39B8">
        <w:rPr>
          <w:rFonts w:eastAsiaTheme="minorHAnsi"/>
          <w:color w:val="000000" w:themeColor="text1"/>
          <w:lang w:eastAsia="en-US"/>
        </w:rPr>
        <w:t xml:space="preserve"> во всех дозировках</w:t>
      </w:r>
      <w:r w:rsidR="001C39B8" w:rsidRPr="008F5C61">
        <w:rPr>
          <w:rFonts w:eastAsia="Times New Roman"/>
          <w:lang w:eastAsia="ru-RU"/>
        </w:rPr>
        <w:t>.</w:t>
      </w:r>
    </w:p>
    <w:tbl>
      <w:tblPr>
        <w:tblW w:w="9358" w:type="dxa"/>
        <w:tblLayout w:type="fixed"/>
        <w:tblLook w:val="01E0" w:firstRow="1" w:lastRow="1" w:firstColumn="1" w:lastColumn="1" w:noHBand="0" w:noVBand="0"/>
      </w:tblPr>
      <w:tblGrid>
        <w:gridCol w:w="5098"/>
        <w:gridCol w:w="2268"/>
        <w:gridCol w:w="1985"/>
        <w:gridCol w:w="7"/>
      </w:tblGrid>
      <w:tr w:rsidR="002E2E87" w:rsidRPr="008F5C61" w14:paraId="0E8E37F0" w14:textId="77777777" w:rsidTr="00A97B7A">
        <w:trPr>
          <w:trHeight w:val="144"/>
          <w:tblHeader/>
        </w:trPr>
        <w:tc>
          <w:tcPr>
            <w:tcW w:w="509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CE6177" w14:textId="77777777" w:rsidR="002E2E87" w:rsidRPr="008F5C61" w:rsidRDefault="002E2E87" w:rsidP="00B36E71">
            <w:pPr>
              <w:jc w:val="center"/>
              <w:rPr>
                <w:b/>
                <w:iCs/>
                <w:lang w:eastAsia="en-US"/>
              </w:rPr>
            </w:pPr>
            <w:r w:rsidRPr="008F5C61">
              <w:rPr>
                <w:b/>
                <w:iCs/>
                <w:lang w:eastAsia="en-US"/>
              </w:rPr>
              <w:t>Компонент</w:t>
            </w:r>
          </w:p>
        </w:tc>
        <w:tc>
          <w:tcPr>
            <w:tcW w:w="426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7DF0DE" w14:textId="77777777" w:rsidR="002E2E87" w:rsidRPr="008F5C61" w:rsidRDefault="002E2E87" w:rsidP="00B36E71">
            <w:pPr>
              <w:jc w:val="center"/>
              <w:rPr>
                <w:b/>
              </w:rPr>
            </w:pPr>
            <w:r w:rsidRPr="008F5C61">
              <w:rPr>
                <w:b/>
              </w:rPr>
              <w:t>Для дозировки</w:t>
            </w:r>
          </w:p>
        </w:tc>
      </w:tr>
      <w:tr w:rsidR="002E2E87" w:rsidRPr="008F5C61" w14:paraId="5030FC13" w14:textId="77777777" w:rsidTr="00A97B7A">
        <w:trPr>
          <w:gridAfter w:val="1"/>
          <w:wAfter w:w="7" w:type="dxa"/>
          <w:trHeight w:val="120"/>
          <w:tblHeader/>
        </w:trPr>
        <w:tc>
          <w:tcPr>
            <w:tcW w:w="5098"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104AA03" w14:textId="77777777" w:rsidR="002E2E87" w:rsidRPr="008F5C61" w:rsidRDefault="002E2E87" w:rsidP="00B36E71">
            <w:pPr>
              <w:jc w:val="center"/>
              <w:rPr>
                <w:b/>
                <w:iCs/>
                <w:lang w:eastAsia="en-US"/>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AF4EE" w14:textId="3FB3A3B2" w:rsidR="002E2E87" w:rsidRPr="008F5C61" w:rsidRDefault="002E2E87" w:rsidP="00B36E71">
            <w:pPr>
              <w:jc w:val="center"/>
              <w:rPr>
                <w:b/>
              </w:rPr>
            </w:pPr>
            <w:r>
              <w:rPr>
                <w:b/>
              </w:rPr>
              <w:t>100</w:t>
            </w:r>
            <w:r w:rsidRPr="008F5C61">
              <w:rPr>
                <w:b/>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931F02" w14:textId="699BCAB0" w:rsidR="002E2E87" w:rsidRPr="008F5C61" w:rsidRDefault="002E2E87" w:rsidP="00B36E71">
            <w:pPr>
              <w:jc w:val="center"/>
              <w:rPr>
                <w:b/>
              </w:rPr>
            </w:pPr>
            <w:r>
              <w:rPr>
                <w:b/>
              </w:rPr>
              <w:t>200</w:t>
            </w:r>
            <w:r w:rsidRPr="008F5C61">
              <w:rPr>
                <w:b/>
              </w:rPr>
              <w:t xml:space="preserve"> мг</w:t>
            </w:r>
          </w:p>
        </w:tc>
      </w:tr>
      <w:tr w:rsidR="002E2E87" w:rsidRPr="008F5C61" w14:paraId="1F3E7E01" w14:textId="77777777" w:rsidTr="00A97B7A">
        <w:trPr>
          <w:trHeight w:val="221"/>
        </w:trPr>
        <w:tc>
          <w:tcPr>
            <w:tcW w:w="935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BF14DB8" w14:textId="56B120F7" w:rsidR="002E2E87" w:rsidRPr="008F5C61" w:rsidRDefault="002E2E87" w:rsidP="008B0B82">
            <w:pPr>
              <w:widowControl w:val="0"/>
              <w:autoSpaceDE w:val="0"/>
              <w:autoSpaceDN w:val="0"/>
              <w:adjustRightInd w:val="0"/>
            </w:pPr>
            <w:r w:rsidRPr="008F5C61">
              <w:rPr>
                <w:i/>
                <w:iCs/>
                <w:lang w:eastAsia="en-US"/>
              </w:rPr>
              <w:t>Действующее вещество:</w:t>
            </w:r>
          </w:p>
        </w:tc>
      </w:tr>
      <w:tr w:rsidR="002E2E87" w:rsidRPr="008F5C61" w14:paraId="245E1514" w14:textId="77777777" w:rsidTr="00A97B7A">
        <w:trPr>
          <w:gridAfter w:val="1"/>
          <w:wAfter w:w="7" w:type="dxa"/>
          <w:trHeight w:val="212"/>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C242927" w14:textId="196A40DB" w:rsidR="002E2E87" w:rsidRPr="008F5C61" w:rsidRDefault="002E2E87" w:rsidP="002E2E87">
            <w:pPr>
              <w:widowControl w:val="0"/>
              <w:autoSpaceDE w:val="0"/>
              <w:autoSpaceDN w:val="0"/>
              <w:adjustRightInd w:val="0"/>
              <w:ind w:left="567"/>
              <w:rPr>
                <w:color w:val="000000" w:themeColor="text1"/>
              </w:rPr>
            </w:pPr>
            <w:r w:rsidRPr="00F445B5">
              <w:t xml:space="preserve">Этравирин + повидон К30 (1:1)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24BA399" w14:textId="1BDF6828" w:rsidR="002E2E87" w:rsidRPr="008F5C61" w:rsidRDefault="002E2E87" w:rsidP="002E2E87">
            <w:pPr>
              <w:jc w:val="center"/>
              <w:rPr>
                <w:color w:val="000000" w:themeColor="text1"/>
              </w:rPr>
            </w:pPr>
            <w:r>
              <w:rPr>
                <w:color w:val="000000" w:themeColor="text1"/>
              </w:rPr>
              <w:t>200,0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ACFE3AC" w14:textId="3E45406C" w:rsidR="002E2E87" w:rsidRPr="008F5C61" w:rsidRDefault="002E2E87" w:rsidP="002E2E87">
            <w:pPr>
              <w:jc w:val="center"/>
              <w:rPr>
                <w:color w:val="000000" w:themeColor="text1"/>
              </w:rPr>
            </w:pPr>
            <w:r>
              <w:rPr>
                <w:color w:val="000000" w:themeColor="text1"/>
              </w:rPr>
              <w:t>400,0 мг</w:t>
            </w:r>
          </w:p>
        </w:tc>
      </w:tr>
      <w:tr w:rsidR="002E2E87" w:rsidRPr="008F5C61" w14:paraId="5AD61653" w14:textId="77777777" w:rsidTr="00A97B7A">
        <w:trPr>
          <w:gridAfter w:val="1"/>
          <w:wAfter w:w="7" w:type="dxa"/>
          <w:trHeight w:val="96"/>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2C642843" w14:textId="644A7507" w:rsidR="002E2E87" w:rsidRPr="008F5C61" w:rsidRDefault="002E2E87" w:rsidP="002E2E87">
            <w:pPr>
              <w:ind w:left="567"/>
              <w:jc w:val="left"/>
              <w:rPr>
                <w:iCs/>
                <w:lang w:eastAsia="en-US"/>
              </w:rPr>
            </w:pPr>
            <w:r>
              <w:rPr>
                <w:rFonts w:eastAsia="Times New Roman"/>
                <w:lang w:eastAsia="ru-RU"/>
              </w:rPr>
              <w:t>в пересчете на этравирин</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9696570" w14:textId="0198C6FA" w:rsidR="002E2E87" w:rsidRPr="008F5C61" w:rsidRDefault="002E2E87">
            <w:pPr>
              <w:jc w:val="center"/>
            </w:pPr>
            <w:r>
              <w:rPr>
                <w:color w:val="000000" w:themeColor="text1"/>
              </w:rPr>
              <w:t>100</w:t>
            </w:r>
            <w:r w:rsidRPr="008F5C61">
              <w:rPr>
                <w:color w:val="000000" w:themeColor="text1"/>
              </w:rPr>
              <w:t>,</w:t>
            </w:r>
            <w:r>
              <w:rPr>
                <w:color w:val="000000" w:themeColor="text1"/>
              </w:rPr>
              <w:t>0</w:t>
            </w:r>
            <w:r w:rsidRPr="008F5C61">
              <w:rPr>
                <w:color w:val="000000" w:themeColor="text1"/>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B653E05" w14:textId="314AA8D4" w:rsidR="002E2E87" w:rsidRPr="008F5C61" w:rsidRDefault="002E2E87" w:rsidP="002E2E87">
            <w:pPr>
              <w:jc w:val="center"/>
            </w:pPr>
            <w:r>
              <w:rPr>
                <w:color w:val="000000" w:themeColor="text1"/>
              </w:rPr>
              <w:t>200</w:t>
            </w:r>
            <w:r w:rsidRPr="008F5C61">
              <w:rPr>
                <w:color w:val="000000" w:themeColor="text1"/>
              </w:rPr>
              <w:t>,0 мг</w:t>
            </w:r>
          </w:p>
        </w:tc>
      </w:tr>
      <w:tr w:rsidR="002E2E87" w:rsidRPr="008F5C61" w14:paraId="586AA747" w14:textId="77777777" w:rsidTr="00A97B7A">
        <w:trPr>
          <w:trHeight w:val="165"/>
        </w:trPr>
        <w:tc>
          <w:tcPr>
            <w:tcW w:w="935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55E9443" w14:textId="415101C9" w:rsidR="002E2E87" w:rsidRPr="008F5C61" w:rsidRDefault="002E2E87" w:rsidP="008B0B82">
            <w:pPr>
              <w:rPr>
                <w:color w:val="000000" w:themeColor="text1"/>
              </w:rPr>
            </w:pPr>
            <w:r>
              <w:rPr>
                <w:i/>
                <w:iCs/>
                <w:lang w:eastAsia="en-US"/>
              </w:rPr>
              <w:t>Вспомагательные</w:t>
            </w:r>
            <w:r w:rsidRPr="008F5C61">
              <w:rPr>
                <w:i/>
                <w:iCs/>
                <w:lang w:eastAsia="en-US"/>
              </w:rPr>
              <w:t xml:space="preserve"> веществ</w:t>
            </w:r>
            <w:r>
              <w:rPr>
                <w:i/>
                <w:iCs/>
                <w:lang w:eastAsia="en-US"/>
              </w:rPr>
              <w:t>а</w:t>
            </w:r>
            <w:r w:rsidRPr="008F5C61">
              <w:rPr>
                <w:i/>
                <w:iCs/>
                <w:lang w:eastAsia="en-US"/>
              </w:rPr>
              <w:t>:</w:t>
            </w:r>
          </w:p>
        </w:tc>
      </w:tr>
      <w:tr w:rsidR="002E2E87" w:rsidRPr="008F5C61" w14:paraId="2E99CAE0" w14:textId="77777777" w:rsidTr="00A97B7A">
        <w:trPr>
          <w:gridAfter w:val="1"/>
          <w:wAfter w:w="7" w:type="dxa"/>
          <w:trHeight w:val="111"/>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3214ABBF" w14:textId="07FD463B" w:rsidR="002E2E87" w:rsidRPr="008F5C61" w:rsidRDefault="00067757" w:rsidP="002E2E87">
            <w:pPr>
              <w:ind w:left="567"/>
              <w:jc w:val="left"/>
              <w:rPr>
                <w:rFonts w:eastAsia="Times New Roman"/>
                <w:lang w:eastAsia="ru-RU"/>
              </w:rPr>
            </w:pPr>
            <w:r>
              <w:rPr>
                <w:rFonts w:eastAsia="Times New Roman"/>
                <w:lang w:eastAsia="ru-RU"/>
              </w:rPr>
              <w:t>Крахмал кукурузный</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0D8617" w14:textId="1B348F8E" w:rsidR="002E2E87" w:rsidRPr="008F5C61" w:rsidRDefault="00067757" w:rsidP="002E2E87">
            <w:pPr>
              <w:jc w:val="center"/>
              <w:rPr>
                <w:color w:val="000000" w:themeColor="text1"/>
              </w:rPr>
            </w:pPr>
            <w:r>
              <w:rPr>
                <w:color w:val="000000" w:themeColor="text1"/>
              </w:rPr>
              <w:t>210,0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7DE1A0A" w14:textId="667749E7" w:rsidR="002E2E87" w:rsidRPr="008F5C61" w:rsidRDefault="00067757" w:rsidP="002E2E87">
            <w:pPr>
              <w:jc w:val="center"/>
              <w:rPr>
                <w:color w:val="000000" w:themeColor="text1"/>
              </w:rPr>
            </w:pPr>
            <w:r>
              <w:rPr>
                <w:color w:val="000000" w:themeColor="text1"/>
              </w:rPr>
              <w:t>420,0 мг</w:t>
            </w:r>
          </w:p>
        </w:tc>
      </w:tr>
      <w:tr w:rsidR="002E2E87" w:rsidRPr="008F5C61" w14:paraId="48FDCDB2" w14:textId="77777777" w:rsidTr="00A97B7A">
        <w:trPr>
          <w:gridAfter w:val="1"/>
          <w:wAfter w:w="7" w:type="dxa"/>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62234AFD" w14:textId="183BAD4D" w:rsidR="002E2E87" w:rsidRPr="008F5C61" w:rsidRDefault="00067757" w:rsidP="002E2E87">
            <w:pPr>
              <w:ind w:left="567"/>
              <w:jc w:val="left"/>
              <w:rPr>
                <w:iCs/>
                <w:lang w:eastAsia="en-US"/>
              </w:rPr>
            </w:pPr>
            <w:r w:rsidRPr="004653BF">
              <w:rPr>
                <w:color w:val="000000" w:themeColor="text1"/>
              </w:rPr>
              <w:t>Кальция гидрофосфата дигидрат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F00A7C5" w14:textId="4474261C" w:rsidR="002E2E87" w:rsidRPr="008F5C61" w:rsidRDefault="00067757" w:rsidP="002E2E87">
            <w:pPr>
              <w:jc w:val="center"/>
            </w:pPr>
            <w:r>
              <w:rPr>
                <w:color w:val="000000" w:themeColor="text1"/>
              </w:rPr>
              <w:t>91,0</w:t>
            </w:r>
            <w:r w:rsidR="002E2E87" w:rsidRPr="008F5C61">
              <w:rPr>
                <w:color w:val="000000" w:themeColor="text1"/>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573124EE" w14:textId="4FD68751" w:rsidR="002E2E87" w:rsidRPr="008F5C61" w:rsidRDefault="00067757" w:rsidP="002E2E87">
            <w:pPr>
              <w:jc w:val="center"/>
            </w:pPr>
            <w:r>
              <w:rPr>
                <w:color w:val="000000" w:themeColor="text1"/>
              </w:rPr>
              <w:t>182,0</w:t>
            </w:r>
            <w:r w:rsidR="002E2E87" w:rsidRPr="008F5C61">
              <w:rPr>
                <w:color w:val="000000" w:themeColor="text1"/>
              </w:rPr>
              <w:t xml:space="preserve"> мг</w:t>
            </w:r>
          </w:p>
        </w:tc>
      </w:tr>
      <w:tr w:rsidR="002E2E87" w:rsidRPr="008F5C61" w14:paraId="45F0DEBE" w14:textId="77777777" w:rsidTr="00A97B7A">
        <w:trPr>
          <w:gridAfter w:val="1"/>
          <w:wAfter w:w="7" w:type="dxa"/>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4BC9014D" w14:textId="7411FE39" w:rsidR="002E2E87" w:rsidRPr="008F5C61" w:rsidRDefault="00067757" w:rsidP="002E2E87">
            <w:pPr>
              <w:ind w:left="567"/>
              <w:jc w:val="left"/>
              <w:rPr>
                <w:iCs/>
                <w:lang w:eastAsia="en-US"/>
              </w:rPr>
            </w:pPr>
            <w:r>
              <w:rPr>
                <w:rFonts w:eastAsia="Times New Roman"/>
                <w:lang w:eastAsia="ru-RU"/>
              </w:rPr>
              <w:t>Натрия крахмал гликолят (тип А)</w:t>
            </w:r>
            <w:r w:rsidRPr="008F5C61">
              <w:rPr>
                <w:rFonts w:eastAsia="Times New Roman"/>
                <w:lang w:eastAsia="ru-RU"/>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943C66E" w14:textId="7152BBB4" w:rsidR="002E2E87" w:rsidRPr="008F5C61" w:rsidRDefault="00067757" w:rsidP="002E2E87">
            <w:pPr>
              <w:jc w:val="center"/>
            </w:pPr>
            <w:r>
              <w:rPr>
                <w:color w:val="000000" w:themeColor="text1"/>
              </w:rPr>
              <w:t>60,0</w:t>
            </w:r>
            <w:r w:rsidR="002E2E87" w:rsidRPr="008F5C61">
              <w:rPr>
                <w:color w:val="000000" w:themeColor="text1"/>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8205389" w14:textId="0DF7D0EB" w:rsidR="002E2E87" w:rsidRPr="008F5C61" w:rsidRDefault="00067757" w:rsidP="002E2E87">
            <w:pPr>
              <w:jc w:val="center"/>
            </w:pPr>
            <w:r>
              <w:rPr>
                <w:color w:val="000000" w:themeColor="text1"/>
              </w:rPr>
              <w:t>120,0</w:t>
            </w:r>
            <w:r w:rsidR="002E2E87" w:rsidRPr="008F5C61">
              <w:rPr>
                <w:color w:val="000000" w:themeColor="text1"/>
              </w:rPr>
              <w:t xml:space="preserve"> мг</w:t>
            </w:r>
          </w:p>
        </w:tc>
      </w:tr>
      <w:tr w:rsidR="002E2E87" w:rsidRPr="008F5C61" w14:paraId="2CA7199D" w14:textId="77777777" w:rsidTr="00A97B7A">
        <w:trPr>
          <w:gridAfter w:val="1"/>
          <w:wAfter w:w="7" w:type="dxa"/>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11DEFF84" w14:textId="771689D4" w:rsidR="002E2E87" w:rsidRPr="006D718A" w:rsidRDefault="00067757">
            <w:pPr>
              <w:ind w:left="567"/>
              <w:jc w:val="left"/>
              <w:rPr>
                <w:iCs/>
                <w:lang w:eastAsia="en-US"/>
              </w:rPr>
            </w:pPr>
            <w:r>
              <w:rPr>
                <w:color w:val="000000" w:themeColor="text1"/>
              </w:rPr>
              <w:t>Кроскармеллоза натрия</w:t>
            </w:r>
            <w:r w:rsidR="002E2E87" w:rsidRPr="006D718A">
              <w:rPr>
                <w:color w:val="000000" w:themeColor="text1"/>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2FD1AAF" w14:textId="36B28EA4" w:rsidR="002E2E87" w:rsidRPr="006D718A" w:rsidRDefault="00067757" w:rsidP="002E2E87">
            <w:pPr>
              <w:jc w:val="center"/>
            </w:pPr>
            <w:r>
              <w:rPr>
                <w:color w:val="000000" w:themeColor="text1"/>
              </w:rPr>
              <w:t>30,0</w:t>
            </w:r>
            <w:r w:rsidR="002E2E87" w:rsidRPr="006D718A">
              <w:rPr>
                <w:color w:val="000000" w:themeColor="text1"/>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2F57A1A" w14:textId="7B16F088" w:rsidR="002E2E87" w:rsidRPr="006D718A" w:rsidRDefault="00067757" w:rsidP="002E2E87">
            <w:pPr>
              <w:jc w:val="center"/>
            </w:pPr>
            <w:r>
              <w:rPr>
                <w:color w:val="000000" w:themeColor="text1"/>
              </w:rPr>
              <w:t>60,0</w:t>
            </w:r>
            <w:r w:rsidR="002E2E87" w:rsidRPr="006D718A">
              <w:rPr>
                <w:color w:val="000000" w:themeColor="text1"/>
              </w:rPr>
              <w:t xml:space="preserve"> мг</w:t>
            </w:r>
          </w:p>
        </w:tc>
      </w:tr>
      <w:tr w:rsidR="002E2E87" w:rsidRPr="00707D60" w14:paraId="3503B596" w14:textId="77777777" w:rsidTr="00A97B7A">
        <w:trPr>
          <w:gridAfter w:val="1"/>
          <w:wAfter w:w="7" w:type="dxa"/>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218E580E" w14:textId="3A169222" w:rsidR="002E2E87" w:rsidRPr="006D718A" w:rsidRDefault="00067757" w:rsidP="002E2E87">
            <w:pPr>
              <w:ind w:left="567"/>
              <w:jc w:val="left"/>
              <w:rPr>
                <w:iCs/>
                <w:lang w:eastAsia="en-US"/>
              </w:rPr>
            </w:pPr>
            <w:r>
              <w:rPr>
                <w:color w:val="000000" w:themeColor="text1"/>
              </w:rPr>
              <w:t>Магния стеарат</w:t>
            </w:r>
            <w:r w:rsidRPr="006D718A">
              <w:rPr>
                <w:color w:val="000000" w:themeColor="text1"/>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CD4D784" w14:textId="0EF0FE97" w:rsidR="002E2E87" w:rsidRPr="006D718A" w:rsidRDefault="00067757" w:rsidP="002E2E87">
            <w:pPr>
              <w:jc w:val="center"/>
            </w:pPr>
            <w:r>
              <w:rPr>
                <w:color w:val="000000" w:themeColor="text1"/>
              </w:rPr>
              <w:t>6,0</w:t>
            </w:r>
            <w:r w:rsidR="002E2E87" w:rsidRPr="006D718A">
              <w:rPr>
                <w:color w:val="000000" w:themeColor="text1"/>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C5CD944" w14:textId="4E63B155" w:rsidR="002E2E87" w:rsidRPr="006D718A" w:rsidRDefault="00067757" w:rsidP="002E2E87">
            <w:pPr>
              <w:jc w:val="center"/>
            </w:pPr>
            <w:r>
              <w:rPr>
                <w:color w:val="000000" w:themeColor="text1"/>
              </w:rPr>
              <w:t>12,0</w:t>
            </w:r>
            <w:r w:rsidR="002E2E87" w:rsidRPr="006D718A">
              <w:rPr>
                <w:color w:val="000000" w:themeColor="text1"/>
              </w:rPr>
              <w:t xml:space="preserve"> мг</w:t>
            </w:r>
          </w:p>
        </w:tc>
      </w:tr>
      <w:tr w:rsidR="002E2E87" w:rsidRPr="00707D60" w14:paraId="3AA7BDFE" w14:textId="77777777" w:rsidTr="00A97B7A">
        <w:trPr>
          <w:gridAfter w:val="1"/>
          <w:wAfter w:w="7" w:type="dxa"/>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6A59FA81" w14:textId="6196F8D9" w:rsidR="002E2E87" w:rsidRPr="006D718A" w:rsidRDefault="00067757" w:rsidP="002E2E87">
            <w:pPr>
              <w:ind w:left="567"/>
              <w:jc w:val="left"/>
              <w:rPr>
                <w:iCs/>
                <w:lang w:eastAsia="en-US"/>
              </w:rPr>
            </w:pPr>
            <w:r>
              <w:rPr>
                <w:color w:val="000000" w:themeColor="text1"/>
              </w:rPr>
              <w:t>Кремния диоксид коллоидный</w:t>
            </w:r>
            <w:r w:rsidR="002E2E87" w:rsidRPr="006D718A">
              <w:rPr>
                <w:color w:val="000000" w:themeColor="text1"/>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8EC1DDA" w14:textId="77D5770B" w:rsidR="002E2E87" w:rsidRPr="006D718A" w:rsidRDefault="00067757" w:rsidP="002E2E87">
            <w:pPr>
              <w:jc w:val="center"/>
            </w:pPr>
            <w:r>
              <w:rPr>
                <w:color w:val="000000" w:themeColor="text1"/>
              </w:rPr>
              <w:t>3,0</w:t>
            </w:r>
            <w:r w:rsidR="002E2E87" w:rsidRPr="006D718A">
              <w:rPr>
                <w:color w:val="000000" w:themeColor="text1"/>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541F8C1" w14:textId="5344D582" w:rsidR="002E2E87" w:rsidRPr="006D718A" w:rsidRDefault="00067757" w:rsidP="002E2E87">
            <w:pPr>
              <w:jc w:val="center"/>
            </w:pPr>
            <w:r>
              <w:rPr>
                <w:color w:val="000000" w:themeColor="text1"/>
              </w:rPr>
              <w:t>6,0</w:t>
            </w:r>
            <w:r w:rsidR="002E2E87" w:rsidRPr="006D718A">
              <w:rPr>
                <w:color w:val="000000" w:themeColor="text1"/>
              </w:rPr>
              <w:t xml:space="preserve"> мг</w:t>
            </w:r>
          </w:p>
        </w:tc>
      </w:tr>
      <w:tr w:rsidR="002E2E87" w:rsidRPr="00707D60" w14:paraId="4AD204B9" w14:textId="77777777" w:rsidTr="00A97B7A">
        <w:trPr>
          <w:gridAfter w:val="1"/>
          <w:wAfter w:w="7" w:type="dxa"/>
          <w:trHeight w:val="2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tcPr>
          <w:p w14:paraId="50309031" w14:textId="77777777" w:rsidR="002E2E87" w:rsidRPr="006D718A" w:rsidRDefault="002E2E87" w:rsidP="008B0B82">
            <w:pPr>
              <w:jc w:val="left"/>
              <w:rPr>
                <w:iCs/>
                <w:lang w:eastAsia="en-US"/>
              </w:rPr>
            </w:pPr>
            <w:r w:rsidRPr="006D718A">
              <w:rPr>
                <w:b/>
                <w:color w:val="000000" w:themeColor="text1"/>
              </w:rPr>
              <w:t>Масса таблетки: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218763F" w14:textId="12BFC774" w:rsidR="002E2E87" w:rsidRPr="006D718A" w:rsidRDefault="00067757" w:rsidP="002E2E87">
            <w:pPr>
              <w:jc w:val="center"/>
            </w:pPr>
            <w:r>
              <w:rPr>
                <w:b/>
                <w:color w:val="000000" w:themeColor="text1"/>
              </w:rPr>
              <w:t>600,0</w:t>
            </w:r>
            <w:r w:rsidR="002E2E87" w:rsidRPr="006D718A">
              <w:rPr>
                <w:b/>
                <w:color w:val="000000" w:themeColor="text1"/>
              </w:rPr>
              <w:t xml:space="preserve"> мг</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F7D55E9" w14:textId="62535DD8" w:rsidR="002E2E87" w:rsidRPr="006D718A" w:rsidRDefault="00067757" w:rsidP="002E2E87">
            <w:pPr>
              <w:jc w:val="center"/>
            </w:pPr>
            <w:r>
              <w:rPr>
                <w:b/>
                <w:color w:val="000000" w:themeColor="text1"/>
              </w:rPr>
              <w:t>1200,0</w:t>
            </w:r>
            <w:r w:rsidR="002E2E87" w:rsidRPr="006D718A">
              <w:rPr>
                <w:b/>
                <w:color w:val="000000" w:themeColor="text1"/>
              </w:rPr>
              <w:t xml:space="preserve"> мг</w:t>
            </w:r>
          </w:p>
        </w:tc>
      </w:tr>
    </w:tbl>
    <w:p w14:paraId="43BC08D7" w14:textId="77777777" w:rsidR="002E2E87" w:rsidRPr="008F5C61" w:rsidRDefault="002E2E87" w:rsidP="001C39B8">
      <w:pPr>
        <w:rPr>
          <w:rFonts w:eastAsia="Times New Roman"/>
          <w:b/>
          <w:lang w:eastAsia="ru-RU"/>
        </w:rPr>
      </w:pPr>
    </w:p>
    <w:p w14:paraId="50849DCD" w14:textId="5BF22DE7" w:rsidR="00287E33" w:rsidRPr="00B66676" w:rsidRDefault="00B36E71">
      <w:pPr>
        <w:ind w:firstLine="709"/>
      </w:pPr>
      <w:r>
        <w:rPr>
          <w:bCs/>
          <w:lang w:eastAsia="ru-RU"/>
        </w:rPr>
        <w:t xml:space="preserve">Препарат </w:t>
      </w:r>
      <w:r w:rsidRPr="00BB6CED">
        <w:rPr>
          <w:color w:val="000000" w:themeColor="text1"/>
          <w:lang w:val="en-US"/>
        </w:rPr>
        <w:t>DT</w:t>
      </w:r>
      <w:r w:rsidRPr="00BB6CED">
        <w:rPr>
          <w:color w:val="000000" w:themeColor="text1"/>
        </w:rPr>
        <w:t>-</w:t>
      </w:r>
      <w:r>
        <w:rPr>
          <w:color w:val="000000" w:themeColor="text1"/>
          <w:lang w:val="en-US"/>
        </w:rPr>
        <w:t>ETR</w:t>
      </w:r>
      <w:r>
        <w:rPr>
          <w:bCs/>
          <w:lang w:eastAsia="ru-RU"/>
        </w:rPr>
        <w:t xml:space="preserve">, таблетки, </w:t>
      </w:r>
      <w:r w:rsidRPr="00707D60">
        <w:t>10</w:t>
      </w:r>
      <w:r>
        <w:t xml:space="preserve">0 </w:t>
      </w:r>
      <w:r w:rsidRPr="00707D60">
        <w:t>мг</w:t>
      </w:r>
      <w:r>
        <w:t xml:space="preserve"> и 200</w:t>
      </w:r>
      <w:r w:rsidRPr="00707D60">
        <w:t xml:space="preserve"> мг </w:t>
      </w:r>
      <w:r>
        <w:rPr>
          <w:bCs/>
          <w:lang w:eastAsia="ru-RU"/>
        </w:rPr>
        <w:t xml:space="preserve">– </w:t>
      </w:r>
      <w:r w:rsidRPr="00DA75AA">
        <w:rPr>
          <w:bCs/>
          <w:lang w:eastAsia="ru-RU"/>
        </w:rPr>
        <w:t xml:space="preserve">воспроизведенный препарат </w:t>
      </w:r>
      <w:r>
        <w:rPr>
          <w:bCs/>
          <w:lang w:eastAsia="ru-RU"/>
        </w:rPr>
        <w:t>этравирина</w:t>
      </w:r>
      <w:r w:rsidRPr="00DA75AA">
        <w:rPr>
          <w:bCs/>
          <w:lang w:eastAsia="ru-RU"/>
        </w:rPr>
        <w:t xml:space="preserve">, разработанный </w:t>
      </w:r>
      <w:r>
        <w:rPr>
          <w:bCs/>
          <w:lang w:eastAsia="ru-RU"/>
        </w:rPr>
        <w:t>дочерним подразделением ГК «Р-Фарм», Россия – ООО «Технология лекарств»</w:t>
      </w:r>
      <w:r w:rsidRPr="00DA75AA">
        <w:rPr>
          <w:bCs/>
          <w:lang w:eastAsia="ru-RU"/>
        </w:rPr>
        <w:t xml:space="preserve">. </w:t>
      </w:r>
      <w:r>
        <w:rPr>
          <w:color w:val="000000"/>
        </w:rPr>
        <w:t xml:space="preserve">Он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препарату </w:t>
      </w:r>
      <w:r w:rsidR="00E729EF">
        <w:rPr>
          <w:color w:val="000000"/>
        </w:rPr>
        <w:t xml:space="preserve">этравирина </w:t>
      </w:r>
      <w:r>
        <w:rPr>
          <w:color w:val="000000"/>
        </w:rPr>
        <w:t>Интеленс</w:t>
      </w:r>
      <w:r w:rsidRPr="00DA75AA">
        <w:rPr>
          <w:color w:val="000000"/>
          <w:vertAlign w:val="superscript"/>
        </w:rPr>
        <w:t>®</w:t>
      </w:r>
      <w:r w:rsidRPr="00DA75AA">
        <w:rPr>
          <w:color w:val="000000"/>
        </w:rPr>
        <w:t xml:space="preserve"> </w:t>
      </w:r>
      <w:r w:rsidRPr="00DA75AA">
        <w:rPr>
          <w:lang w:eastAsia="ru-RU"/>
        </w:rPr>
        <w:t xml:space="preserve">(владелец РУ </w:t>
      </w:r>
      <w:r>
        <w:rPr>
          <w:lang w:eastAsia="ru-RU"/>
        </w:rPr>
        <w:t xml:space="preserve">– ООО «Джонсон </w:t>
      </w:r>
      <w:r w:rsidRPr="009B427E">
        <w:rPr>
          <w:lang w:eastAsia="ru-RU"/>
        </w:rPr>
        <w:t xml:space="preserve">&amp; </w:t>
      </w:r>
      <w:r>
        <w:rPr>
          <w:lang w:eastAsia="ru-RU"/>
        </w:rPr>
        <w:t>Джонсон», Россия</w:t>
      </w:r>
      <w:r w:rsidRPr="00DA75AA">
        <w:rPr>
          <w:lang w:eastAsia="ru-RU"/>
        </w:rPr>
        <w:t xml:space="preserve">), </w:t>
      </w:r>
      <w:r>
        <w:rPr>
          <w:lang w:eastAsia="ru-RU"/>
        </w:rPr>
        <w:t>имея отличия в качественном и количественном составе некоторых вспомогательных веществ.</w:t>
      </w:r>
      <w:r>
        <w:rPr>
          <w:color w:val="000000"/>
        </w:rPr>
        <w:t xml:space="preserve"> </w:t>
      </w:r>
    </w:p>
    <w:p w14:paraId="346D6010" w14:textId="3372098B" w:rsidR="00287E33" w:rsidRPr="00A97B7A" w:rsidRDefault="00287E33" w:rsidP="008A0F27">
      <w:pPr>
        <w:ind w:firstLine="709"/>
        <w:rPr>
          <w:color w:val="000000" w:themeColor="text1"/>
        </w:rPr>
      </w:pPr>
      <w:r>
        <w:rPr>
          <w:color w:val="000000" w:themeColor="text1"/>
        </w:rPr>
        <w:t xml:space="preserve">В планируемом клиническом исследовании биоэквивалентности будет использоваться </w:t>
      </w:r>
      <w:r w:rsidRPr="00A76175">
        <w:t xml:space="preserve">дозировка 200 мг. </w:t>
      </w:r>
      <w:r>
        <w:rPr>
          <w:color w:val="000000" w:themeColor="text1"/>
        </w:rPr>
        <w:t xml:space="preserve">Сопоставление составов </w:t>
      </w:r>
      <w:r>
        <w:rPr>
          <w:rFonts w:eastAsiaTheme="minorHAnsi"/>
          <w:color w:val="000000" w:themeColor="text1"/>
          <w:lang w:eastAsia="en-US"/>
        </w:rPr>
        <w:t>DT-</w:t>
      </w:r>
      <w:r>
        <w:rPr>
          <w:rFonts w:eastAsiaTheme="minorHAnsi"/>
          <w:color w:val="000000" w:themeColor="text1"/>
          <w:lang w:val="en-US" w:eastAsia="en-US"/>
        </w:rPr>
        <w:t>ETR</w:t>
      </w:r>
      <w:r w:rsidRPr="00FA79C6">
        <w:rPr>
          <w:rFonts w:eastAsiaTheme="minorHAnsi"/>
          <w:color w:val="000000" w:themeColor="text1"/>
          <w:lang w:eastAsia="en-US"/>
        </w:rPr>
        <w:t xml:space="preserve"> </w:t>
      </w:r>
      <w:r>
        <w:rPr>
          <w:rFonts w:eastAsiaTheme="minorHAnsi"/>
          <w:color w:val="000000" w:themeColor="text1"/>
          <w:lang w:eastAsia="en-US"/>
        </w:rPr>
        <w:t xml:space="preserve">(АО «Р-Фарм», Россия) и </w:t>
      </w:r>
      <w:r w:rsidRPr="00F445B5">
        <w:t>Ин</w:t>
      </w:r>
      <w:r>
        <w:t>теленс</w:t>
      </w:r>
      <w:r w:rsidRPr="008B0B82">
        <w:rPr>
          <w:vertAlign w:val="superscript"/>
        </w:rPr>
        <w:t>®</w:t>
      </w:r>
      <w:r w:rsidRPr="00FA79C6">
        <w:t xml:space="preserve"> </w:t>
      </w:r>
      <w:r w:rsidR="00016818">
        <w:rPr>
          <w:color w:val="000000" w:themeColor="text1"/>
        </w:rPr>
        <w:t>(«</w:t>
      </w:r>
      <w:r w:rsidR="00124A6B">
        <w:t xml:space="preserve">ООО «Джонсон </w:t>
      </w:r>
      <w:r w:rsidR="00124A6B" w:rsidRPr="009B427E">
        <w:t xml:space="preserve">&amp; </w:t>
      </w:r>
      <w:r w:rsidR="00124A6B">
        <w:t>Джонсон», Россия</w:t>
      </w:r>
      <w:r>
        <w:rPr>
          <w:color w:val="000000" w:themeColor="text1"/>
        </w:rPr>
        <w:t>)</w:t>
      </w:r>
      <w:r>
        <w:rPr>
          <w:rFonts w:eastAsiaTheme="minorHAnsi"/>
          <w:color w:val="000000" w:themeColor="text1"/>
          <w:lang w:eastAsia="en-US"/>
        </w:rPr>
        <w:t xml:space="preserve"> представлено </w:t>
      </w:r>
      <w:r w:rsidRPr="00287E33">
        <w:rPr>
          <w:rFonts w:eastAsiaTheme="minorHAnsi"/>
          <w:lang w:eastAsia="en-US"/>
        </w:rPr>
        <w:t>в табл. 2-</w:t>
      </w:r>
      <w:r w:rsidR="00B36E71" w:rsidRPr="008B0B82">
        <w:rPr>
          <w:rFonts w:eastAsiaTheme="minorHAnsi"/>
          <w:lang w:eastAsia="en-US"/>
        </w:rPr>
        <w:t>2</w:t>
      </w:r>
      <w:r w:rsidRPr="00287E33">
        <w:rPr>
          <w:rFonts w:eastAsiaTheme="minorHAnsi"/>
          <w:lang w:eastAsia="en-US"/>
        </w:rPr>
        <w:t xml:space="preserve">. ниже. </w:t>
      </w:r>
    </w:p>
    <w:p w14:paraId="630B1CA7" w14:textId="77777777" w:rsidR="00287E33" w:rsidRDefault="00287E33" w:rsidP="00287E33">
      <w:pPr>
        <w:rPr>
          <w:b/>
        </w:rPr>
      </w:pPr>
    </w:p>
    <w:p w14:paraId="3C572083" w14:textId="0759A2A7" w:rsidR="00287E33" w:rsidRDefault="00287E33" w:rsidP="00287E33">
      <w:pPr>
        <w:rPr>
          <w:rFonts w:eastAsia="Times New Roman"/>
          <w:lang w:eastAsia="ru-RU"/>
        </w:rPr>
      </w:pPr>
      <w:r w:rsidRPr="00287E33">
        <w:rPr>
          <w:b/>
        </w:rPr>
        <w:t>Таблица 2-</w:t>
      </w:r>
      <w:r w:rsidR="00B36E71" w:rsidRPr="008B0B82">
        <w:rPr>
          <w:b/>
        </w:rPr>
        <w:t>2</w:t>
      </w:r>
      <w:r w:rsidRPr="00287E33">
        <w:rPr>
          <w:b/>
        </w:rPr>
        <w:t>.</w:t>
      </w:r>
      <w:r w:rsidRPr="00287E33">
        <w:t xml:space="preserve"> </w:t>
      </w:r>
      <w:r>
        <w:t xml:space="preserve">Сопоставление составов препарата </w:t>
      </w:r>
      <w:r>
        <w:rPr>
          <w:rFonts w:eastAsiaTheme="minorHAnsi"/>
          <w:color w:val="000000" w:themeColor="text1"/>
          <w:lang w:eastAsia="en-US"/>
        </w:rPr>
        <w:t>DT-</w:t>
      </w:r>
      <w:r>
        <w:rPr>
          <w:rFonts w:eastAsiaTheme="minorHAnsi"/>
          <w:color w:val="000000" w:themeColor="text1"/>
          <w:lang w:val="en-US" w:eastAsia="en-US"/>
        </w:rPr>
        <w:t>ETR</w:t>
      </w:r>
      <w:r w:rsidRPr="00FA79C6">
        <w:rPr>
          <w:rFonts w:eastAsiaTheme="minorHAnsi"/>
          <w:color w:val="000000" w:themeColor="text1"/>
          <w:lang w:eastAsia="en-US"/>
        </w:rPr>
        <w:t xml:space="preserve"> </w:t>
      </w:r>
      <w:r>
        <w:rPr>
          <w:rFonts w:eastAsiaTheme="minorHAnsi"/>
          <w:color w:val="000000" w:themeColor="text1"/>
          <w:lang w:eastAsia="en-US"/>
        </w:rPr>
        <w:t xml:space="preserve">(АО «Р-Фарм», Россия) и референтного препарата </w:t>
      </w:r>
      <w:r w:rsidRPr="00F445B5">
        <w:t>Ин</w:t>
      </w:r>
      <w:r>
        <w:t>теленс</w:t>
      </w:r>
      <w:r w:rsidRPr="00016818">
        <w:rPr>
          <w:vertAlign w:val="superscript"/>
        </w:rPr>
        <w:t>®</w:t>
      </w:r>
      <w:r w:rsidRPr="00FA79C6">
        <w:t xml:space="preserve"> </w:t>
      </w:r>
      <w:r>
        <w:rPr>
          <w:color w:val="000000" w:themeColor="text1"/>
        </w:rPr>
        <w:t>(</w:t>
      </w:r>
      <w:r w:rsidR="00016818">
        <w:rPr>
          <w:color w:val="000000" w:themeColor="text1"/>
        </w:rPr>
        <w:t>«</w:t>
      </w:r>
      <w:r>
        <w:t>Янссен-Силаг С.п.А</w:t>
      </w:r>
      <w:r w:rsidR="00016818">
        <w:t>ю»</w:t>
      </w:r>
      <w:r>
        <w:t>, Италия</w:t>
      </w:r>
      <w:r w:rsidRPr="00FA79C6">
        <w:t>;</w:t>
      </w:r>
      <w:r w:rsidRPr="00F445B5">
        <w:t xml:space="preserve"> владелец РУ: </w:t>
      </w:r>
      <w:r w:rsidR="00124A6B">
        <w:t xml:space="preserve">ООО «Джонсон </w:t>
      </w:r>
      <w:r w:rsidR="00124A6B" w:rsidRPr="009B427E">
        <w:t xml:space="preserve">&amp; </w:t>
      </w:r>
      <w:r w:rsidR="00124A6B">
        <w:t>Джонсон», Россия</w:t>
      </w:r>
      <w:r>
        <w:rPr>
          <w:color w:val="000000" w:themeColor="text1"/>
        </w:rPr>
        <w:t xml:space="preserve">) в дозировке </w:t>
      </w:r>
      <w:r w:rsidRPr="00FA79C6">
        <w:rPr>
          <w:color w:val="000000" w:themeColor="text1"/>
        </w:rPr>
        <w:t>20</w:t>
      </w:r>
      <w:r>
        <w:rPr>
          <w:color w:val="000000" w:themeColor="text1"/>
        </w:rPr>
        <w:t>0 мг.</w:t>
      </w:r>
      <w:r>
        <w:rPr>
          <w:lang w:eastAsia="ru-RU"/>
        </w:rPr>
        <w:t xml:space="preserve"> </w:t>
      </w:r>
    </w:p>
    <w:tbl>
      <w:tblPr>
        <w:tblStyle w:val="a8"/>
        <w:tblW w:w="0" w:type="auto"/>
        <w:tblLook w:val="04A0" w:firstRow="1" w:lastRow="0" w:firstColumn="1" w:lastColumn="0" w:noHBand="0" w:noVBand="1"/>
      </w:tblPr>
      <w:tblGrid>
        <w:gridCol w:w="4812"/>
        <w:gridCol w:w="2266"/>
        <w:gridCol w:w="2268"/>
      </w:tblGrid>
      <w:tr w:rsidR="00287E33" w14:paraId="5D63B047" w14:textId="77777777" w:rsidTr="00B66676">
        <w:trPr>
          <w:trHeight w:val="339"/>
          <w:tblHeader/>
        </w:trPr>
        <w:tc>
          <w:tcPr>
            <w:tcW w:w="481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87265E" w14:textId="77777777" w:rsidR="00287E33" w:rsidRDefault="00287E33" w:rsidP="00B66676">
            <w:pPr>
              <w:jc w:val="center"/>
              <w:rPr>
                <w:b/>
                <w:color w:val="000000" w:themeColor="text1"/>
                <w:lang w:eastAsia="ru-RU"/>
              </w:rPr>
            </w:pPr>
            <w:r>
              <w:rPr>
                <w:b/>
                <w:color w:val="000000" w:themeColor="text1"/>
                <w:lang w:eastAsia="ru-RU"/>
              </w:rPr>
              <w:t>Компонент</w:t>
            </w:r>
          </w:p>
        </w:tc>
        <w:tc>
          <w:tcPr>
            <w:tcW w:w="45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7C9C0" w14:textId="77777777" w:rsidR="00287E33" w:rsidRDefault="00287E33" w:rsidP="00B66676">
            <w:pPr>
              <w:jc w:val="center"/>
              <w:rPr>
                <w:b/>
                <w:color w:val="000000" w:themeColor="text1"/>
                <w:lang w:eastAsia="ru-RU"/>
              </w:rPr>
            </w:pPr>
            <w:r>
              <w:rPr>
                <w:b/>
                <w:color w:val="000000" w:themeColor="text1"/>
                <w:lang w:eastAsia="ru-RU"/>
              </w:rPr>
              <w:t>Дозировка</w:t>
            </w:r>
            <w:r>
              <w:rPr>
                <w:b/>
                <w:color w:val="000000" w:themeColor="text1"/>
                <w:lang w:val="en-US" w:eastAsia="ru-RU"/>
              </w:rPr>
              <w:t xml:space="preserve"> 20</w:t>
            </w:r>
            <w:r>
              <w:rPr>
                <w:b/>
                <w:color w:val="000000" w:themeColor="text1"/>
                <w:lang w:eastAsia="ru-RU"/>
              </w:rPr>
              <w:t>0 мг</w:t>
            </w:r>
          </w:p>
        </w:tc>
      </w:tr>
      <w:tr w:rsidR="00287E33" w14:paraId="0649AC8B" w14:textId="77777777" w:rsidTr="00B66676">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6E725A" w14:textId="77777777" w:rsidR="00287E33" w:rsidRDefault="00287E33" w:rsidP="00B66676">
            <w:pPr>
              <w:jc w:val="left"/>
              <w:rPr>
                <w:b/>
                <w:color w:val="000000" w:themeColor="text1"/>
                <w:lang w:eastAsia="ru-RU"/>
              </w:rPr>
            </w:pPr>
          </w:p>
        </w:tc>
        <w:tc>
          <w:tcPr>
            <w:tcW w:w="226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5C961" w14:textId="77777777" w:rsidR="00287E33" w:rsidRDefault="00287E33" w:rsidP="00B66676">
            <w:pPr>
              <w:jc w:val="center"/>
              <w:rPr>
                <w:b/>
                <w:color w:val="000000" w:themeColor="text1"/>
                <w:lang w:val="en-US" w:eastAsia="ru-RU"/>
              </w:rPr>
            </w:pPr>
            <w:r>
              <w:rPr>
                <w:b/>
                <w:color w:val="000000" w:themeColor="text1"/>
                <w:lang w:val="en-US" w:eastAsia="ru-RU"/>
              </w:rPr>
              <w:t>DT-ETR</w:t>
            </w:r>
          </w:p>
        </w:tc>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AB4A2E" w14:textId="77777777" w:rsidR="00287E33" w:rsidRPr="00FA79C6" w:rsidRDefault="00287E33" w:rsidP="00B66676">
            <w:pPr>
              <w:jc w:val="center"/>
              <w:rPr>
                <w:b/>
                <w:color w:val="000000" w:themeColor="text1"/>
                <w:lang w:eastAsia="ru-RU"/>
              </w:rPr>
            </w:pPr>
            <w:r w:rsidRPr="00FA79C6">
              <w:rPr>
                <w:b/>
              </w:rPr>
              <w:t>Интеленс</w:t>
            </w:r>
            <w:r w:rsidRPr="008B0B82">
              <w:rPr>
                <w:b/>
                <w:vertAlign w:val="superscript"/>
              </w:rPr>
              <w:t>®</w:t>
            </w:r>
          </w:p>
        </w:tc>
      </w:tr>
      <w:tr w:rsidR="00287E33" w14:paraId="1760E317" w14:textId="77777777" w:rsidTr="00B66676">
        <w:tc>
          <w:tcPr>
            <w:tcW w:w="9354" w:type="dxa"/>
            <w:gridSpan w:val="3"/>
            <w:tcBorders>
              <w:top w:val="single" w:sz="4" w:space="0" w:color="auto"/>
              <w:left w:val="single" w:sz="4" w:space="0" w:color="auto"/>
              <w:bottom w:val="single" w:sz="4" w:space="0" w:color="auto"/>
              <w:right w:val="single" w:sz="4" w:space="0" w:color="auto"/>
            </w:tcBorders>
            <w:hideMark/>
          </w:tcPr>
          <w:p w14:paraId="536CFE34" w14:textId="77777777" w:rsidR="00287E33" w:rsidRPr="00FA79C6" w:rsidRDefault="00287E33" w:rsidP="00B66676">
            <w:pPr>
              <w:pStyle w:val="affb"/>
              <w:spacing w:before="0" w:after="0" w:line="240" w:lineRule="auto"/>
              <w:rPr>
                <w:i/>
                <w:color w:val="FF0000"/>
              </w:rPr>
            </w:pPr>
            <w:r w:rsidRPr="00FA79C6">
              <w:rPr>
                <w:i/>
              </w:rPr>
              <w:t>Действующее вещество:</w:t>
            </w:r>
          </w:p>
        </w:tc>
      </w:tr>
      <w:tr w:rsidR="00287E33" w14:paraId="4DB23E99" w14:textId="77777777" w:rsidTr="00B66676">
        <w:tc>
          <w:tcPr>
            <w:tcW w:w="4815" w:type="dxa"/>
            <w:tcBorders>
              <w:top w:val="single" w:sz="4" w:space="0" w:color="auto"/>
              <w:left w:val="single" w:sz="4" w:space="0" w:color="auto"/>
              <w:bottom w:val="single" w:sz="4" w:space="0" w:color="auto"/>
              <w:right w:val="single" w:sz="4" w:space="0" w:color="auto"/>
            </w:tcBorders>
          </w:tcPr>
          <w:p w14:paraId="7AF4A6CB" w14:textId="77777777" w:rsidR="00287E33" w:rsidRPr="00F445B5" w:rsidRDefault="00287E33" w:rsidP="00B36E71">
            <w:pPr>
              <w:pStyle w:val="affb"/>
              <w:spacing w:before="0" w:after="0" w:line="240" w:lineRule="auto"/>
              <w:ind w:left="567"/>
            </w:pPr>
            <w:r>
              <w:t>Этравирин</w:t>
            </w:r>
          </w:p>
        </w:tc>
        <w:tc>
          <w:tcPr>
            <w:tcW w:w="2269" w:type="dxa"/>
            <w:tcBorders>
              <w:top w:val="single" w:sz="4" w:space="0" w:color="auto"/>
              <w:left w:val="single" w:sz="4" w:space="0" w:color="auto"/>
              <w:bottom w:val="single" w:sz="4" w:space="0" w:color="auto"/>
              <w:right w:val="single" w:sz="4" w:space="0" w:color="auto"/>
            </w:tcBorders>
          </w:tcPr>
          <w:p w14:paraId="16AFB7DA" w14:textId="252DE342" w:rsidR="00287E33" w:rsidRPr="00F445B5" w:rsidRDefault="00287E33" w:rsidP="00EE1D8E">
            <w:pPr>
              <w:pStyle w:val="affb"/>
              <w:spacing w:before="0" w:after="0" w:line="240" w:lineRule="auto"/>
              <w:jc w:val="center"/>
            </w:pPr>
            <w:r>
              <w:t>2</w:t>
            </w:r>
            <w:r w:rsidRPr="00F445B5">
              <w:t>00,0 мг</w:t>
            </w:r>
            <w:r w:rsidR="00B36E71">
              <w:t>*</w:t>
            </w:r>
            <w:r w:rsidRPr="00F445B5">
              <w:t xml:space="preserve"> </w:t>
            </w:r>
          </w:p>
        </w:tc>
        <w:tc>
          <w:tcPr>
            <w:tcW w:w="2270" w:type="dxa"/>
            <w:tcBorders>
              <w:top w:val="single" w:sz="4" w:space="0" w:color="auto"/>
              <w:left w:val="single" w:sz="4" w:space="0" w:color="auto"/>
              <w:bottom w:val="single" w:sz="4" w:space="0" w:color="auto"/>
              <w:right w:val="single" w:sz="4" w:space="0" w:color="auto"/>
            </w:tcBorders>
          </w:tcPr>
          <w:p w14:paraId="6E2CF4A5" w14:textId="77777777" w:rsidR="00287E33" w:rsidRPr="00FA79C6" w:rsidRDefault="00287E33" w:rsidP="00B66676">
            <w:pPr>
              <w:pStyle w:val="affb"/>
              <w:spacing w:before="0" w:after="0" w:line="240" w:lineRule="auto"/>
              <w:jc w:val="center"/>
            </w:pPr>
            <w:r>
              <w:rPr>
                <w:lang w:val="en-US"/>
              </w:rPr>
              <w:t xml:space="preserve">200 </w:t>
            </w:r>
            <w:r>
              <w:t>мг</w:t>
            </w:r>
          </w:p>
        </w:tc>
      </w:tr>
      <w:tr w:rsidR="00287E33" w14:paraId="2330A4F5" w14:textId="77777777" w:rsidTr="00B66676">
        <w:tc>
          <w:tcPr>
            <w:tcW w:w="9354" w:type="dxa"/>
            <w:gridSpan w:val="3"/>
            <w:tcBorders>
              <w:top w:val="single" w:sz="4" w:space="0" w:color="auto"/>
              <w:left w:val="single" w:sz="4" w:space="0" w:color="auto"/>
              <w:bottom w:val="single" w:sz="4" w:space="0" w:color="auto"/>
              <w:right w:val="single" w:sz="4" w:space="0" w:color="auto"/>
            </w:tcBorders>
            <w:hideMark/>
          </w:tcPr>
          <w:p w14:paraId="4A18598F" w14:textId="77777777" w:rsidR="00287E33" w:rsidRPr="00FA79C6" w:rsidRDefault="00287E33" w:rsidP="00B66676">
            <w:pPr>
              <w:jc w:val="left"/>
              <w:rPr>
                <w:i/>
                <w:color w:val="000000" w:themeColor="text1"/>
                <w:lang w:eastAsia="ru-RU"/>
              </w:rPr>
            </w:pPr>
            <w:r w:rsidRPr="00FA79C6">
              <w:rPr>
                <w:i/>
              </w:rPr>
              <w:t>Вспомогательные вещества:</w:t>
            </w:r>
          </w:p>
        </w:tc>
      </w:tr>
      <w:tr w:rsidR="00287E33" w14:paraId="2AD548D6" w14:textId="77777777" w:rsidTr="00B66676">
        <w:tc>
          <w:tcPr>
            <w:tcW w:w="4815" w:type="dxa"/>
            <w:tcBorders>
              <w:top w:val="single" w:sz="4" w:space="0" w:color="auto"/>
              <w:left w:val="single" w:sz="4" w:space="0" w:color="auto"/>
              <w:bottom w:val="single" w:sz="4" w:space="0" w:color="auto"/>
              <w:right w:val="single" w:sz="4" w:space="0" w:color="auto"/>
            </w:tcBorders>
          </w:tcPr>
          <w:p w14:paraId="1C3514F6" w14:textId="6C7431AB" w:rsidR="00287E33" w:rsidRDefault="00B36E71" w:rsidP="008B0B82">
            <w:pPr>
              <w:pStyle w:val="affb"/>
              <w:spacing w:before="0" w:after="0" w:line="240" w:lineRule="auto"/>
              <w:ind w:left="567"/>
              <w:jc w:val="left"/>
            </w:pPr>
            <w:r>
              <w:t>Г</w:t>
            </w:r>
            <w:r w:rsidR="00287E33">
              <w:t>ипромеллоза</w:t>
            </w:r>
          </w:p>
        </w:tc>
        <w:tc>
          <w:tcPr>
            <w:tcW w:w="2269" w:type="dxa"/>
            <w:tcBorders>
              <w:top w:val="single" w:sz="4" w:space="0" w:color="auto"/>
              <w:left w:val="single" w:sz="4" w:space="0" w:color="auto"/>
              <w:bottom w:val="single" w:sz="4" w:space="0" w:color="auto"/>
              <w:right w:val="single" w:sz="4" w:space="0" w:color="auto"/>
            </w:tcBorders>
            <w:vAlign w:val="center"/>
          </w:tcPr>
          <w:p w14:paraId="3B71DF8F" w14:textId="77777777" w:rsidR="00287E33" w:rsidRDefault="00287E33" w:rsidP="00B66676">
            <w:pPr>
              <w:jc w:val="center"/>
            </w:pPr>
            <w:r>
              <w:t>-</w:t>
            </w:r>
          </w:p>
        </w:tc>
        <w:tc>
          <w:tcPr>
            <w:tcW w:w="2270" w:type="dxa"/>
            <w:tcBorders>
              <w:top w:val="single" w:sz="4" w:space="0" w:color="auto"/>
              <w:left w:val="single" w:sz="4" w:space="0" w:color="auto"/>
              <w:bottom w:val="single" w:sz="4" w:space="0" w:color="auto"/>
              <w:right w:val="single" w:sz="4" w:space="0" w:color="auto"/>
            </w:tcBorders>
            <w:vAlign w:val="center"/>
          </w:tcPr>
          <w:p w14:paraId="1A9A41A6" w14:textId="77777777" w:rsidR="00287E33" w:rsidRDefault="00287E33" w:rsidP="00B66676">
            <w:pPr>
              <w:jc w:val="center"/>
            </w:pPr>
            <w:r>
              <w:t>600 мг</w:t>
            </w:r>
          </w:p>
        </w:tc>
      </w:tr>
      <w:tr w:rsidR="00287E33" w14:paraId="6BAFA780" w14:textId="77777777" w:rsidTr="00B66676">
        <w:tc>
          <w:tcPr>
            <w:tcW w:w="4815" w:type="dxa"/>
            <w:tcBorders>
              <w:top w:val="single" w:sz="4" w:space="0" w:color="auto"/>
              <w:left w:val="single" w:sz="4" w:space="0" w:color="auto"/>
              <w:bottom w:val="single" w:sz="4" w:space="0" w:color="auto"/>
              <w:right w:val="single" w:sz="4" w:space="0" w:color="auto"/>
            </w:tcBorders>
          </w:tcPr>
          <w:p w14:paraId="5357F0D0" w14:textId="40A24D08" w:rsidR="00287E33" w:rsidRPr="00437F84" w:rsidRDefault="00B36E71" w:rsidP="008B0B82">
            <w:pPr>
              <w:pStyle w:val="affb"/>
              <w:spacing w:before="0" w:after="0" w:line="240" w:lineRule="auto"/>
              <w:ind w:left="567"/>
              <w:jc w:val="left"/>
              <w:rPr>
                <w:color w:val="FF0000"/>
              </w:rPr>
            </w:pPr>
            <w:r>
              <w:t>К</w:t>
            </w:r>
            <w:r w:rsidR="00287E33">
              <w:t>рахмал кукурузный</w:t>
            </w:r>
          </w:p>
        </w:tc>
        <w:tc>
          <w:tcPr>
            <w:tcW w:w="2269" w:type="dxa"/>
            <w:tcBorders>
              <w:top w:val="single" w:sz="4" w:space="0" w:color="auto"/>
              <w:left w:val="single" w:sz="4" w:space="0" w:color="auto"/>
              <w:bottom w:val="single" w:sz="4" w:space="0" w:color="auto"/>
              <w:right w:val="single" w:sz="4" w:space="0" w:color="auto"/>
            </w:tcBorders>
            <w:vAlign w:val="center"/>
          </w:tcPr>
          <w:p w14:paraId="6FBE48CE" w14:textId="77777777" w:rsidR="00287E33" w:rsidRDefault="00287E33" w:rsidP="00B66676">
            <w:pPr>
              <w:jc w:val="center"/>
              <w:rPr>
                <w:color w:val="000000" w:themeColor="text1"/>
                <w:lang w:eastAsia="ru-RU"/>
              </w:rPr>
            </w:pPr>
            <w:r>
              <w:t>54</w:t>
            </w:r>
            <w:r w:rsidRPr="00F445B5">
              <w:t>0,0 мг</w:t>
            </w:r>
          </w:p>
        </w:tc>
        <w:tc>
          <w:tcPr>
            <w:tcW w:w="2270" w:type="dxa"/>
            <w:tcBorders>
              <w:top w:val="single" w:sz="4" w:space="0" w:color="auto"/>
              <w:left w:val="single" w:sz="4" w:space="0" w:color="auto"/>
              <w:bottom w:val="single" w:sz="4" w:space="0" w:color="auto"/>
              <w:right w:val="single" w:sz="4" w:space="0" w:color="auto"/>
            </w:tcBorders>
            <w:vAlign w:val="center"/>
          </w:tcPr>
          <w:p w14:paraId="71FC0097" w14:textId="77777777" w:rsidR="00287E33" w:rsidRDefault="00287E33" w:rsidP="00B66676">
            <w:pPr>
              <w:jc w:val="center"/>
            </w:pPr>
            <w:r>
              <w:t>-</w:t>
            </w:r>
          </w:p>
        </w:tc>
      </w:tr>
      <w:tr w:rsidR="00287E33" w14:paraId="717EE8C5" w14:textId="77777777" w:rsidTr="00B66676">
        <w:trPr>
          <w:trHeight w:val="273"/>
        </w:trPr>
        <w:tc>
          <w:tcPr>
            <w:tcW w:w="4815" w:type="dxa"/>
            <w:tcBorders>
              <w:top w:val="single" w:sz="4" w:space="0" w:color="auto"/>
              <w:left w:val="single" w:sz="4" w:space="0" w:color="auto"/>
              <w:bottom w:val="single" w:sz="4" w:space="0" w:color="auto"/>
              <w:right w:val="single" w:sz="4" w:space="0" w:color="auto"/>
            </w:tcBorders>
          </w:tcPr>
          <w:p w14:paraId="4CB9C313" w14:textId="2D71F291" w:rsidR="00287E33" w:rsidRDefault="00B36E71" w:rsidP="008B0B82">
            <w:pPr>
              <w:pStyle w:val="affb"/>
              <w:spacing w:before="0" w:after="0" w:line="240" w:lineRule="auto"/>
              <w:ind w:left="567"/>
              <w:jc w:val="left"/>
            </w:pPr>
            <w:r>
              <w:t>К</w:t>
            </w:r>
            <w:r w:rsidR="00287E33" w:rsidRPr="00F445B5">
              <w:t>альция гидрофосфата дигидрат</w:t>
            </w:r>
          </w:p>
        </w:tc>
        <w:tc>
          <w:tcPr>
            <w:tcW w:w="2269" w:type="dxa"/>
            <w:tcBorders>
              <w:top w:val="single" w:sz="4" w:space="0" w:color="auto"/>
              <w:left w:val="single" w:sz="4" w:space="0" w:color="auto"/>
              <w:bottom w:val="single" w:sz="4" w:space="0" w:color="auto"/>
              <w:right w:val="single" w:sz="4" w:space="0" w:color="auto"/>
            </w:tcBorders>
            <w:vAlign w:val="center"/>
          </w:tcPr>
          <w:p w14:paraId="0D7D8732" w14:textId="77777777" w:rsidR="00287E33" w:rsidRDefault="00287E33" w:rsidP="00B66676">
            <w:pPr>
              <w:jc w:val="center"/>
            </w:pPr>
            <w:r>
              <w:t>182,0 мг</w:t>
            </w:r>
          </w:p>
        </w:tc>
        <w:tc>
          <w:tcPr>
            <w:tcW w:w="2270" w:type="dxa"/>
            <w:tcBorders>
              <w:top w:val="single" w:sz="4" w:space="0" w:color="auto"/>
              <w:left w:val="single" w:sz="4" w:space="0" w:color="auto"/>
              <w:bottom w:val="single" w:sz="4" w:space="0" w:color="auto"/>
              <w:right w:val="single" w:sz="4" w:space="0" w:color="auto"/>
            </w:tcBorders>
            <w:vAlign w:val="center"/>
          </w:tcPr>
          <w:p w14:paraId="23B85418" w14:textId="77777777" w:rsidR="00287E33" w:rsidRDefault="00287E33" w:rsidP="00B66676">
            <w:pPr>
              <w:jc w:val="center"/>
            </w:pPr>
            <w:r>
              <w:t>-</w:t>
            </w:r>
          </w:p>
        </w:tc>
      </w:tr>
      <w:tr w:rsidR="00287E33" w14:paraId="1BF4568D" w14:textId="77777777" w:rsidTr="00B66676">
        <w:tc>
          <w:tcPr>
            <w:tcW w:w="4815" w:type="dxa"/>
            <w:tcBorders>
              <w:top w:val="single" w:sz="4" w:space="0" w:color="auto"/>
              <w:left w:val="single" w:sz="4" w:space="0" w:color="auto"/>
              <w:bottom w:val="single" w:sz="4" w:space="0" w:color="auto"/>
              <w:right w:val="single" w:sz="4" w:space="0" w:color="auto"/>
            </w:tcBorders>
            <w:hideMark/>
          </w:tcPr>
          <w:p w14:paraId="2CB4B56B" w14:textId="0773632B" w:rsidR="00287E33" w:rsidRPr="00437F84" w:rsidRDefault="00B36E71" w:rsidP="008B0B82">
            <w:pPr>
              <w:pStyle w:val="affb"/>
              <w:spacing w:before="0" w:after="0" w:line="240" w:lineRule="auto"/>
              <w:ind w:left="567"/>
              <w:jc w:val="left"/>
              <w:rPr>
                <w:color w:val="FF0000"/>
              </w:rPr>
            </w:pPr>
            <w:r>
              <w:t>К</w:t>
            </w:r>
            <w:r w:rsidR="00287E33">
              <w:t>роскармеллоза натрия</w:t>
            </w:r>
          </w:p>
        </w:tc>
        <w:tc>
          <w:tcPr>
            <w:tcW w:w="2269" w:type="dxa"/>
            <w:tcBorders>
              <w:top w:val="single" w:sz="4" w:space="0" w:color="auto"/>
              <w:left w:val="single" w:sz="4" w:space="0" w:color="auto"/>
              <w:bottom w:val="single" w:sz="4" w:space="0" w:color="auto"/>
              <w:right w:val="single" w:sz="4" w:space="0" w:color="auto"/>
            </w:tcBorders>
            <w:vAlign w:val="center"/>
          </w:tcPr>
          <w:p w14:paraId="2BA09A45" w14:textId="77777777" w:rsidR="00287E33" w:rsidRDefault="00287E33" w:rsidP="00B66676">
            <w:pPr>
              <w:jc w:val="center"/>
              <w:rPr>
                <w:color w:val="000000" w:themeColor="text1"/>
                <w:lang w:eastAsia="ru-RU"/>
              </w:rPr>
            </w:pPr>
            <w:r>
              <w:t>6</w:t>
            </w:r>
            <w:r w:rsidRPr="00F445B5">
              <w:t>0,0 мг</w:t>
            </w:r>
          </w:p>
        </w:tc>
        <w:tc>
          <w:tcPr>
            <w:tcW w:w="2270" w:type="dxa"/>
            <w:tcBorders>
              <w:top w:val="single" w:sz="4" w:space="0" w:color="auto"/>
              <w:left w:val="single" w:sz="4" w:space="0" w:color="auto"/>
              <w:bottom w:val="single" w:sz="4" w:space="0" w:color="auto"/>
              <w:right w:val="single" w:sz="4" w:space="0" w:color="auto"/>
            </w:tcBorders>
            <w:vAlign w:val="center"/>
          </w:tcPr>
          <w:p w14:paraId="4B4B1F15" w14:textId="77777777" w:rsidR="00287E33" w:rsidRDefault="00287E33" w:rsidP="00B66676">
            <w:pPr>
              <w:jc w:val="center"/>
              <w:rPr>
                <w:color w:val="000000" w:themeColor="text1"/>
                <w:lang w:eastAsia="ru-RU"/>
              </w:rPr>
            </w:pPr>
            <w:r>
              <w:rPr>
                <w:color w:val="000000" w:themeColor="text1"/>
                <w:lang w:eastAsia="ru-RU"/>
              </w:rPr>
              <w:t>70 мг</w:t>
            </w:r>
          </w:p>
        </w:tc>
      </w:tr>
      <w:tr w:rsidR="00287E33" w14:paraId="74DE518E" w14:textId="77777777" w:rsidTr="00B66676">
        <w:tc>
          <w:tcPr>
            <w:tcW w:w="4815" w:type="dxa"/>
            <w:tcBorders>
              <w:top w:val="single" w:sz="4" w:space="0" w:color="auto"/>
              <w:left w:val="single" w:sz="4" w:space="0" w:color="auto"/>
              <w:bottom w:val="single" w:sz="4" w:space="0" w:color="auto"/>
              <w:right w:val="single" w:sz="4" w:space="0" w:color="auto"/>
            </w:tcBorders>
            <w:hideMark/>
          </w:tcPr>
          <w:p w14:paraId="07A9249C" w14:textId="70B02ED4" w:rsidR="00287E33" w:rsidRPr="00437F84" w:rsidRDefault="00B36E71" w:rsidP="008B0B82">
            <w:pPr>
              <w:pStyle w:val="affb"/>
              <w:spacing w:before="0" w:after="0" w:line="240" w:lineRule="auto"/>
              <w:ind w:left="567"/>
              <w:jc w:val="left"/>
              <w:rPr>
                <w:color w:val="FF0000"/>
              </w:rPr>
            </w:pPr>
            <w:r>
              <w:t>М</w:t>
            </w:r>
            <w:r w:rsidR="00287E33">
              <w:t>агния стеарат</w:t>
            </w:r>
          </w:p>
        </w:tc>
        <w:tc>
          <w:tcPr>
            <w:tcW w:w="2269" w:type="dxa"/>
            <w:tcBorders>
              <w:top w:val="single" w:sz="4" w:space="0" w:color="auto"/>
              <w:left w:val="single" w:sz="4" w:space="0" w:color="auto"/>
              <w:bottom w:val="single" w:sz="4" w:space="0" w:color="auto"/>
              <w:right w:val="single" w:sz="4" w:space="0" w:color="auto"/>
            </w:tcBorders>
            <w:vAlign w:val="center"/>
          </w:tcPr>
          <w:p w14:paraId="7EEE2FC9" w14:textId="77777777" w:rsidR="00287E33" w:rsidRDefault="00287E33" w:rsidP="00B66676">
            <w:pPr>
              <w:jc w:val="center"/>
              <w:rPr>
                <w:color w:val="000000" w:themeColor="text1"/>
                <w:lang w:eastAsia="ru-RU"/>
              </w:rPr>
            </w:pPr>
            <w:r>
              <w:t>12</w:t>
            </w:r>
            <w:r w:rsidRPr="00F445B5">
              <w:t>,0 мг</w:t>
            </w:r>
          </w:p>
        </w:tc>
        <w:tc>
          <w:tcPr>
            <w:tcW w:w="2270" w:type="dxa"/>
            <w:tcBorders>
              <w:top w:val="single" w:sz="4" w:space="0" w:color="auto"/>
              <w:left w:val="single" w:sz="4" w:space="0" w:color="auto"/>
              <w:bottom w:val="single" w:sz="4" w:space="0" w:color="auto"/>
              <w:right w:val="single" w:sz="4" w:space="0" w:color="auto"/>
            </w:tcBorders>
            <w:vAlign w:val="center"/>
          </w:tcPr>
          <w:p w14:paraId="12AC3E4A" w14:textId="77777777" w:rsidR="00287E33" w:rsidRDefault="00287E33" w:rsidP="00B66676">
            <w:pPr>
              <w:jc w:val="center"/>
              <w:rPr>
                <w:color w:val="000000" w:themeColor="text1"/>
                <w:lang w:eastAsia="ru-RU"/>
              </w:rPr>
            </w:pPr>
            <w:r>
              <w:rPr>
                <w:color w:val="000000" w:themeColor="text1"/>
                <w:lang w:eastAsia="ru-RU"/>
              </w:rPr>
              <w:t>7 мг</w:t>
            </w:r>
          </w:p>
        </w:tc>
      </w:tr>
      <w:tr w:rsidR="00287E33" w14:paraId="3FB663B6" w14:textId="77777777" w:rsidTr="00B66676">
        <w:tc>
          <w:tcPr>
            <w:tcW w:w="4815" w:type="dxa"/>
            <w:tcBorders>
              <w:top w:val="single" w:sz="4" w:space="0" w:color="auto"/>
              <w:left w:val="single" w:sz="4" w:space="0" w:color="auto"/>
              <w:bottom w:val="single" w:sz="4" w:space="0" w:color="auto"/>
              <w:right w:val="single" w:sz="4" w:space="0" w:color="auto"/>
            </w:tcBorders>
            <w:hideMark/>
          </w:tcPr>
          <w:p w14:paraId="0FEBA907" w14:textId="32015C6C" w:rsidR="00287E33" w:rsidRPr="00437F84" w:rsidRDefault="00B36E71" w:rsidP="008B0B82">
            <w:pPr>
              <w:pStyle w:val="affb"/>
              <w:spacing w:before="0" w:after="0" w:line="240" w:lineRule="auto"/>
              <w:ind w:left="567"/>
              <w:jc w:val="left"/>
              <w:rPr>
                <w:color w:val="FF0000"/>
              </w:rPr>
            </w:pPr>
            <w:r>
              <w:t>К</w:t>
            </w:r>
            <w:r w:rsidR="00287E33">
              <w:t>ремния диоксид коллоидный</w:t>
            </w:r>
          </w:p>
        </w:tc>
        <w:tc>
          <w:tcPr>
            <w:tcW w:w="2269" w:type="dxa"/>
            <w:tcBorders>
              <w:top w:val="single" w:sz="4" w:space="0" w:color="auto"/>
              <w:left w:val="single" w:sz="4" w:space="0" w:color="auto"/>
              <w:bottom w:val="single" w:sz="4" w:space="0" w:color="auto"/>
              <w:right w:val="single" w:sz="4" w:space="0" w:color="auto"/>
            </w:tcBorders>
            <w:vAlign w:val="center"/>
          </w:tcPr>
          <w:p w14:paraId="5EC02F5B" w14:textId="77777777" w:rsidR="00287E33" w:rsidRDefault="00287E33" w:rsidP="00B66676">
            <w:pPr>
              <w:jc w:val="center"/>
              <w:rPr>
                <w:color w:val="000000" w:themeColor="text1"/>
                <w:lang w:eastAsia="ru-RU"/>
              </w:rPr>
            </w:pPr>
            <w:r>
              <w:t>6</w:t>
            </w:r>
            <w:r w:rsidRPr="00F445B5">
              <w:t>,0 мг</w:t>
            </w:r>
          </w:p>
        </w:tc>
        <w:tc>
          <w:tcPr>
            <w:tcW w:w="2270" w:type="dxa"/>
            <w:tcBorders>
              <w:top w:val="single" w:sz="4" w:space="0" w:color="auto"/>
              <w:left w:val="single" w:sz="4" w:space="0" w:color="auto"/>
              <w:bottom w:val="single" w:sz="4" w:space="0" w:color="auto"/>
              <w:right w:val="single" w:sz="4" w:space="0" w:color="auto"/>
            </w:tcBorders>
            <w:vAlign w:val="center"/>
          </w:tcPr>
          <w:p w14:paraId="0DE5B0A5" w14:textId="77777777" w:rsidR="00287E33" w:rsidRDefault="00287E33" w:rsidP="00B66676">
            <w:pPr>
              <w:jc w:val="center"/>
              <w:rPr>
                <w:color w:val="000000" w:themeColor="text1"/>
                <w:lang w:eastAsia="ru-RU"/>
              </w:rPr>
            </w:pPr>
            <w:r>
              <w:rPr>
                <w:color w:val="000000" w:themeColor="text1"/>
                <w:lang w:eastAsia="ru-RU"/>
              </w:rPr>
              <w:t>2,8 мг</w:t>
            </w:r>
          </w:p>
        </w:tc>
      </w:tr>
      <w:tr w:rsidR="00287E33" w14:paraId="1B734B0D" w14:textId="77777777" w:rsidTr="00B66676">
        <w:tc>
          <w:tcPr>
            <w:tcW w:w="4815" w:type="dxa"/>
            <w:tcBorders>
              <w:top w:val="single" w:sz="4" w:space="0" w:color="auto"/>
              <w:left w:val="single" w:sz="4" w:space="0" w:color="auto"/>
              <w:bottom w:val="single" w:sz="4" w:space="0" w:color="auto"/>
              <w:right w:val="single" w:sz="4" w:space="0" w:color="auto"/>
            </w:tcBorders>
          </w:tcPr>
          <w:p w14:paraId="531C18AE" w14:textId="79437A2A" w:rsidR="00287E33" w:rsidRDefault="00B36E71" w:rsidP="008B0B82">
            <w:pPr>
              <w:pStyle w:val="affb"/>
              <w:spacing w:before="0" w:after="0" w:line="240" w:lineRule="auto"/>
              <w:ind w:left="567"/>
              <w:jc w:val="left"/>
            </w:pPr>
            <w:r>
              <w:t>Ц</w:t>
            </w:r>
            <w:r w:rsidR="00287E33">
              <w:t>еллюлоза микрокристаллическая</w:t>
            </w:r>
            <w:r w:rsidR="006D1708">
              <w:t xml:space="preserve"> кремниевая</w:t>
            </w:r>
          </w:p>
        </w:tc>
        <w:tc>
          <w:tcPr>
            <w:tcW w:w="2269" w:type="dxa"/>
            <w:tcBorders>
              <w:top w:val="single" w:sz="4" w:space="0" w:color="auto"/>
              <w:left w:val="single" w:sz="4" w:space="0" w:color="auto"/>
              <w:bottom w:val="single" w:sz="4" w:space="0" w:color="auto"/>
              <w:right w:val="single" w:sz="4" w:space="0" w:color="auto"/>
            </w:tcBorders>
            <w:vAlign w:val="center"/>
          </w:tcPr>
          <w:p w14:paraId="77EBA3B3" w14:textId="77777777" w:rsidR="00287E33" w:rsidRDefault="00287E33" w:rsidP="00B66676">
            <w:pPr>
              <w:jc w:val="center"/>
            </w:pPr>
            <w:r>
              <w:t>-</w:t>
            </w:r>
          </w:p>
        </w:tc>
        <w:tc>
          <w:tcPr>
            <w:tcW w:w="2270" w:type="dxa"/>
            <w:tcBorders>
              <w:top w:val="single" w:sz="4" w:space="0" w:color="auto"/>
              <w:left w:val="single" w:sz="4" w:space="0" w:color="auto"/>
              <w:bottom w:val="single" w:sz="4" w:space="0" w:color="auto"/>
              <w:right w:val="single" w:sz="4" w:space="0" w:color="auto"/>
            </w:tcBorders>
            <w:vAlign w:val="center"/>
          </w:tcPr>
          <w:p w14:paraId="25F3F7B9" w14:textId="77777777" w:rsidR="00287E33" w:rsidRDefault="00287E33" w:rsidP="00B66676">
            <w:pPr>
              <w:jc w:val="center"/>
              <w:rPr>
                <w:color w:val="000000" w:themeColor="text1"/>
                <w:lang w:eastAsia="ru-RU"/>
              </w:rPr>
            </w:pPr>
            <w:r>
              <w:rPr>
                <w:color w:val="000000" w:themeColor="text1"/>
                <w:lang w:eastAsia="ru-RU"/>
              </w:rPr>
              <w:t>450,2 мг</w:t>
            </w:r>
          </w:p>
        </w:tc>
      </w:tr>
      <w:tr w:rsidR="00287E33" w14:paraId="4C3C33BC" w14:textId="77777777" w:rsidTr="00B66676">
        <w:tc>
          <w:tcPr>
            <w:tcW w:w="4815" w:type="dxa"/>
            <w:tcBorders>
              <w:top w:val="single" w:sz="4" w:space="0" w:color="auto"/>
              <w:left w:val="single" w:sz="4" w:space="0" w:color="auto"/>
              <w:bottom w:val="single" w:sz="4" w:space="0" w:color="auto"/>
              <w:right w:val="single" w:sz="4" w:space="0" w:color="auto"/>
            </w:tcBorders>
          </w:tcPr>
          <w:p w14:paraId="3112F935" w14:textId="2CB2A2C8" w:rsidR="00287E33" w:rsidRDefault="006D1708" w:rsidP="008B0B82">
            <w:pPr>
              <w:pStyle w:val="affb"/>
              <w:spacing w:before="0" w:after="0" w:line="240" w:lineRule="auto"/>
              <w:ind w:left="567"/>
              <w:jc w:val="left"/>
            </w:pPr>
            <w:r>
              <w:t>Целлюлоза микрокристаллическая</w:t>
            </w:r>
          </w:p>
        </w:tc>
        <w:tc>
          <w:tcPr>
            <w:tcW w:w="2269" w:type="dxa"/>
            <w:tcBorders>
              <w:top w:val="single" w:sz="4" w:space="0" w:color="auto"/>
              <w:left w:val="single" w:sz="4" w:space="0" w:color="auto"/>
              <w:bottom w:val="single" w:sz="4" w:space="0" w:color="auto"/>
              <w:right w:val="single" w:sz="4" w:space="0" w:color="auto"/>
            </w:tcBorders>
            <w:vAlign w:val="center"/>
          </w:tcPr>
          <w:p w14:paraId="3FEF24AB" w14:textId="77777777" w:rsidR="00287E33" w:rsidRDefault="00287E33" w:rsidP="00B66676">
            <w:pPr>
              <w:jc w:val="center"/>
            </w:pPr>
            <w:r>
              <w:t>-</w:t>
            </w:r>
          </w:p>
        </w:tc>
        <w:tc>
          <w:tcPr>
            <w:tcW w:w="2270" w:type="dxa"/>
            <w:tcBorders>
              <w:top w:val="single" w:sz="4" w:space="0" w:color="auto"/>
              <w:left w:val="single" w:sz="4" w:space="0" w:color="auto"/>
              <w:bottom w:val="single" w:sz="4" w:space="0" w:color="auto"/>
              <w:right w:val="single" w:sz="4" w:space="0" w:color="auto"/>
            </w:tcBorders>
            <w:vAlign w:val="center"/>
          </w:tcPr>
          <w:p w14:paraId="545E99B9" w14:textId="77777777" w:rsidR="00287E33" w:rsidRDefault="00287E33" w:rsidP="00B66676">
            <w:pPr>
              <w:jc w:val="center"/>
              <w:rPr>
                <w:color w:val="000000" w:themeColor="text1"/>
                <w:lang w:eastAsia="ru-RU"/>
              </w:rPr>
            </w:pPr>
            <w:r>
              <w:rPr>
                <w:color w:val="000000" w:themeColor="text1"/>
                <w:lang w:eastAsia="ru-RU"/>
              </w:rPr>
              <w:t>70 мг</w:t>
            </w:r>
          </w:p>
        </w:tc>
      </w:tr>
      <w:tr w:rsidR="00287E33" w14:paraId="4311120F" w14:textId="77777777" w:rsidTr="00B36E71">
        <w:trPr>
          <w:trHeight w:val="90"/>
        </w:trPr>
        <w:tc>
          <w:tcPr>
            <w:tcW w:w="4815" w:type="dxa"/>
            <w:tcBorders>
              <w:top w:val="single" w:sz="4" w:space="0" w:color="auto"/>
              <w:left w:val="single" w:sz="4" w:space="0" w:color="auto"/>
              <w:bottom w:val="single" w:sz="4" w:space="0" w:color="auto"/>
              <w:right w:val="single" w:sz="4" w:space="0" w:color="auto"/>
            </w:tcBorders>
            <w:hideMark/>
          </w:tcPr>
          <w:p w14:paraId="3C9991DB" w14:textId="77777777" w:rsidR="00287E33" w:rsidRPr="00F445B5" w:rsidRDefault="00287E33" w:rsidP="00B66676">
            <w:pPr>
              <w:pStyle w:val="affb"/>
              <w:spacing w:before="0" w:after="0" w:line="240" w:lineRule="auto"/>
              <w:jc w:val="left"/>
              <w:rPr>
                <w:b/>
                <w:color w:val="FF0000"/>
              </w:rPr>
            </w:pPr>
            <w:r w:rsidRPr="00F445B5">
              <w:rPr>
                <w:b/>
              </w:rPr>
              <w:t>Масса таблетки:</w:t>
            </w:r>
          </w:p>
        </w:tc>
        <w:tc>
          <w:tcPr>
            <w:tcW w:w="2269" w:type="dxa"/>
            <w:tcBorders>
              <w:top w:val="single" w:sz="4" w:space="0" w:color="auto"/>
              <w:left w:val="single" w:sz="4" w:space="0" w:color="auto"/>
              <w:bottom w:val="single" w:sz="4" w:space="0" w:color="auto"/>
              <w:right w:val="single" w:sz="4" w:space="0" w:color="auto"/>
            </w:tcBorders>
          </w:tcPr>
          <w:p w14:paraId="6A7D613D" w14:textId="77777777" w:rsidR="00287E33" w:rsidRPr="00F445B5" w:rsidRDefault="00287E33" w:rsidP="00B66676">
            <w:pPr>
              <w:pStyle w:val="affb"/>
              <w:spacing w:before="0" w:after="0" w:line="240" w:lineRule="auto"/>
              <w:jc w:val="center"/>
              <w:rPr>
                <w:b/>
                <w:color w:val="FF0000"/>
              </w:rPr>
            </w:pPr>
            <w:r w:rsidRPr="00FA79C6">
              <w:rPr>
                <w:b/>
              </w:rPr>
              <w:t>1200 мг</w:t>
            </w:r>
          </w:p>
        </w:tc>
        <w:tc>
          <w:tcPr>
            <w:tcW w:w="2270" w:type="dxa"/>
            <w:tcBorders>
              <w:top w:val="single" w:sz="4" w:space="0" w:color="auto"/>
              <w:left w:val="single" w:sz="4" w:space="0" w:color="auto"/>
              <w:bottom w:val="single" w:sz="4" w:space="0" w:color="auto"/>
              <w:right w:val="single" w:sz="4" w:space="0" w:color="auto"/>
            </w:tcBorders>
          </w:tcPr>
          <w:p w14:paraId="67084377" w14:textId="77777777" w:rsidR="00287E33" w:rsidRPr="00F445B5" w:rsidRDefault="00287E33" w:rsidP="00B66676">
            <w:pPr>
              <w:pStyle w:val="affb"/>
              <w:spacing w:before="0" w:after="0" w:line="240" w:lineRule="auto"/>
              <w:jc w:val="center"/>
              <w:rPr>
                <w:b/>
                <w:color w:val="FF0000"/>
              </w:rPr>
            </w:pPr>
            <w:r w:rsidRPr="00904EE3">
              <w:rPr>
                <w:b/>
              </w:rPr>
              <w:t>1400 мг</w:t>
            </w:r>
          </w:p>
        </w:tc>
      </w:tr>
      <w:tr w:rsidR="00B36E71" w14:paraId="16D851A8" w14:textId="77777777" w:rsidTr="008A0F27">
        <w:trPr>
          <w:trHeight w:val="293"/>
        </w:trPr>
        <w:tc>
          <w:tcPr>
            <w:tcW w:w="9354" w:type="dxa"/>
            <w:gridSpan w:val="3"/>
            <w:tcBorders>
              <w:top w:val="single" w:sz="4" w:space="0" w:color="auto"/>
              <w:left w:val="single" w:sz="4" w:space="0" w:color="auto"/>
              <w:bottom w:val="single" w:sz="4" w:space="0" w:color="auto"/>
              <w:right w:val="single" w:sz="4" w:space="0" w:color="auto"/>
            </w:tcBorders>
          </w:tcPr>
          <w:p w14:paraId="48719304" w14:textId="77777777" w:rsidR="00B36E71" w:rsidRPr="008B0B82" w:rsidRDefault="00B36E71" w:rsidP="008B0B82">
            <w:pPr>
              <w:pStyle w:val="affb"/>
              <w:spacing w:before="0" w:after="0" w:line="240" w:lineRule="auto"/>
              <w:rPr>
                <w:b/>
                <w:sz w:val="20"/>
                <w:szCs w:val="20"/>
              </w:rPr>
            </w:pPr>
            <w:r w:rsidRPr="008B0B82">
              <w:rPr>
                <w:b/>
                <w:sz w:val="20"/>
                <w:szCs w:val="20"/>
              </w:rPr>
              <w:t>Примечание:</w:t>
            </w:r>
          </w:p>
          <w:p w14:paraId="73080C99" w14:textId="0588B105" w:rsidR="00B36E71" w:rsidRPr="00904EE3" w:rsidRDefault="00B36E71" w:rsidP="008B0B82">
            <w:pPr>
              <w:pStyle w:val="affb"/>
              <w:spacing w:before="0" w:after="0" w:line="240" w:lineRule="auto"/>
              <w:rPr>
                <w:b/>
              </w:rPr>
            </w:pPr>
            <w:r w:rsidRPr="008B0B82">
              <w:rPr>
                <w:sz w:val="20"/>
                <w:szCs w:val="20"/>
              </w:rPr>
              <w:t xml:space="preserve">* В составе препарата </w:t>
            </w:r>
            <w:r w:rsidRPr="008B0B82">
              <w:rPr>
                <w:sz w:val="20"/>
                <w:szCs w:val="20"/>
                <w:lang w:val="en-US"/>
              </w:rPr>
              <w:t>DT</w:t>
            </w:r>
            <w:r w:rsidRPr="008B0B82">
              <w:rPr>
                <w:sz w:val="20"/>
                <w:szCs w:val="20"/>
              </w:rPr>
              <w:t>-</w:t>
            </w:r>
            <w:r w:rsidRPr="008B0B82">
              <w:rPr>
                <w:sz w:val="20"/>
                <w:szCs w:val="20"/>
                <w:lang w:val="en-US"/>
              </w:rPr>
              <w:t>ETR</w:t>
            </w:r>
            <w:r w:rsidRPr="008B0B82">
              <w:rPr>
                <w:sz w:val="20"/>
                <w:szCs w:val="20"/>
              </w:rPr>
              <w:t xml:space="preserve"> этравирин присутствует в виде смеси (Этравирин + повидон К30 (1:1), общая масса - 400,0 мг).</w:t>
            </w:r>
          </w:p>
        </w:tc>
      </w:tr>
    </w:tbl>
    <w:p w14:paraId="78D054DC" w14:textId="77777777" w:rsidR="00A97B7A" w:rsidRDefault="00A97B7A" w:rsidP="00016818">
      <w:pPr>
        <w:ind w:firstLine="709"/>
        <w:contextualSpacing/>
        <w:rPr>
          <w:color w:val="000000" w:themeColor="text1"/>
        </w:rPr>
      </w:pPr>
    </w:p>
    <w:p w14:paraId="0B9A007A" w14:textId="43B7AF63" w:rsidR="00016818" w:rsidRPr="00AD2D76" w:rsidRDefault="00016818" w:rsidP="00016818">
      <w:pPr>
        <w:ind w:firstLine="709"/>
        <w:contextualSpacing/>
        <w:rPr>
          <w:color w:val="000000" w:themeColor="text1"/>
        </w:rPr>
      </w:pPr>
      <w:r w:rsidRPr="00AD2D76">
        <w:rPr>
          <w:color w:val="000000" w:themeColor="text1"/>
        </w:rPr>
        <w:t xml:space="preserve">Для доказательства эквивалентности препарата </w:t>
      </w:r>
      <w:r w:rsidRPr="00AD2D76">
        <w:rPr>
          <w:lang w:val="en-US"/>
        </w:rPr>
        <w:t>DT</w:t>
      </w:r>
      <w:r w:rsidRPr="00AD2D76">
        <w:t>-</w:t>
      </w:r>
      <w:r w:rsidRPr="00AD2D76">
        <w:rPr>
          <w:color w:val="000000" w:themeColor="text1"/>
        </w:rPr>
        <w:t xml:space="preserve"> </w:t>
      </w:r>
      <w:r w:rsidRPr="00AD2D76">
        <w:rPr>
          <w:color w:val="000000" w:themeColor="text1"/>
          <w:lang w:val="en-US"/>
        </w:rPr>
        <w:t>ETR</w:t>
      </w:r>
      <w:r w:rsidRPr="00AD2D76">
        <w:rPr>
          <w:color w:val="000000" w:themeColor="text1"/>
        </w:rPr>
        <w:t xml:space="preserve"> были проведены исследования сравнительной кинетики растворения в сравнении с рефе</w:t>
      </w:r>
      <w:r w:rsidRPr="00AD2D76">
        <w:rPr>
          <w:color w:val="000000" w:themeColor="text1"/>
        </w:rPr>
        <w:lastRenderedPageBreak/>
        <w:t xml:space="preserve">рентным препаратом </w:t>
      </w:r>
      <w:r w:rsidRPr="00AD2D76">
        <w:rPr>
          <w:color w:val="000000"/>
        </w:rPr>
        <w:t>Интеленс</w:t>
      </w:r>
      <w:r w:rsidRPr="00AD2D76">
        <w:rPr>
          <w:color w:val="000000"/>
          <w:vertAlign w:val="superscript"/>
        </w:rPr>
        <w:t>®</w:t>
      </w:r>
      <w:r w:rsidRPr="00AD2D76">
        <w:rPr>
          <w:color w:val="000000"/>
        </w:rPr>
        <w:t xml:space="preserve"> (</w:t>
      </w:r>
      <w:r w:rsidR="00124A6B">
        <w:t xml:space="preserve">ООО «Джонсон </w:t>
      </w:r>
      <w:r w:rsidR="00124A6B" w:rsidRPr="009B427E">
        <w:t xml:space="preserve">&amp; </w:t>
      </w:r>
      <w:r w:rsidR="00124A6B">
        <w:t>Джонсон», Россия</w:t>
      </w:r>
      <w:r w:rsidRPr="00AD2D76">
        <w:rPr>
          <w:color w:val="000000"/>
        </w:rPr>
        <w:t xml:space="preserve">) </w:t>
      </w:r>
      <w:r w:rsidRPr="00AD2D76">
        <w:rPr>
          <w:color w:val="000000" w:themeColor="text1"/>
        </w:rPr>
        <w:t xml:space="preserve">в дозировке 200 мг. </w:t>
      </w:r>
      <w:r w:rsidRPr="00AD2D76">
        <w:rPr>
          <w:rFonts w:eastAsia="Calibri"/>
        </w:rPr>
        <w:t xml:space="preserve">Исследование проводили с использованием прибора типа «Лопастная мешалка» в условиях скорости вращения 70 об/мин, температуре 37 ± 0,5 </w:t>
      </w:r>
      <w:r w:rsidRPr="00AD2D76">
        <w:rPr>
          <w:rFonts w:eastAsia="Calibri"/>
          <w:vertAlign w:val="superscript"/>
        </w:rPr>
        <w:t>о</w:t>
      </w:r>
      <w:r w:rsidRPr="00AD2D76">
        <w:rPr>
          <w:rFonts w:eastAsia="Calibri"/>
        </w:rPr>
        <w:t xml:space="preserve">С и объеме среды – 1800 мл. </w:t>
      </w:r>
    </w:p>
    <w:p w14:paraId="2E10F6A1" w14:textId="77777777" w:rsidR="00016818" w:rsidRPr="00AD2D76" w:rsidRDefault="00016818" w:rsidP="00016818">
      <w:pPr>
        <w:tabs>
          <w:tab w:val="left" w:pos="426"/>
        </w:tabs>
        <w:suppressAutoHyphens/>
        <w:ind w:firstLine="709"/>
        <w:contextualSpacing/>
      </w:pPr>
      <w:r w:rsidRPr="00AD2D76">
        <w:rPr>
          <w:rFonts w:eastAsia="Calibri"/>
        </w:rPr>
        <w:t xml:space="preserve">Для испытания использовали четыре среды растворения: </w:t>
      </w:r>
      <w:r w:rsidRPr="00AD2D76">
        <w:t>0,01 М растворе хлороводородной кислоты и 2,25 % раствор натрия лаурилсульфата в 0,01 М растворе хлороводородной кислоты в соотношении 10:8 (среда по проекту НД);</w:t>
      </w:r>
      <w:r>
        <w:t xml:space="preserve"> </w:t>
      </w:r>
      <w:r w:rsidRPr="00AD2D76">
        <w:t xml:space="preserve">солнокислый буферный раствор </w:t>
      </w:r>
      <w:r w:rsidRPr="00AD2D76">
        <w:rPr>
          <w:lang w:val="en-US"/>
        </w:rPr>
        <w:t>pH</w:t>
      </w:r>
      <w:r w:rsidRPr="00AD2D76">
        <w:t xml:space="preserve"> 1,2, ацетатный буферный раствор </w:t>
      </w:r>
      <w:r w:rsidRPr="00AD2D76">
        <w:rPr>
          <w:lang w:val="en-US"/>
        </w:rPr>
        <w:t>pH</w:t>
      </w:r>
      <w:r w:rsidRPr="00AD2D76">
        <w:t xml:space="preserve"> 4,5 и фосфатный буферный раствор </w:t>
      </w:r>
      <w:r w:rsidRPr="00AD2D76">
        <w:rPr>
          <w:lang w:val="en-US"/>
        </w:rPr>
        <w:t>pH</w:t>
      </w:r>
      <w:r w:rsidRPr="00AD2D76">
        <w:t xml:space="preserve"> 6,8. </w:t>
      </w:r>
      <w:r w:rsidRPr="00AD2D76">
        <w:rPr>
          <w:rFonts w:eastAsia="Calibri"/>
        </w:rPr>
        <w:t>Анализ проб в точках 5, 10, 15, 20, 30, 45, 60 и 90 мин выполняли методом ВЭЖК.</w:t>
      </w:r>
    </w:p>
    <w:p w14:paraId="5BD23BB4" w14:textId="5AE0D752" w:rsidR="00016818" w:rsidRPr="001B3016" w:rsidRDefault="00016818" w:rsidP="00016818">
      <w:pPr>
        <w:ind w:firstLine="709"/>
        <w:contextualSpacing/>
        <w:rPr>
          <w:color w:val="000000" w:themeColor="text1"/>
        </w:rPr>
      </w:pPr>
      <w:r w:rsidRPr="001B3016">
        <w:rPr>
          <w:rFonts w:eastAsia="Calibri"/>
        </w:rPr>
        <w:t>В результате исследований как исследуемого, так и референтного препарата, в среде по НД (</w:t>
      </w:r>
      <w:r w:rsidRPr="001B3016">
        <w:t>0,01 М растворе хлороводородной кислоты и 2,25 % раствор натрия лаурилсульфата в 0,01 М растворе хлороводородной кислоты в соотношении 10:8</w:t>
      </w:r>
      <w:r w:rsidRPr="001B3016">
        <w:rPr>
          <w:color w:val="000000"/>
        </w:rPr>
        <w:t>)</w:t>
      </w:r>
      <w:r w:rsidRPr="001B3016">
        <w:rPr>
          <w:rFonts w:eastAsia="Calibri"/>
        </w:rPr>
        <w:t xml:space="preserve"> наблюдалось высвобождение менее </w:t>
      </w:r>
      <w:r w:rsidRPr="00A76175">
        <w:rPr>
          <w:rFonts w:eastAsia="Calibri"/>
        </w:rPr>
        <w:t>85 % действующего вещества в течение 15 минут</w:t>
      </w:r>
      <w:r w:rsidRPr="00C549E0">
        <w:rPr>
          <w:rFonts w:eastAsia="Calibri"/>
        </w:rPr>
        <w:t>,</w:t>
      </w:r>
      <w:r w:rsidRPr="001B3016">
        <w:rPr>
          <w:rFonts w:eastAsia="Calibri"/>
        </w:rPr>
        <w:t xml:space="preserve"> в связи с чем выполнена математическая оценка определения фактора подобия и установлено, что кинетика растворения эквивалентна для исследуемого препарата и референтного препарата в среде по НД (</w:t>
      </w:r>
      <w:r w:rsidRPr="001B3016">
        <w:t>0,01 М растворе хлороводородной кислоты и 2,25 % раствор натрия лаурилсульфата в 0,01 М растворе хлороводородной кислоты в соотношении 10:8</w:t>
      </w:r>
      <w:r w:rsidRPr="001B3016">
        <w:rPr>
          <w:color w:val="000000"/>
        </w:rPr>
        <w:t>)</w:t>
      </w:r>
      <w:r w:rsidRPr="001B3016">
        <w:t>.</w:t>
      </w:r>
      <w:r w:rsidRPr="00051324">
        <w:t xml:space="preserve"> </w:t>
      </w:r>
      <w:r w:rsidRPr="001B3016">
        <w:t xml:space="preserve">По результатам исследования в </w:t>
      </w:r>
      <w:r w:rsidRPr="001B3016">
        <w:rPr>
          <w:spacing w:val="-2"/>
        </w:rPr>
        <w:t xml:space="preserve">средах растворения </w:t>
      </w:r>
      <w:r w:rsidRPr="001B3016">
        <w:rPr>
          <w:spacing w:val="-6"/>
        </w:rPr>
        <w:t xml:space="preserve">буферный раствор </w:t>
      </w:r>
      <w:r w:rsidR="00F56C97">
        <w:rPr>
          <w:spacing w:val="-6"/>
        </w:rPr>
        <w:t xml:space="preserve">с </w:t>
      </w:r>
      <w:r w:rsidRPr="001B3016">
        <w:rPr>
          <w:spacing w:val="-6"/>
        </w:rPr>
        <w:t xml:space="preserve">рН 1,2, ацетатный буферный раствор </w:t>
      </w:r>
      <w:r w:rsidR="00F56C97">
        <w:rPr>
          <w:spacing w:val="-6"/>
        </w:rPr>
        <w:t xml:space="preserve">с </w:t>
      </w:r>
      <w:r w:rsidRPr="001B3016">
        <w:rPr>
          <w:spacing w:val="-6"/>
        </w:rPr>
        <w:t xml:space="preserve">рН 4,5, фосфатный буферный раствор </w:t>
      </w:r>
      <w:r w:rsidR="00F56C97">
        <w:rPr>
          <w:spacing w:val="-6"/>
        </w:rPr>
        <w:t xml:space="preserve">с </w:t>
      </w:r>
      <w:r w:rsidRPr="001B3016">
        <w:rPr>
          <w:spacing w:val="-6"/>
        </w:rPr>
        <w:t xml:space="preserve">рН 6,8 </w:t>
      </w:r>
      <w:r w:rsidRPr="001B3016">
        <w:t>оценить эквивалентность математически невозможно в связи с отсутствием растворимости активного ингредиента этравирина в этих средах.</w:t>
      </w:r>
      <w:r w:rsidRPr="001B3016">
        <w:rPr>
          <w:rFonts w:eastAsia="Calibri"/>
        </w:rPr>
        <w:t xml:space="preserve"> </w:t>
      </w:r>
      <w:r w:rsidRPr="001B3016">
        <w:rPr>
          <w:color w:val="000000" w:themeColor="text1"/>
        </w:rPr>
        <w:t>Результаты теста сравнительной кинетики растворения (ТСКР) приведены в таблице 2-3 и на рисунках 2-2 – 2-5.</w:t>
      </w:r>
    </w:p>
    <w:p w14:paraId="2B495197" w14:textId="77777777" w:rsidR="00016818" w:rsidRPr="001B3016" w:rsidRDefault="00016818" w:rsidP="00016818">
      <w:pPr>
        <w:rPr>
          <w:color w:val="000000" w:themeColor="text1"/>
        </w:rPr>
      </w:pPr>
    </w:p>
    <w:p w14:paraId="36CBE898" w14:textId="77777777" w:rsidR="00016818" w:rsidRPr="001B3016" w:rsidRDefault="00016818" w:rsidP="00016818">
      <w:pPr>
        <w:rPr>
          <w:color w:val="000000" w:themeColor="text1"/>
        </w:rPr>
      </w:pPr>
      <w:r w:rsidRPr="001B3016">
        <w:rPr>
          <w:b/>
        </w:rPr>
        <w:t>Таблица 2-3.</w:t>
      </w:r>
      <w:r w:rsidRPr="001B3016">
        <w:t xml:space="preserve"> </w:t>
      </w:r>
      <w:r w:rsidRPr="001B3016">
        <w:rPr>
          <w:color w:val="000000" w:themeColor="text1"/>
        </w:rPr>
        <w:t xml:space="preserve">Результаты теста сравнительной кинетики растворения препарата </w:t>
      </w:r>
      <w:r w:rsidRPr="001B3016">
        <w:rPr>
          <w:color w:val="000000" w:themeColor="text1"/>
          <w:lang w:val="en-US"/>
        </w:rPr>
        <w:t>DT</w:t>
      </w:r>
      <w:r w:rsidRPr="001B3016">
        <w:rPr>
          <w:color w:val="000000" w:themeColor="text1"/>
        </w:rPr>
        <w:t>-</w:t>
      </w:r>
      <w:r w:rsidRPr="001B3016">
        <w:rPr>
          <w:color w:val="000000" w:themeColor="text1"/>
          <w:lang w:val="en-US"/>
        </w:rPr>
        <w:t>ETR</w:t>
      </w:r>
      <w:r w:rsidRPr="001B3016">
        <w:rPr>
          <w:color w:val="000000" w:themeColor="text1"/>
        </w:rPr>
        <w:t xml:space="preserve">, таблетки, 200 мг в сравнении с препаратом </w:t>
      </w:r>
      <w:r w:rsidRPr="001B3016">
        <w:rPr>
          <w:color w:val="000000"/>
        </w:rPr>
        <w:t>Интеленс</w:t>
      </w:r>
      <w:r w:rsidRPr="001B3016">
        <w:rPr>
          <w:color w:val="000000"/>
          <w:vertAlign w:val="superscript"/>
        </w:rPr>
        <w:t>®</w:t>
      </w:r>
      <w:r w:rsidRPr="001B3016">
        <w:rPr>
          <w:color w:val="000000"/>
        </w:rPr>
        <w:t xml:space="preserve">, </w:t>
      </w:r>
      <w:r w:rsidRPr="001B3016">
        <w:rPr>
          <w:color w:val="000000" w:themeColor="text1"/>
        </w:rPr>
        <w:t>таблетки, 200 мг.</w:t>
      </w:r>
    </w:p>
    <w:tbl>
      <w:tblPr>
        <w:tblStyle w:val="a8"/>
        <w:tblW w:w="0" w:type="auto"/>
        <w:tblLook w:val="04A0" w:firstRow="1" w:lastRow="0" w:firstColumn="1" w:lastColumn="0" w:noHBand="0" w:noVBand="1"/>
      </w:tblPr>
      <w:tblGrid>
        <w:gridCol w:w="2524"/>
        <w:gridCol w:w="913"/>
        <w:gridCol w:w="3035"/>
        <w:gridCol w:w="2874"/>
      </w:tblGrid>
      <w:tr w:rsidR="00016818" w:rsidRPr="00001701" w14:paraId="680F4FAB" w14:textId="77777777" w:rsidTr="00F56C97">
        <w:trPr>
          <w:trHeight w:val="255"/>
          <w:tblHeader/>
        </w:trPr>
        <w:tc>
          <w:tcPr>
            <w:tcW w:w="2524" w:type="dxa"/>
            <w:vMerge w:val="restart"/>
            <w:shd w:val="clear" w:color="auto" w:fill="D9D9D9" w:themeFill="background1" w:themeFillShade="D9"/>
            <w:vAlign w:val="center"/>
          </w:tcPr>
          <w:p w14:paraId="47A6E7C9" w14:textId="77777777" w:rsidR="00016818" w:rsidRPr="00D6050D" w:rsidRDefault="00016818" w:rsidP="00016818">
            <w:pPr>
              <w:jc w:val="center"/>
              <w:rPr>
                <w:b/>
              </w:rPr>
            </w:pPr>
            <w:r w:rsidRPr="00D6050D">
              <w:rPr>
                <w:b/>
              </w:rPr>
              <w:t>Среда</w:t>
            </w:r>
          </w:p>
          <w:p w14:paraId="6916D851" w14:textId="77777777" w:rsidR="00016818" w:rsidRPr="00D6050D" w:rsidRDefault="00016818" w:rsidP="00016818">
            <w:pPr>
              <w:jc w:val="center"/>
              <w:rPr>
                <w:b/>
              </w:rPr>
            </w:pPr>
            <w:r w:rsidRPr="00D6050D">
              <w:rPr>
                <w:b/>
              </w:rPr>
              <w:t>растворения</w:t>
            </w:r>
          </w:p>
        </w:tc>
        <w:tc>
          <w:tcPr>
            <w:tcW w:w="913" w:type="dxa"/>
            <w:vMerge w:val="restart"/>
            <w:shd w:val="clear" w:color="auto" w:fill="D9D9D9" w:themeFill="background1" w:themeFillShade="D9"/>
            <w:vAlign w:val="center"/>
          </w:tcPr>
          <w:p w14:paraId="2C759483" w14:textId="77777777" w:rsidR="00016818" w:rsidRPr="00D6050D" w:rsidRDefault="00016818" w:rsidP="00016818">
            <w:pPr>
              <w:ind w:left="-57" w:right="-57"/>
              <w:jc w:val="center"/>
              <w:rPr>
                <w:b/>
              </w:rPr>
            </w:pPr>
            <w:r>
              <w:rPr>
                <w:b/>
              </w:rPr>
              <w:t>Время,</w:t>
            </w:r>
            <w:r w:rsidRPr="00D6050D">
              <w:rPr>
                <w:b/>
              </w:rPr>
              <w:t xml:space="preserve"> мин</w:t>
            </w:r>
          </w:p>
        </w:tc>
        <w:tc>
          <w:tcPr>
            <w:tcW w:w="5909" w:type="dxa"/>
            <w:gridSpan w:val="2"/>
            <w:shd w:val="clear" w:color="auto" w:fill="D9D9D9" w:themeFill="background1" w:themeFillShade="D9"/>
            <w:vAlign w:val="center"/>
          </w:tcPr>
          <w:p w14:paraId="35CF2D72" w14:textId="7EB153E7" w:rsidR="00016818" w:rsidRPr="00D6050D" w:rsidRDefault="00016818">
            <w:pPr>
              <w:ind w:left="-57" w:right="-57"/>
              <w:jc w:val="center"/>
              <w:rPr>
                <w:b/>
              </w:rPr>
            </w:pPr>
            <w:r w:rsidRPr="00D6050D">
              <w:rPr>
                <w:b/>
              </w:rPr>
              <w:t xml:space="preserve">Количество высвободившегося </w:t>
            </w:r>
            <w:r w:rsidR="00F56C97">
              <w:rPr>
                <w:b/>
              </w:rPr>
              <w:t>действующего вещества</w:t>
            </w:r>
            <w:r w:rsidRPr="00D6050D">
              <w:rPr>
                <w:b/>
              </w:rPr>
              <w:t>, %</w:t>
            </w:r>
          </w:p>
        </w:tc>
      </w:tr>
      <w:tr w:rsidR="00016818" w:rsidRPr="00001701" w14:paraId="2B0D0920" w14:textId="77777777" w:rsidTr="00F56C97">
        <w:trPr>
          <w:trHeight w:val="170"/>
          <w:tblHeader/>
        </w:trPr>
        <w:tc>
          <w:tcPr>
            <w:tcW w:w="2524" w:type="dxa"/>
            <w:vMerge/>
            <w:shd w:val="clear" w:color="auto" w:fill="D9D9D9" w:themeFill="background1" w:themeFillShade="D9"/>
            <w:vAlign w:val="center"/>
          </w:tcPr>
          <w:p w14:paraId="2E704A7C" w14:textId="77777777" w:rsidR="00016818" w:rsidRPr="00D6050D" w:rsidRDefault="00016818" w:rsidP="00016818">
            <w:pPr>
              <w:spacing w:before="120" w:after="120"/>
              <w:rPr>
                <w:b/>
              </w:rPr>
            </w:pPr>
          </w:p>
        </w:tc>
        <w:tc>
          <w:tcPr>
            <w:tcW w:w="913" w:type="dxa"/>
            <w:vMerge/>
            <w:shd w:val="clear" w:color="auto" w:fill="D9D9D9" w:themeFill="background1" w:themeFillShade="D9"/>
            <w:vAlign w:val="center"/>
          </w:tcPr>
          <w:p w14:paraId="24E63816" w14:textId="77777777" w:rsidR="00016818" w:rsidRPr="00D6050D" w:rsidRDefault="00016818" w:rsidP="00016818">
            <w:pPr>
              <w:spacing w:before="120" w:after="120"/>
              <w:rPr>
                <w:b/>
              </w:rPr>
            </w:pPr>
          </w:p>
        </w:tc>
        <w:tc>
          <w:tcPr>
            <w:tcW w:w="3035" w:type="dxa"/>
            <w:shd w:val="clear" w:color="auto" w:fill="D9D9D9" w:themeFill="background1" w:themeFillShade="D9"/>
            <w:vAlign w:val="center"/>
          </w:tcPr>
          <w:p w14:paraId="2F0270F2" w14:textId="77777777" w:rsidR="00016818" w:rsidRPr="00A76175" w:rsidRDefault="00016818" w:rsidP="00016818">
            <w:pPr>
              <w:jc w:val="center"/>
              <w:rPr>
                <w:b/>
              </w:rPr>
            </w:pPr>
            <w:r w:rsidRPr="0026130A">
              <w:rPr>
                <w:b/>
              </w:rPr>
              <w:t>DT-</w:t>
            </w:r>
            <w:r>
              <w:rPr>
                <w:b/>
                <w:lang w:val="en-US"/>
              </w:rPr>
              <w:t>ETR</w:t>
            </w:r>
          </w:p>
          <w:p w14:paraId="0BB3BC4C" w14:textId="77777777" w:rsidR="00016818" w:rsidRPr="00D6050D" w:rsidRDefault="00016818" w:rsidP="00016818">
            <w:pPr>
              <w:jc w:val="center"/>
              <w:rPr>
                <w:b/>
              </w:rPr>
            </w:pPr>
            <w:r>
              <w:rPr>
                <w:b/>
              </w:rPr>
              <w:t>(серия 011022)</w:t>
            </w:r>
          </w:p>
        </w:tc>
        <w:tc>
          <w:tcPr>
            <w:tcW w:w="2874" w:type="dxa"/>
            <w:shd w:val="clear" w:color="auto" w:fill="D9D9D9" w:themeFill="background1" w:themeFillShade="D9"/>
            <w:vAlign w:val="center"/>
          </w:tcPr>
          <w:p w14:paraId="094B74EC" w14:textId="77777777" w:rsidR="00016818" w:rsidRPr="00D6050D" w:rsidRDefault="00016818" w:rsidP="00016818">
            <w:pPr>
              <w:jc w:val="center"/>
              <w:rPr>
                <w:b/>
              </w:rPr>
            </w:pPr>
            <w:r>
              <w:rPr>
                <w:b/>
              </w:rPr>
              <w:t>Интеленс</w:t>
            </w:r>
            <w:r w:rsidRPr="00D6050D">
              <w:rPr>
                <w:b/>
                <w:color w:val="000000" w:themeColor="text1"/>
                <w:vertAlign w:val="superscript"/>
              </w:rPr>
              <w:t>®</w:t>
            </w:r>
            <w:r w:rsidRPr="00D6050D">
              <w:rPr>
                <w:b/>
              </w:rPr>
              <w:t xml:space="preserve"> </w:t>
            </w:r>
          </w:p>
          <w:p w14:paraId="2ED135E3" w14:textId="77777777" w:rsidR="00016818" w:rsidRPr="0026130A" w:rsidRDefault="00016818" w:rsidP="00016818">
            <w:pPr>
              <w:jc w:val="center"/>
              <w:rPr>
                <w:b/>
              </w:rPr>
            </w:pPr>
            <w:r>
              <w:rPr>
                <w:b/>
              </w:rPr>
              <w:t>(</w:t>
            </w:r>
            <w:r w:rsidRPr="009F0BA7">
              <w:rPr>
                <w:b/>
              </w:rPr>
              <w:t xml:space="preserve">серия </w:t>
            </w:r>
            <w:r w:rsidRPr="009F0BA7">
              <w:rPr>
                <w:rFonts w:eastAsiaTheme="minorHAnsi"/>
                <w:b/>
                <w:lang w:eastAsia="en-US"/>
              </w:rPr>
              <w:t>KLL4000</w:t>
            </w:r>
            <w:r w:rsidRPr="009F0BA7">
              <w:rPr>
                <w:b/>
              </w:rPr>
              <w:t>)</w:t>
            </w:r>
          </w:p>
        </w:tc>
      </w:tr>
      <w:tr w:rsidR="00016818" w:rsidRPr="00001701" w14:paraId="3A45DBE9" w14:textId="77777777" w:rsidTr="00F56C97">
        <w:trPr>
          <w:trHeight w:val="240"/>
        </w:trPr>
        <w:tc>
          <w:tcPr>
            <w:tcW w:w="2524" w:type="dxa"/>
            <w:vMerge w:val="restart"/>
            <w:vAlign w:val="center"/>
          </w:tcPr>
          <w:p w14:paraId="2E23EB4A" w14:textId="670CC781" w:rsidR="00016818" w:rsidRPr="00AD2D76" w:rsidRDefault="00016818" w:rsidP="00A97B7A">
            <w:pPr>
              <w:jc w:val="center"/>
            </w:pPr>
            <w:r w:rsidRPr="00AD2D76">
              <w:t xml:space="preserve">0,01 М раствор </w:t>
            </w:r>
            <w:r w:rsidR="00A97B7A">
              <w:rPr>
                <w:lang w:val="en-US"/>
              </w:rPr>
              <w:t>HCl</w:t>
            </w:r>
            <w:r w:rsidRPr="00AD2D76">
              <w:t xml:space="preserve"> и 2,25 % раствор натрия лаурилсульфата в 0,01 М растворе </w:t>
            </w:r>
            <w:r w:rsidR="00A97B7A">
              <w:rPr>
                <w:lang w:val="en-US"/>
              </w:rPr>
              <w:t>HCl</w:t>
            </w:r>
            <w:r w:rsidRPr="00AD2D76">
              <w:t xml:space="preserve"> в соотношении 10:8 </w:t>
            </w:r>
            <w:r>
              <w:rPr>
                <w:color w:val="000000" w:themeColor="text1"/>
              </w:rPr>
              <w:t>(среда НД)</w:t>
            </w:r>
          </w:p>
        </w:tc>
        <w:tc>
          <w:tcPr>
            <w:tcW w:w="913" w:type="dxa"/>
          </w:tcPr>
          <w:p w14:paraId="3306477B" w14:textId="77777777" w:rsidR="00016818" w:rsidRPr="00D6050D" w:rsidRDefault="00016818" w:rsidP="00016818">
            <w:pPr>
              <w:jc w:val="center"/>
              <w:rPr>
                <w:color w:val="000000"/>
              </w:rPr>
            </w:pPr>
            <w:r>
              <w:rPr>
                <w:color w:val="000000"/>
              </w:rPr>
              <w:t>5</w:t>
            </w:r>
          </w:p>
        </w:tc>
        <w:tc>
          <w:tcPr>
            <w:tcW w:w="3035" w:type="dxa"/>
          </w:tcPr>
          <w:p w14:paraId="12F10C1C" w14:textId="77777777" w:rsidR="00016818" w:rsidRDefault="00016818" w:rsidP="00016818">
            <w:pPr>
              <w:jc w:val="center"/>
              <w:rPr>
                <w:color w:val="000000"/>
              </w:rPr>
            </w:pPr>
            <w:r>
              <w:rPr>
                <w:color w:val="000000"/>
              </w:rPr>
              <w:t>62</w:t>
            </w:r>
          </w:p>
        </w:tc>
        <w:tc>
          <w:tcPr>
            <w:tcW w:w="2874" w:type="dxa"/>
          </w:tcPr>
          <w:p w14:paraId="446A3A28" w14:textId="77777777" w:rsidR="00016818" w:rsidRDefault="00016818" w:rsidP="00016818">
            <w:pPr>
              <w:jc w:val="center"/>
              <w:rPr>
                <w:color w:val="000000"/>
              </w:rPr>
            </w:pPr>
            <w:r>
              <w:rPr>
                <w:color w:val="000000"/>
              </w:rPr>
              <w:t>66</w:t>
            </w:r>
          </w:p>
        </w:tc>
      </w:tr>
      <w:tr w:rsidR="00016818" w:rsidRPr="00001701" w14:paraId="7EAD4202" w14:textId="77777777" w:rsidTr="00F56C97">
        <w:trPr>
          <w:trHeight w:val="240"/>
        </w:trPr>
        <w:tc>
          <w:tcPr>
            <w:tcW w:w="2524" w:type="dxa"/>
            <w:vMerge/>
            <w:vAlign w:val="center"/>
          </w:tcPr>
          <w:p w14:paraId="25124925" w14:textId="77777777" w:rsidR="00016818" w:rsidRPr="00051324" w:rsidRDefault="00016818" w:rsidP="00016818">
            <w:pPr>
              <w:jc w:val="center"/>
              <w:rPr>
                <w:color w:val="000000"/>
              </w:rPr>
            </w:pPr>
          </w:p>
        </w:tc>
        <w:tc>
          <w:tcPr>
            <w:tcW w:w="913" w:type="dxa"/>
          </w:tcPr>
          <w:p w14:paraId="498CDF91" w14:textId="77777777" w:rsidR="00016818" w:rsidRPr="00D6050D" w:rsidRDefault="00016818" w:rsidP="00016818">
            <w:pPr>
              <w:jc w:val="center"/>
              <w:rPr>
                <w:color w:val="000000"/>
              </w:rPr>
            </w:pPr>
            <w:r w:rsidRPr="00D6050D">
              <w:rPr>
                <w:color w:val="000000"/>
              </w:rPr>
              <w:t>10</w:t>
            </w:r>
          </w:p>
        </w:tc>
        <w:tc>
          <w:tcPr>
            <w:tcW w:w="3035" w:type="dxa"/>
          </w:tcPr>
          <w:p w14:paraId="3C699052" w14:textId="77777777" w:rsidR="00016818" w:rsidRPr="00535B9A" w:rsidRDefault="00016818" w:rsidP="00016818">
            <w:pPr>
              <w:jc w:val="center"/>
              <w:rPr>
                <w:color w:val="000000"/>
              </w:rPr>
            </w:pPr>
            <w:r>
              <w:rPr>
                <w:color w:val="000000"/>
              </w:rPr>
              <w:t>73</w:t>
            </w:r>
          </w:p>
        </w:tc>
        <w:tc>
          <w:tcPr>
            <w:tcW w:w="2874" w:type="dxa"/>
          </w:tcPr>
          <w:p w14:paraId="38D2810A" w14:textId="77777777" w:rsidR="00016818" w:rsidRPr="00535B9A" w:rsidRDefault="00016818" w:rsidP="00016818">
            <w:pPr>
              <w:jc w:val="center"/>
              <w:rPr>
                <w:color w:val="000000"/>
              </w:rPr>
            </w:pPr>
            <w:r>
              <w:rPr>
                <w:color w:val="000000"/>
              </w:rPr>
              <w:t>81</w:t>
            </w:r>
          </w:p>
        </w:tc>
      </w:tr>
      <w:tr w:rsidR="00016818" w:rsidRPr="00001701" w14:paraId="247A7E9E" w14:textId="77777777" w:rsidTr="00F56C97">
        <w:trPr>
          <w:trHeight w:val="240"/>
        </w:trPr>
        <w:tc>
          <w:tcPr>
            <w:tcW w:w="2524" w:type="dxa"/>
            <w:vMerge/>
            <w:vAlign w:val="center"/>
          </w:tcPr>
          <w:p w14:paraId="57CA3DB6" w14:textId="77777777" w:rsidR="00016818" w:rsidRPr="00D6050D" w:rsidRDefault="00016818" w:rsidP="00016818">
            <w:pPr>
              <w:jc w:val="center"/>
              <w:rPr>
                <w:color w:val="000000"/>
              </w:rPr>
            </w:pPr>
          </w:p>
        </w:tc>
        <w:tc>
          <w:tcPr>
            <w:tcW w:w="913" w:type="dxa"/>
          </w:tcPr>
          <w:p w14:paraId="04AE5A0B" w14:textId="77777777" w:rsidR="00016818" w:rsidRPr="00D6050D" w:rsidRDefault="00016818" w:rsidP="00016818">
            <w:pPr>
              <w:jc w:val="center"/>
              <w:rPr>
                <w:color w:val="000000"/>
              </w:rPr>
            </w:pPr>
            <w:r w:rsidRPr="00D6050D">
              <w:rPr>
                <w:color w:val="000000"/>
              </w:rPr>
              <w:t>15</w:t>
            </w:r>
          </w:p>
        </w:tc>
        <w:tc>
          <w:tcPr>
            <w:tcW w:w="3035" w:type="dxa"/>
          </w:tcPr>
          <w:p w14:paraId="2FC11331" w14:textId="77777777" w:rsidR="00016818" w:rsidRPr="00535B9A" w:rsidRDefault="00016818" w:rsidP="00016818">
            <w:pPr>
              <w:jc w:val="center"/>
              <w:rPr>
                <w:color w:val="000000"/>
              </w:rPr>
            </w:pPr>
            <w:r>
              <w:rPr>
                <w:color w:val="000000"/>
              </w:rPr>
              <w:t>80</w:t>
            </w:r>
          </w:p>
        </w:tc>
        <w:tc>
          <w:tcPr>
            <w:tcW w:w="2874" w:type="dxa"/>
          </w:tcPr>
          <w:p w14:paraId="1D0A0550" w14:textId="77777777" w:rsidR="00016818" w:rsidRPr="00535B9A" w:rsidRDefault="00016818" w:rsidP="00016818">
            <w:pPr>
              <w:jc w:val="center"/>
              <w:rPr>
                <w:color w:val="000000"/>
              </w:rPr>
            </w:pPr>
            <w:r>
              <w:rPr>
                <w:color w:val="000000"/>
              </w:rPr>
              <w:t>89</w:t>
            </w:r>
          </w:p>
        </w:tc>
      </w:tr>
      <w:tr w:rsidR="00016818" w:rsidRPr="00001701" w14:paraId="2821E85C" w14:textId="77777777" w:rsidTr="00F56C97">
        <w:trPr>
          <w:trHeight w:val="240"/>
        </w:trPr>
        <w:tc>
          <w:tcPr>
            <w:tcW w:w="2524" w:type="dxa"/>
            <w:vMerge/>
            <w:vAlign w:val="center"/>
          </w:tcPr>
          <w:p w14:paraId="0A5841DA" w14:textId="77777777" w:rsidR="00016818" w:rsidRPr="00D6050D" w:rsidRDefault="00016818" w:rsidP="00016818">
            <w:pPr>
              <w:jc w:val="center"/>
              <w:rPr>
                <w:color w:val="000000"/>
              </w:rPr>
            </w:pPr>
          </w:p>
        </w:tc>
        <w:tc>
          <w:tcPr>
            <w:tcW w:w="913" w:type="dxa"/>
          </w:tcPr>
          <w:p w14:paraId="76E3027D" w14:textId="77777777" w:rsidR="00016818" w:rsidRPr="00D6050D" w:rsidRDefault="00016818" w:rsidP="00016818">
            <w:pPr>
              <w:jc w:val="center"/>
              <w:rPr>
                <w:color w:val="000000"/>
              </w:rPr>
            </w:pPr>
            <w:r w:rsidRPr="00D6050D">
              <w:rPr>
                <w:color w:val="000000"/>
              </w:rPr>
              <w:t>20</w:t>
            </w:r>
          </w:p>
        </w:tc>
        <w:tc>
          <w:tcPr>
            <w:tcW w:w="3035" w:type="dxa"/>
          </w:tcPr>
          <w:p w14:paraId="7DE35B62" w14:textId="77777777" w:rsidR="00016818" w:rsidRPr="00535B9A" w:rsidRDefault="00016818" w:rsidP="00016818">
            <w:pPr>
              <w:jc w:val="center"/>
              <w:rPr>
                <w:color w:val="000000"/>
              </w:rPr>
            </w:pPr>
            <w:r>
              <w:rPr>
                <w:color w:val="000000"/>
              </w:rPr>
              <w:t>84</w:t>
            </w:r>
          </w:p>
        </w:tc>
        <w:tc>
          <w:tcPr>
            <w:tcW w:w="2874" w:type="dxa"/>
          </w:tcPr>
          <w:p w14:paraId="1635C70D" w14:textId="77777777" w:rsidR="00016818" w:rsidRPr="00535B9A" w:rsidRDefault="00016818" w:rsidP="00016818">
            <w:pPr>
              <w:jc w:val="center"/>
              <w:rPr>
                <w:color w:val="000000"/>
              </w:rPr>
            </w:pPr>
            <w:r>
              <w:rPr>
                <w:color w:val="000000"/>
              </w:rPr>
              <w:t>94</w:t>
            </w:r>
          </w:p>
        </w:tc>
      </w:tr>
      <w:tr w:rsidR="00016818" w:rsidRPr="00001701" w14:paraId="7670DE42" w14:textId="77777777" w:rsidTr="00F56C97">
        <w:trPr>
          <w:trHeight w:val="225"/>
        </w:trPr>
        <w:tc>
          <w:tcPr>
            <w:tcW w:w="2524" w:type="dxa"/>
            <w:vMerge/>
            <w:vAlign w:val="center"/>
          </w:tcPr>
          <w:p w14:paraId="37DBD276" w14:textId="77777777" w:rsidR="00016818" w:rsidRPr="00D6050D" w:rsidRDefault="00016818" w:rsidP="00016818">
            <w:pPr>
              <w:jc w:val="center"/>
              <w:rPr>
                <w:color w:val="000000"/>
              </w:rPr>
            </w:pPr>
          </w:p>
        </w:tc>
        <w:tc>
          <w:tcPr>
            <w:tcW w:w="913" w:type="dxa"/>
          </w:tcPr>
          <w:p w14:paraId="0725C5D3" w14:textId="77777777" w:rsidR="00016818" w:rsidRPr="00D6050D" w:rsidRDefault="00016818" w:rsidP="00016818">
            <w:pPr>
              <w:jc w:val="center"/>
              <w:rPr>
                <w:color w:val="000000"/>
              </w:rPr>
            </w:pPr>
            <w:r w:rsidRPr="00D6050D">
              <w:rPr>
                <w:color w:val="000000"/>
              </w:rPr>
              <w:t>30</w:t>
            </w:r>
          </w:p>
        </w:tc>
        <w:tc>
          <w:tcPr>
            <w:tcW w:w="3035" w:type="dxa"/>
          </w:tcPr>
          <w:p w14:paraId="4F22D1AB" w14:textId="77777777" w:rsidR="00016818" w:rsidRPr="00535B9A" w:rsidRDefault="00016818" w:rsidP="00016818">
            <w:pPr>
              <w:jc w:val="center"/>
              <w:rPr>
                <w:color w:val="000000"/>
              </w:rPr>
            </w:pPr>
            <w:r>
              <w:rPr>
                <w:color w:val="000000"/>
              </w:rPr>
              <w:t>88</w:t>
            </w:r>
          </w:p>
        </w:tc>
        <w:tc>
          <w:tcPr>
            <w:tcW w:w="2874" w:type="dxa"/>
          </w:tcPr>
          <w:p w14:paraId="05D278CC" w14:textId="77777777" w:rsidR="00016818" w:rsidRPr="00535B9A" w:rsidRDefault="00016818" w:rsidP="00016818">
            <w:pPr>
              <w:jc w:val="center"/>
              <w:rPr>
                <w:color w:val="000000"/>
              </w:rPr>
            </w:pPr>
            <w:r>
              <w:rPr>
                <w:color w:val="000000"/>
              </w:rPr>
              <w:t>98</w:t>
            </w:r>
          </w:p>
        </w:tc>
      </w:tr>
      <w:tr w:rsidR="00016818" w:rsidRPr="00001701" w14:paraId="276BEB3C" w14:textId="77777777" w:rsidTr="00F56C97">
        <w:trPr>
          <w:trHeight w:val="266"/>
        </w:trPr>
        <w:tc>
          <w:tcPr>
            <w:tcW w:w="2524" w:type="dxa"/>
            <w:vMerge/>
            <w:vAlign w:val="center"/>
          </w:tcPr>
          <w:p w14:paraId="630B7400" w14:textId="77777777" w:rsidR="00016818" w:rsidRPr="00D6050D" w:rsidRDefault="00016818" w:rsidP="00016818">
            <w:pPr>
              <w:jc w:val="center"/>
              <w:rPr>
                <w:color w:val="000000"/>
              </w:rPr>
            </w:pPr>
          </w:p>
        </w:tc>
        <w:tc>
          <w:tcPr>
            <w:tcW w:w="913" w:type="dxa"/>
          </w:tcPr>
          <w:p w14:paraId="496DFEBD" w14:textId="77777777" w:rsidR="00016818" w:rsidRPr="00D6050D" w:rsidRDefault="00016818" w:rsidP="00016818">
            <w:pPr>
              <w:jc w:val="center"/>
              <w:rPr>
                <w:color w:val="000000"/>
              </w:rPr>
            </w:pPr>
            <w:r w:rsidRPr="00D6050D">
              <w:rPr>
                <w:color w:val="000000"/>
              </w:rPr>
              <w:t>45</w:t>
            </w:r>
          </w:p>
        </w:tc>
        <w:tc>
          <w:tcPr>
            <w:tcW w:w="3035" w:type="dxa"/>
          </w:tcPr>
          <w:p w14:paraId="1BD2713A" w14:textId="77777777" w:rsidR="00016818" w:rsidRPr="00535B9A" w:rsidRDefault="00016818" w:rsidP="00016818">
            <w:pPr>
              <w:jc w:val="center"/>
              <w:rPr>
                <w:color w:val="000000"/>
              </w:rPr>
            </w:pPr>
            <w:r>
              <w:rPr>
                <w:color w:val="000000"/>
              </w:rPr>
              <w:t>93</w:t>
            </w:r>
          </w:p>
        </w:tc>
        <w:tc>
          <w:tcPr>
            <w:tcW w:w="2874" w:type="dxa"/>
          </w:tcPr>
          <w:p w14:paraId="734E8C5E" w14:textId="77777777" w:rsidR="00016818" w:rsidRPr="00535B9A" w:rsidRDefault="00016818" w:rsidP="00016818">
            <w:pPr>
              <w:jc w:val="center"/>
              <w:rPr>
                <w:color w:val="000000"/>
              </w:rPr>
            </w:pPr>
            <w:r>
              <w:rPr>
                <w:color w:val="000000"/>
              </w:rPr>
              <w:t>100</w:t>
            </w:r>
          </w:p>
        </w:tc>
      </w:tr>
      <w:tr w:rsidR="00016818" w:rsidRPr="00001701" w14:paraId="577E9636" w14:textId="77777777" w:rsidTr="00F56C97">
        <w:trPr>
          <w:trHeight w:val="277"/>
        </w:trPr>
        <w:tc>
          <w:tcPr>
            <w:tcW w:w="2524" w:type="dxa"/>
            <w:vMerge/>
            <w:vAlign w:val="center"/>
          </w:tcPr>
          <w:p w14:paraId="722C24A6" w14:textId="77777777" w:rsidR="00016818" w:rsidRPr="00D6050D" w:rsidRDefault="00016818" w:rsidP="00016818">
            <w:pPr>
              <w:jc w:val="center"/>
              <w:rPr>
                <w:color w:val="000000"/>
              </w:rPr>
            </w:pPr>
          </w:p>
        </w:tc>
        <w:tc>
          <w:tcPr>
            <w:tcW w:w="913" w:type="dxa"/>
          </w:tcPr>
          <w:p w14:paraId="2286FBED" w14:textId="77777777" w:rsidR="00016818" w:rsidRPr="00D6050D" w:rsidRDefault="00016818" w:rsidP="00016818">
            <w:pPr>
              <w:jc w:val="center"/>
              <w:rPr>
                <w:color w:val="000000"/>
              </w:rPr>
            </w:pPr>
            <w:r>
              <w:rPr>
                <w:color w:val="000000"/>
              </w:rPr>
              <w:t>60</w:t>
            </w:r>
          </w:p>
        </w:tc>
        <w:tc>
          <w:tcPr>
            <w:tcW w:w="3035" w:type="dxa"/>
          </w:tcPr>
          <w:p w14:paraId="2F7B8419" w14:textId="77777777" w:rsidR="00016818" w:rsidRDefault="00016818" w:rsidP="00016818">
            <w:pPr>
              <w:jc w:val="center"/>
              <w:rPr>
                <w:color w:val="000000"/>
              </w:rPr>
            </w:pPr>
            <w:r>
              <w:rPr>
                <w:color w:val="000000"/>
              </w:rPr>
              <w:t>96</w:t>
            </w:r>
          </w:p>
        </w:tc>
        <w:tc>
          <w:tcPr>
            <w:tcW w:w="2874" w:type="dxa"/>
          </w:tcPr>
          <w:p w14:paraId="3087741F" w14:textId="77777777" w:rsidR="00016818" w:rsidRDefault="00016818" w:rsidP="00016818">
            <w:pPr>
              <w:jc w:val="center"/>
              <w:rPr>
                <w:color w:val="000000"/>
              </w:rPr>
            </w:pPr>
            <w:r>
              <w:rPr>
                <w:color w:val="000000"/>
              </w:rPr>
              <w:t>102</w:t>
            </w:r>
          </w:p>
        </w:tc>
      </w:tr>
      <w:tr w:rsidR="00016818" w:rsidRPr="00001701" w14:paraId="2E57182B" w14:textId="77777777" w:rsidTr="00F56C97">
        <w:trPr>
          <w:trHeight w:val="277"/>
        </w:trPr>
        <w:tc>
          <w:tcPr>
            <w:tcW w:w="2524" w:type="dxa"/>
            <w:vMerge/>
            <w:vAlign w:val="center"/>
          </w:tcPr>
          <w:p w14:paraId="2E55845D" w14:textId="77777777" w:rsidR="00016818" w:rsidRPr="00D6050D" w:rsidRDefault="00016818" w:rsidP="00016818">
            <w:pPr>
              <w:jc w:val="center"/>
              <w:rPr>
                <w:color w:val="000000"/>
              </w:rPr>
            </w:pPr>
          </w:p>
        </w:tc>
        <w:tc>
          <w:tcPr>
            <w:tcW w:w="913" w:type="dxa"/>
          </w:tcPr>
          <w:p w14:paraId="21C3A919" w14:textId="77777777" w:rsidR="00016818" w:rsidRPr="00D6050D" w:rsidRDefault="00016818" w:rsidP="00016818">
            <w:pPr>
              <w:jc w:val="center"/>
              <w:rPr>
                <w:color w:val="000000"/>
              </w:rPr>
            </w:pPr>
            <w:r>
              <w:rPr>
                <w:color w:val="000000"/>
              </w:rPr>
              <w:t>90</w:t>
            </w:r>
          </w:p>
        </w:tc>
        <w:tc>
          <w:tcPr>
            <w:tcW w:w="3035" w:type="dxa"/>
          </w:tcPr>
          <w:p w14:paraId="6A3AD83B" w14:textId="77777777" w:rsidR="00016818" w:rsidRDefault="00016818" w:rsidP="00016818">
            <w:pPr>
              <w:jc w:val="center"/>
              <w:rPr>
                <w:color w:val="000000"/>
              </w:rPr>
            </w:pPr>
            <w:r>
              <w:rPr>
                <w:color w:val="000000"/>
              </w:rPr>
              <w:t>99</w:t>
            </w:r>
          </w:p>
        </w:tc>
        <w:tc>
          <w:tcPr>
            <w:tcW w:w="2874" w:type="dxa"/>
          </w:tcPr>
          <w:p w14:paraId="6E863974" w14:textId="77777777" w:rsidR="00016818" w:rsidRDefault="00016818" w:rsidP="00016818">
            <w:pPr>
              <w:jc w:val="center"/>
              <w:rPr>
                <w:color w:val="000000"/>
              </w:rPr>
            </w:pPr>
            <w:r>
              <w:rPr>
                <w:color w:val="000000"/>
              </w:rPr>
              <w:t>103</w:t>
            </w:r>
          </w:p>
        </w:tc>
      </w:tr>
      <w:tr w:rsidR="00F56C97" w:rsidRPr="00001701" w14:paraId="1FBC069A" w14:textId="77777777" w:rsidTr="00F56C97">
        <w:trPr>
          <w:trHeight w:val="64"/>
        </w:trPr>
        <w:tc>
          <w:tcPr>
            <w:tcW w:w="3437" w:type="dxa"/>
            <w:gridSpan w:val="2"/>
            <w:vAlign w:val="center"/>
          </w:tcPr>
          <w:p w14:paraId="5E46FB37" w14:textId="77777777" w:rsidR="00F56C97" w:rsidRPr="00D6050D" w:rsidRDefault="00F56C97" w:rsidP="00016818">
            <w:pPr>
              <w:jc w:val="center"/>
              <w:rPr>
                <w:b/>
                <w:i/>
                <w:color w:val="000000"/>
              </w:rPr>
            </w:pPr>
            <w:r w:rsidRPr="00D6050D">
              <w:rPr>
                <w:b/>
                <w:i/>
                <w:color w:val="000000"/>
              </w:rPr>
              <w:t>фактор подобия f2</w:t>
            </w:r>
          </w:p>
        </w:tc>
        <w:tc>
          <w:tcPr>
            <w:tcW w:w="5909" w:type="dxa"/>
            <w:gridSpan w:val="2"/>
            <w:vAlign w:val="center"/>
          </w:tcPr>
          <w:p w14:paraId="49ECE28D" w14:textId="1BF2F626" w:rsidR="00F56C97" w:rsidRPr="00B624B7" w:rsidRDefault="00F56C97">
            <w:pPr>
              <w:jc w:val="center"/>
              <w:rPr>
                <w:lang w:val="en-US"/>
              </w:rPr>
            </w:pPr>
            <w:r>
              <w:rPr>
                <w:b/>
              </w:rPr>
              <w:t>52</w:t>
            </w:r>
          </w:p>
        </w:tc>
      </w:tr>
      <w:tr w:rsidR="00016818" w:rsidRPr="00001701" w14:paraId="29BDA3BF" w14:textId="77777777" w:rsidTr="00F56C97">
        <w:trPr>
          <w:trHeight w:val="225"/>
        </w:trPr>
        <w:tc>
          <w:tcPr>
            <w:tcW w:w="2524" w:type="dxa"/>
            <w:vMerge w:val="restart"/>
            <w:vAlign w:val="center"/>
          </w:tcPr>
          <w:p w14:paraId="0B561173" w14:textId="77777777" w:rsidR="00016818" w:rsidRPr="00D6050D" w:rsidRDefault="00016818" w:rsidP="00016818">
            <w:pPr>
              <w:jc w:val="center"/>
              <w:rPr>
                <w:color w:val="000000"/>
              </w:rPr>
            </w:pPr>
            <w:r w:rsidRPr="00D6050D">
              <w:rPr>
                <w:color w:val="000000"/>
              </w:rPr>
              <w:t xml:space="preserve">Буферный раствор с </w:t>
            </w:r>
            <w:r w:rsidRPr="00D6050D">
              <w:rPr>
                <w:color w:val="000000"/>
                <w:lang w:val="en-US"/>
              </w:rPr>
              <w:t>pH</w:t>
            </w:r>
            <w:r w:rsidRPr="00535B9A">
              <w:rPr>
                <w:color w:val="000000"/>
              </w:rPr>
              <w:t xml:space="preserve"> 1,2</w:t>
            </w:r>
          </w:p>
        </w:tc>
        <w:tc>
          <w:tcPr>
            <w:tcW w:w="913" w:type="dxa"/>
            <w:vAlign w:val="center"/>
          </w:tcPr>
          <w:p w14:paraId="7FE81189" w14:textId="77777777" w:rsidR="00016818" w:rsidRPr="00D6050D" w:rsidRDefault="00016818" w:rsidP="00016818">
            <w:pPr>
              <w:jc w:val="center"/>
              <w:rPr>
                <w:color w:val="000000"/>
              </w:rPr>
            </w:pPr>
            <w:r>
              <w:rPr>
                <w:color w:val="000000"/>
              </w:rPr>
              <w:t>5</w:t>
            </w:r>
          </w:p>
        </w:tc>
        <w:tc>
          <w:tcPr>
            <w:tcW w:w="3035" w:type="dxa"/>
            <w:vAlign w:val="center"/>
          </w:tcPr>
          <w:p w14:paraId="04F5ADC8" w14:textId="77777777" w:rsidR="00016818" w:rsidRDefault="00016818" w:rsidP="00016818">
            <w:pPr>
              <w:jc w:val="center"/>
            </w:pPr>
            <w:r>
              <w:t>0</w:t>
            </w:r>
          </w:p>
        </w:tc>
        <w:tc>
          <w:tcPr>
            <w:tcW w:w="2874" w:type="dxa"/>
            <w:vAlign w:val="center"/>
          </w:tcPr>
          <w:p w14:paraId="6018929E" w14:textId="77777777" w:rsidR="00016818" w:rsidRDefault="00016818" w:rsidP="00016818">
            <w:pPr>
              <w:jc w:val="center"/>
            </w:pPr>
            <w:r>
              <w:t>0</w:t>
            </w:r>
          </w:p>
        </w:tc>
      </w:tr>
      <w:tr w:rsidR="00016818" w:rsidRPr="00001701" w14:paraId="47A4C45F" w14:textId="77777777" w:rsidTr="00F56C97">
        <w:trPr>
          <w:trHeight w:val="225"/>
        </w:trPr>
        <w:tc>
          <w:tcPr>
            <w:tcW w:w="2524" w:type="dxa"/>
            <w:vMerge/>
            <w:vAlign w:val="center"/>
          </w:tcPr>
          <w:p w14:paraId="6B3FA2E3" w14:textId="77777777" w:rsidR="00016818" w:rsidRPr="00535B9A" w:rsidRDefault="00016818" w:rsidP="00016818">
            <w:pPr>
              <w:jc w:val="center"/>
              <w:rPr>
                <w:color w:val="000000"/>
              </w:rPr>
            </w:pPr>
          </w:p>
        </w:tc>
        <w:tc>
          <w:tcPr>
            <w:tcW w:w="913" w:type="dxa"/>
            <w:vAlign w:val="center"/>
          </w:tcPr>
          <w:p w14:paraId="0358C9C4" w14:textId="77777777" w:rsidR="00016818" w:rsidRPr="00D6050D" w:rsidRDefault="00016818" w:rsidP="00016818">
            <w:pPr>
              <w:jc w:val="center"/>
              <w:rPr>
                <w:color w:val="000000"/>
              </w:rPr>
            </w:pPr>
            <w:r w:rsidRPr="00D6050D">
              <w:rPr>
                <w:color w:val="000000"/>
              </w:rPr>
              <w:t>10</w:t>
            </w:r>
          </w:p>
        </w:tc>
        <w:tc>
          <w:tcPr>
            <w:tcW w:w="3035" w:type="dxa"/>
            <w:vAlign w:val="center"/>
          </w:tcPr>
          <w:p w14:paraId="00411BE1" w14:textId="77777777" w:rsidR="00016818" w:rsidRPr="00535B9A" w:rsidRDefault="00016818" w:rsidP="00016818">
            <w:pPr>
              <w:jc w:val="center"/>
            </w:pPr>
            <w:r>
              <w:t>0</w:t>
            </w:r>
          </w:p>
        </w:tc>
        <w:tc>
          <w:tcPr>
            <w:tcW w:w="2874" w:type="dxa"/>
            <w:vAlign w:val="center"/>
          </w:tcPr>
          <w:p w14:paraId="5CD738A4" w14:textId="77777777" w:rsidR="00016818" w:rsidRPr="00535B9A" w:rsidRDefault="00016818" w:rsidP="00016818">
            <w:pPr>
              <w:jc w:val="center"/>
            </w:pPr>
            <w:r>
              <w:t>0</w:t>
            </w:r>
          </w:p>
        </w:tc>
      </w:tr>
      <w:tr w:rsidR="00016818" w:rsidRPr="00001701" w14:paraId="0EA52B39" w14:textId="77777777" w:rsidTr="00F56C97">
        <w:trPr>
          <w:trHeight w:val="195"/>
        </w:trPr>
        <w:tc>
          <w:tcPr>
            <w:tcW w:w="2524" w:type="dxa"/>
            <w:vMerge/>
            <w:vAlign w:val="center"/>
          </w:tcPr>
          <w:p w14:paraId="170E3BBE" w14:textId="77777777" w:rsidR="00016818" w:rsidRPr="00D6050D" w:rsidRDefault="00016818" w:rsidP="00016818">
            <w:pPr>
              <w:jc w:val="center"/>
              <w:rPr>
                <w:color w:val="000000"/>
              </w:rPr>
            </w:pPr>
          </w:p>
        </w:tc>
        <w:tc>
          <w:tcPr>
            <w:tcW w:w="913" w:type="dxa"/>
            <w:vAlign w:val="center"/>
          </w:tcPr>
          <w:p w14:paraId="1816A997" w14:textId="77777777" w:rsidR="00016818" w:rsidRPr="00D6050D" w:rsidRDefault="00016818" w:rsidP="00016818">
            <w:pPr>
              <w:jc w:val="center"/>
              <w:rPr>
                <w:color w:val="000000"/>
              </w:rPr>
            </w:pPr>
            <w:r w:rsidRPr="00D6050D">
              <w:rPr>
                <w:color w:val="000000"/>
              </w:rPr>
              <w:t>15</w:t>
            </w:r>
          </w:p>
        </w:tc>
        <w:tc>
          <w:tcPr>
            <w:tcW w:w="3035" w:type="dxa"/>
            <w:vAlign w:val="center"/>
          </w:tcPr>
          <w:p w14:paraId="3874B6DC" w14:textId="77777777" w:rsidR="00016818" w:rsidRPr="00535B9A" w:rsidRDefault="00016818" w:rsidP="00016818">
            <w:pPr>
              <w:jc w:val="center"/>
            </w:pPr>
            <w:r>
              <w:t>0</w:t>
            </w:r>
          </w:p>
        </w:tc>
        <w:tc>
          <w:tcPr>
            <w:tcW w:w="2874" w:type="dxa"/>
            <w:vAlign w:val="center"/>
          </w:tcPr>
          <w:p w14:paraId="7097E7D1" w14:textId="77777777" w:rsidR="00016818" w:rsidRPr="00535B9A" w:rsidRDefault="00016818" w:rsidP="00016818">
            <w:pPr>
              <w:jc w:val="center"/>
            </w:pPr>
            <w:r>
              <w:t>0</w:t>
            </w:r>
          </w:p>
        </w:tc>
      </w:tr>
      <w:tr w:rsidR="00016818" w:rsidRPr="00001701" w14:paraId="1B2F51EB" w14:textId="77777777" w:rsidTr="00F56C97">
        <w:trPr>
          <w:trHeight w:val="225"/>
        </w:trPr>
        <w:tc>
          <w:tcPr>
            <w:tcW w:w="2524" w:type="dxa"/>
            <w:vMerge/>
            <w:vAlign w:val="center"/>
          </w:tcPr>
          <w:p w14:paraId="7177EB91" w14:textId="77777777" w:rsidR="00016818" w:rsidRPr="00D6050D" w:rsidRDefault="00016818" w:rsidP="00016818">
            <w:pPr>
              <w:jc w:val="center"/>
              <w:rPr>
                <w:color w:val="000000"/>
              </w:rPr>
            </w:pPr>
          </w:p>
        </w:tc>
        <w:tc>
          <w:tcPr>
            <w:tcW w:w="913" w:type="dxa"/>
            <w:vAlign w:val="center"/>
          </w:tcPr>
          <w:p w14:paraId="20950CEB" w14:textId="77777777" w:rsidR="00016818" w:rsidRPr="00D6050D" w:rsidRDefault="00016818" w:rsidP="00016818">
            <w:pPr>
              <w:jc w:val="center"/>
              <w:rPr>
                <w:color w:val="000000"/>
              </w:rPr>
            </w:pPr>
            <w:r w:rsidRPr="00D6050D">
              <w:rPr>
                <w:color w:val="000000"/>
              </w:rPr>
              <w:t>20</w:t>
            </w:r>
          </w:p>
        </w:tc>
        <w:tc>
          <w:tcPr>
            <w:tcW w:w="3035" w:type="dxa"/>
            <w:vAlign w:val="center"/>
          </w:tcPr>
          <w:p w14:paraId="111D54C9" w14:textId="77777777" w:rsidR="00016818" w:rsidRPr="00535B9A" w:rsidRDefault="00016818" w:rsidP="00016818">
            <w:pPr>
              <w:jc w:val="center"/>
            </w:pPr>
            <w:r>
              <w:t>0</w:t>
            </w:r>
          </w:p>
        </w:tc>
        <w:tc>
          <w:tcPr>
            <w:tcW w:w="2874" w:type="dxa"/>
            <w:vAlign w:val="center"/>
          </w:tcPr>
          <w:p w14:paraId="2D4A6C73" w14:textId="77777777" w:rsidR="00016818" w:rsidRPr="00535B9A" w:rsidRDefault="00016818" w:rsidP="00016818">
            <w:pPr>
              <w:jc w:val="center"/>
            </w:pPr>
            <w:r>
              <w:t>0</w:t>
            </w:r>
          </w:p>
        </w:tc>
      </w:tr>
      <w:tr w:rsidR="00016818" w:rsidRPr="00001701" w14:paraId="02CF641F" w14:textId="77777777" w:rsidTr="00F56C97">
        <w:trPr>
          <w:trHeight w:val="315"/>
        </w:trPr>
        <w:tc>
          <w:tcPr>
            <w:tcW w:w="2524" w:type="dxa"/>
            <w:vMerge/>
            <w:vAlign w:val="center"/>
          </w:tcPr>
          <w:p w14:paraId="01666B8F" w14:textId="77777777" w:rsidR="00016818" w:rsidRPr="00D6050D" w:rsidRDefault="00016818" w:rsidP="00016818">
            <w:pPr>
              <w:jc w:val="center"/>
              <w:rPr>
                <w:color w:val="000000"/>
              </w:rPr>
            </w:pPr>
          </w:p>
        </w:tc>
        <w:tc>
          <w:tcPr>
            <w:tcW w:w="913" w:type="dxa"/>
            <w:vAlign w:val="center"/>
          </w:tcPr>
          <w:p w14:paraId="5138EF7E" w14:textId="77777777" w:rsidR="00016818" w:rsidRPr="00D6050D" w:rsidRDefault="00016818" w:rsidP="00016818">
            <w:pPr>
              <w:jc w:val="center"/>
              <w:rPr>
                <w:color w:val="000000"/>
              </w:rPr>
            </w:pPr>
            <w:r w:rsidRPr="00D6050D">
              <w:rPr>
                <w:color w:val="000000"/>
              </w:rPr>
              <w:t>30</w:t>
            </w:r>
          </w:p>
        </w:tc>
        <w:tc>
          <w:tcPr>
            <w:tcW w:w="3035" w:type="dxa"/>
            <w:vAlign w:val="center"/>
          </w:tcPr>
          <w:p w14:paraId="10488480" w14:textId="77777777" w:rsidR="00016818" w:rsidRPr="00535B9A" w:rsidRDefault="00016818" w:rsidP="00016818">
            <w:pPr>
              <w:jc w:val="center"/>
            </w:pPr>
            <w:r>
              <w:t>0</w:t>
            </w:r>
          </w:p>
        </w:tc>
        <w:tc>
          <w:tcPr>
            <w:tcW w:w="2874" w:type="dxa"/>
            <w:vAlign w:val="center"/>
          </w:tcPr>
          <w:p w14:paraId="490FEBA1" w14:textId="77777777" w:rsidR="00016818" w:rsidRPr="00535B9A" w:rsidRDefault="00016818" w:rsidP="00016818">
            <w:pPr>
              <w:jc w:val="center"/>
            </w:pPr>
            <w:r>
              <w:t>0</w:t>
            </w:r>
          </w:p>
        </w:tc>
      </w:tr>
      <w:tr w:rsidR="00016818" w:rsidRPr="00001701" w14:paraId="3FFCD69A" w14:textId="77777777" w:rsidTr="00F56C97">
        <w:trPr>
          <w:trHeight w:val="237"/>
        </w:trPr>
        <w:tc>
          <w:tcPr>
            <w:tcW w:w="2524" w:type="dxa"/>
            <w:vMerge/>
            <w:vAlign w:val="center"/>
          </w:tcPr>
          <w:p w14:paraId="6940AA90" w14:textId="77777777" w:rsidR="00016818" w:rsidRPr="00D6050D" w:rsidRDefault="00016818" w:rsidP="00016818">
            <w:pPr>
              <w:jc w:val="center"/>
              <w:rPr>
                <w:color w:val="000000"/>
              </w:rPr>
            </w:pPr>
          </w:p>
        </w:tc>
        <w:tc>
          <w:tcPr>
            <w:tcW w:w="913" w:type="dxa"/>
            <w:vAlign w:val="center"/>
          </w:tcPr>
          <w:p w14:paraId="70DC4415" w14:textId="77777777" w:rsidR="00016818" w:rsidRPr="00D6050D" w:rsidRDefault="00016818" w:rsidP="00016818">
            <w:pPr>
              <w:jc w:val="center"/>
              <w:rPr>
                <w:color w:val="000000"/>
              </w:rPr>
            </w:pPr>
            <w:r w:rsidRPr="00D6050D">
              <w:rPr>
                <w:color w:val="000000"/>
              </w:rPr>
              <w:t>45</w:t>
            </w:r>
          </w:p>
        </w:tc>
        <w:tc>
          <w:tcPr>
            <w:tcW w:w="3035" w:type="dxa"/>
            <w:vAlign w:val="center"/>
          </w:tcPr>
          <w:p w14:paraId="4D2CCE71" w14:textId="77777777" w:rsidR="00016818" w:rsidRPr="00535B9A" w:rsidRDefault="00016818" w:rsidP="00016818">
            <w:pPr>
              <w:jc w:val="center"/>
            </w:pPr>
            <w:r>
              <w:t>0</w:t>
            </w:r>
          </w:p>
        </w:tc>
        <w:tc>
          <w:tcPr>
            <w:tcW w:w="2874" w:type="dxa"/>
            <w:vAlign w:val="center"/>
          </w:tcPr>
          <w:p w14:paraId="4AF8A5C8" w14:textId="77777777" w:rsidR="00016818" w:rsidRPr="00535B9A" w:rsidRDefault="00016818" w:rsidP="00016818">
            <w:pPr>
              <w:jc w:val="center"/>
            </w:pPr>
            <w:r>
              <w:t>0</w:t>
            </w:r>
          </w:p>
        </w:tc>
      </w:tr>
      <w:tr w:rsidR="00016818" w:rsidRPr="00001701" w14:paraId="771CDAB8" w14:textId="77777777" w:rsidTr="00F56C97">
        <w:trPr>
          <w:trHeight w:val="237"/>
        </w:trPr>
        <w:tc>
          <w:tcPr>
            <w:tcW w:w="2524" w:type="dxa"/>
            <w:vMerge/>
            <w:vAlign w:val="center"/>
          </w:tcPr>
          <w:p w14:paraId="61C1AFD4" w14:textId="77777777" w:rsidR="00016818" w:rsidRPr="00D6050D" w:rsidRDefault="00016818" w:rsidP="00016818">
            <w:pPr>
              <w:jc w:val="center"/>
              <w:rPr>
                <w:color w:val="000000"/>
              </w:rPr>
            </w:pPr>
          </w:p>
        </w:tc>
        <w:tc>
          <w:tcPr>
            <w:tcW w:w="913" w:type="dxa"/>
            <w:vAlign w:val="center"/>
          </w:tcPr>
          <w:p w14:paraId="5E8348B5" w14:textId="77777777" w:rsidR="00016818" w:rsidRPr="00D6050D" w:rsidRDefault="00016818" w:rsidP="00016818">
            <w:pPr>
              <w:jc w:val="center"/>
              <w:rPr>
                <w:color w:val="000000"/>
              </w:rPr>
            </w:pPr>
            <w:r>
              <w:rPr>
                <w:color w:val="000000"/>
              </w:rPr>
              <w:t>60</w:t>
            </w:r>
          </w:p>
        </w:tc>
        <w:tc>
          <w:tcPr>
            <w:tcW w:w="3035" w:type="dxa"/>
            <w:vAlign w:val="center"/>
          </w:tcPr>
          <w:p w14:paraId="6D8928C9" w14:textId="77777777" w:rsidR="00016818" w:rsidRDefault="00016818" w:rsidP="00016818">
            <w:pPr>
              <w:jc w:val="center"/>
            </w:pPr>
            <w:r>
              <w:t>0</w:t>
            </w:r>
          </w:p>
        </w:tc>
        <w:tc>
          <w:tcPr>
            <w:tcW w:w="2874" w:type="dxa"/>
            <w:vAlign w:val="center"/>
          </w:tcPr>
          <w:p w14:paraId="41EE897A" w14:textId="77777777" w:rsidR="00016818" w:rsidRDefault="00016818" w:rsidP="00016818">
            <w:pPr>
              <w:jc w:val="center"/>
            </w:pPr>
            <w:r>
              <w:t>0</w:t>
            </w:r>
          </w:p>
        </w:tc>
      </w:tr>
      <w:tr w:rsidR="00016818" w:rsidRPr="00001701" w14:paraId="716EAF7D" w14:textId="77777777" w:rsidTr="00F56C97">
        <w:trPr>
          <w:trHeight w:val="237"/>
        </w:trPr>
        <w:tc>
          <w:tcPr>
            <w:tcW w:w="2524" w:type="dxa"/>
            <w:vMerge/>
            <w:vAlign w:val="center"/>
          </w:tcPr>
          <w:p w14:paraId="28FFB709" w14:textId="77777777" w:rsidR="00016818" w:rsidRPr="00D6050D" w:rsidRDefault="00016818" w:rsidP="00016818">
            <w:pPr>
              <w:jc w:val="center"/>
              <w:rPr>
                <w:color w:val="000000"/>
              </w:rPr>
            </w:pPr>
          </w:p>
        </w:tc>
        <w:tc>
          <w:tcPr>
            <w:tcW w:w="913" w:type="dxa"/>
            <w:vAlign w:val="center"/>
          </w:tcPr>
          <w:p w14:paraId="751DA736" w14:textId="77777777" w:rsidR="00016818" w:rsidRPr="00D6050D" w:rsidRDefault="00016818" w:rsidP="00016818">
            <w:pPr>
              <w:jc w:val="center"/>
              <w:rPr>
                <w:color w:val="000000"/>
              </w:rPr>
            </w:pPr>
            <w:r>
              <w:rPr>
                <w:color w:val="000000"/>
              </w:rPr>
              <w:t>90</w:t>
            </w:r>
          </w:p>
        </w:tc>
        <w:tc>
          <w:tcPr>
            <w:tcW w:w="3035" w:type="dxa"/>
            <w:vAlign w:val="center"/>
          </w:tcPr>
          <w:p w14:paraId="0DA4C5BF" w14:textId="77777777" w:rsidR="00016818" w:rsidRDefault="00016818" w:rsidP="00016818">
            <w:pPr>
              <w:jc w:val="center"/>
            </w:pPr>
            <w:r>
              <w:t>0</w:t>
            </w:r>
          </w:p>
        </w:tc>
        <w:tc>
          <w:tcPr>
            <w:tcW w:w="2874" w:type="dxa"/>
            <w:vAlign w:val="center"/>
          </w:tcPr>
          <w:p w14:paraId="0542DEEC" w14:textId="77777777" w:rsidR="00016818" w:rsidRDefault="00016818" w:rsidP="00016818">
            <w:pPr>
              <w:jc w:val="center"/>
            </w:pPr>
            <w:r>
              <w:t>0</w:t>
            </w:r>
          </w:p>
        </w:tc>
      </w:tr>
      <w:tr w:rsidR="00016818" w:rsidRPr="00001701" w14:paraId="42499AA4" w14:textId="77777777" w:rsidTr="00F56C97">
        <w:trPr>
          <w:trHeight w:val="64"/>
        </w:trPr>
        <w:tc>
          <w:tcPr>
            <w:tcW w:w="3437" w:type="dxa"/>
            <w:gridSpan w:val="2"/>
            <w:vAlign w:val="center"/>
          </w:tcPr>
          <w:p w14:paraId="3E4F519C" w14:textId="77777777" w:rsidR="00016818" w:rsidRPr="00D6050D" w:rsidRDefault="00016818" w:rsidP="00016818">
            <w:pPr>
              <w:jc w:val="center"/>
              <w:rPr>
                <w:b/>
                <w:i/>
                <w:color w:val="000000"/>
              </w:rPr>
            </w:pPr>
            <w:r w:rsidRPr="00D6050D">
              <w:rPr>
                <w:b/>
                <w:i/>
                <w:color w:val="000000"/>
              </w:rPr>
              <w:t>фактор подобия f2</w:t>
            </w:r>
          </w:p>
        </w:tc>
        <w:tc>
          <w:tcPr>
            <w:tcW w:w="5909" w:type="dxa"/>
            <w:gridSpan w:val="2"/>
            <w:vAlign w:val="center"/>
          </w:tcPr>
          <w:p w14:paraId="03FAA99D" w14:textId="77777777" w:rsidR="00016818" w:rsidRPr="00535B9A" w:rsidRDefault="00016818" w:rsidP="00016818">
            <w:pPr>
              <w:jc w:val="center"/>
              <w:rPr>
                <w:b/>
              </w:rPr>
            </w:pPr>
            <w:r>
              <w:rPr>
                <w:b/>
              </w:rPr>
              <w:t>Не применимо</w:t>
            </w:r>
          </w:p>
        </w:tc>
      </w:tr>
      <w:tr w:rsidR="00016818" w:rsidRPr="00001701" w14:paraId="18BBD85E" w14:textId="77777777" w:rsidTr="00F56C97">
        <w:trPr>
          <w:trHeight w:val="225"/>
        </w:trPr>
        <w:tc>
          <w:tcPr>
            <w:tcW w:w="2524" w:type="dxa"/>
            <w:vMerge w:val="restart"/>
            <w:vAlign w:val="center"/>
          </w:tcPr>
          <w:p w14:paraId="1CBE5EAC" w14:textId="2162BCB7" w:rsidR="00016818" w:rsidRPr="00D6050D" w:rsidRDefault="00016818" w:rsidP="00016818">
            <w:pPr>
              <w:jc w:val="center"/>
              <w:rPr>
                <w:color w:val="000000"/>
              </w:rPr>
            </w:pPr>
            <w:r w:rsidRPr="00D6050D">
              <w:rPr>
                <w:color w:val="000000"/>
              </w:rPr>
              <w:t xml:space="preserve">Ацетатный буферный раствор </w:t>
            </w:r>
            <w:r w:rsidR="00F56C97">
              <w:rPr>
                <w:color w:val="000000"/>
              </w:rPr>
              <w:t xml:space="preserve">с </w:t>
            </w:r>
            <w:r w:rsidRPr="00D6050D">
              <w:rPr>
                <w:color w:val="000000"/>
              </w:rPr>
              <w:t>рН 4,5</w:t>
            </w:r>
          </w:p>
        </w:tc>
        <w:tc>
          <w:tcPr>
            <w:tcW w:w="913" w:type="dxa"/>
            <w:vAlign w:val="center"/>
          </w:tcPr>
          <w:p w14:paraId="4E429ED6" w14:textId="77777777" w:rsidR="00016818" w:rsidRPr="00D6050D" w:rsidRDefault="00016818" w:rsidP="00016818">
            <w:pPr>
              <w:jc w:val="center"/>
              <w:rPr>
                <w:color w:val="000000"/>
              </w:rPr>
            </w:pPr>
            <w:r>
              <w:rPr>
                <w:color w:val="000000"/>
              </w:rPr>
              <w:t>5</w:t>
            </w:r>
          </w:p>
        </w:tc>
        <w:tc>
          <w:tcPr>
            <w:tcW w:w="3035" w:type="dxa"/>
            <w:vAlign w:val="center"/>
          </w:tcPr>
          <w:p w14:paraId="6CD453FA" w14:textId="77777777" w:rsidR="00016818" w:rsidRDefault="00016818" w:rsidP="00016818">
            <w:pPr>
              <w:jc w:val="center"/>
            </w:pPr>
            <w:r>
              <w:t>0</w:t>
            </w:r>
          </w:p>
        </w:tc>
        <w:tc>
          <w:tcPr>
            <w:tcW w:w="2874" w:type="dxa"/>
            <w:vAlign w:val="center"/>
          </w:tcPr>
          <w:p w14:paraId="28A68EAA" w14:textId="77777777" w:rsidR="00016818" w:rsidRDefault="00016818" w:rsidP="00016818">
            <w:pPr>
              <w:jc w:val="center"/>
            </w:pPr>
            <w:r>
              <w:t>0</w:t>
            </w:r>
          </w:p>
        </w:tc>
      </w:tr>
      <w:tr w:rsidR="00016818" w:rsidRPr="00001701" w14:paraId="4443E10F" w14:textId="77777777" w:rsidTr="00F56C97">
        <w:trPr>
          <w:trHeight w:val="225"/>
        </w:trPr>
        <w:tc>
          <w:tcPr>
            <w:tcW w:w="2524" w:type="dxa"/>
            <w:vMerge/>
            <w:vAlign w:val="center"/>
          </w:tcPr>
          <w:p w14:paraId="796841FF" w14:textId="77777777" w:rsidR="00016818" w:rsidRPr="00D6050D" w:rsidRDefault="00016818" w:rsidP="00016818">
            <w:pPr>
              <w:jc w:val="center"/>
              <w:rPr>
                <w:color w:val="000000"/>
              </w:rPr>
            </w:pPr>
          </w:p>
        </w:tc>
        <w:tc>
          <w:tcPr>
            <w:tcW w:w="913" w:type="dxa"/>
            <w:vAlign w:val="center"/>
          </w:tcPr>
          <w:p w14:paraId="2FB8C827" w14:textId="77777777" w:rsidR="00016818" w:rsidRPr="00D6050D" w:rsidRDefault="00016818" w:rsidP="00016818">
            <w:pPr>
              <w:jc w:val="center"/>
              <w:rPr>
                <w:color w:val="000000"/>
              </w:rPr>
            </w:pPr>
            <w:r w:rsidRPr="00D6050D">
              <w:rPr>
                <w:color w:val="000000"/>
              </w:rPr>
              <w:t>10</w:t>
            </w:r>
          </w:p>
        </w:tc>
        <w:tc>
          <w:tcPr>
            <w:tcW w:w="3035" w:type="dxa"/>
            <w:vAlign w:val="center"/>
          </w:tcPr>
          <w:p w14:paraId="5EE34507" w14:textId="77777777" w:rsidR="00016818" w:rsidRPr="00D6050D" w:rsidRDefault="00016818" w:rsidP="00016818">
            <w:pPr>
              <w:jc w:val="center"/>
              <w:rPr>
                <w:lang w:val="en-US"/>
              </w:rPr>
            </w:pPr>
            <w:r>
              <w:t>0</w:t>
            </w:r>
          </w:p>
        </w:tc>
        <w:tc>
          <w:tcPr>
            <w:tcW w:w="2874" w:type="dxa"/>
            <w:vAlign w:val="center"/>
          </w:tcPr>
          <w:p w14:paraId="4FDBF49C" w14:textId="77777777" w:rsidR="00016818" w:rsidRPr="00D6050D" w:rsidRDefault="00016818" w:rsidP="00016818">
            <w:pPr>
              <w:jc w:val="center"/>
              <w:rPr>
                <w:lang w:val="en-US"/>
              </w:rPr>
            </w:pPr>
            <w:r>
              <w:t>0</w:t>
            </w:r>
          </w:p>
        </w:tc>
      </w:tr>
      <w:tr w:rsidR="00016818" w:rsidRPr="00001701" w14:paraId="737E74FD" w14:textId="77777777" w:rsidTr="00F56C97">
        <w:trPr>
          <w:trHeight w:val="240"/>
        </w:trPr>
        <w:tc>
          <w:tcPr>
            <w:tcW w:w="2524" w:type="dxa"/>
            <w:vMerge/>
            <w:vAlign w:val="center"/>
          </w:tcPr>
          <w:p w14:paraId="7B1DD4DC" w14:textId="77777777" w:rsidR="00016818" w:rsidRPr="00D6050D" w:rsidRDefault="00016818" w:rsidP="00016818">
            <w:pPr>
              <w:jc w:val="center"/>
              <w:rPr>
                <w:color w:val="000000"/>
              </w:rPr>
            </w:pPr>
          </w:p>
        </w:tc>
        <w:tc>
          <w:tcPr>
            <w:tcW w:w="913" w:type="dxa"/>
            <w:vAlign w:val="center"/>
          </w:tcPr>
          <w:p w14:paraId="427C0903" w14:textId="77777777" w:rsidR="00016818" w:rsidRPr="00D6050D" w:rsidRDefault="00016818" w:rsidP="00016818">
            <w:pPr>
              <w:jc w:val="center"/>
              <w:rPr>
                <w:color w:val="000000"/>
              </w:rPr>
            </w:pPr>
            <w:r w:rsidRPr="00D6050D">
              <w:rPr>
                <w:color w:val="000000"/>
              </w:rPr>
              <w:t>15</w:t>
            </w:r>
          </w:p>
        </w:tc>
        <w:tc>
          <w:tcPr>
            <w:tcW w:w="3035" w:type="dxa"/>
            <w:vAlign w:val="center"/>
          </w:tcPr>
          <w:p w14:paraId="2B729321" w14:textId="77777777" w:rsidR="00016818" w:rsidRPr="00D6050D" w:rsidRDefault="00016818" w:rsidP="00016818">
            <w:pPr>
              <w:jc w:val="center"/>
              <w:rPr>
                <w:lang w:val="en-US"/>
              </w:rPr>
            </w:pPr>
            <w:r>
              <w:t>0</w:t>
            </w:r>
          </w:p>
        </w:tc>
        <w:tc>
          <w:tcPr>
            <w:tcW w:w="2874" w:type="dxa"/>
            <w:vAlign w:val="center"/>
          </w:tcPr>
          <w:p w14:paraId="65832710" w14:textId="77777777" w:rsidR="00016818" w:rsidRPr="00D6050D" w:rsidRDefault="00016818" w:rsidP="00016818">
            <w:pPr>
              <w:jc w:val="center"/>
              <w:rPr>
                <w:lang w:val="en-US"/>
              </w:rPr>
            </w:pPr>
            <w:r>
              <w:t>0</w:t>
            </w:r>
          </w:p>
        </w:tc>
      </w:tr>
      <w:tr w:rsidR="00016818" w:rsidRPr="00001701" w14:paraId="0B5966B4" w14:textId="77777777" w:rsidTr="00F56C97">
        <w:trPr>
          <w:trHeight w:val="237"/>
        </w:trPr>
        <w:tc>
          <w:tcPr>
            <w:tcW w:w="2524" w:type="dxa"/>
            <w:vMerge/>
            <w:vAlign w:val="center"/>
          </w:tcPr>
          <w:p w14:paraId="555B087E" w14:textId="77777777" w:rsidR="00016818" w:rsidRPr="00D6050D" w:rsidRDefault="00016818" w:rsidP="00016818">
            <w:pPr>
              <w:jc w:val="center"/>
              <w:rPr>
                <w:color w:val="000000"/>
              </w:rPr>
            </w:pPr>
          </w:p>
        </w:tc>
        <w:tc>
          <w:tcPr>
            <w:tcW w:w="913" w:type="dxa"/>
            <w:vAlign w:val="center"/>
          </w:tcPr>
          <w:p w14:paraId="2061A9E9" w14:textId="77777777" w:rsidR="00016818" w:rsidRPr="00D6050D" w:rsidRDefault="00016818" w:rsidP="00016818">
            <w:pPr>
              <w:jc w:val="center"/>
              <w:rPr>
                <w:color w:val="000000"/>
              </w:rPr>
            </w:pPr>
            <w:r w:rsidRPr="00D6050D">
              <w:rPr>
                <w:color w:val="000000"/>
              </w:rPr>
              <w:t>20</w:t>
            </w:r>
          </w:p>
        </w:tc>
        <w:tc>
          <w:tcPr>
            <w:tcW w:w="3035" w:type="dxa"/>
            <w:vAlign w:val="center"/>
          </w:tcPr>
          <w:p w14:paraId="5DC004D8" w14:textId="77777777" w:rsidR="00016818" w:rsidRPr="00D6050D" w:rsidRDefault="00016818" w:rsidP="00016818">
            <w:pPr>
              <w:jc w:val="center"/>
              <w:rPr>
                <w:lang w:val="en-US"/>
              </w:rPr>
            </w:pPr>
            <w:r>
              <w:t>0</w:t>
            </w:r>
          </w:p>
        </w:tc>
        <w:tc>
          <w:tcPr>
            <w:tcW w:w="2874" w:type="dxa"/>
            <w:vAlign w:val="center"/>
          </w:tcPr>
          <w:p w14:paraId="2A86AAF6" w14:textId="77777777" w:rsidR="00016818" w:rsidRPr="00D6050D" w:rsidRDefault="00016818" w:rsidP="00016818">
            <w:pPr>
              <w:jc w:val="center"/>
              <w:rPr>
                <w:lang w:val="en-US"/>
              </w:rPr>
            </w:pPr>
            <w:r>
              <w:t>0</w:t>
            </w:r>
          </w:p>
        </w:tc>
      </w:tr>
      <w:tr w:rsidR="00016818" w:rsidRPr="00001701" w14:paraId="108F892F" w14:textId="77777777" w:rsidTr="00F56C97">
        <w:trPr>
          <w:trHeight w:val="300"/>
        </w:trPr>
        <w:tc>
          <w:tcPr>
            <w:tcW w:w="2524" w:type="dxa"/>
            <w:vMerge/>
            <w:vAlign w:val="center"/>
          </w:tcPr>
          <w:p w14:paraId="7FC5B7DE" w14:textId="77777777" w:rsidR="00016818" w:rsidRPr="00D6050D" w:rsidRDefault="00016818" w:rsidP="00016818">
            <w:pPr>
              <w:jc w:val="center"/>
              <w:rPr>
                <w:color w:val="000000"/>
              </w:rPr>
            </w:pPr>
          </w:p>
        </w:tc>
        <w:tc>
          <w:tcPr>
            <w:tcW w:w="913" w:type="dxa"/>
            <w:vAlign w:val="center"/>
          </w:tcPr>
          <w:p w14:paraId="5F2BAD7E" w14:textId="77777777" w:rsidR="00016818" w:rsidRPr="00D6050D" w:rsidRDefault="00016818" w:rsidP="00016818">
            <w:pPr>
              <w:jc w:val="center"/>
              <w:rPr>
                <w:color w:val="000000"/>
              </w:rPr>
            </w:pPr>
            <w:r w:rsidRPr="00D6050D">
              <w:rPr>
                <w:color w:val="000000"/>
              </w:rPr>
              <w:t>30</w:t>
            </w:r>
          </w:p>
        </w:tc>
        <w:tc>
          <w:tcPr>
            <w:tcW w:w="3035" w:type="dxa"/>
            <w:vAlign w:val="center"/>
          </w:tcPr>
          <w:p w14:paraId="29AB9F8E" w14:textId="77777777" w:rsidR="00016818" w:rsidRPr="00D6050D" w:rsidRDefault="00016818" w:rsidP="00016818">
            <w:pPr>
              <w:jc w:val="center"/>
              <w:rPr>
                <w:lang w:val="en-US"/>
              </w:rPr>
            </w:pPr>
            <w:r>
              <w:t>0</w:t>
            </w:r>
          </w:p>
        </w:tc>
        <w:tc>
          <w:tcPr>
            <w:tcW w:w="2874" w:type="dxa"/>
            <w:vAlign w:val="center"/>
          </w:tcPr>
          <w:p w14:paraId="3814C9D4" w14:textId="77777777" w:rsidR="00016818" w:rsidRPr="00D6050D" w:rsidRDefault="00016818" w:rsidP="00016818">
            <w:pPr>
              <w:jc w:val="center"/>
              <w:rPr>
                <w:lang w:val="en-US"/>
              </w:rPr>
            </w:pPr>
            <w:r>
              <w:t>0</w:t>
            </w:r>
          </w:p>
        </w:tc>
      </w:tr>
      <w:tr w:rsidR="00016818" w:rsidRPr="00001701" w14:paraId="6896D9F2" w14:textId="77777777" w:rsidTr="00F56C97">
        <w:trPr>
          <w:trHeight w:val="195"/>
        </w:trPr>
        <w:tc>
          <w:tcPr>
            <w:tcW w:w="2524" w:type="dxa"/>
            <w:vMerge/>
            <w:vAlign w:val="center"/>
          </w:tcPr>
          <w:p w14:paraId="6D8E8845" w14:textId="77777777" w:rsidR="00016818" w:rsidRPr="00D6050D" w:rsidRDefault="00016818" w:rsidP="00016818">
            <w:pPr>
              <w:jc w:val="center"/>
              <w:rPr>
                <w:color w:val="000000"/>
              </w:rPr>
            </w:pPr>
          </w:p>
        </w:tc>
        <w:tc>
          <w:tcPr>
            <w:tcW w:w="913" w:type="dxa"/>
            <w:vAlign w:val="center"/>
          </w:tcPr>
          <w:p w14:paraId="100EA1C0" w14:textId="77777777" w:rsidR="00016818" w:rsidRPr="00D6050D" w:rsidRDefault="00016818" w:rsidP="00016818">
            <w:pPr>
              <w:jc w:val="center"/>
              <w:rPr>
                <w:color w:val="000000"/>
              </w:rPr>
            </w:pPr>
            <w:r w:rsidRPr="00D6050D">
              <w:rPr>
                <w:color w:val="000000"/>
              </w:rPr>
              <w:t>45</w:t>
            </w:r>
          </w:p>
        </w:tc>
        <w:tc>
          <w:tcPr>
            <w:tcW w:w="3035" w:type="dxa"/>
            <w:vAlign w:val="center"/>
          </w:tcPr>
          <w:p w14:paraId="1C5FFEC5" w14:textId="77777777" w:rsidR="00016818" w:rsidRPr="00D6050D" w:rsidRDefault="00016818" w:rsidP="00016818">
            <w:pPr>
              <w:jc w:val="center"/>
              <w:rPr>
                <w:lang w:val="en-US"/>
              </w:rPr>
            </w:pPr>
            <w:r>
              <w:t>0</w:t>
            </w:r>
          </w:p>
        </w:tc>
        <w:tc>
          <w:tcPr>
            <w:tcW w:w="2874" w:type="dxa"/>
            <w:vAlign w:val="center"/>
          </w:tcPr>
          <w:p w14:paraId="29BD9200" w14:textId="77777777" w:rsidR="00016818" w:rsidRPr="00D6050D" w:rsidRDefault="00016818" w:rsidP="00016818">
            <w:pPr>
              <w:jc w:val="center"/>
              <w:rPr>
                <w:lang w:val="en-US"/>
              </w:rPr>
            </w:pPr>
            <w:r>
              <w:t>0</w:t>
            </w:r>
          </w:p>
        </w:tc>
      </w:tr>
      <w:tr w:rsidR="00016818" w:rsidRPr="00001701" w14:paraId="0D0CB14B" w14:textId="77777777" w:rsidTr="00F56C97">
        <w:trPr>
          <w:trHeight w:val="195"/>
        </w:trPr>
        <w:tc>
          <w:tcPr>
            <w:tcW w:w="2524" w:type="dxa"/>
            <w:vMerge/>
            <w:vAlign w:val="center"/>
          </w:tcPr>
          <w:p w14:paraId="7E3411D8" w14:textId="77777777" w:rsidR="00016818" w:rsidRPr="00D6050D" w:rsidRDefault="00016818" w:rsidP="00016818">
            <w:pPr>
              <w:jc w:val="center"/>
              <w:rPr>
                <w:color w:val="000000"/>
              </w:rPr>
            </w:pPr>
          </w:p>
        </w:tc>
        <w:tc>
          <w:tcPr>
            <w:tcW w:w="913" w:type="dxa"/>
            <w:vAlign w:val="center"/>
          </w:tcPr>
          <w:p w14:paraId="2E9D921E" w14:textId="77777777" w:rsidR="00016818" w:rsidRPr="00D6050D" w:rsidRDefault="00016818" w:rsidP="00016818">
            <w:pPr>
              <w:jc w:val="center"/>
              <w:rPr>
                <w:color w:val="000000"/>
              </w:rPr>
            </w:pPr>
            <w:r>
              <w:rPr>
                <w:color w:val="000000"/>
              </w:rPr>
              <w:t>60</w:t>
            </w:r>
          </w:p>
        </w:tc>
        <w:tc>
          <w:tcPr>
            <w:tcW w:w="3035" w:type="dxa"/>
            <w:vAlign w:val="center"/>
          </w:tcPr>
          <w:p w14:paraId="6DFB4C1B" w14:textId="77777777" w:rsidR="00016818" w:rsidRDefault="00016818" w:rsidP="00016818">
            <w:pPr>
              <w:jc w:val="center"/>
            </w:pPr>
            <w:r>
              <w:t>0</w:t>
            </w:r>
          </w:p>
        </w:tc>
        <w:tc>
          <w:tcPr>
            <w:tcW w:w="2874" w:type="dxa"/>
            <w:vAlign w:val="center"/>
          </w:tcPr>
          <w:p w14:paraId="5CA3A563" w14:textId="77777777" w:rsidR="00016818" w:rsidRDefault="00016818" w:rsidP="00016818">
            <w:pPr>
              <w:jc w:val="center"/>
            </w:pPr>
            <w:r>
              <w:t>0</w:t>
            </w:r>
          </w:p>
        </w:tc>
      </w:tr>
      <w:tr w:rsidR="00016818" w:rsidRPr="00001701" w14:paraId="0A099B36" w14:textId="77777777" w:rsidTr="00F56C97">
        <w:trPr>
          <w:trHeight w:val="195"/>
        </w:trPr>
        <w:tc>
          <w:tcPr>
            <w:tcW w:w="2524" w:type="dxa"/>
            <w:vMerge/>
            <w:vAlign w:val="center"/>
          </w:tcPr>
          <w:p w14:paraId="3AFA340F" w14:textId="77777777" w:rsidR="00016818" w:rsidRPr="00D6050D" w:rsidRDefault="00016818" w:rsidP="00016818">
            <w:pPr>
              <w:jc w:val="center"/>
              <w:rPr>
                <w:color w:val="000000"/>
              </w:rPr>
            </w:pPr>
          </w:p>
        </w:tc>
        <w:tc>
          <w:tcPr>
            <w:tcW w:w="913" w:type="dxa"/>
            <w:vAlign w:val="center"/>
          </w:tcPr>
          <w:p w14:paraId="2BABE490" w14:textId="77777777" w:rsidR="00016818" w:rsidRPr="00D6050D" w:rsidRDefault="00016818" w:rsidP="00016818">
            <w:pPr>
              <w:jc w:val="center"/>
              <w:rPr>
                <w:color w:val="000000"/>
              </w:rPr>
            </w:pPr>
            <w:r>
              <w:rPr>
                <w:color w:val="000000"/>
              </w:rPr>
              <w:t>90</w:t>
            </w:r>
          </w:p>
        </w:tc>
        <w:tc>
          <w:tcPr>
            <w:tcW w:w="3035" w:type="dxa"/>
            <w:vAlign w:val="center"/>
          </w:tcPr>
          <w:p w14:paraId="7C6C3C3B" w14:textId="77777777" w:rsidR="00016818" w:rsidRDefault="00016818" w:rsidP="00016818">
            <w:pPr>
              <w:jc w:val="center"/>
            </w:pPr>
            <w:r>
              <w:t>0</w:t>
            </w:r>
          </w:p>
        </w:tc>
        <w:tc>
          <w:tcPr>
            <w:tcW w:w="2874" w:type="dxa"/>
            <w:vAlign w:val="center"/>
          </w:tcPr>
          <w:p w14:paraId="5F4F8E0E" w14:textId="77777777" w:rsidR="00016818" w:rsidRDefault="00016818" w:rsidP="00016818">
            <w:pPr>
              <w:jc w:val="center"/>
            </w:pPr>
            <w:r>
              <w:t>0</w:t>
            </w:r>
          </w:p>
        </w:tc>
      </w:tr>
      <w:tr w:rsidR="00016818" w:rsidRPr="00001701" w14:paraId="176981B5" w14:textId="77777777" w:rsidTr="00F56C97">
        <w:trPr>
          <w:trHeight w:val="64"/>
        </w:trPr>
        <w:tc>
          <w:tcPr>
            <w:tcW w:w="3437" w:type="dxa"/>
            <w:gridSpan w:val="2"/>
            <w:vAlign w:val="center"/>
          </w:tcPr>
          <w:p w14:paraId="2D941E37" w14:textId="77777777" w:rsidR="00016818" w:rsidRPr="00D6050D" w:rsidRDefault="00016818" w:rsidP="00016818">
            <w:pPr>
              <w:jc w:val="center"/>
              <w:rPr>
                <w:b/>
                <w:i/>
                <w:color w:val="000000"/>
              </w:rPr>
            </w:pPr>
            <w:r w:rsidRPr="00D6050D">
              <w:rPr>
                <w:b/>
                <w:i/>
                <w:color w:val="000000"/>
              </w:rPr>
              <w:t>фактор подобия f2</w:t>
            </w:r>
          </w:p>
        </w:tc>
        <w:tc>
          <w:tcPr>
            <w:tcW w:w="5909" w:type="dxa"/>
            <w:gridSpan w:val="2"/>
            <w:vAlign w:val="center"/>
          </w:tcPr>
          <w:p w14:paraId="2657F548" w14:textId="77777777" w:rsidR="00016818" w:rsidRPr="00D6050D" w:rsidRDefault="00016818" w:rsidP="00016818">
            <w:pPr>
              <w:jc w:val="center"/>
              <w:rPr>
                <w:b/>
                <w:i/>
                <w:lang w:val="en-US"/>
              </w:rPr>
            </w:pPr>
            <w:r>
              <w:rPr>
                <w:b/>
              </w:rPr>
              <w:t>Не применимо</w:t>
            </w:r>
          </w:p>
        </w:tc>
      </w:tr>
      <w:tr w:rsidR="00016818" w:rsidRPr="00001701" w14:paraId="4F81E025" w14:textId="77777777" w:rsidTr="00F56C97">
        <w:trPr>
          <w:trHeight w:val="225"/>
        </w:trPr>
        <w:tc>
          <w:tcPr>
            <w:tcW w:w="2524" w:type="dxa"/>
            <w:vMerge w:val="restart"/>
            <w:vAlign w:val="center"/>
          </w:tcPr>
          <w:p w14:paraId="45A1B939" w14:textId="4AA41CF2" w:rsidR="00016818" w:rsidRPr="00D6050D" w:rsidRDefault="00016818" w:rsidP="00016818">
            <w:pPr>
              <w:jc w:val="center"/>
              <w:rPr>
                <w:color w:val="000000"/>
              </w:rPr>
            </w:pPr>
            <w:r w:rsidRPr="00D6050D">
              <w:rPr>
                <w:color w:val="000000"/>
              </w:rPr>
              <w:t>Фосфатный буферный раствор</w:t>
            </w:r>
            <w:r w:rsidR="00F56C97">
              <w:rPr>
                <w:color w:val="000000"/>
              </w:rPr>
              <w:t xml:space="preserve"> с</w:t>
            </w:r>
            <w:r w:rsidRPr="00D6050D">
              <w:rPr>
                <w:color w:val="000000"/>
              </w:rPr>
              <w:t xml:space="preserve"> рН 6,8</w:t>
            </w:r>
          </w:p>
        </w:tc>
        <w:tc>
          <w:tcPr>
            <w:tcW w:w="913" w:type="dxa"/>
            <w:vAlign w:val="center"/>
          </w:tcPr>
          <w:p w14:paraId="684B8996" w14:textId="77777777" w:rsidR="00016818" w:rsidRPr="00D6050D" w:rsidRDefault="00016818" w:rsidP="00016818">
            <w:pPr>
              <w:jc w:val="center"/>
              <w:rPr>
                <w:color w:val="000000"/>
              </w:rPr>
            </w:pPr>
            <w:r>
              <w:rPr>
                <w:color w:val="000000"/>
              </w:rPr>
              <w:t>5</w:t>
            </w:r>
          </w:p>
        </w:tc>
        <w:tc>
          <w:tcPr>
            <w:tcW w:w="3035" w:type="dxa"/>
            <w:vAlign w:val="center"/>
          </w:tcPr>
          <w:p w14:paraId="34EA1D14" w14:textId="77777777" w:rsidR="00016818" w:rsidRDefault="00016818" w:rsidP="00016818">
            <w:pPr>
              <w:jc w:val="center"/>
            </w:pPr>
            <w:r>
              <w:t>0</w:t>
            </w:r>
          </w:p>
        </w:tc>
        <w:tc>
          <w:tcPr>
            <w:tcW w:w="2874" w:type="dxa"/>
          </w:tcPr>
          <w:p w14:paraId="146A5D16" w14:textId="77777777" w:rsidR="00016818" w:rsidRDefault="00016818" w:rsidP="00016818">
            <w:pPr>
              <w:jc w:val="center"/>
            </w:pPr>
            <w:r>
              <w:t>0</w:t>
            </w:r>
          </w:p>
        </w:tc>
      </w:tr>
      <w:tr w:rsidR="00016818" w:rsidRPr="00001701" w14:paraId="5F854288" w14:textId="77777777" w:rsidTr="00F56C97">
        <w:trPr>
          <w:trHeight w:val="225"/>
        </w:trPr>
        <w:tc>
          <w:tcPr>
            <w:tcW w:w="2524" w:type="dxa"/>
            <w:vMerge/>
            <w:vAlign w:val="center"/>
          </w:tcPr>
          <w:p w14:paraId="4480CC66" w14:textId="77777777" w:rsidR="00016818" w:rsidRPr="00D6050D" w:rsidRDefault="00016818" w:rsidP="00016818">
            <w:pPr>
              <w:jc w:val="center"/>
              <w:rPr>
                <w:color w:val="000000"/>
              </w:rPr>
            </w:pPr>
          </w:p>
        </w:tc>
        <w:tc>
          <w:tcPr>
            <w:tcW w:w="913" w:type="dxa"/>
            <w:vAlign w:val="center"/>
          </w:tcPr>
          <w:p w14:paraId="1C2E408B" w14:textId="77777777" w:rsidR="00016818" w:rsidRPr="00D6050D" w:rsidRDefault="00016818" w:rsidP="00016818">
            <w:pPr>
              <w:jc w:val="center"/>
              <w:rPr>
                <w:color w:val="000000"/>
              </w:rPr>
            </w:pPr>
            <w:r w:rsidRPr="00D6050D">
              <w:rPr>
                <w:color w:val="000000"/>
              </w:rPr>
              <w:t>10</w:t>
            </w:r>
          </w:p>
        </w:tc>
        <w:tc>
          <w:tcPr>
            <w:tcW w:w="3035" w:type="dxa"/>
            <w:vAlign w:val="center"/>
          </w:tcPr>
          <w:p w14:paraId="356EE605" w14:textId="77777777" w:rsidR="00016818" w:rsidRPr="00535B9A" w:rsidRDefault="00016818" w:rsidP="00016818">
            <w:pPr>
              <w:jc w:val="center"/>
            </w:pPr>
            <w:r>
              <w:t>0</w:t>
            </w:r>
          </w:p>
        </w:tc>
        <w:tc>
          <w:tcPr>
            <w:tcW w:w="2874" w:type="dxa"/>
          </w:tcPr>
          <w:p w14:paraId="7A7B1944" w14:textId="77777777" w:rsidR="00016818" w:rsidRPr="00D6050D" w:rsidRDefault="00016818" w:rsidP="00016818">
            <w:pPr>
              <w:jc w:val="center"/>
            </w:pPr>
            <w:r>
              <w:t>0</w:t>
            </w:r>
          </w:p>
        </w:tc>
      </w:tr>
      <w:tr w:rsidR="00016818" w:rsidRPr="00001701" w14:paraId="5CCA49FF" w14:textId="77777777" w:rsidTr="00F56C97">
        <w:trPr>
          <w:trHeight w:val="240"/>
        </w:trPr>
        <w:tc>
          <w:tcPr>
            <w:tcW w:w="2524" w:type="dxa"/>
            <w:vMerge/>
            <w:vAlign w:val="center"/>
          </w:tcPr>
          <w:p w14:paraId="16564CC7" w14:textId="77777777" w:rsidR="00016818" w:rsidRPr="00D6050D" w:rsidRDefault="00016818" w:rsidP="00016818">
            <w:pPr>
              <w:jc w:val="center"/>
              <w:rPr>
                <w:color w:val="000000"/>
              </w:rPr>
            </w:pPr>
          </w:p>
        </w:tc>
        <w:tc>
          <w:tcPr>
            <w:tcW w:w="913" w:type="dxa"/>
            <w:vAlign w:val="center"/>
          </w:tcPr>
          <w:p w14:paraId="07CC1AF4" w14:textId="77777777" w:rsidR="00016818" w:rsidRPr="00D6050D" w:rsidRDefault="00016818" w:rsidP="00016818">
            <w:pPr>
              <w:jc w:val="center"/>
              <w:rPr>
                <w:color w:val="000000"/>
              </w:rPr>
            </w:pPr>
            <w:r w:rsidRPr="00D6050D">
              <w:rPr>
                <w:color w:val="000000"/>
              </w:rPr>
              <w:t>15</w:t>
            </w:r>
          </w:p>
        </w:tc>
        <w:tc>
          <w:tcPr>
            <w:tcW w:w="3035" w:type="dxa"/>
            <w:vAlign w:val="center"/>
          </w:tcPr>
          <w:p w14:paraId="3C32C002" w14:textId="77777777" w:rsidR="00016818" w:rsidRPr="00535B9A" w:rsidRDefault="00016818" w:rsidP="00016818">
            <w:pPr>
              <w:jc w:val="center"/>
            </w:pPr>
            <w:r>
              <w:t>0</w:t>
            </w:r>
          </w:p>
        </w:tc>
        <w:tc>
          <w:tcPr>
            <w:tcW w:w="2874" w:type="dxa"/>
          </w:tcPr>
          <w:p w14:paraId="01FCDD81" w14:textId="77777777" w:rsidR="00016818" w:rsidRPr="00D6050D" w:rsidRDefault="00016818" w:rsidP="00016818">
            <w:pPr>
              <w:jc w:val="center"/>
            </w:pPr>
            <w:r>
              <w:t>0</w:t>
            </w:r>
          </w:p>
        </w:tc>
      </w:tr>
      <w:tr w:rsidR="00016818" w:rsidRPr="00001701" w14:paraId="75E5B7F6" w14:textId="77777777" w:rsidTr="00F56C97">
        <w:trPr>
          <w:trHeight w:val="300"/>
        </w:trPr>
        <w:tc>
          <w:tcPr>
            <w:tcW w:w="2524" w:type="dxa"/>
            <w:vMerge/>
            <w:vAlign w:val="center"/>
          </w:tcPr>
          <w:p w14:paraId="578594F4" w14:textId="77777777" w:rsidR="00016818" w:rsidRPr="00D6050D" w:rsidRDefault="00016818" w:rsidP="00016818">
            <w:pPr>
              <w:jc w:val="center"/>
              <w:rPr>
                <w:color w:val="000000"/>
              </w:rPr>
            </w:pPr>
          </w:p>
        </w:tc>
        <w:tc>
          <w:tcPr>
            <w:tcW w:w="913" w:type="dxa"/>
            <w:vAlign w:val="center"/>
          </w:tcPr>
          <w:p w14:paraId="3AB032E7" w14:textId="77777777" w:rsidR="00016818" w:rsidRPr="00D6050D" w:rsidRDefault="00016818" w:rsidP="00016818">
            <w:pPr>
              <w:jc w:val="center"/>
              <w:rPr>
                <w:color w:val="000000"/>
              </w:rPr>
            </w:pPr>
            <w:r w:rsidRPr="00D6050D">
              <w:rPr>
                <w:color w:val="000000"/>
              </w:rPr>
              <w:t>20</w:t>
            </w:r>
          </w:p>
        </w:tc>
        <w:tc>
          <w:tcPr>
            <w:tcW w:w="3035" w:type="dxa"/>
            <w:vAlign w:val="center"/>
          </w:tcPr>
          <w:p w14:paraId="149D8EBA" w14:textId="77777777" w:rsidR="00016818" w:rsidRPr="00535B9A" w:rsidRDefault="00016818" w:rsidP="00016818">
            <w:pPr>
              <w:jc w:val="center"/>
            </w:pPr>
            <w:r>
              <w:t>0</w:t>
            </w:r>
          </w:p>
        </w:tc>
        <w:tc>
          <w:tcPr>
            <w:tcW w:w="2874" w:type="dxa"/>
          </w:tcPr>
          <w:p w14:paraId="7B7941FE" w14:textId="77777777" w:rsidR="00016818" w:rsidRPr="00D6050D" w:rsidRDefault="00016818" w:rsidP="00016818">
            <w:pPr>
              <w:jc w:val="center"/>
            </w:pPr>
            <w:r>
              <w:t>0</w:t>
            </w:r>
          </w:p>
        </w:tc>
      </w:tr>
      <w:tr w:rsidR="00016818" w:rsidRPr="00001701" w14:paraId="3328E56D" w14:textId="77777777" w:rsidTr="00F56C97">
        <w:trPr>
          <w:trHeight w:val="237"/>
        </w:trPr>
        <w:tc>
          <w:tcPr>
            <w:tcW w:w="2524" w:type="dxa"/>
            <w:vMerge/>
            <w:vAlign w:val="center"/>
          </w:tcPr>
          <w:p w14:paraId="08CF60F7" w14:textId="77777777" w:rsidR="00016818" w:rsidRPr="00D6050D" w:rsidRDefault="00016818" w:rsidP="00016818">
            <w:pPr>
              <w:jc w:val="center"/>
              <w:rPr>
                <w:color w:val="000000"/>
              </w:rPr>
            </w:pPr>
          </w:p>
        </w:tc>
        <w:tc>
          <w:tcPr>
            <w:tcW w:w="913" w:type="dxa"/>
            <w:vAlign w:val="center"/>
          </w:tcPr>
          <w:p w14:paraId="16C79C4E" w14:textId="77777777" w:rsidR="00016818" w:rsidRPr="00D6050D" w:rsidRDefault="00016818" w:rsidP="00016818">
            <w:pPr>
              <w:jc w:val="center"/>
              <w:rPr>
                <w:color w:val="000000"/>
              </w:rPr>
            </w:pPr>
            <w:r w:rsidRPr="00D6050D">
              <w:rPr>
                <w:color w:val="000000"/>
              </w:rPr>
              <w:t>30</w:t>
            </w:r>
          </w:p>
        </w:tc>
        <w:tc>
          <w:tcPr>
            <w:tcW w:w="3035" w:type="dxa"/>
            <w:vAlign w:val="center"/>
          </w:tcPr>
          <w:p w14:paraId="02C41523" w14:textId="77777777" w:rsidR="00016818" w:rsidRPr="00535B9A" w:rsidRDefault="00016818" w:rsidP="00016818">
            <w:pPr>
              <w:jc w:val="center"/>
            </w:pPr>
            <w:r>
              <w:t>0</w:t>
            </w:r>
          </w:p>
        </w:tc>
        <w:tc>
          <w:tcPr>
            <w:tcW w:w="2874" w:type="dxa"/>
          </w:tcPr>
          <w:p w14:paraId="376B870E" w14:textId="77777777" w:rsidR="00016818" w:rsidRPr="00D6050D" w:rsidRDefault="00016818" w:rsidP="00016818">
            <w:pPr>
              <w:jc w:val="center"/>
            </w:pPr>
            <w:r>
              <w:t>0</w:t>
            </w:r>
          </w:p>
        </w:tc>
      </w:tr>
      <w:tr w:rsidR="00016818" w:rsidRPr="00001701" w14:paraId="1121F0C2" w14:textId="77777777" w:rsidTr="00F56C97">
        <w:trPr>
          <w:trHeight w:val="300"/>
        </w:trPr>
        <w:tc>
          <w:tcPr>
            <w:tcW w:w="2524" w:type="dxa"/>
            <w:vMerge/>
            <w:vAlign w:val="center"/>
          </w:tcPr>
          <w:p w14:paraId="42F66010" w14:textId="77777777" w:rsidR="00016818" w:rsidRPr="00D6050D" w:rsidRDefault="00016818" w:rsidP="00016818">
            <w:pPr>
              <w:jc w:val="center"/>
              <w:rPr>
                <w:color w:val="000000"/>
              </w:rPr>
            </w:pPr>
          </w:p>
        </w:tc>
        <w:tc>
          <w:tcPr>
            <w:tcW w:w="913" w:type="dxa"/>
            <w:vAlign w:val="center"/>
          </w:tcPr>
          <w:p w14:paraId="00D01B03" w14:textId="77777777" w:rsidR="00016818" w:rsidRPr="00D6050D" w:rsidRDefault="00016818" w:rsidP="00016818">
            <w:pPr>
              <w:jc w:val="center"/>
              <w:rPr>
                <w:color w:val="000000"/>
              </w:rPr>
            </w:pPr>
            <w:r w:rsidRPr="00D6050D">
              <w:rPr>
                <w:color w:val="000000"/>
              </w:rPr>
              <w:t>45</w:t>
            </w:r>
          </w:p>
        </w:tc>
        <w:tc>
          <w:tcPr>
            <w:tcW w:w="3035" w:type="dxa"/>
            <w:vAlign w:val="center"/>
          </w:tcPr>
          <w:p w14:paraId="4AA8E35C" w14:textId="77777777" w:rsidR="00016818" w:rsidRPr="00535B9A" w:rsidRDefault="00016818" w:rsidP="00016818">
            <w:pPr>
              <w:jc w:val="center"/>
            </w:pPr>
            <w:r>
              <w:t>0</w:t>
            </w:r>
          </w:p>
        </w:tc>
        <w:tc>
          <w:tcPr>
            <w:tcW w:w="2874" w:type="dxa"/>
          </w:tcPr>
          <w:p w14:paraId="4C270CC6" w14:textId="77777777" w:rsidR="00016818" w:rsidRPr="00D6050D" w:rsidRDefault="00016818" w:rsidP="00016818">
            <w:pPr>
              <w:jc w:val="center"/>
            </w:pPr>
            <w:r>
              <w:t>0</w:t>
            </w:r>
          </w:p>
        </w:tc>
      </w:tr>
      <w:tr w:rsidR="00016818" w:rsidRPr="00001701" w14:paraId="2450E9AC" w14:textId="77777777" w:rsidTr="00F56C97">
        <w:trPr>
          <w:trHeight w:val="300"/>
        </w:trPr>
        <w:tc>
          <w:tcPr>
            <w:tcW w:w="2524" w:type="dxa"/>
            <w:vMerge/>
            <w:vAlign w:val="center"/>
          </w:tcPr>
          <w:p w14:paraId="5E1DFA5F" w14:textId="77777777" w:rsidR="00016818" w:rsidRPr="00D6050D" w:rsidRDefault="00016818" w:rsidP="00016818">
            <w:pPr>
              <w:jc w:val="center"/>
              <w:rPr>
                <w:color w:val="000000"/>
              </w:rPr>
            </w:pPr>
          </w:p>
        </w:tc>
        <w:tc>
          <w:tcPr>
            <w:tcW w:w="913" w:type="dxa"/>
            <w:vAlign w:val="center"/>
          </w:tcPr>
          <w:p w14:paraId="3F1AFBAF" w14:textId="77777777" w:rsidR="00016818" w:rsidRPr="00D6050D" w:rsidRDefault="00016818" w:rsidP="00016818">
            <w:pPr>
              <w:jc w:val="center"/>
              <w:rPr>
                <w:color w:val="000000"/>
              </w:rPr>
            </w:pPr>
            <w:r>
              <w:rPr>
                <w:color w:val="000000"/>
              </w:rPr>
              <w:t>60</w:t>
            </w:r>
          </w:p>
        </w:tc>
        <w:tc>
          <w:tcPr>
            <w:tcW w:w="3035" w:type="dxa"/>
            <w:vAlign w:val="center"/>
          </w:tcPr>
          <w:p w14:paraId="09363501" w14:textId="77777777" w:rsidR="00016818" w:rsidRDefault="00016818" w:rsidP="00016818">
            <w:pPr>
              <w:jc w:val="center"/>
            </w:pPr>
            <w:r>
              <w:t>0</w:t>
            </w:r>
          </w:p>
        </w:tc>
        <w:tc>
          <w:tcPr>
            <w:tcW w:w="2874" w:type="dxa"/>
          </w:tcPr>
          <w:p w14:paraId="7F9C2553" w14:textId="77777777" w:rsidR="00016818" w:rsidRDefault="00016818" w:rsidP="00016818">
            <w:pPr>
              <w:jc w:val="center"/>
            </w:pPr>
            <w:r>
              <w:t>0</w:t>
            </w:r>
          </w:p>
        </w:tc>
      </w:tr>
      <w:tr w:rsidR="00016818" w:rsidRPr="00001701" w14:paraId="0CEC6CDE" w14:textId="77777777" w:rsidTr="00F56C97">
        <w:trPr>
          <w:trHeight w:val="300"/>
        </w:trPr>
        <w:tc>
          <w:tcPr>
            <w:tcW w:w="2524" w:type="dxa"/>
            <w:vMerge/>
            <w:vAlign w:val="center"/>
          </w:tcPr>
          <w:p w14:paraId="4F214360" w14:textId="77777777" w:rsidR="00016818" w:rsidRPr="00D6050D" w:rsidRDefault="00016818" w:rsidP="00016818">
            <w:pPr>
              <w:jc w:val="center"/>
              <w:rPr>
                <w:color w:val="000000"/>
              </w:rPr>
            </w:pPr>
          </w:p>
        </w:tc>
        <w:tc>
          <w:tcPr>
            <w:tcW w:w="913" w:type="dxa"/>
            <w:vAlign w:val="center"/>
          </w:tcPr>
          <w:p w14:paraId="4A229630" w14:textId="77777777" w:rsidR="00016818" w:rsidRPr="00D6050D" w:rsidRDefault="00016818" w:rsidP="00016818">
            <w:pPr>
              <w:jc w:val="center"/>
              <w:rPr>
                <w:color w:val="000000"/>
              </w:rPr>
            </w:pPr>
            <w:r>
              <w:rPr>
                <w:color w:val="000000"/>
              </w:rPr>
              <w:t>90</w:t>
            </w:r>
          </w:p>
        </w:tc>
        <w:tc>
          <w:tcPr>
            <w:tcW w:w="3035" w:type="dxa"/>
            <w:vAlign w:val="center"/>
          </w:tcPr>
          <w:p w14:paraId="2BE880E3" w14:textId="77777777" w:rsidR="00016818" w:rsidRDefault="00016818" w:rsidP="00016818">
            <w:pPr>
              <w:jc w:val="center"/>
            </w:pPr>
            <w:r>
              <w:t>0</w:t>
            </w:r>
          </w:p>
        </w:tc>
        <w:tc>
          <w:tcPr>
            <w:tcW w:w="2874" w:type="dxa"/>
          </w:tcPr>
          <w:p w14:paraId="11A548F4" w14:textId="77777777" w:rsidR="00016818" w:rsidRDefault="00016818" w:rsidP="00016818">
            <w:pPr>
              <w:jc w:val="center"/>
            </w:pPr>
            <w:r>
              <w:t>0</w:t>
            </w:r>
          </w:p>
        </w:tc>
      </w:tr>
      <w:tr w:rsidR="00016818" w:rsidRPr="00001701" w14:paraId="70F7EA36" w14:textId="77777777" w:rsidTr="00F56C97">
        <w:trPr>
          <w:trHeight w:val="64"/>
        </w:trPr>
        <w:tc>
          <w:tcPr>
            <w:tcW w:w="3437" w:type="dxa"/>
            <w:gridSpan w:val="2"/>
            <w:vAlign w:val="center"/>
          </w:tcPr>
          <w:p w14:paraId="65194B46" w14:textId="77777777" w:rsidR="00016818" w:rsidRPr="00D6050D" w:rsidRDefault="00016818" w:rsidP="00016818">
            <w:pPr>
              <w:jc w:val="center"/>
              <w:rPr>
                <w:b/>
                <w:i/>
                <w:color w:val="000000"/>
              </w:rPr>
            </w:pPr>
            <w:r w:rsidRPr="00D6050D">
              <w:rPr>
                <w:b/>
                <w:i/>
                <w:color w:val="000000"/>
              </w:rPr>
              <w:t>фактор подобия f2</w:t>
            </w:r>
          </w:p>
        </w:tc>
        <w:tc>
          <w:tcPr>
            <w:tcW w:w="5909" w:type="dxa"/>
            <w:gridSpan w:val="2"/>
            <w:vAlign w:val="center"/>
          </w:tcPr>
          <w:p w14:paraId="1669B957" w14:textId="77777777" w:rsidR="00016818" w:rsidRPr="00535B9A" w:rsidRDefault="00016818" w:rsidP="00016818">
            <w:pPr>
              <w:jc w:val="center"/>
              <w:rPr>
                <w:b/>
              </w:rPr>
            </w:pPr>
            <w:r>
              <w:rPr>
                <w:b/>
              </w:rPr>
              <w:t>Не применимо</w:t>
            </w:r>
          </w:p>
        </w:tc>
      </w:tr>
    </w:tbl>
    <w:p w14:paraId="3F1B93CE" w14:textId="35F83B7E" w:rsidR="00F56C97" w:rsidRDefault="00F56C97">
      <w:pPr>
        <w:rPr>
          <w:b/>
        </w:rPr>
      </w:pPr>
    </w:p>
    <w:p w14:paraId="3217AF9A" w14:textId="77777777" w:rsidR="00A97B7A" w:rsidRDefault="00A97B7A" w:rsidP="00A97B7A">
      <w:pPr>
        <w:rPr>
          <w:b/>
        </w:rPr>
        <w:sectPr w:rsidR="00A97B7A" w:rsidSect="00AB01E2">
          <w:pgSz w:w="11906" w:h="16838"/>
          <w:pgMar w:top="1134" w:right="849" w:bottom="1134" w:left="1701" w:header="708" w:footer="709" w:gutter="0"/>
          <w:cols w:space="708"/>
          <w:docGrid w:linePitch="360"/>
        </w:sectPr>
      </w:pPr>
    </w:p>
    <w:p w14:paraId="6204B1EA" w14:textId="71A71684" w:rsidR="00016818" w:rsidRDefault="00016818" w:rsidP="00A97B7A">
      <w:pPr>
        <w:rPr>
          <w:color w:val="000000" w:themeColor="text1"/>
        </w:rPr>
      </w:pPr>
      <w:r w:rsidRPr="009F0BA7">
        <w:rPr>
          <w:b/>
        </w:rPr>
        <w:lastRenderedPageBreak/>
        <w:t>Рисунок 2-2.</w:t>
      </w:r>
      <w:r w:rsidRPr="009F0BA7">
        <w:t xml:space="preserve"> Усредненные профили высвобождения активного компонента из препаратов </w:t>
      </w:r>
      <w:r w:rsidRPr="009F0BA7">
        <w:rPr>
          <w:color w:val="000000" w:themeColor="text1"/>
          <w:lang w:val="en-US"/>
        </w:rPr>
        <w:t>DT</w:t>
      </w:r>
      <w:r w:rsidRPr="009F0BA7">
        <w:rPr>
          <w:color w:val="000000" w:themeColor="text1"/>
        </w:rPr>
        <w:t>-</w:t>
      </w:r>
      <w:r w:rsidRPr="009F0BA7">
        <w:rPr>
          <w:color w:val="000000" w:themeColor="text1"/>
          <w:lang w:val="en-US"/>
        </w:rPr>
        <w:t>ETR</w:t>
      </w:r>
      <w:r w:rsidRPr="009F0BA7">
        <w:rPr>
          <w:color w:val="000000" w:themeColor="text1"/>
        </w:rPr>
        <w:t xml:space="preserve"> и Интеленс</w:t>
      </w:r>
      <w:r w:rsidRPr="009F0BA7">
        <w:rPr>
          <w:color w:val="000000" w:themeColor="text1"/>
          <w:vertAlign w:val="superscript"/>
        </w:rPr>
        <w:t xml:space="preserve">® </w:t>
      </w:r>
      <w:r w:rsidRPr="009F0BA7">
        <w:rPr>
          <w:color w:val="000000" w:themeColor="text1"/>
        </w:rPr>
        <w:t xml:space="preserve">в дозировке 200 мг </w:t>
      </w:r>
      <w:r w:rsidRPr="009F0BA7">
        <w:t xml:space="preserve">в 0,01 М растворе </w:t>
      </w:r>
      <w:r w:rsidR="00A97B7A">
        <w:rPr>
          <w:lang w:val="en-US"/>
        </w:rPr>
        <w:t>HCl</w:t>
      </w:r>
      <w:r w:rsidRPr="009F0BA7">
        <w:t xml:space="preserve"> и 2,25 % раствор натрия лаурилсульфата в 0,01 М растворе </w:t>
      </w:r>
      <w:r w:rsidR="00A97B7A">
        <w:rPr>
          <w:lang w:val="en-US"/>
        </w:rPr>
        <w:t>HCl</w:t>
      </w:r>
      <w:r w:rsidRPr="009F0BA7">
        <w:t xml:space="preserve"> в соотношении 10:8 </w:t>
      </w:r>
      <w:r w:rsidRPr="009F0BA7">
        <w:rPr>
          <w:color w:val="000000" w:themeColor="text1"/>
        </w:rPr>
        <w:t>(среда НД).</w:t>
      </w:r>
    </w:p>
    <w:p w14:paraId="189858DD" w14:textId="161B9FB1" w:rsidR="00016818" w:rsidRPr="008A0F27" w:rsidRDefault="008A0F27" w:rsidP="00A97B7A">
      <w:r>
        <w:rPr>
          <w:noProof/>
          <w:lang w:eastAsia="ru-RU"/>
        </w:rPr>
        <w:drawing>
          <wp:inline distT="0" distB="0" distL="0" distR="0" wp14:anchorId="29318606" wp14:editId="16490046">
            <wp:extent cx="5934075" cy="2057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5CD939EE" w14:textId="77777777" w:rsidR="00A97B7A" w:rsidRDefault="00A97B7A" w:rsidP="00A97B7A">
      <w:pPr>
        <w:rPr>
          <w:b/>
        </w:rPr>
      </w:pPr>
    </w:p>
    <w:p w14:paraId="0F14B17B" w14:textId="6D226DBF" w:rsidR="00016818" w:rsidRDefault="00016818" w:rsidP="00A97B7A">
      <w:r w:rsidRPr="00D6050D">
        <w:rPr>
          <w:b/>
        </w:rPr>
        <w:t>Рисунок 2-</w:t>
      </w:r>
      <w:r>
        <w:rPr>
          <w:b/>
        </w:rPr>
        <w:t>3</w:t>
      </w:r>
      <w:r w:rsidRPr="00D6050D">
        <w:rPr>
          <w:b/>
        </w:rPr>
        <w:t>.</w:t>
      </w:r>
      <w:r w:rsidRPr="00D6050D">
        <w:t xml:space="preserve"> Усредненные профили высвобождения активного компонента из препаратов </w:t>
      </w:r>
      <w:r w:rsidRPr="009F0BA7">
        <w:rPr>
          <w:color w:val="000000" w:themeColor="text1"/>
          <w:lang w:val="en-US"/>
        </w:rPr>
        <w:t>DT</w:t>
      </w:r>
      <w:r w:rsidRPr="009F0BA7">
        <w:rPr>
          <w:color w:val="000000" w:themeColor="text1"/>
        </w:rPr>
        <w:t>-</w:t>
      </w:r>
      <w:r w:rsidRPr="009F0BA7">
        <w:rPr>
          <w:color w:val="000000" w:themeColor="text1"/>
          <w:lang w:val="en-US"/>
        </w:rPr>
        <w:t>ETR</w:t>
      </w:r>
      <w:r w:rsidRPr="009F0BA7">
        <w:rPr>
          <w:color w:val="000000" w:themeColor="text1"/>
        </w:rPr>
        <w:t xml:space="preserve"> и Интеленс</w:t>
      </w:r>
      <w:r w:rsidRPr="009F0BA7">
        <w:rPr>
          <w:color w:val="000000" w:themeColor="text1"/>
          <w:vertAlign w:val="superscript"/>
        </w:rPr>
        <w:t xml:space="preserve">® </w:t>
      </w:r>
      <w:r w:rsidRPr="00D6050D">
        <w:rPr>
          <w:color w:val="000000" w:themeColor="text1"/>
        </w:rPr>
        <w:t xml:space="preserve">в дозировке </w:t>
      </w:r>
      <w:r>
        <w:t>20</w:t>
      </w:r>
      <w:r w:rsidRPr="00D6050D">
        <w:t xml:space="preserve">0 мг в буферном растворе с </w:t>
      </w:r>
      <w:r w:rsidRPr="00D6050D">
        <w:rPr>
          <w:lang w:val="en-US"/>
        </w:rPr>
        <w:t>pH</w:t>
      </w:r>
      <w:r w:rsidRPr="00D6050D">
        <w:t xml:space="preserve"> 1,2.</w:t>
      </w:r>
    </w:p>
    <w:p w14:paraId="43909017" w14:textId="12C0D5CF" w:rsidR="00016818" w:rsidRPr="00016818" w:rsidRDefault="004160EA" w:rsidP="00A97B7A">
      <w:pPr>
        <w:pStyle w:val="Default"/>
      </w:pPr>
      <w:r>
        <w:rPr>
          <w:noProof/>
        </w:rPr>
        <w:drawing>
          <wp:inline distT="0" distB="0" distL="0" distR="0" wp14:anchorId="78748F3C" wp14:editId="186A8987">
            <wp:extent cx="5895975" cy="23050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2305050"/>
                    </a:xfrm>
                    <a:prstGeom prst="rect">
                      <a:avLst/>
                    </a:prstGeom>
                    <a:noFill/>
                    <a:ln>
                      <a:noFill/>
                    </a:ln>
                  </pic:spPr>
                </pic:pic>
              </a:graphicData>
            </a:graphic>
          </wp:inline>
        </w:drawing>
      </w:r>
    </w:p>
    <w:p w14:paraId="561BC8CE" w14:textId="78B16CDB" w:rsidR="00F56C97" w:rsidRDefault="00F56C97" w:rsidP="00A97B7A">
      <w:pPr>
        <w:rPr>
          <w:rFonts w:eastAsia="Times New Roman"/>
          <w:b/>
          <w:color w:val="000000"/>
          <w:lang w:eastAsia="ru-RU"/>
        </w:rPr>
      </w:pPr>
    </w:p>
    <w:p w14:paraId="11192759" w14:textId="78D6738C" w:rsidR="00016818" w:rsidRDefault="00016818" w:rsidP="00A97B7A">
      <w:pPr>
        <w:pStyle w:val="Default"/>
      </w:pPr>
      <w:r w:rsidRPr="00D6050D">
        <w:rPr>
          <w:b/>
        </w:rPr>
        <w:t>Рисунок 2-</w:t>
      </w:r>
      <w:r>
        <w:rPr>
          <w:b/>
        </w:rPr>
        <w:t>4</w:t>
      </w:r>
      <w:r w:rsidRPr="00D6050D">
        <w:rPr>
          <w:b/>
        </w:rPr>
        <w:t>.</w:t>
      </w:r>
      <w:r w:rsidRPr="00D6050D">
        <w:t xml:space="preserve"> Усредненные профили высвобождения активного компонента из препаратов </w:t>
      </w:r>
      <w:r w:rsidRPr="009F0BA7">
        <w:rPr>
          <w:color w:val="000000" w:themeColor="text1"/>
          <w:lang w:val="en-US"/>
        </w:rPr>
        <w:t>DT</w:t>
      </w:r>
      <w:r w:rsidRPr="009F0BA7">
        <w:rPr>
          <w:color w:val="000000" w:themeColor="text1"/>
        </w:rPr>
        <w:t>-</w:t>
      </w:r>
      <w:r w:rsidRPr="009F0BA7">
        <w:rPr>
          <w:color w:val="000000" w:themeColor="text1"/>
          <w:lang w:val="en-US"/>
        </w:rPr>
        <w:t>ETR</w:t>
      </w:r>
      <w:r w:rsidRPr="009F0BA7">
        <w:rPr>
          <w:color w:val="000000" w:themeColor="text1"/>
        </w:rPr>
        <w:t xml:space="preserve"> и Интеленс</w:t>
      </w:r>
      <w:r w:rsidRPr="009F0BA7">
        <w:rPr>
          <w:color w:val="000000" w:themeColor="text1"/>
          <w:vertAlign w:val="superscript"/>
        </w:rPr>
        <w:t xml:space="preserve">® </w:t>
      </w:r>
      <w:r w:rsidRPr="00D6050D">
        <w:rPr>
          <w:color w:val="000000" w:themeColor="text1"/>
        </w:rPr>
        <w:t xml:space="preserve">в </w:t>
      </w:r>
      <w:r w:rsidRPr="00D6050D">
        <w:t xml:space="preserve">дозировке </w:t>
      </w:r>
      <w:r>
        <w:t>20</w:t>
      </w:r>
      <w:r w:rsidRPr="00D6050D">
        <w:t>0 мг в ацетатном буферном растворе рН 4,5.</w:t>
      </w:r>
    </w:p>
    <w:p w14:paraId="6BA97687" w14:textId="602417D4" w:rsidR="00016818" w:rsidRPr="00016818" w:rsidRDefault="008A0F27" w:rsidP="00016818">
      <w:pPr>
        <w:pStyle w:val="Default"/>
      </w:pPr>
      <w:r>
        <w:rPr>
          <w:noProof/>
        </w:rPr>
        <w:drawing>
          <wp:inline distT="0" distB="0" distL="0" distR="0" wp14:anchorId="227BF240" wp14:editId="0DF3C28D">
            <wp:extent cx="5934075" cy="2447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11F404A0" w14:textId="77777777" w:rsidR="00016818" w:rsidRDefault="00016818" w:rsidP="00016818">
      <w:pPr>
        <w:pStyle w:val="Default"/>
      </w:pPr>
      <w:r w:rsidRPr="00D6050D">
        <w:rPr>
          <w:b/>
        </w:rPr>
        <w:lastRenderedPageBreak/>
        <w:t>Рисунок 2-</w:t>
      </w:r>
      <w:r>
        <w:rPr>
          <w:b/>
        </w:rPr>
        <w:t>5</w:t>
      </w:r>
      <w:r w:rsidRPr="00D6050D">
        <w:rPr>
          <w:b/>
        </w:rPr>
        <w:t>.</w:t>
      </w:r>
      <w:r w:rsidRPr="00D6050D">
        <w:t xml:space="preserve"> Усредненные профили высвобождения активного компонента из препаратов </w:t>
      </w:r>
      <w:r w:rsidRPr="009F0BA7">
        <w:rPr>
          <w:color w:val="000000" w:themeColor="text1"/>
          <w:lang w:val="en-US"/>
        </w:rPr>
        <w:t>DT</w:t>
      </w:r>
      <w:r w:rsidRPr="009F0BA7">
        <w:rPr>
          <w:color w:val="000000" w:themeColor="text1"/>
        </w:rPr>
        <w:t>-</w:t>
      </w:r>
      <w:r w:rsidRPr="009F0BA7">
        <w:rPr>
          <w:color w:val="000000" w:themeColor="text1"/>
          <w:lang w:val="en-US"/>
        </w:rPr>
        <w:t>ETR</w:t>
      </w:r>
      <w:r w:rsidRPr="009F0BA7">
        <w:rPr>
          <w:color w:val="000000" w:themeColor="text1"/>
        </w:rPr>
        <w:t xml:space="preserve"> и Интеленс</w:t>
      </w:r>
      <w:r w:rsidRPr="009F0BA7">
        <w:rPr>
          <w:color w:val="000000" w:themeColor="text1"/>
          <w:vertAlign w:val="superscript"/>
        </w:rPr>
        <w:t xml:space="preserve">® </w:t>
      </w:r>
      <w:r w:rsidRPr="00D6050D">
        <w:rPr>
          <w:color w:val="000000" w:themeColor="text1"/>
        </w:rPr>
        <w:t xml:space="preserve">в </w:t>
      </w:r>
      <w:r w:rsidRPr="00D6050D">
        <w:t xml:space="preserve">дозировке </w:t>
      </w:r>
      <w:r>
        <w:t>20</w:t>
      </w:r>
      <w:r w:rsidRPr="00D6050D">
        <w:t>0 мг в фосфатном буферном растворе рН 6,8.</w:t>
      </w:r>
    </w:p>
    <w:p w14:paraId="49C14BDD" w14:textId="47233A28" w:rsidR="00016818" w:rsidRPr="004160EA" w:rsidRDefault="008A0F27" w:rsidP="004160EA">
      <w:pPr>
        <w:pStyle w:val="Default"/>
      </w:pPr>
      <w:r>
        <w:rPr>
          <w:noProof/>
        </w:rPr>
        <w:drawing>
          <wp:inline distT="0" distB="0" distL="0" distR="0" wp14:anchorId="6B6F782F" wp14:editId="507943BC">
            <wp:extent cx="5934075" cy="23526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14:paraId="34173B6E" w14:textId="77777777" w:rsidR="00A97B7A" w:rsidRDefault="00A97B7A" w:rsidP="00A76175">
      <w:pPr>
        <w:ind w:firstLine="709"/>
        <w:contextualSpacing/>
        <w:rPr>
          <w:lang w:eastAsia="ru-RU" w:bidi="ru-RU"/>
        </w:rPr>
      </w:pPr>
    </w:p>
    <w:p w14:paraId="4C19A833" w14:textId="23EC1CBD" w:rsidR="007A7B58" w:rsidRDefault="00016818" w:rsidP="00A76175">
      <w:pPr>
        <w:ind w:firstLine="709"/>
        <w:contextualSpacing/>
      </w:pPr>
      <w:r w:rsidRPr="00B624B7">
        <w:rPr>
          <w:lang w:eastAsia="ru-RU" w:bidi="ru-RU"/>
        </w:rPr>
        <w:t xml:space="preserve">Таким образом, по результатам проведения ТСКР препаратов </w:t>
      </w:r>
      <w:r w:rsidRPr="00B624B7">
        <w:rPr>
          <w:color w:val="000000" w:themeColor="text1"/>
          <w:lang w:val="en-US"/>
        </w:rPr>
        <w:t>DT</w:t>
      </w:r>
      <w:r w:rsidRPr="00B624B7">
        <w:rPr>
          <w:color w:val="000000" w:themeColor="text1"/>
        </w:rPr>
        <w:t>-</w:t>
      </w:r>
      <w:r w:rsidRPr="00B624B7">
        <w:rPr>
          <w:color w:val="000000" w:themeColor="text1"/>
          <w:lang w:val="en-US"/>
        </w:rPr>
        <w:t>ETR</w:t>
      </w:r>
      <w:r w:rsidRPr="00B624B7">
        <w:rPr>
          <w:lang w:eastAsia="ru-RU" w:bidi="ru-RU"/>
        </w:rPr>
        <w:t xml:space="preserve"> (АО «Р-Фарм», Российская Федерация) и </w:t>
      </w:r>
      <w:r w:rsidRPr="00B624B7">
        <w:rPr>
          <w:color w:val="000000"/>
        </w:rPr>
        <w:t>Интеленс</w:t>
      </w:r>
      <w:r w:rsidRPr="00B624B7">
        <w:rPr>
          <w:color w:val="000000"/>
          <w:vertAlign w:val="superscript"/>
        </w:rPr>
        <w:t>®</w:t>
      </w:r>
      <w:r w:rsidRPr="00B624B7">
        <w:rPr>
          <w:color w:val="000000"/>
        </w:rPr>
        <w:t xml:space="preserve"> (</w:t>
      </w:r>
      <w:r w:rsidR="00124A6B">
        <w:t xml:space="preserve">ООО «Джонсон </w:t>
      </w:r>
      <w:r w:rsidR="00124A6B" w:rsidRPr="009B427E">
        <w:t xml:space="preserve">&amp; </w:t>
      </w:r>
      <w:r w:rsidR="00124A6B">
        <w:t>Джонсон», Россия</w:t>
      </w:r>
      <w:r w:rsidRPr="00B624B7">
        <w:rPr>
          <w:color w:val="000000"/>
        </w:rPr>
        <w:t>)</w:t>
      </w:r>
      <w:r w:rsidRPr="00B624B7">
        <w:rPr>
          <w:color w:val="000000" w:themeColor="text1"/>
        </w:rPr>
        <w:t xml:space="preserve"> в дозировке 200 мг показана эквивалентность растворения в среде растворения по проекту НД </w:t>
      </w:r>
      <w:r w:rsidRPr="00B624B7">
        <w:t>(0,01 М растворе хлороводородной кислоты : 2,25 % раствор натрия лаурилсульфата в 0,01 М растворе хлороводородной кислоты в соотоношении 10:8)</w:t>
      </w:r>
      <w:r w:rsidRPr="00B624B7">
        <w:rPr>
          <w:color w:val="000000" w:themeColor="text1"/>
        </w:rPr>
        <w:t>, что подтверждает эквивалентную кинетику растворения препаратов и позволяет предполагать также эквивалентность фармакологических с</w:t>
      </w:r>
      <w:r>
        <w:rPr>
          <w:color w:val="000000" w:themeColor="text1"/>
        </w:rPr>
        <w:t>войств препаратов</w:t>
      </w:r>
      <w:r w:rsidRPr="00016818">
        <w:rPr>
          <w:color w:val="000000" w:themeColor="text1"/>
        </w:rPr>
        <w:t>.</w:t>
      </w:r>
    </w:p>
    <w:p w14:paraId="2774D4AC" w14:textId="57A79115" w:rsidR="00FF23D3" w:rsidRDefault="00295007" w:rsidP="008B0B82">
      <w:pPr>
        <w:pStyle w:val="3"/>
        <w:spacing w:after="240"/>
        <w:contextualSpacing/>
      </w:pPr>
      <w:bookmarkStart w:id="61" w:name="_Toc117179179"/>
      <w:r w:rsidRPr="00EB0650">
        <w:rPr>
          <w:rFonts w:ascii="Times New Roman" w:hAnsi="Times New Roman"/>
          <w:color w:val="000000" w:themeColor="text1"/>
          <w:szCs w:val="24"/>
        </w:rPr>
        <w:t>2.2.4 Форма выпуска</w:t>
      </w:r>
      <w:bookmarkEnd w:id="61"/>
    </w:p>
    <w:p w14:paraId="5C13A923" w14:textId="062E0700" w:rsidR="00C549E0" w:rsidRPr="00A76175" w:rsidRDefault="00C549E0" w:rsidP="00FF23D3">
      <w:pPr>
        <w:contextualSpacing/>
      </w:pPr>
      <w:r w:rsidRPr="00A76175">
        <w:t>Таблетки 100 и 200 мг.</w:t>
      </w:r>
    </w:p>
    <w:p w14:paraId="14065B81" w14:textId="77777777" w:rsidR="00C549E0" w:rsidRDefault="00C549E0" w:rsidP="00FF23D3">
      <w:pPr>
        <w:contextualSpacing/>
        <w:rPr>
          <w:b/>
        </w:rPr>
      </w:pPr>
    </w:p>
    <w:p w14:paraId="4084BA61" w14:textId="0DE136F7" w:rsidR="00FF23D3" w:rsidRDefault="00FF23D3" w:rsidP="00FF23D3">
      <w:pPr>
        <w:contextualSpacing/>
        <w:rPr>
          <w:b/>
        </w:rPr>
      </w:pPr>
      <w:r w:rsidRPr="00FF23D3">
        <w:rPr>
          <w:b/>
        </w:rPr>
        <w:t xml:space="preserve">Для дозировки 100 мг: </w:t>
      </w:r>
    </w:p>
    <w:p w14:paraId="6B4AFA28" w14:textId="77777777" w:rsidR="00FF23D3" w:rsidRPr="00FF23D3" w:rsidRDefault="00FF23D3" w:rsidP="002612DF">
      <w:pPr>
        <w:ind w:firstLine="851"/>
        <w:contextualSpacing/>
        <w:rPr>
          <w:b/>
        </w:rPr>
      </w:pPr>
    </w:p>
    <w:p w14:paraId="3EEEFA06" w14:textId="1A844414" w:rsidR="00FF23D3" w:rsidRDefault="00FF23D3" w:rsidP="00FF23D3">
      <w:pPr>
        <w:ind w:firstLine="709"/>
        <w:contextualSpacing/>
      </w:pPr>
      <w:r>
        <w:t>По 120 таблеток в банку полимерную (из полиэтилена или полипропилена) для лекарс</w:t>
      </w:r>
      <w:r w:rsidR="00EE0E5D">
        <w:t>т</w:t>
      </w:r>
      <w:r>
        <w:t>венных средств, укупоренную крышкой полимерной (из полиэтилена или полипропилена) с влагопоглотителем и контролем первого вкрытия.</w:t>
      </w:r>
    </w:p>
    <w:p w14:paraId="70FA8966" w14:textId="77777777" w:rsidR="00FF23D3" w:rsidRDefault="00FF23D3" w:rsidP="00FF23D3">
      <w:pPr>
        <w:ind w:firstLine="709"/>
        <w:contextualSpacing/>
      </w:pPr>
      <w:r>
        <w:t>На банку наклеивают этикетку из бумаги этикеточной, или писчей, или самоклеящуюся этикетку.</w:t>
      </w:r>
    </w:p>
    <w:p w14:paraId="56760A5C" w14:textId="5275B1A3" w:rsidR="00FF23D3" w:rsidRDefault="002612DF" w:rsidP="00EE1D8E">
      <w:pPr>
        <w:ind w:firstLine="709"/>
        <w:contextualSpacing/>
      </w:pPr>
      <w:r>
        <w:t xml:space="preserve">По 10 таблеток в контурную ячейковую упаковку из фольги алюминиевой (материал комбинированный для холодной формовки) и фольги алюминиевой печатной лакированной. </w:t>
      </w:r>
    </w:p>
    <w:p w14:paraId="5ED7233A" w14:textId="77777777" w:rsidR="002612DF" w:rsidRDefault="00FF23D3" w:rsidP="00FF23D3">
      <w:pPr>
        <w:ind w:firstLine="709"/>
        <w:contextualSpacing/>
      </w:pPr>
      <w:r>
        <w:t xml:space="preserve">Каждую банку или 12 контурных ячейковых упаковки вместе с инструкцией по применению помещают в пачку из картона коробочного. </w:t>
      </w:r>
    </w:p>
    <w:p w14:paraId="09785274" w14:textId="3310198D" w:rsidR="00FF23D3" w:rsidRDefault="002612DF" w:rsidP="00FF23D3">
      <w:pPr>
        <w:ind w:firstLine="709"/>
        <w:contextualSpacing/>
      </w:pPr>
      <w:r>
        <w:t>Пачки помещают в групповую упаковку.</w:t>
      </w:r>
    </w:p>
    <w:p w14:paraId="67FFD640" w14:textId="77777777" w:rsidR="00FF23D3" w:rsidRDefault="00FF23D3" w:rsidP="00FF23D3">
      <w:pPr>
        <w:contextualSpacing/>
      </w:pPr>
    </w:p>
    <w:p w14:paraId="5CCB323C" w14:textId="77777777" w:rsidR="00FF23D3" w:rsidRDefault="00FF23D3" w:rsidP="00FF23D3">
      <w:pPr>
        <w:contextualSpacing/>
        <w:rPr>
          <w:b/>
        </w:rPr>
      </w:pPr>
      <w:r w:rsidRPr="00FF23D3">
        <w:rPr>
          <w:b/>
        </w:rPr>
        <w:t>Для дозировки 200 мг:</w:t>
      </w:r>
    </w:p>
    <w:p w14:paraId="366BB430" w14:textId="77777777" w:rsidR="00FF23D3" w:rsidRPr="00FF23D3" w:rsidRDefault="00FF23D3" w:rsidP="00FF23D3">
      <w:pPr>
        <w:contextualSpacing/>
        <w:rPr>
          <w:b/>
        </w:rPr>
      </w:pPr>
    </w:p>
    <w:p w14:paraId="7A531198" w14:textId="568B8FA9" w:rsidR="00FF23D3" w:rsidRDefault="00FF23D3" w:rsidP="00FF23D3">
      <w:pPr>
        <w:ind w:firstLine="709"/>
        <w:contextualSpacing/>
      </w:pPr>
      <w:r>
        <w:lastRenderedPageBreak/>
        <w:t>По 60 таблеток в банку полимерную (из полиэтилена или полипропилена) для лекарс</w:t>
      </w:r>
      <w:r w:rsidR="00EE0E5D">
        <w:t>т</w:t>
      </w:r>
      <w:r>
        <w:t>венных средств, укупоренную крышкой полимерной (из полиэтилена или полипропилена) с влагопоглотителем и контролем первого вкрытия.</w:t>
      </w:r>
    </w:p>
    <w:p w14:paraId="5FD6E057" w14:textId="77777777" w:rsidR="00FF23D3" w:rsidRDefault="00FF23D3" w:rsidP="00FF23D3">
      <w:pPr>
        <w:ind w:firstLine="709"/>
        <w:contextualSpacing/>
      </w:pPr>
      <w:r>
        <w:t>На банку наклеивают этикетку из бумаги этикеточной, или писчей, или самоклеящуюся этикетку.</w:t>
      </w:r>
    </w:p>
    <w:p w14:paraId="6E4A65C3" w14:textId="3E4EDA14" w:rsidR="00FB6A01" w:rsidRDefault="00FB6A01" w:rsidP="00EE1D8E">
      <w:pPr>
        <w:ind w:firstLine="709"/>
        <w:contextualSpacing/>
      </w:pPr>
      <w:r>
        <w:t>По 10 таблеток в контурную ячейковую упаковку из фольги алюминиевой (материал комбинированный для холодной формовки) и фольги алюминиевой печатной лакированной.</w:t>
      </w:r>
    </w:p>
    <w:p w14:paraId="516947A4" w14:textId="0BB0F7F0" w:rsidR="00FF23D3" w:rsidRDefault="00FB6A01" w:rsidP="00FF23D3">
      <w:pPr>
        <w:ind w:firstLine="709"/>
        <w:contextualSpacing/>
      </w:pPr>
      <w:r>
        <w:t xml:space="preserve">Каждую банку или </w:t>
      </w:r>
      <w:r w:rsidR="00FF23D3">
        <w:t>6 контурных ячейковых упаковок вместе с инструкцией по применения помещают в пачку из картона коробочного.</w:t>
      </w:r>
    </w:p>
    <w:p w14:paraId="414DDA34" w14:textId="77777777" w:rsidR="00FB6A01" w:rsidRDefault="00FB6A01" w:rsidP="00FB6A01">
      <w:pPr>
        <w:ind w:firstLine="709"/>
        <w:contextualSpacing/>
      </w:pPr>
      <w:r>
        <w:t>Пачки помещают в групповую упаковку.</w:t>
      </w:r>
    </w:p>
    <w:p w14:paraId="04ABBE91" w14:textId="77777777" w:rsidR="00295007" w:rsidRPr="005E6358" w:rsidRDefault="00295007" w:rsidP="00295007">
      <w:pPr>
        <w:pStyle w:val="3"/>
        <w:spacing w:after="240"/>
        <w:rPr>
          <w:rFonts w:ascii="Times New Roman" w:hAnsi="Times New Roman"/>
          <w:color w:val="000000" w:themeColor="text1"/>
          <w:szCs w:val="24"/>
        </w:rPr>
      </w:pPr>
      <w:bookmarkStart w:id="62" w:name="_Toc117179180"/>
      <w:r w:rsidRPr="005E6358">
        <w:rPr>
          <w:rFonts w:ascii="Times New Roman" w:hAnsi="Times New Roman"/>
          <w:color w:val="000000" w:themeColor="text1"/>
          <w:szCs w:val="24"/>
        </w:rPr>
        <w:t>2.3.1 Условия хранения и транспортировки</w:t>
      </w:r>
      <w:bookmarkEnd w:id="62"/>
    </w:p>
    <w:p w14:paraId="4BBA7D5E" w14:textId="66D00B33" w:rsidR="00295007" w:rsidRPr="00BF3966" w:rsidRDefault="00F445B5" w:rsidP="009435FB">
      <w:pPr>
        <w:pStyle w:val="OT"/>
        <w:spacing w:after="0"/>
        <w:ind w:firstLine="709"/>
        <w:rPr>
          <w:sz w:val="24"/>
          <w:szCs w:val="24"/>
        </w:rPr>
      </w:pPr>
      <w:r>
        <w:rPr>
          <w:sz w:val="24"/>
          <w:szCs w:val="24"/>
        </w:rPr>
        <w:t>При температуре не выше 25</w:t>
      </w:r>
      <w:r w:rsidR="00295007" w:rsidRPr="00BF3966">
        <w:rPr>
          <w:sz w:val="24"/>
          <w:szCs w:val="24"/>
        </w:rPr>
        <w:t xml:space="preserve"> °С. </w:t>
      </w:r>
    </w:p>
    <w:p w14:paraId="5AE86B0C" w14:textId="7CA515C6" w:rsidR="00295007" w:rsidRPr="00884C56" w:rsidRDefault="00295007" w:rsidP="00295007">
      <w:pPr>
        <w:pStyle w:val="3"/>
        <w:spacing w:after="240"/>
        <w:rPr>
          <w:rFonts w:ascii="Times New Roman" w:hAnsi="Times New Roman"/>
          <w:color w:val="000000" w:themeColor="text1"/>
          <w:szCs w:val="24"/>
        </w:rPr>
      </w:pPr>
      <w:bookmarkStart w:id="63" w:name="_Toc117179181"/>
      <w:r w:rsidRPr="00884C56">
        <w:rPr>
          <w:rFonts w:ascii="Times New Roman" w:hAnsi="Times New Roman"/>
          <w:color w:val="000000" w:themeColor="text1"/>
          <w:szCs w:val="24"/>
        </w:rPr>
        <w:t>2.3.2. Срок годности</w:t>
      </w:r>
      <w:bookmarkEnd w:id="63"/>
    </w:p>
    <w:p w14:paraId="215F814E" w14:textId="056751EA" w:rsidR="00295007" w:rsidRPr="00884C56" w:rsidRDefault="00295007" w:rsidP="00295007">
      <w:pPr>
        <w:ind w:firstLine="709"/>
        <w:rPr>
          <w:rFonts w:eastAsia="Calibri"/>
        </w:rPr>
      </w:pPr>
      <w:r w:rsidRPr="00BF3966">
        <w:rPr>
          <w:iCs/>
          <w:lang w:eastAsia="en-US"/>
        </w:rPr>
        <w:t>2 года</w:t>
      </w:r>
      <w:r>
        <w:rPr>
          <w:iCs/>
          <w:lang w:eastAsia="en-US"/>
        </w:rPr>
        <w:t xml:space="preserve"> </w:t>
      </w:r>
    </w:p>
    <w:p w14:paraId="67F04DEC" w14:textId="77777777" w:rsidR="00295007" w:rsidRPr="005E6358" w:rsidRDefault="00295007" w:rsidP="00295007">
      <w:pPr>
        <w:pStyle w:val="3"/>
        <w:spacing w:after="240"/>
        <w:rPr>
          <w:rFonts w:ascii="Times New Roman" w:hAnsi="Times New Roman"/>
          <w:color w:val="000000" w:themeColor="text1"/>
          <w:szCs w:val="24"/>
        </w:rPr>
      </w:pPr>
      <w:bookmarkStart w:id="64" w:name="_Toc117179182"/>
      <w:r w:rsidRPr="005E6358">
        <w:rPr>
          <w:rFonts w:ascii="Times New Roman" w:hAnsi="Times New Roman"/>
          <w:color w:val="000000" w:themeColor="text1"/>
          <w:szCs w:val="24"/>
        </w:rPr>
        <w:t>2.3.3</w:t>
      </w:r>
      <w:r>
        <w:rPr>
          <w:rFonts w:ascii="Times New Roman" w:hAnsi="Times New Roman"/>
          <w:color w:val="000000" w:themeColor="text1"/>
          <w:szCs w:val="24"/>
        </w:rPr>
        <w:t>.</w:t>
      </w:r>
      <w:r w:rsidRPr="005E6358">
        <w:rPr>
          <w:rFonts w:ascii="Times New Roman" w:hAnsi="Times New Roman"/>
          <w:color w:val="000000" w:themeColor="text1"/>
          <w:szCs w:val="24"/>
        </w:rPr>
        <w:t xml:space="preserve"> Правила по обращению с препаратом</w:t>
      </w:r>
      <w:bookmarkEnd w:id="64"/>
    </w:p>
    <w:p w14:paraId="1EA3630E" w14:textId="7DD39321" w:rsidR="00295007" w:rsidRPr="004160EA" w:rsidRDefault="00295007" w:rsidP="004160EA">
      <w:pPr>
        <w:ind w:firstLine="709"/>
      </w:pPr>
      <w:r>
        <w:rPr>
          <w:color w:val="000000" w:themeColor="text1"/>
        </w:rPr>
        <w:t>Не требует особых мер предосторожности при использовании</w:t>
      </w:r>
      <w:r>
        <w:rPr>
          <w:rFonts w:eastAsia="Courier New"/>
          <w:lang w:bidi="ru-RU"/>
        </w:rPr>
        <w:t xml:space="preserve"> </w:t>
      </w:r>
    </w:p>
    <w:p w14:paraId="7D1BD325" w14:textId="77777777" w:rsidR="00295007" w:rsidRPr="00602EA6" w:rsidRDefault="00295007" w:rsidP="00295007">
      <w:pPr>
        <w:pStyle w:val="2"/>
        <w:spacing w:line="240" w:lineRule="auto"/>
        <w:rPr>
          <w:color w:val="000000" w:themeColor="text1"/>
          <w:szCs w:val="24"/>
          <w:lang w:val="en-US"/>
        </w:rPr>
      </w:pPr>
      <w:bookmarkStart w:id="65" w:name="_Toc117179183"/>
      <w:r>
        <w:rPr>
          <w:color w:val="000000" w:themeColor="text1"/>
          <w:szCs w:val="24"/>
        </w:rPr>
        <w:t>Список</w:t>
      </w:r>
      <w:r w:rsidRPr="00602EA6">
        <w:rPr>
          <w:color w:val="000000" w:themeColor="text1"/>
          <w:szCs w:val="24"/>
          <w:lang w:val="en-US"/>
        </w:rPr>
        <w:t xml:space="preserve"> </w:t>
      </w:r>
      <w:r>
        <w:rPr>
          <w:color w:val="000000" w:themeColor="text1"/>
          <w:szCs w:val="24"/>
        </w:rPr>
        <w:t>литературы</w:t>
      </w:r>
      <w:bookmarkEnd w:id="65"/>
    </w:p>
    <w:p w14:paraId="61A87258" w14:textId="696D032A" w:rsidR="00295007" w:rsidRPr="005A0FFC" w:rsidRDefault="00016818" w:rsidP="00A76175">
      <w:pPr>
        <w:pStyle w:val="afff2"/>
        <w:numPr>
          <w:ilvl w:val="0"/>
          <w:numId w:val="15"/>
        </w:numPr>
      </w:pPr>
      <w:r w:rsidRPr="00B624B7">
        <w:rPr>
          <w:color w:val="000000" w:themeColor="text1"/>
        </w:rPr>
        <w:t xml:space="preserve">Отчет о проведении теста сравнительной кинетики растворения </w:t>
      </w:r>
      <w:r w:rsidR="001E7BA6">
        <w:rPr>
          <w:color w:val="000000" w:themeColor="text1"/>
        </w:rPr>
        <w:t xml:space="preserve">по   теме: «Изучение сравнительной кинетики растворения </w:t>
      </w:r>
      <w:r w:rsidRPr="00B624B7">
        <w:rPr>
          <w:color w:val="000000" w:themeColor="text1"/>
        </w:rPr>
        <w:t xml:space="preserve">лекарственных препаратов </w:t>
      </w:r>
      <w:r w:rsidRPr="00B624B7">
        <w:t xml:space="preserve">«Р-ЭТРАВИРИН таблетки, 200 мг» производства АО «Р-Фарм», Российская Федерация и «Интеленс таблетки, 200 мг» производства «Янссен-Силаг С.п.А.», Италия, </w:t>
      </w:r>
      <w:r w:rsidRPr="00B624B7">
        <w:rPr>
          <w:color w:val="000000" w:themeColor="text1"/>
        </w:rPr>
        <w:t>от 14 октября 2022 г.</w:t>
      </w:r>
      <w:r w:rsidR="00E729EF">
        <w:rPr>
          <w:color w:val="000000" w:themeColor="text1"/>
        </w:rPr>
        <w:t xml:space="preserve"> В отчете используется предыдущее торговое наименование препарата </w:t>
      </w:r>
      <w:r w:rsidR="00E729EF">
        <w:rPr>
          <w:color w:val="000000" w:themeColor="text1"/>
          <w:lang w:val="en-US"/>
        </w:rPr>
        <w:t>DT</w:t>
      </w:r>
      <w:r w:rsidR="00E729EF" w:rsidRPr="00A97B7A">
        <w:rPr>
          <w:color w:val="000000" w:themeColor="text1"/>
        </w:rPr>
        <w:t>-</w:t>
      </w:r>
      <w:r w:rsidR="00E729EF">
        <w:rPr>
          <w:color w:val="000000" w:themeColor="text1"/>
          <w:lang w:val="en-US"/>
        </w:rPr>
        <w:t>ETR</w:t>
      </w:r>
      <w:r w:rsidR="00E729EF" w:rsidRPr="00A97B7A">
        <w:rPr>
          <w:color w:val="000000" w:themeColor="text1"/>
        </w:rPr>
        <w:t xml:space="preserve"> </w:t>
      </w:r>
      <w:r w:rsidR="00E729EF">
        <w:rPr>
          <w:color w:val="000000" w:themeColor="text1"/>
        </w:rPr>
        <w:t>–</w:t>
      </w:r>
      <w:r w:rsidR="00E729EF" w:rsidRPr="00A97B7A">
        <w:rPr>
          <w:color w:val="000000" w:themeColor="text1"/>
        </w:rPr>
        <w:t xml:space="preserve"> </w:t>
      </w:r>
      <w:r w:rsidR="00E729EF">
        <w:rPr>
          <w:color w:val="000000" w:themeColor="text1"/>
        </w:rPr>
        <w:t>Р-ЭТРАВИРИН.</w:t>
      </w:r>
    </w:p>
    <w:p w14:paraId="16377755" w14:textId="77777777" w:rsidR="00295007" w:rsidRPr="005A0FFC" w:rsidRDefault="00295007" w:rsidP="00295007">
      <w:pPr>
        <w:ind w:firstLine="709"/>
        <w:rPr>
          <w:rFonts w:eastAsia="Calibri"/>
          <w:color w:val="000000" w:themeColor="text1"/>
          <w:lang w:eastAsia="en-US"/>
        </w:rPr>
      </w:pPr>
    </w:p>
    <w:p w14:paraId="68E9B7CA" w14:textId="77777777" w:rsidR="00295007" w:rsidRPr="005A0FFC" w:rsidRDefault="00295007" w:rsidP="00295007">
      <w:pPr>
        <w:ind w:left="720"/>
        <w:sectPr w:rsidR="00295007" w:rsidRPr="005A0FFC" w:rsidSect="00AB01E2">
          <w:pgSz w:w="11906" w:h="16838"/>
          <w:pgMar w:top="1134" w:right="849" w:bottom="1134" w:left="1701" w:header="708" w:footer="709" w:gutter="0"/>
          <w:cols w:space="708"/>
          <w:docGrid w:linePitch="360"/>
        </w:sectPr>
      </w:pPr>
    </w:p>
    <w:p w14:paraId="693CBE43" w14:textId="77777777" w:rsidR="00295007" w:rsidRPr="005E6358" w:rsidRDefault="00295007" w:rsidP="00295007">
      <w:pPr>
        <w:pStyle w:val="12"/>
        <w:tabs>
          <w:tab w:val="left" w:pos="142"/>
          <w:tab w:val="left" w:pos="284"/>
        </w:tabs>
        <w:spacing w:line="240" w:lineRule="auto"/>
        <w:rPr>
          <w:rFonts w:cs="Times New Roman"/>
          <w:color w:val="000000" w:themeColor="text1"/>
          <w:szCs w:val="24"/>
        </w:rPr>
      </w:pPr>
      <w:bookmarkStart w:id="66" w:name="_Toc117179184"/>
      <w:r w:rsidRPr="005E6358">
        <w:rPr>
          <w:rFonts w:cs="Times New Roman"/>
          <w:color w:val="000000" w:themeColor="text1"/>
          <w:szCs w:val="24"/>
        </w:rPr>
        <w:lastRenderedPageBreak/>
        <w:t>3. РЕЗУЛЬТАТЫ ДОКЛИНИЧЕСКИХ ИССЛЕДОВАНИЙ</w:t>
      </w:r>
      <w:bookmarkEnd w:id="66"/>
    </w:p>
    <w:p w14:paraId="5A5BF02C" w14:textId="77777777" w:rsidR="00295007" w:rsidRPr="005E6358" w:rsidRDefault="00295007" w:rsidP="00295007">
      <w:pPr>
        <w:pStyle w:val="2"/>
        <w:spacing w:line="240" w:lineRule="auto"/>
        <w:rPr>
          <w:color w:val="000000" w:themeColor="text1"/>
          <w:szCs w:val="24"/>
        </w:rPr>
      </w:pPr>
      <w:bookmarkStart w:id="67" w:name="_Toc117179185"/>
      <w:r w:rsidRPr="005E6358">
        <w:rPr>
          <w:color w:val="000000" w:themeColor="text1"/>
          <w:szCs w:val="24"/>
        </w:rPr>
        <w:t>Введение</w:t>
      </w:r>
      <w:r>
        <w:rPr>
          <w:color w:val="000000" w:themeColor="text1"/>
          <w:szCs w:val="24"/>
        </w:rPr>
        <w:t xml:space="preserve"> и резюме</w:t>
      </w:r>
      <w:bookmarkEnd w:id="67"/>
    </w:p>
    <w:p w14:paraId="1419AE0A" w14:textId="5933AE79" w:rsidR="00295007" w:rsidRPr="00021CB7" w:rsidRDefault="009E2AAD" w:rsidP="009435FB">
      <w:pPr>
        <w:ind w:firstLine="709"/>
        <w:rPr>
          <w:bCs/>
          <w:color w:val="FF0000"/>
          <w:lang w:bidi="ru-RU"/>
        </w:rPr>
      </w:pPr>
      <w:bookmarkStart w:id="68" w:name="_Toc92645858"/>
      <w:bookmarkStart w:id="69" w:name="_Toc484199231"/>
      <w:r w:rsidRPr="00A76175">
        <w:t xml:space="preserve">Так как препарат </w:t>
      </w:r>
      <w:r w:rsidR="00FB6A01" w:rsidRPr="00A76175">
        <w:rPr>
          <w:lang w:val="en-US"/>
        </w:rPr>
        <w:t>DT</w:t>
      </w:r>
      <w:r w:rsidR="00FB6A01" w:rsidRPr="00A76175">
        <w:t>-</w:t>
      </w:r>
      <w:r w:rsidR="00FB6A01" w:rsidRPr="00A76175">
        <w:rPr>
          <w:lang w:val="en-US"/>
        </w:rPr>
        <w:t>ETR</w:t>
      </w:r>
      <w:r w:rsidR="00295007" w:rsidRPr="00A76175">
        <w:t xml:space="preserve"> </w:t>
      </w:r>
      <w:r w:rsidR="00D72791" w:rsidRPr="00A76175">
        <w:t>(</w:t>
      </w:r>
      <w:r w:rsidR="00295007" w:rsidRPr="00A76175">
        <w:t>АО «Р-Фарм», Россия</w:t>
      </w:r>
      <w:r w:rsidR="00D72791" w:rsidRPr="00A76175">
        <w:t>)</w:t>
      </w:r>
      <w:r w:rsidR="00295007" w:rsidRPr="00A76175">
        <w:t xml:space="preserve"> представляет собой воспроизведенный препарат этравирина, </w:t>
      </w:r>
      <w:r w:rsidR="00FB6A01" w:rsidRPr="00A76175">
        <w:t>который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w:t>
      </w:r>
      <w:r w:rsidR="00D72791" w:rsidRPr="00A76175">
        <w:t xml:space="preserve"> (оригинальному)</w:t>
      </w:r>
      <w:r w:rsidR="00FB6A01" w:rsidRPr="00A76175">
        <w:t xml:space="preserve"> препарату </w:t>
      </w:r>
      <w:r w:rsidR="00E729EF">
        <w:t>этравирина</w:t>
      </w:r>
      <w:r w:rsidR="00E729EF" w:rsidRPr="00A76175">
        <w:t xml:space="preserve"> </w:t>
      </w:r>
      <w:r w:rsidR="00FB6A01" w:rsidRPr="00A76175">
        <w:t>Интеленс</w:t>
      </w:r>
      <w:r w:rsidR="00FB6A01" w:rsidRPr="00A76175">
        <w:rPr>
          <w:vertAlign w:val="superscript"/>
        </w:rPr>
        <w:t>®</w:t>
      </w:r>
      <w:r w:rsidR="00FB6A01" w:rsidRPr="00A76175">
        <w:t xml:space="preserve"> </w:t>
      </w:r>
      <w:r w:rsidR="00FB6A01" w:rsidRPr="00B962E5">
        <w:rPr>
          <w:lang w:eastAsia="ru-RU"/>
        </w:rPr>
        <w:t>(</w:t>
      </w:r>
      <w:r w:rsidR="00D72791" w:rsidRPr="00B962E5">
        <w:rPr>
          <w:lang w:eastAsia="ru-RU"/>
        </w:rPr>
        <w:t xml:space="preserve">владелец РУ - </w:t>
      </w:r>
      <w:r w:rsidR="00FB6A01" w:rsidRPr="00B962E5">
        <w:rPr>
          <w:lang w:eastAsia="ru-RU"/>
        </w:rPr>
        <w:t xml:space="preserve">ООО «Джонсон &amp; Джонсон», Россия), имея отличия в качественном и количественном составе некоторых вспомогательных веществ, </w:t>
      </w:r>
      <w:r w:rsidR="00295007" w:rsidRPr="00A76175">
        <w:t xml:space="preserve">ожидается, что его свойства будут идентичны свойствам оригинального препарата. </w:t>
      </w:r>
      <w:r w:rsidR="00FB6A01" w:rsidRPr="00B962E5">
        <w:t xml:space="preserve">Для прогнозирования токсического действия, планируемого к регистрации и коммерческому выпуску препарата </w:t>
      </w:r>
      <w:r w:rsidR="00FB6A01" w:rsidRPr="00A76175">
        <w:rPr>
          <w:lang w:val="en-US"/>
        </w:rPr>
        <w:t>DT</w:t>
      </w:r>
      <w:r w:rsidR="00FB6A01" w:rsidRPr="00A76175">
        <w:t>-</w:t>
      </w:r>
      <w:r w:rsidR="00FB6A01" w:rsidRPr="00A76175">
        <w:rPr>
          <w:lang w:val="en-US"/>
        </w:rPr>
        <w:t>ETR</w:t>
      </w:r>
      <w:r w:rsidR="00FB6A01" w:rsidRPr="00A76175">
        <w:t>,</w:t>
      </w:r>
      <w:r w:rsidR="00FB6A01" w:rsidRPr="00B962E5">
        <w:t xml:space="preserve"> были проанализированы данные исследований по изучению фармакологии и токсикологии оригинального препарата этравирина. Поскольку </w:t>
      </w:r>
      <w:r w:rsidR="00FB6A01">
        <w:t xml:space="preserve">лекарственный препарат </w:t>
      </w:r>
      <w:r w:rsidR="00FB6A01">
        <w:rPr>
          <w:color w:val="000000" w:themeColor="text1"/>
          <w:lang w:val="en-US"/>
        </w:rPr>
        <w:t>DT</w:t>
      </w:r>
      <w:r w:rsidR="00FB6A01">
        <w:rPr>
          <w:color w:val="000000" w:themeColor="text1"/>
        </w:rPr>
        <w:t>-</w:t>
      </w:r>
      <w:r w:rsidR="00FB6A01">
        <w:rPr>
          <w:color w:val="000000" w:themeColor="text1"/>
          <w:lang w:val="en-US"/>
        </w:rPr>
        <w:t>ETR</w:t>
      </w:r>
      <w:r w:rsidR="00FB6A01">
        <w:t xml:space="preserve"> является воспроизведенным препаратом, собственные доклинические исследования не проводились.</w:t>
      </w:r>
    </w:p>
    <w:p w14:paraId="3836783F" w14:textId="77777777" w:rsidR="00295007" w:rsidRPr="004860E8" w:rsidRDefault="00295007" w:rsidP="009435FB">
      <w:pPr>
        <w:autoSpaceDE w:val="0"/>
        <w:autoSpaceDN w:val="0"/>
        <w:adjustRightInd w:val="0"/>
        <w:ind w:firstLine="709"/>
        <w:rPr>
          <w:bCs/>
          <w:color w:val="000000" w:themeColor="text1"/>
          <w:lang w:bidi="ru-RU"/>
        </w:rPr>
      </w:pPr>
      <w:r w:rsidRPr="004860E8">
        <w:rPr>
          <w:bCs/>
          <w:color w:val="000000" w:themeColor="text1"/>
          <w:lang w:bidi="ru-RU"/>
        </w:rPr>
        <w:t xml:space="preserve">Программа фармакологических исследований </w:t>
      </w:r>
      <w:r w:rsidRPr="004860E8">
        <w:rPr>
          <w:color w:val="000000" w:themeColor="text1"/>
        </w:rPr>
        <w:t>этравирина</w:t>
      </w:r>
      <w:r w:rsidRPr="004860E8">
        <w:rPr>
          <w:bCs/>
          <w:color w:val="000000" w:themeColor="text1"/>
          <w:lang w:bidi="ru-RU"/>
        </w:rPr>
        <w:t xml:space="preserve"> включала исследования первичной фармакодинамики, вторичной фармакодинамики и фармакодинамических взаимодействий.</w:t>
      </w:r>
    </w:p>
    <w:p w14:paraId="1CAFCEB9" w14:textId="08D0927B" w:rsidR="00295007" w:rsidRPr="004860E8" w:rsidRDefault="00295007" w:rsidP="009435FB">
      <w:pPr>
        <w:autoSpaceDE w:val="0"/>
        <w:autoSpaceDN w:val="0"/>
        <w:adjustRightInd w:val="0"/>
        <w:ind w:firstLine="709"/>
        <w:rPr>
          <w:color w:val="000000" w:themeColor="text1"/>
          <w:lang w:eastAsia="en-US"/>
        </w:rPr>
      </w:pPr>
      <w:r w:rsidRPr="004860E8">
        <w:rPr>
          <w:color w:val="000000" w:themeColor="text1"/>
        </w:rPr>
        <w:t xml:space="preserve">Этравирин </w:t>
      </w:r>
      <w:r w:rsidRPr="004860E8">
        <w:rPr>
          <w:color w:val="000000" w:themeColor="text1"/>
          <w:lang w:eastAsia="en-US"/>
        </w:rPr>
        <w:t xml:space="preserve">– ННИОТ, который проявляет высокую противовирусную активность в отношении ВИЧ, в том числе против многих штаммов вируса, устойчивых к другим ННИОТ. Механизм противовирусного действия </w:t>
      </w:r>
      <w:r w:rsidRPr="004860E8">
        <w:rPr>
          <w:color w:val="000000" w:themeColor="text1"/>
        </w:rPr>
        <w:t xml:space="preserve">этравирина </w:t>
      </w:r>
      <w:r w:rsidRPr="004860E8">
        <w:rPr>
          <w:color w:val="000000" w:themeColor="text1"/>
          <w:lang w:eastAsia="en-US"/>
        </w:rPr>
        <w:t xml:space="preserve">связан со специфичным ингибированием RT </w:t>
      </w:r>
      <w:r w:rsidR="00C05C73">
        <w:rPr>
          <w:color w:val="000000" w:themeColor="text1"/>
          <w:lang w:eastAsia="en-US"/>
        </w:rPr>
        <w:t>(о</w:t>
      </w:r>
      <w:r w:rsidR="00C05C73" w:rsidRPr="00C05C73">
        <w:rPr>
          <w:color w:val="000000" w:themeColor="text1"/>
          <w:lang w:eastAsia="en-US"/>
        </w:rPr>
        <w:t>братная транскриптаза</w:t>
      </w:r>
      <w:r w:rsidR="00C05C73">
        <w:rPr>
          <w:color w:val="000000" w:themeColor="text1"/>
          <w:lang w:eastAsia="en-US"/>
        </w:rPr>
        <w:t xml:space="preserve">) </w:t>
      </w:r>
      <w:r w:rsidRPr="004860E8">
        <w:rPr>
          <w:color w:val="000000" w:themeColor="text1"/>
          <w:lang w:eastAsia="en-US"/>
        </w:rPr>
        <w:t>ВИЧ.</w:t>
      </w:r>
    </w:p>
    <w:p w14:paraId="1F9A4DC6" w14:textId="30FB40EB" w:rsidR="00295007" w:rsidRDefault="00295007" w:rsidP="009435FB">
      <w:pPr>
        <w:autoSpaceDE w:val="0"/>
        <w:autoSpaceDN w:val="0"/>
        <w:adjustRightInd w:val="0"/>
        <w:ind w:firstLine="709"/>
        <w:rPr>
          <w:lang w:eastAsia="en-US"/>
        </w:rPr>
      </w:pPr>
      <w:r>
        <w:rPr>
          <w:lang w:eastAsia="en-US"/>
        </w:rPr>
        <w:t xml:space="preserve">Противовирусная активность </w:t>
      </w:r>
      <w:r w:rsidRPr="004860E8">
        <w:rPr>
          <w:color w:val="000000" w:themeColor="text1"/>
        </w:rPr>
        <w:t>этравирина</w:t>
      </w:r>
      <w:r w:rsidRPr="004860E8">
        <w:rPr>
          <w:bCs/>
          <w:color w:val="000000" w:themeColor="text1"/>
          <w:lang w:bidi="ru-RU"/>
        </w:rPr>
        <w:t xml:space="preserve"> </w:t>
      </w:r>
      <w:r>
        <w:rPr>
          <w:lang w:eastAsia="en-US"/>
        </w:rPr>
        <w:t xml:space="preserve">подтверждена </w:t>
      </w:r>
      <w:r w:rsidRPr="004860E8">
        <w:rPr>
          <w:i/>
          <w:iCs/>
          <w:lang w:eastAsia="en-US"/>
        </w:rPr>
        <w:t>in vitro</w:t>
      </w:r>
      <w:r>
        <w:rPr>
          <w:lang w:eastAsia="en-US"/>
        </w:rPr>
        <w:t xml:space="preserve"> в отношении лабораторных штаммов и клинических изолятов ВИЧ-1 дикого типа в остро инфицированных Т клеточных линиях, мононуклеарных клетках периферической крови человека и моноцитах / макрофагах человека. При этом </w:t>
      </w:r>
      <w:r w:rsidRPr="004860E8">
        <w:rPr>
          <w:color w:val="000000" w:themeColor="text1"/>
        </w:rPr>
        <w:t>этравирин</w:t>
      </w:r>
      <w:r>
        <w:rPr>
          <w:color w:val="000000" w:themeColor="text1"/>
        </w:rPr>
        <w:t xml:space="preserve"> </w:t>
      </w:r>
      <w:r>
        <w:rPr>
          <w:lang w:eastAsia="en-US"/>
        </w:rPr>
        <w:t>характеризуется низким потенциалом развития резистентности ВИЧ.</w:t>
      </w:r>
    </w:p>
    <w:p w14:paraId="7DA6721A" w14:textId="4CB3C8EA" w:rsidR="00295007" w:rsidRDefault="00295007" w:rsidP="009435FB">
      <w:pPr>
        <w:autoSpaceDE w:val="0"/>
        <w:autoSpaceDN w:val="0"/>
        <w:adjustRightInd w:val="0"/>
        <w:ind w:firstLine="709"/>
        <w:rPr>
          <w:lang w:eastAsia="en-US"/>
        </w:rPr>
      </w:pPr>
      <w:r>
        <w:rPr>
          <w:lang w:eastAsia="en-US"/>
        </w:rPr>
        <w:t xml:space="preserve">Доклинические исследования фармакодинамических взаимодействий </w:t>
      </w:r>
      <w:r w:rsidRPr="004860E8">
        <w:rPr>
          <w:color w:val="000000" w:themeColor="text1"/>
        </w:rPr>
        <w:t>этравирина</w:t>
      </w:r>
      <w:r w:rsidRPr="004860E8">
        <w:rPr>
          <w:bCs/>
          <w:color w:val="000000" w:themeColor="text1"/>
          <w:lang w:bidi="ru-RU"/>
        </w:rPr>
        <w:t xml:space="preserve"> </w:t>
      </w:r>
      <w:r>
        <w:rPr>
          <w:lang w:eastAsia="en-US"/>
        </w:rPr>
        <w:t xml:space="preserve">показали отсутствие антагонизма с другими АРВП </w:t>
      </w:r>
      <w:r w:rsidRPr="00122975">
        <w:rPr>
          <w:i/>
          <w:iCs/>
          <w:lang w:eastAsia="en-US"/>
        </w:rPr>
        <w:t>in vitro</w:t>
      </w:r>
      <w:r>
        <w:rPr>
          <w:lang w:eastAsia="en-US"/>
        </w:rPr>
        <w:t xml:space="preserve">. Наблюдалось усиление противовирусной активности </w:t>
      </w:r>
      <w:r w:rsidRPr="004860E8">
        <w:rPr>
          <w:color w:val="000000" w:themeColor="text1"/>
        </w:rPr>
        <w:t>этравирина</w:t>
      </w:r>
      <w:r w:rsidRPr="004860E8">
        <w:rPr>
          <w:bCs/>
          <w:color w:val="000000" w:themeColor="text1"/>
          <w:lang w:bidi="ru-RU"/>
        </w:rPr>
        <w:t xml:space="preserve"> </w:t>
      </w:r>
      <w:r>
        <w:rPr>
          <w:lang w:eastAsia="en-US"/>
        </w:rPr>
        <w:t xml:space="preserve">в отношении ВИЧ при совместном применении </w:t>
      </w:r>
      <w:r w:rsidRPr="00122975">
        <w:rPr>
          <w:i/>
          <w:iCs/>
          <w:lang w:eastAsia="en-US"/>
        </w:rPr>
        <w:t>in vitro</w:t>
      </w:r>
      <w:r>
        <w:rPr>
          <w:lang w:eastAsia="en-US"/>
        </w:rPr>
        <w:t xml:space="preserve"> с другими ННИОТ, ИП, ИИ, ИС, НИОТ. Важное клиническое значение может иметь усиление антикоагулянтной активности варфарина при совместном применении с </w:t>
      </w:r>
      <w:r w:rsidRPr="004860E8">
        <w:rPr>
          <w:color w:val="000000" w:themeColor="text1"/>
        </w:rPr>
        <w:t>этравирин</w:t>
      </w:r>
      <w:r>
        <w:rPr>
          <w:color w:val="000000" w:themeColor="text1"/>
        </w:rPr>
        <w:t>ом</w:t>
      </w:r>
      <w:r>
        <w:rPr>
          <w:lang w:eastAsia="en-US"/>
        </w:rPr>
        <w:t xml:space="preserve">, что было установлено в </w:t>
      </w:r>
      <w:r w:rsidRPr="00DB5DF6">
        <w:rPr>
          <w:i/>
          <w:iCs/>
          <w:lang w:eastAsia="en-US"/>
        </w:rPr>
        <w:t>in vivo</w:t>
      </w:r>
      <w:r>
        <w:rPr>
          <w:lang w:eastAsia="en-US"/>
        </w:rPr>
        <w:t xml:space="preserve"> исследовании на крысах</w:t>
      </w:r>
      <w:r>
        <w:rPr>
          <w:lang w:eastAsia="en-US"/>
        </w:rPr>
        <w:fldChar w:fldCharType="begin"/>
      </w:r>
      <w:r>
        <w:rPr>
          <w:lang w:eastAsia="en-US"/>
        </w:rPr>
        <w:instrText xml:space="preserve"> ADDIN ZOTERO_ITEM CSL_CITATION {"citationID":"433xqUCJ","properties":{"formattedCitation":"(23)","plainCitation":"(23)","noteIndex":0},"citationItems":[{"id":2578,"uris":["http://zotero.org/users/5483459/items/6KWT88Y3"],"itemData":{"id":2578,"type":"article-journal","abstract":"BACKGROUND AND PURPOSE: Warfarin is often used with etravirine (ETV) to prevent HIV-related thromboembolic events. As both warfarin and ETV bind to plasma proteins and are metabolized by hepatic cytochrome P450s, they are likely to interact. Hence, we evaluated the effect of ETV on the pharmacokinetics and blood clotting time of racemic warfarin in rats.\nEXPERIMENTAL APPROACH: Two groups of male Sprague-Dawley rats, in which the jugular vein had been cannulated, were studied. The control group (n = 10) received 1 mg·kg(-1) racemic warfarin i.v., and the test group (n = 13) 1 mg·kg(-1) of racemic warfarin followed by 25 mg·kg(-1) ETV i.v. Serial blood samples were collected for up to 144 h and the blood clotting time (calculated as international normalized ratio [INR]) measured in blood plasma at each sample point. Plasma concentrations of R-warfarin, S-warfarin, R-7-hydroxywarfarin and S-7-hydroxywarfarin were measured by a LC/MS/MS method using a chiral lux cellulose-1 column. Pharmacokinetic parameters were analysed using non-compartmental methods.\nKEY RESULTS: ETV significantly increased, by threefold, the systemic clearance and volume of distribution of S-warfarin, but not those of R-warfarin. ETV decreased the total AUC of warfarin, but had no effect on its elimination half-life. ETV also increased the systemic clearance of both R-7-hydroxywarfarin and S-7-hydroxywarfarin but only increased the volume of distribution of R-7-hydroxywarfarin. Interestingly, the effect of warfarin on blood clotting time (INR) was significantly increased in the presence of etravirine.\nCONCLUSION AND IMPLICATIONS: Our data suggest that etravirine may potentiate the anticoagulant effect of warfarin and this could have clinical significance.","container-title":"British Journal of Pharmacology","DOI":"10.1111/bph.12082","ISSN":"1476-5381","issue":"8","journalAbbreviation":"Br J Pharmacol","language":"eng","note":"number: 8\nPMID: 23215758\nPMCID: PMC3623055","page":"1851-1858","source":"PubMed","title":"Effects of etravirine on the pharmacokinetics and pharmacodynamics of warfarin in rats","volume":"168","author":[{"family":"John","given":"J."},{"family":"John","given":"M."},{"family":"Wu","given":"L."},{"family":"Hsiao","given":"C."},{"family":"Abobo","given":"C. V."},{"family":"Liang","given":"D."}],"issued":{"date-parts":[["2013",4]]}}}],"schema":"https://github.com/citation-style-language/schema/raw/master/csl-citation.json"} </w:instrText>
      </w:r>
      <w:r>
        <w:rPr>
          <w:lang w:eastAsia="en-US"/>
        </w:rPr>
        <w:fldChar w:fldCharType="separate"/>
      </w:r>
      <w:r w:rsidRPr="00DB5DF6">
        <w:t>)</w:t>
      </w:r>
      <w:r>
        <w:rPr>
          <w:lang w:eastAsia="en-US"/>
        </w:rPr>
        <w:fldChar w:fldCharType="end"/>
      </w:r>
      <w:r>
        <w:rPr>
          <w:lang w:eastAsia="en-US"/>
        </w:rPr>
        <w:t>.</w:t>
      </w:r>
    </w:p>
    <w:p w14:paraId="75745317" w14:textId="2AD617C8" w:rsidR="00295007" w:rsidRDefault="00295007" w:rsidP="009435FB">
      <w:pPr>
        <w:autoSpaceDE w:val="0"/>
        <w:autoSpaceDN w:val="0"/>
        <w:adjustRightInd w:val="0"/>
        <w:ind w:firstLine="709"/>
        <w:rPr>
          <w:lang w:eastAsia="en-US"/>
        </w:rPr>
      </w:pPr>
      <w:r>
        <w:rPr>
          <w:lang w:eastAsia="en-US"/>
        </w:rPr>
        <w:t xml:space="preserve">Фармакокинетические исследования на животных показали, что при пероральном применении </w:t>
      </w:r>
      <w:r w:rsidRPr="004860E8">
        <w:rPr>
          <w:color w:val="000000" w:themeColor="text1"/>
        </w:rPr>
        <w:t>этравирин</w:t>
      </w:r>
      <w:r w:rsidRPr="004860E8">
        <w:rPr>
          <w:bCs/>
          <w:color w:val="000000" w:themeColor="text1"/>
          <w:lang w:bidi="ru-RU"/>
        </w:rPr>
        <w:t xml:space="preserve"> </w:t>
      </w:r>
      <w:r>
        <w:rPr>
          <w:lang w:eastAsia="en-US"/>
        </w:rPr>
        <w:t xml:space="preserve">обладает низкой биодоступностью и плохо всасывается через </w:t>
      </w:r>
      <w:r w:rsidR="00C05C73">
        <w:rPr>
          <w:lang w:eastAsia="en-US"/>
        </w:rPr>
        <w:t>желудочно-кишечный тракт (</w:t>
      </w:r>
      <w:r>
        <w:rPr>
          <w:lang w:eastAsia="en-US"/>
        </w:rPr>
        <w:t>ЖКТ</w:t>
      </w:r>
      <w:r w:rsidR="00C05C73">
        <w:rPr>
          <w:lang w:eastAsia="en-US"/>
        </w:rPr>
        <w:t>)</w:t>
      </w:r>
      <w:r>
        <w:rPr>
          <w:lang w:eastAsia="en-US"/>
        </w:rPr>
        <w:t xml:space="preserve">. </w:t>
      </w:r>
      <w:r w:rsidR="00C05C73">
        <w:rPr>
          <w:lang w:eastAsia="en-US"/>
        </w:rPr>
        <w:t>Максимальная концентрация (</w:t>
      </w:r>
      <w:r>
        <w:rPr>
          <w:lang w:eastAsia="en-US"/>
        </w:rPr>
        <w:t>C</w:t>
      </w:r>
      <w:r w:rsidRPr="00DB5DF6">
        <w:rPr>
          <w:vertAlign w:val="subscript"/>
          <w:lang w:eastAsia="en-US"/>
        </w:rPr>
        <w:t>max</w:t>
      </w:r>
      <w:r w:rsidR="00C05C73" w:rsidRPr="00C05C73">
        <w:rPr>
          <w:lang w:eastAsia="en-US"/>
        </w:rPr>
        <w:t>)</w:t>
      </w:r>
      <w:r>
        <w:rPr>
          <w:lang w:eastAsia="en-US"/>
        </w:rPr>
        <w:t xml:space="preserve"> в плазме крови животных достигается в среднем в течение 4 часов, </w:t>
      </w:r>
      <w:r w:rsidR="00C05C73">
        <w:rPr>
          <w:lang w:eastAsia="en-US"/>
        </w:rPr>
        <w:t>Период полувыведения (</w:t>
      </w:r>
      <w:r>
        <w:rPr>
          <w:lang w:eastAsia="en-US"/>
        </w:rPr>
        <w:t>T</w:t>
      </w:r>
      <w:r w:rsidRPr="00DB5DF6">
        <w:rPr>
          <w:vertAlign w:val="subscript"/>
          <w:lang w:eastAsia="en-US"/>
        </w:rPr>
        <w:t>1/2</w:t>
      </w:r>
      <w:r w:rsidR="00C05C73" w:rsidRPr="00C05C73">
        <w:rPr>
          <w:lang w:eastAsia="en-US"/>
        </w:rPr>
        <w:t xml:space="preserve">) </w:t>
      </w:r>
      <w:r>
        <w:rPr>
          <w:lang w:eastAsia="en-US"/>
        </w:rPr>
        <w:t xml:space="preserve">составляет от 5 до 15 часов. Для </w:t>
      </w:r>
      <w:r w:rsidRPr="004860E8">
        <w:rPr>
          <w:color w:val="000000" w:themeColor="text1"/>
        </w:rPr>
        <w:t>этравирина</w:t>
      </w:r>
      <w:r w:rsidRPr="004860E8">
        <w:rPr>
          <w:bCs/>
          <w:color w:val="000000" w:themeColor="text1"/>
          <w:lang w:bidi="ru-RU"/>
        </w:rPr>
        <w:t xml:space="preserve"> </w:t>
      </w:r>
      <w:r w:rsidRPr="00DB5DF6">
        <w:rPr>
          <w:i/>
          <w:iCs/>
          <w:lang w:eastAsia="en-US"/>
        </w:rPr>
        <w:t>in vitro</w:t>
      </w:r>
      <w:r>
        <w:rPr>
          <w:lang w:eastAsia="en-US"/>
        </w:rPr>
        <w:t xml:space="preserve"> характерна высокая степень связывания с белками плазмы крови. </w:t>
      </w:r>
      <w:r w:rsidRPr="001A4BFD">
        <w:rPr>
          <w:i/>
          <w:iCs/>
          <w:lang w:eastAsia="en-US"/>
        </w:rPr>
        <w:t>In vivo</w:t>
      </w:r>
      <w:r>
        <w:rPr>
          <w:lang w:eastAsia="en-US"/>
        </w:rPr>
        <w:t xml:space="preserve"> у крыс </w:t>
      </w:r>
      <w:r w:rsidRPr="004860E8">
        <w:rPr>
          <w:color w:val="000000" w:themeColor="text1"/>
        </w:rPr>
        <w:t>этравирин</w:t>
      </w:r>
      <w:r>
        <w:rPr>
          <w:color w:val="000000" w:themeColor="text1"/>
        </w:rPr>
        <w:t xml:space="preserve"> </w:t>
      </w:r>
      <w:r>
        <w:rPr>
          <w:lang w:eastAsia="en-US"/>
        </w:rPr>
        <w:t xml:space="preserve">быстро распределяется в тканях, самые высокие концентрации обнаруживаются в ЖКТ, печени и надпочечниках, а самые низкие – в </w:t>
      </w:r>
      <w:r>
        <w:rPr>
          <w:lang w:eastAsia="en-US"/>
        </w:rPr>
        <w:lastRenderedPageBreak/>
        <w:t xml:space="preserve">крови, плазме, мозге, легких и костях, </w:t>
      </w:r>
      <w:r w:rsidRPr="004860E8">
        <w:rPr>
          <w:color w:val="000000" w:themeColor="text1"/>
        </w:rPr>
        <w:t>этравирин</w:t>
      </w:r>
      <w:r>
        <w:rPr>
          <w:color w:val="000000" w:themeColor="text1"/>
        </w:rPr>
        <w:t xml:space="preserve"> </w:t>
      </w:r>
      <w:r>
        <w:rPr>
          <w:lang w:eastAsia="en-US"/>
        </w:rPr>
        <w:t xml:space="preserve">не аккумулируется в тканях. Метаболизм </w:t>
      </w:r>
      <w:r w:rsidRPr="004860E8">
        <w:rPr>
          <w:color w:val="000000" w:themeColor="text1"/>
        </w:rPr>
        <w:t>этравирин</w:t>
      </w:r>
      <w:r>
        <w:rPr>
          <w:color w:val="000000" w:themeColor="text1"/>
        </w:rPr>
        <w:t xml:space="preserve">а </w:t>
      </w:r>
      <w:r>
        <w:rPr>
          <w:lang w:eastAsia="en-US"/>
        </w:rPr>
        <w:t xml:space="preserve">у человека отличается от метаболизма животных отсутствием фазы II, поэтому ряд метаболитов, обнаруживаемых у животных, отсутствуют у человека. Большая часть </w:t>
      </w:r>
      <w:r w:rsidRPr="004860E8">
        <w:rPr>
          <w:color w:val="000000" w:themeColor="text1"/>
        </w:rPr>
        <w:t>этравирин</w:t>
      </w:r>
      <w:r>
        <w:rPr>
          <w:color w:val="000000" w:themeColor="text1"/>
        </w:rPr>
        <w:t xml:space="preserve">а </w:t>
      </w:r>
      <w:r>
        <w:rPr>
          <w:lang w:eastAsia="en-US"/>
        </w:rPr>
        <w:t xml:space="preserve">выводится в неизменном виде с фекалиями, в то время как экскреция почками и с желчью минимальна. </w:t>
      </w:r>
    </w:p>
    <w:p w14:paraId="0AA49F1B" w14:textId="507C9500" w:rsidR="00295007" w:rsidRDefault="00295007" w:rsidP="009435FB">
      <w:pPr>
        <w:autoSpaceDE w:val="0"/>
        <w:autoSpaceDN w:val="0"/>
        <w:adjustRightInd w:val="0"/>
        <w:ind w:firstLine="709"/>
        <w:rPr>
          <w:lang w:eastAsia="en-US"/>
        </w:rPr>
      </w:pPr>
      <w:r>
        <w:rPr>
          <w:lang w:eastAsia="en-US"/>
        </w:rPr>
        <w:t xml:space="preserve">На метаболизм </w:t>
      </w:r>
      <w:r w:rsidRPr="004860E8">
        <w:rPr>
          <w:color w:val="000000" w:themeColor="text1"/>
        </w:rPr>
        <w:t>этравирин</w:t>
      </w:r>
      <w:r>
        <w:rPr>
          <w:color w:val="000000" w:themeColor="text1"/>
        </w:rPr>
        <w:t>а</w:t>
      </w:r>
      <w:r w:rsidRPr="004860E8">
        <w:rPr>
          <w:bCs/>
          <w:color w:val="000000" w:themeColor="text1"/>
          <w:lang w:bidi="ru-RU"/>
        </w:rPr>
        <w:t xml:space="preserve"> </w:t>
      </w:r>
      <w:r w:rsidRPr="001A4BFD">
        <w:rPr>
          <w:i/>
          <w:iCs/>
          <w:lang w:eastAsia="en-US"/>
        </w:rPr>
        <w:t>in vitro</w:t>
      </w:r>
      <w:r>
        <w:rPr>
          <w:lang w:eastAsia="en-US"/>
        </w:rPr>
        <w:t xml:space="preserve"> оказывают влияние другие АРВП путем ингибирования CYP450 опосредованного метаболизма </w:t>
      </w:r>
      <w:r w:rsidRPr="004860E8">
        <w:rPr>
          <w:color w:val="000000" w:themeColor="text1"/>
        </w:rPr>
        <w:t>этравирин</w:t>
      </w:r>
      <w:r>
        <w:rPr>
          <w:color w:val="000000" w:themeColor="text1"/>
        </w:rPr>
        <w:t>а</w:t>
      </w:r>
      <w:r>
        <w:rPr>
          <w:lang w:eastAsia="en-US"/>
        </w:rPr>
        <w:t xml:space="preserve">. Так как </w:t>
      </w:r>
      <w:r w:rsidRPr="004860E8">
        <w:rPr>
          <w:color w:val="000000" w:themeColor="text1"/>
        </w:rPr>
        <w:t>этравирин</w:t>
      </w:r>
      <w:r>
        <w:rPr>
          <w:color w:val="000000" w:themeColor="text1"/>
        </w:rPr>
        <w:t xml:space="preserve"> </w:t>
      </w:r>
      <w:r>
        <w:rPr>
          <w:lang w:eastAsia="en-US"/>
        </w:rPr>
        <w:t xml:space="preserve">является ингибитором CYP2C9 и CYP2C19, одновременное его применение с лекарственными средствами, которые метаболизируются с участием данных изоферментов, может повышать их концентрацию в плазме крови. При исследовании влияния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на фармакокинетику варфарина установлено, что этравирин в 3 раза увеличивал клиренс и объем распределения S варфарина, вследствие чего влияние варфарина на </w:t>
      </w:r>
      <w:r w:rsidR="00FB6A01">
        <w:t>м</w:t>
      </w:r>
      <w:r w:rsidR="00FB6A01" w:rsidRPr="000275F3">
        <w:t>еждународно</w:t>
      </w:r>
      <w:r w:rsidR="00FB6A01">
        <w:t>е</w:t>
      </w:r>
      <w:r w:rsidR="00FB6A01" w:rsidRPr="000275F3">
        <w:t xml:space="preserve"> нормализованно</w:t>
      </w:r>
      <w:r w:rsidR="00FB6A01">
        <w:t>е</w:t>
      </w:r>
      <w:r w:rsidR="00FB6A01" w:rsidRPr="000275F3">
        <w:t xml:space="preserve"> отношени</w:t>
      </w:r>
      <w:r w:rsidR="00FB6A01">
        <w:t>е</w:t>
      </w:r>
      <w:r w:rsidR="00FB6A01">
        <w:rPr>
          <w:lang w:eastAsia="en-US"/>
        </w:rPr>
        <w:t xml:space="preserve"> (</w:t>
      </w:r>
      <w:r w:rsidR="001858BB">
        <w:rPr>
          <w:lang w:eastAsia="en-US"/>
        </w:rPr>
        <w:t>МНО</w:t>
      </w:r>
      <w:r w:rsidR="00FB6A01">
        <w:rPr>
          <w:lang w:eastAsia="en-US"/>
        </w:rPr>
        <w:t>)</w:t>
      </w:r>
      <w:r w:rsidR="001858BB">
        <w:rPr>
          <w:lang w:eastAsia="en-US"/>
        </w:rPr>
        <w:t xml:space="preserve"> </w:t>
      </w:r>
      <w:r>
        <w:rPr>
          <w:lang w:eastAsia="en-US"/>
        </w:rPr>
        <w:t xml:space="preserve">значительно увеличивалось в присутствии </w:t>
      </w:r>
      <w:r w:rsidRPr="004860E8">
        <w:rPr>
          <w:color w:val="000000" w:themeColor="text1"/>
        </w:rPr>
        <w:t>этравирин</w:t>
      </w:r>
      <w:r>
        <w:rPr>
          <w:color w:val="000000" w:themeColor="text1"/>
        </w:rPr>
        <w:t>а</w:t>
      </w:r>
      <w:r>
        <w:rPr>
          <w:lang w:eastAsia="en-US"/>
        </w:rPr>
        <w:t>.</w:t>
      </w:r>
    </w:p>
    <w:p w14:paraId="68788B20" w14:textId="1F331ECA" w:rsidR="00295007" w:rsidRDefault="00295007" w:rsidP="009435FB">
      <w:pPr>
        <w:autoSpaceDE w:val="0"/>
        <w:autoSpaceDN w:val="0"/>
        <w:adjustRightInd w:val="0"/>
        <w:ind w:firstLine="709"/>
        <w:rPr>
          <w:lang w:eastAsia="en-US"/>
        </w:rPr>
      </w:pPr>
      <w:r>
        <w:rPr>
          <w:lang w:eastAsia="en-US"/>
        </w:rPr>
        <w:t xml:space="preserve">Токсикологические исследования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проводились на мышах, крысах, кроликах и собаках. При однократном пероральном применении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в диапазоне доз до 1000 мг/кг у мышей и крыс не наблюдалось побочных действий. У собак в остром эксперименте с постепенной эскалацией дозы до 350 мг/кг/сутки также отсутствовали токсические эффекты </w:t>
      </w:r>
      <w:r w:rsidRPr="004860E8">
        <w:rPr>
          <w:color w:val="000000" w:themeColor="text1"/>
        </w:rPr>
        <w:t>этравирин</w:t>
      </w:r>
      <w:r>
        <w:rPr>
          <w:color w:val="000000" w:themeColor="text1"/>
        </w:rPr>
        <w:t>а</w:t>
      </w:r>
      <w:r w:rsidR="00FB6A01">
        <w:rPr>
          <w:color w:val="000000" w:themeColor="text1"/>
        </w:rPr>
        <w:t>.</w:t>
      </w:r>
      <w:r>
        <w:rPr>
          <w:lang w:eastAsia="en-US"/>
        </w:rPr>
        <w:t xml:space="preserve"> В </w:t>
      </w:r>
      <w:r w:rsidR="00964695">
        <w:rPr>
          <w:lang w:eastAsia="en-US"/>
        </w:rPr>
        <w:t xml:space="preserve">исследованиях хронической токсичности </w:t>
      </w:r>
      <w:r>
        <w:rPr>
          <w:lang w:eastAsia="en-US"/>
        </w:rPr>
        <w:t xml:space="preserve">у мышей, крыс, кроликов и собак </w:t>
      </w:r>
      <w:r w:rsidRPr="004860E8">
        <w:rPr>
          <w:color w:val="000000" w:themeColor="text1"/>
        </w:rPr>
        <w:t>этравирин</w:t>
      </w:r>
      <w:r>
        <w:rPr>
          <w:color w:val="000000" w:themeColor="text1"/>
        </w:rPr>
        <w:t xml:space="preserve"> </w:t>
      </w:r>
      <w:r>
        <w:rPr>
          <w:lang w:eastAsia="en-US"/>
        </w:rPr>
        <w:t xml:space="preserve">не оказывал значимого влияния на сердечно-сосудистую, дыхательную системы, ЦНС. Однако, </w:t>
      </w:r>
      <w:r w:rsidRPr="004860E8">
        <w:rPr>
          <w:color w:val="000000" w:themeColor="text1"/>
        </w:rPr>
        <w:t>этравирин</w:t>
      </w:r>
      <w:r>
        <w:rPr>
          <w:color w:val="000000" w:themeColor="text1"/>
        </w:rPr>
        <w:t xml:space="preserve"> </w:t>
      </w:r>
      <w:r>
        <w:rPr>
          <w:lang w:eastAsia="en-US"/>
        </w:rPr>
        <w:t xml:space="preserve">проявлял дозозависимое гепатотоксическое действие, которое носило более выраженный характер у грызунов. У собак гепатотоксичность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проявлялась при более высоких дозах.</w:t>
      </w:r>
    </w:p>
    <w:p w14:paraId="737E2CEE" w14:textId="758B30B1" w:rsidR="00295007" w:rsidRDefault="00295007" w:rsidP="009435FB">
      <w:pPr>
        <w:autoSpaceDE w:val="0"/>
        <w:autoSpaceDN w:val="0"/>
        <w:adjustRightInd w:val="0"/>
        <w:ind w:firstLine="709"/>
        <w:rPr>
          <w:lang w:eastAsia="en-US"/>
        </w:rPr>
      </w:pPr>
      <w:r w:rsidRPr="004860E8">
        <w:rPr>
          <w:color w:val="000000" w:themeColor="text1"/>
        </w:rPr>
        <w:t>Этравирин</w:t>
      </w:r>
      <w:r>
        <w:rPr>
          <w:color w:val="000000" w:themeColor="text1"/>
        </w:rPr>
        <w:t xml:space="preserve"> </w:t>
      </w:r>
      <w:r>
        <w:rPr>
          <w:lang w:eastAsia="en-US"/>
        </w:rPr>
        <w:t xml:space="preserve">не проявлял генотоксических свойств и не оказывал значимого влияния на репродуктивную и онтогенетическую токсичность у животных. </w:t>
      </w:r>
      <w:r w:rsidRPr="004860E8">
        <w:rPr>
          <w:color w:val="000000" w:themeColor="text1"/>
        </w:rPr>
        <w:t>Этравирин</w:t>
      </w:r>
      <w:r>
        <w:rPr>
          <w:color w:val="000000" w:themeColor="text1"/>
        </w:rPr>
        <w:t xml:space="preserve"> </w:t>
      </w:r>
      <w:r>
        <w:rPr>
          <w:lang w:eastAsia="en-US"/>
        </w:rPr>
        <w:t xml:space="preserve">не проявлял канцерогенных свойств у крыс и самцов мышей, однако, у самок мышей наблюдалось увеличение случаев гепатоцеллюлярных аденом и карцином. Статистически значимое увеличение частоты других доброкачественных или злокачественных новообразований у грызунов отсутствовало. </w:t>
      </w:r>
      <w:r w:rsidRPr="004860E8">
        <w:rPr>
          <w:color w:val="000000" w:themeColor="text1"/>
        </w:rPr>
        <w:t>Этравирин</w:t>
      </w:r>
      <w:r>
        <w:rPr>
          <w:color w:val="000000" w:themeColor="text1"/>
        </w:rPr>
        <w:t xml:space="preserve"> </w:t>
      </w:r>
      <w:r>
        <w:rPr>
          <w:lang w:eastAsia="en-US"/>
        </w:rPr>
        <w:t xml:space="preserve">не проявлял иммунотоксических свойств, о чем свидетельствовали результаты иммунологических, гематологических исследований и исследований основных лимфоидных органов. </w:t>
      </w:r>
      <w:r w:rsidRPr="008749F9">
        <w:rPr>
          <w:i/>
          <w:iCs/>
          <w:lang w:eastAsia="en-US"/>
        </w:rPr>
        <w:t>In vitro</w:t>
      </w:r>
      <w:r>
        <w:rPr>
          <w:lang w:eastAsia="en-US"/>
        </w:rPr>
        <w:t xml:space="preserve"> </w:t>
      </w:r>
      <w:r>
        <w:rPr>
          <w:color w:val="000000" w:themeColor="text1"/>
        </w:rPr>
        <w:t>э</w:t>
      </w:r>
      <w:r w:rsidRPr="004860E8">
        <w:rPr>
          <w:color w:val="000000" w:themeColor="text1"/>
        </w:rPr>
        <w:t>травирин</w:t>
      </w:r>
      <w:r>
        <w:rPr>
          <w:color w:val="000000" w:themeColor="text1"/>
        </w:rPr>
        <w:t xml:space="preserve"> </w:t>
      </w:r>
      <w:r>
        <w:rPr>
          <w:lang w:eastAsia="en-US"/>
        </w:rPr>
        <w:t>продемонстрировал отсутствие цитотоксичности.</w:t>
      </w:r>
    </w:p>
    <w:p w14:paraId="4A8E8C4A" w14:textId="30C85F41" w:rsidR="00295007" w:rsidRDefault="00295007" w:rsidP="009435FB">
      <w:pPr>
        <w:autoSpaceDE w:val="0"/>
        <w:autoSpaceDN w:val="0"/>
        <w:adjustRightInd w:val="0"/>
        <w:ind w:firstLine="709"/>
        <w:rPr>
          <w:lang w:eastAsia="en-US"/>
        </w:rPr>
      </w:pPr>
      <w:r>
        <w:rPr>
          <w:lang w:eastAsia="en-US"/>
        </w:rPr>
        <w:t xml:space="preserve">При исследовании местной переносимости </w:t>
      </w:r>
      <w:r>
        <w:rPr>
          <w:color w:val="000000" w:themeColor="text1"/>
        </w:rPr>
        <w:t>э</w:t>
      </w:r>
      <w:r w:rsidRPr="004860E8">
        <w:rPr>
          <w:color w:val="000000" w:themeColor="text1"/>
        </w:rPr>
        <w:t>травирин</w:t>
      </w:r>
      <w:r>
        <w:rPr>
          <w:color w:val="000000" w:themeColor="text1"/>
        </w:rPr>
        <w:t xml:space="preserve"> </w:t>
      </w:r>
      <w:r>
        <w:rPr>
          <w:lang w:eastAsia="en-US"/>
        </w:rPr>
        <w:t>оказывал небольшое раздражающее действие на слизистые оболочки глаза, но не проявлял кожно-сенсибилизирующего, кожно</w:t>
      </w:r>
      <w:r w:rsidR="00317DB5">
        <w:rPr>
          <w:lang w:eastAsia="en-US"/>
        </w:rPr>
        <w:t>-</w:t>
      </w:r>
      <w:r>
        <w:rPr>
          <w:lang w:eastAsia="en-US"/>
        </w:rPr>
        <w:t xml:space="preserve"> раздражающего или фототоксического действия.</w:t>
      </w:r>
    </w:p>
    <w:p w14:paraId="59A8C707" w14:textId="652D941C" w:rsidR="00295007" w:rsidRDefault="00295007" w:rsidP="009435FB">
      <w:pPr>
        <w:autoSpaceDE w:val="0"/>
        <w:autoSpaceDN w:val="0"/>
        <w:adjustRightInd w:val="0"/>
        <w:ind w:firstLine="709"/>
        <w:rPr>
          <w:lang w:eastAsia="en-US"/>
        </w:rPr>
      </w:pPr>
      <w:r>
        <w:rPr>
          <w:lang w:eastAsia="en-US"/>
        </w:rPr>
        <w:t xml:space="preserve">Содержание в субстанции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примесей и остаточных растворителей соответствует регламентируемым нормам. </w:t>
      </w:r>
    </w:p>
    <w:p w14:paraId="3AE830B5" w14:textId="77777777" w:rsidR="00295007" w:rsidRDefault="00295007" w:rsidP="009435FB">
      <w:pPr>
        <w:autoSpaceDE w:val="0"/>
        <w:autoSpaceDN w:val="0"/>
        <w:adjustRightInd w:val="0"/>
        <w:ind w:firstLine="709"/>
        <w:rPr>
          <w:lang w:eastAsia="en-US"/>
        </w:rPr>
      </w:pPr>
      <w:r>
        <w:rPr>
          <w:lang w:eastAsia="en-US"/>
        </w:rPr>
        <w:t xml:space="preserve">Таким образом, совокупные данные исследований </w:t>
      </w:r>
      <w:r w:rsidRPr="00CE180F">
        <w:rPr>
          <w:i/>
          <w:iCs/>
          <w:lang w:eastAsia="en-US"/>
        </w:rPr>
        <w:t>in vitro</w:t>
      </w:r>
      <w:r>
        <w:rPr>
          <w:lang w:eastAsia="en-US"/>
        </w:rPr>
        <w:t xml:space="preserve"> и </w:t>
      </w:r>
      <w:r w:rsidRPr="00CE180F">
        <w:rPr>
          <w:i/>
          <w:iCs/>
          <w:lang w:eastAsia="en-US"/>
        </w:rPr>
        <w:t>in vivo</w:t>
      </w:r>
      <w:r>
        <w:rPr>
          <w:lang w:eastAsia="en-US"/>
        </w:rPr>
        <w:t xml:space="preserve">, приведенные в данном обзоре, показывают достаточный объем научных доказательств, подтверждающих всестороннюю доклиническую изученность </w:t>
      </w:r>
      <w:r w:rsidRPr="004860E8">
        <w:rPr>
          <w:color w:val="000000" w:themeColor="text1"/>
        </w:rPr>
        <w:t>этравирин</w:t>
      </w:r>
      <w:r>
        <w:rPr>
          <w:color w:val="000000" w:themeColor="text1"/>
        </w:rPr>
        <w:t>а</w:t>
      </w:r>
      <w:r>
        <w:rPr>
          <w:lang w:eastAsia="en-US"/>
        </w:rPr>
        <w:t xml:space="preserve">. Профиль безопасности соответствует соединениям данной фармакологической группы (противовирусное (ВИЧ) средство), поэтому </w:t>
      </w:r>
      <w:r w:rsidRPr="004860E8">
        <w:rPr>
          <w:color w:val="000000" w:themeColor="text1"/>
        </w:rPr>
        <w:t>этравирин</w:t>
      </w:r>
      <w:r>
        <w:rPr>
          <w:color w:val="000000" w:themeColor="text1"/>
        </w:rPr>
        <w:t xml:space="preserve"> </w:t>
      </w:r>
      <w:r>
        <w:rPr>
          <w:lang w:eastAsia="en-US"/>
        </w:rPr>
        <w:t xml:space="preserve">может быть рекомендован к применению у пациентов по зарегистрированным показаниям в одобренной дозировке. Принимая во внимание результаты, полученные </w:t>
      </w:r>
      <w:r>
        <w:rPr>
          <w:lang w:eastAsia="en-US"/>
        </w:rPr>
        <w:lastRenderedPageBreak/>
        <w:t xml:space="preserve">в доклинических исследованиях, следует обратить внимание, что при применении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у пациентов возможны нежелательные реакции со стороны печени. В остальном </w:t>
      </w:r>
      <w:r w:rsidRPr="004860E8">
        <w:rPr>
          <w:color w:val="000000" w:themeColor="text1"/>
        </w:rPr>
        <w:t>этравирин</w:t>
      </w:r>
      <w:r>
        <w:rPr>
          <w:color w:val="000000" w:themeColor="text1"/>
        </w:rPr>
        <w:t xml:space="preserve"> </w:t>
      </w:r>
      <w:r>
        <w:rPr>
          <w:lang w:eastAsia="en-US"/>
        </w:rPr>
        <w:t>характеризуется благоприятным профилем безопасности.</w:t>
      </w:r>
    </w:p>
    <w:p w14:paraId="78A16F6F" w14:textId="77777777" w:rsidR="00295007" w:rsidRDefault="00295007" w:rsidP="00295007">
      <w:pPr>
        <w:pStyle w:val="2"/>
        <w:tabs>
          <w:tab w:val="left" w:pos="284"/>
          <w:tab w:val="left" w:pos="567"/>
        </w:tabs>
        <w:spacing w:line="240" w:lineRule="auto"/>
        <w:rPr>
          <w:color w:val="000000" w:themeColor="text1"/>
        </w:rPr>
      </w:pPr>
      <w:bookmarkStart w:id="70" w:name="_Toc117179186"/>
      <w:bookmarkEnd w:id="68"/>
      <w:bookmarkEnd w:id="69"/>
      <w:r w:rsidRPr="005E6358">
        <w:rPr>
          <w:color w:val="000000" w:themeColor="text1"/>
        </w:rPr>
        <w:t>3.1 Доклиническая фармакология</w:t>
      </w:r>
      <w:bookmarkEnd w:id="70"/>
    </w:p>
    <w:p w14:paraId="643CF3CD" w14:textId="77777777" w:rsidR="00295007" w:rsidRPr="005E6358" w:rsidRDefault="00295007" w:rsidP="00295007">
      <w:pPr>
        <w:pStyle w:val="3"/>
        <w:spacing w:after="240"/>
        <w:rPr>
          <w:rFonts w:ascii="Times New Roman" w:hAnsi="Times New Roman"/>
          <w:color w:val="000000" w:themeColor="text1"/>
          <w:szCs w:val="24"/>
        </w:rPr>
      </w:pPr>
      <w:bookmarkStart w:id="71" w:name="_Toc117179187"/>
      <w:r w:rsidRPr="005E6358">
        <w:rPr>
          <w:rFonts w:ascii="Times New Roman" w:hAnsi="Times New Roman"/>
          <w:color w:val="000000" w:themeColor="text1"/>
          <w:szCs w:val="24"/>
        </w:rPr>
        <w:t>3.1.1.</w:t>
      </w:r>
      <w:r>
        <w:rPr>
          <w:rFonts w:ascii="Times New Roman" w:hAnsi="Times New Roman"/>
          <w:color w:val="000000" w:themeColor="text1"/>
          <w:szCs w:val="24"/>
        </w:rPr>
        <w:t xml:space="preserve"> </w:t>
      </w:r>
      <w:r w:rsidRPr="005E6358">
        <w:rPr>
          <w:rFonts w:ascii="Times New Roman" w:hAnsi="Times New Roman"/>
          <w:color w:val="000000" w:themeColor="text1"/>
          <w:szCs w:val="24"/>
        </w:rPr>
        <w:t>Механизм действия</w:t>
      </w:r>
      <w:bookmarkEnd w:id="71"/>
    </w:p>
    <w:p w14:paraId="1161F0B1" w14:textId="3517655D" w:rsidR="00295007" w:rsidRPr="004938B1" w:rsidRDefault="00295007" w:rsidP="009435FB">
      <w:pPr>
        <w:pStyle w:val="affb"/>
        <w:spacing w:before="0" w:after="0" w:line="240" w:lineRule="auto"/>
        <w:ind w:firstLine="709"/>
        <w:rPr>
          <w:color w:val="000000" w:themeColor="text1"/>
        </w:rPr>
      </w:pPr>
      <w:bookmarkStart w:id="72" w:name="_Toc499821138"/>
      <w:bookmarkStart w:id="73" w:name="_Toc505020000"/>
      <w:r w:rsidRPr="00342EFD">
        <w:t xml:space="preserve">Этравирин </w:t>
      </w:r>
      <w:r w:rsidRPr="004938B1">
        <w:rPr>
          <w:color w:val="000000" w:themeColor="text1"/>
        </w:rPr>
        <w:t xml:space="preserve">является ННИОТ, который </w:t>
      </w:r>
      <w:r w:rsidRPr="004938B1">
        <w:rPr>
          <w:i/>
          <w:iCs/>
          <w:color w:val="000000" w:themeColor="text1"/>
          <w:lang w:val="en-US"/>
        </w:rPr>
        <w:t>in</w:t>
      </w:r>
      <w:r w:rsidRPr="004938B1">
        <w:rPr>
          <w:i/>
          <w:iCs/>
          <w:color w:val="000000" w:themeColor="text1"/>
        </w:rPr>
        <w:t xml:space="preserve"> </w:t>
      </w:r>
      <w:r w:rsidRPr="004938B1">
        <w:rPr>
          <w:i/>
          <w:iCs/>
          <w:color w:val="000000" w:themeColor="text1"/>
          <w:lang w:val="en-US"/>
        </w:rPr>
        <w:t>vitro</w:t>
      </w:r>
      <w:r w:rsidRPr="004938B1">
        <w:rPr>
          <w:color w:val="000000" w:themeColor="text1"/>
        </w:rPr>
        <w:t xml:space="preserve"> проявляет высокую активность против штаммов ВИЧ-1 дикого типа, а также против многих штаммов, устойчивых к другим ННИОТ </w:t>
      </w:r>
      <w:r>
        <w:rPr>
          <w:color w:val="000000" w:themeColor="text1"/>
        </w:rPr>
        <w:fldChar w:fldCharType="begin"/>
      </w:r>
      <w:r>
        <w:rPr>
          <w:color w:val="000000" w:themeColor="text1"/>
        </w:rPr>
        <w:instrText xml:space="preserve"> ADDIN ZOTERO_ITEM CSL_CITATION {"citationID":"QgqALcf2","properties":{"formattedCitation":"(31,32)","plainCitation":"(31,32)","noteIndex":0},"citationItems":[{"id":2499,"uris":["http://zotero.org/users/5483459/items/YASU7NC7"],"itemData":{"id":2499,"type":"article-journal","abstract":"BACKGROUND: Etravirine is the first non-nucleoside reverse transcriptase inhibitor (NNRTI) to be active against human immunodeficiency virus with NNRTI mutations.\nOBJECTIVE: To understand the unique features of etravirine and to evaluate its safety, efficacy, and optimal use.\nMETHODS: The structure and the mechanism of action of etravirine in blocking the reverse transcriptase enzyme and the preclinical, pharmacokinetic and pharmacodynamic studies were reviewed. The DUET Phase III clinical trials and the resistance profile of etravirine were evaluated.\nCONCLUSIONS: Etravirine has unique activity against most HIV isolates that are resistant to other NNRTIs. Unlike other NNRTIs, it has a higher genetic barrier to developing high-grade resistance. In the DUET studies, etravirine demonstrated virological efficacy superior to the control arms with comparable rates of adverse events with the exception of rash. Because of its effect on the cytochrome P450 system, there are important drug interactions that will need to be taken into consideration with its use.","container-title":"Expert Opinion on Pharmacotherapy","DOI":"10.1517/14656560802489569","ISSN":"1744-7666","issue":"17","journalAbbreviation":"Expert Opin Pharmacother","language":"eng","note":"PMID: 19006480","page":"3083-3094","source":"PubMed","title":"Etravirine: the renaissance of non-nucleoside reverse transcriptase inhibitors","title-short":"Etravirine","volume":"9","author":[{"family":"Jayaweera","given":"Dushyantha T."},{"family":"Espinoza","given":"Luis"},{"family":"Castro","given":"Jose"}],"issued":{"date-parts":[["2008",12]]}},"label":"page"},{"id":2501,"uris":["http://zotero.org/users/5483459/items/XQS79YPZ"],"itemData":{"id":2501,"type":"webpage","title":"Drug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rPr>
          <w:color w:val="000000" w:themeColor="text1"/>
        </w:rPr>
        <w:fldChar w:fldCharType="separate"/>
      </w:r>
      <w:r w:rsidR="00D236D7" w:rsidRPr="00D236D7">
        <w:t>[</w:t>
      </w:r>
      <w:r w:rsidRPr="008749F9">
        <w:t>31,32</w:t>
      </w:r>
      <w:r w:rsidR="00D236D7" w:rsidRPr="00D236D7">
        <w:t>]</w:t>
      </w:r>
      <w:r>
        <w:rPr>
          <w:color w:val="000000" w:themeColor="text1"/>
        </w:rPr>
        <w:fldChar w:fldCharType="end"/>
      </w:r>
      <w:r>
        <w:rPr>
          <w:color w:val="000000" w:themeColor="text1"/>
        </w:rPr>
        <w:t>.</w:t>
      </w:r>
      <w:r w:rsidRPr="004938B1">
        <w:rPr>
          <w:color w:val="000000" w:themeColor="text1"/>
        </w:rPr>
        <w:t xml:space="preserve"> </w:t>
      </w:r>
      <w:r w:rsidRPr="00342EFD">
        <w:t xml:space="preserve">Этравирин </w:t>
      </w:r>
      <w:r w:rsidRPr="004938B1">
        <w:rPr>
          <w:color w:val="000000" w:themeColor="text1"/>
        </w:rPr>
        <w:t>напрямую связывается с RT и блокирует РНК-зависимую и ДНК</w:t>
      </w:r>
      <w:r w:rsidRPr="004938B1">
        <w:rPr>
          <w:color w:val="000000" w:themeColor="text1"/>
        </w:rPr>
        <w:noBreakHyphen/>
        <w:t xml:space="preserve">зависимую активность ДНК-полимеразы путем разрушения каталитического сайта фермента. Ингибирование ферментативной активности рекомбинантной </w:t>
      </w:r>
      <w:r w:rsidRPr="004938B1">
        <w:rPr>
          <w:color w:val="000000" w:themeColor="text1"/>
          <w:lang w:val="en-US"/>
        </w:rPr>
        <w:t>RT</w:t>
      </w:r>
      <w:r w:rsidR="0054064C">
        <w:rPr>
          <w:color w:val="000000" w:themeColor="text1"/>
        </w:rPr>
        <w:t xml:space="preserve"> </w:t>
      </w:r>
      <w:r w:rsidR="0054064C" w:rsidRPr="004938B1">
        <w:rPr>
          <w:color w:val="000000" w:themeColor="text1"/>
        </w:rPr>
        <w:t xml:space="preserve"> </w:t>
      </w:r>
      <w:r w:rsidRPr="004938B1">
        <w:rPr>
          <w:color w:val="000000" w:themeColor="text1"/>
        </w:rPr>
        <w:t xml:space="preserve"> ВИЧ-1 дикого типа при применении </w:t>
      </w:r>
      <w:r>
        <w:t>э</w:t>
      </w:r>
      <w:r w:rsidRPr="00342EFD">
        <w:t>травирин</w:t>
      </w:r>
      <w:r>
        <w:t>а</w:t>
      </w:r>
      <w:r w:rsidRPr="004938B1">
        <w:rPr>
          <w:color w:val="000000" w:themeColor="text1"/>
        </w:rPr>
        <w:t xml:space="preserve"> характеризовалось значением </w:t>
      </w:r>
      <w:r w:rsidRPr="004938B1">
        <w:rPr>
          <w:rFonts w:eastAsiaTheme="minorEastAsia"/>
          <w:color w:val="000000" w:themeColor="text1"/>
        </w:rPr>
        <w:t>концентрации полумаксимального ингибирования</w:t>
      </w:r>
      <w:r w:rsidRPr="004938B1">
        <w:rPr>
          <w:color w:val="000000" w:themeColor="text1"/>
        </w:rPr>
        <w:t xml:space="preserve"> (IC</w:t>
      </w:r>
      <w:r w:rsidRPr="004938B1">
        <w:rPr>
          <w:color w:val="000000" w:themeColor="text1"/>
          <w:vertAlign w:val="subscript"/>
        </w:rPr>
        <w:t>50</w:t>
      </w:r>
      <w:r w:rsidRPr="004938B1">
        <w:rPr>
          <w:color w:val="000000" w:themeColor="text1"/>
        </w:rPr>
        <w:t xml:space="preserve">) 38,4 нмоль. Не наблюдалось ингибирования ДНК-полимераз α, β, γ человека, что указывает на специфичность </w:t>
      </w:r>
      <w:r>
        <w:rPr>
          <w:color w:val="000000" w:themeColor="text1"/>
        </w:rPr>
        <w:t>этравирина</w:t>
      </w:r>
      <w:r w:rsidRPr="004938B1">
        <w:rPr>
          <w:color w:val="000000" w:themeColor="text1"/>
        </w:rPr>
        <w:t xml:space="preserve"> в отношении </w:t>
      </w:r>
      <w:r w:rsidRPr="004938B1">
        <w:rPr>
          <w:color w:val="000000" w:themeColor="text1"/>
          <w:lang w:val="en-US"/>
        </w:rPr>
        <w:t>RT</w:t>
      </w:r>
      <w:r w:rsidRPr="004938B1">
        <w:rPr>
          <w:color w:val="000000" w:themeColor="text1"/>
        </w:rPr>
        <w:t xml:space="preserve"> ВИЧ </w:t>
      </w:r>
      <w:r>
        <w:rPr>
          <w:color w:val="000000" w:themeColor="text1"/>
        </w:rPr>
        <w:fldChar w:fldCharType="begin"/>
      </w:r>
      <w:r>
        <w:rPr>
          <w:color w:val="000000" w:themeColor="text1"/>
        </w:rPr>
        <w:instrText xml:space="preserve"> ADDIN ZOTERO_ITEM CSL_CITATION {"citationID":"svohwH26","properties":{"formattedCitation":"(31)","plainCitation":"(31)","noteIndex":0},"citationItems":[{"id":2499,"uris":["http://zotero.org/users/5483459/items/YASU7NC7"],"itemData":{"id":2499,"type":"article-journal","abstract":"BACKGROUND: Etravirine is the first non-nucleoside reverse transcriptase inhibitor (NNRTI) to be active against human immunodeficiency virus with NNRTI mutations.\nOBJECTIVE: To understand the unique features of etravirine and to evaluate its safety, efficacy, and optimal use.\nMETHODS: The structure and the mechanism of action of etravirine in blocking the reverse transcriptase enzyme and the preclinical, pharmacokinetic and pharmacodynamic studies were reviewed. The DUET Phase III clinical trials and the resistance profile of etravirine were evaluated.\nCONCLUSIONS: Etravirine has unique activity against most HIV isolates that are resistant to other NNRTIs. Unlike other NNRTIs, it has a higher genetic barrier to developing high-grade resistance. In the DUET studies, etravirine demonstrated virological efficacy superior to the control arms with comparable rates of adverse events with the exception of rash. Because of its effect on the cytochrome P450 system, there are important drug interactions that will need to be taken into consideration with its use.","container-title":"Expert Opinion on Pharmacotherapy","DOI":"10.1517/14656560802489569","ISSN":"1744-7666","issue":"17","journalAbbreviation":"Expert Opin Pharmacother","language":"eng","note":"PMID: 19006480","page":"3083-3094","source":"PubMed","title":"Etravirine: the renaissance of non-nucleoside reverse transcriptase inhibitors","title-short":"Etravirine","volume":"9","author":[{"family":"Jayaweera","given":"Dushyantha T."},{"family":"Espinoza","given":"Luis"},{"family":"Castro","given":"Jose"}],"issued":{"date-parts":[["2008",12]]}}}],"schema":"https://github.com/citation-style-language/schema/raw/master/csl-citation.json"} </w:instrText>
      </w:r>
      <w:r>
        <w:rPr>
          <w:color w:val="000000" w:themeColor="text1"/>
        </w:rPr>
        <w:fldChar w:fldCharType="separate"/>
      </w:r>
      <w:r w:rsidR="00D236D7" w:rsidRPr="00B66676">
        <w:t>[</w:t>
      </w:r>
      <w:r w:rsidRPr="008749F9">
        <w:t>31</w:t>
      </w:r>
      <w:r w:rsidR="00D236D7" w:rsidRPr="00B66676">
        <w:t>]</w:t>
      </w:r>
      <w:r>
        <w:rPr>
          <w:color w:val="000000" w:themeColor="text1"/>
        </w:rPr>
        <w:fldChar w:fldCharType="end"/>
      </w:r>
      <w:r>
        <w:rPr>
          <w:color w:val="000000" w:themeColor="text1"/>
        </w:rPr>
        <w:t>.</w:t>
      </w:r>
    </w:p>
    <w:p w14:paraId="755B7B62" w14:textId="62BA7676" w:rsidR="00295007" w:rsidRPr="004938B1" w:rsidRDefault="00295007" w:rsidP="009435FB">
      <w:pPr>
        <w:pStyle w:val="affb"/>
        <w:spacing w:before="0" w:after="0" w:line="240" w:lineRule="auto"/>
        <w:ind w:firstLine="709"/>
        <w:rPr>
          <w:color w:val="000000" w:themeColor="text1"/>
        </w:rPr>
      </w:pPr>
      <w:r w:rsidRPr="004938B1">
        <w:rPr>
          <w:color w:val="000000" w:themeColor="text1"/>
        </w:rPr>
        <w:t xml:space="preserve">Фермент </w:t>
      </w:r>
      <w:r w:rsidRPr="004938B1">
        <w:rPr>
          <w:color w:val="000000" w:themeColor="text1"/>
          <w:lang w:val="en-US"/>
        </w:rPr>
        <w:t>RT</w:t>
      </w:r>
      <w:r w:rsidRPr="004938B1">
        <w:rPr>
          <w:color w:val="000000" w:themeColor="text1"/>
        </w:rPr>
        <w:t xml:space="preserve"> ВИЧ катализирует конверсию одноцепочечной РНК вируса в ДНК, </w:t>
      </w:r>
      <w:r w:rsidRPr="004938B1">
        <w:rPr>
          <w:color w:val="000000" w:themeColor="text1"/>
          <w:lang w:val="en-US"/>
        </w:rPr>
        <w:t>RT</w:t>
      </w:r>
      <w:r w:rsidRPr="004938B1">
        <w:rPr>
          <w:color w:val="000000" w:themeColor="text1"/>
        </w:rPr>
        <w:t xml:space="preserve"> ВИЧ проявляет две основные ферментативные активности – ДНК</w:t>
      </w:r>
      <w:r w:rsidRPr="004938B1">
        <w:rPr>
          <w:color w:val="000000" w:themeColor="text1"/>
        </w:rPr>
        <w:noBreakHyphen/>
        <w:t xml:space="preserve">полимеразную для копирования РНК-матрицы и рибонуклеазную Н (РНКаза Н) для отщепления РНК от дуплекса РНК/ДНК. Несмотря на значительные химические различия, все ННИОТ, включая </w:t>
      </w:r>
      <w:r>
        <w:t>э</w:t>
      </w:r>
      <w:r w:rsidRPr="00342EFD">
        <w:t>травирин</w:t>
      </w:r>
      <w:r w:rsidRPr="004938B1">
        <w:rPr>
          <w:color w:val="000000" w:themeColor="text1"/>
        </w:rPr>
        <w:t xml:space="preserve">, взаимодействуют с общим гидрофобным сайтом на субъединице 66 кДа, который известен как ННИОТ-связывающий карман. Связывание с ННИОТ вызывает искажение структуры </w:t>
      </w:r>
      <w:r w:rsidRPr="004938B1">
        <w:rPr>
          <w:color w:val="000000" w:themeColor="text1"/>
          <w:lang w:val="en-US"/>
        </w:rPr>
        <w:t>RT</w:t>
      </w:r>
      <w:r w:rsidRPr="004938B1">
        <w:rPr>
          <w:color w:val="000000" w:themeColor="text1"/>
        </w:rPr>
        <w:t xml:space="preserve"> и нарушает функцию фермента. Мутации, связанные с устойчивостью к ННИОТ, расположены вокруг этого связывающего кармана и вызывают лекарственную устойчивость, изменяя структуру ННИОТ-связывающего кармана, либо влияя на доступ к нему. </w:t>
      </w:r>
      <w:r w:rsidR="00DE3850">
        <w:t>молекулярная структура э</w:t>
      </w:r>
      <w:r w:rsidR="00DE3850" w:rsidRPr="00342EFD">
        <w:t>травирин</w:t>
      </w:r>
      <w:r w:rsidR="00DE3850">
        <w:t xml:space="preserve">а обладает некоторой гибкостью, благодаоря чему молекула этравирина способна «подстраиваться» под структуру </w:t>
      </w:r>
      <w:r w:rsidR="00DE3850" w:rsidRPr="00342EFD">
        <w:t xml:space="preserve"> </w:t>
      </w:r>
      <w:r w:rsidR="00DE3850" w:rsidRPr="004938B1">
        <w:rPr>
          <w:color w:val="000000" w:themeColor="text1"/>
        </w:rPr>
        <w:t>ННИОТ-связывающ</w:t>
      </w:r>
      <w:r w:rsidR="00DE3850">
        <w:rPr>
          <w:color w:val="000000" w:themeColor="text1"/>
        </w:rPr>
        <w:t>его</w:t>
      </w:r>
      <w:r w:rsidR="00DE3850" w:rsidRPr="004938B1">
        <w:rPr>
          <w:color w:val="000000" w:themeColor="text1"/>
        </w:rPr>
        <w:t xml:space="preserve"> карман</w:t>
      </w:r>
      <w:r w:rsidR="00DE3850">
        <w:rPr>
          <w:color w:val="000000" w:themeColor="text1"/>
        </w:rPr>
        <w:t>а при</w:t>
      </w:r>
      <w:r w:rsidR="00DE3850" w:rsidRPr="004938B1">
        <w:rPr>
          <w:color w:val="000000" w:themeColor="text1"/>
        </w:rPr>
        <w:t xml:space="preserve"> взаимодейст</w:t>
      </w:r>
      <w:r w:rsidR="00DE3850">
        <w:rPr>
          <w:color w:val="000000" w:themeColor="text1"/>
        </w:rPr>
        <w:t>вии</w:t>
      </w:r>
      <w:r w:rsidR="00DE3850" w:rsidRPr="004938B1">
        <w:rPr>
          <w:color w:val="000000" w:themeColor="text1"/>
        </w:rPr>
        <w:t xml:space="preserve"> </w:t>
      </w:r>
      <w:r w:rsidRPr="004938B1">
        <w:rPr>
          <w:color w:val="000000" w:themeColor="text1"/>
        </w:rPr>
        <w:t xml:space="preserve">с </w:t>
      </w:r>
      <w:r w:rsidRPr="004938B1">
        <w:rPr>
          <w:color w:val="000000" w:themeColor="text1"/>
          <w:lang w:val="en-US"/>
        </w:rPr>
        <w:t>RT</w:t>
      </w:r>
      <w:r w:rsidRPr="004938B1">
        <w:rPr>
          <w:color w:val="000000" w:themeColor="text1"/>
        </w:rPr>
        <w:t xml:space="preserve">, что отличает его от ННИОТ первого поколения. Это объясняет активность </w:t>
      </w:r>
      <w:r>
        <w:rPr>
          <w:color w:val="000000" w:themeColor="text1"/>
        </w:rPr>
        <w:t>этравирина</w:t>
      </w:r>
      <w:r w:rsidRPr="004938B1">
        <w:rPr>
          <w:color w:val="000000" w:themeColor="text1"/>
        </w:rPr>
        <w:t xml:space="preserve"> против ВИЧ-1 с аминокислотными заменами, обусловливающими устойчивость к другим ННИОТ </w:t>
      </w:r>
      <w:r>
        <w:rPr>
          <w:color w:val="000000" w:themeColor="text1"/>
        </w:rPr>
        <w:fldChar w:fldCharType="begin"/>
      </w:r>
      <w:r>
        <w:rPr>
          <w:color w:val="000000" w:themeColor="text1"/>
        </w:rPr>
        <w:instrText xml:space="preserve"> ADDIN ZOTERO_ITEM CSL_CITATION {"citationID":"vLdTCCWL","properties":{"formattedCitation":"(32)","plainCitation":"(32)","noteIndex":0},"citationItems":[{"id":2501,"uris":["http://zotero.org/users/5483459/items/XQS79YPZ"],"itemData":{"id":2501,"type":"webpage","title":"Drug Approval Package: Intelence (Etravirine) NDA #02218. Microbiology Review(s). NDA 22-187.","URL":"https://www.accessdata.fda.gov/drugsatfda_docs/nda/2008/022187TOC.cfm","accessed":{"date-parts":[["2022",8,18]]}}}],"schema":"https://github.com/citation-style-language/schema/raw/master/csl-citation.json"} </w:instrText>
      </w:r>
      <w:r>
        <w:rPr>
          <w:color w:val="000000" w:themeColor="text1"/>
        </w:rPr>
        <w:fldChar w:fldCharType="separate"/>
      </w:r>
      <w:r w:rsidR="00D236D7" w:rsidRPr="00D236D7">
        <w:t>[</w:t>
      </w:r>
      <w:r w:rsidRPr="008749F9">
        <w:t>32</w:t>
      </w:r>
      <w:r w:rsidR="00DE3850" w:rsidRPr="00DE3850">
        <w:t>, 52</w:t>
      </w:r>
      <w:r w:rsidR="00D236D7" w:rsidRPr="00D236D7">
        <w:t>]</w:t>
      </w:r>
      <w:r>
        <w:rPr>
          <w:color w:val="000000" w:themeColor="text1"/>
        </w:rPr>
        <w:fldChar w:fldCharType="end"/>
      </w:r>
      <w:r>
        <w:rPr>
          <w:color w:val="000000" w:themeColor="text1"/>
        </w:rPr>
        <w:t>.</w:t>
      </w:r>
    </w:p>
    <w:p w14:paraId="00CEB981" w14:textId="3945A5DA" w:rsidR="00295007" w:rsidRDefault="00295007" w:rsidP="008B0B82">
      <w:pPr>
        <w:pStyle w:val="affb"/>
        <w:spacing w:before="0" w:after="0" w:line="240" w:lineRule="auto"/>
        <w:ind w:firstLine="709"/>
      </w:pPr>
      <w:r w:rsidRPr="004938B1">
        <w:rPr>
          <w:color w:val="000000" w:themeColor="text1"/>
        </w:rPr>
        <w:t xml:space="preserve">Исследования с использованием ко-кристаллизационного и молекулярного моделирования показали, что </w:t>
      </w:r>
      <w:r>
        <w:rPr>
          <w:color w:val="000000" w:themeColor="text1"/>
        </w:rPr>
        <w:t>этравирин</w:t>
      </w:r>
      <w:r w:rsidRPr="004938B1">
        <w:rPr>
          <w:color w:val="000000" w:themeColor="text1"/>
        </w:rPr>
        <w:t xml:space="preserve"> является гибкой молекулой, способной взаимодействовать с ННИОТ</w:t>
      </w:r>
      <w:r>
        <w:rPr>
          <w:color w:val="000000" w:themeColor="text1"/>
        </w:rPr>
        <w:noBreakHyphen/>
      </w:r>
      <w:r w:rsidRPr="004938B1">
        <w:rPr>
          <w:color w:val="000000" w:themeColor="text1"/>
        </w:rPr>
        <w:t xml:space="preserve">связывающим карманом ВИЧ-1 </w:t>
      </w:r>
      <w:r w:rsidRPr="004938B1">
        <w:rPr>
          <w:color w:val="000000" w:themeColor="text1"/>
          <w:lang w:val="en-US"/>
        </w:rPr>
        <w:t>RT</w:t>
      </w:r>
      <w:r w:rsidRPr="004938B1">
        <w:rPr>
          <w:color w:val="000000" w:themeColor="text1"/>
        </w:rPr>
        <w:t xml:space="preserve"> в различных конформациях, по крайней мере в двух конформационно различных вариациях. В то же время, компактная структура молекулы </w:t>
      </w:r>
      <w:r>
        <w:rPr>
          <w:color w:val="000000" w:themeColor="text1"/>
        </w:rPr>
        <w:t>этравирина</w:t>
      </w:r>
      <w:r w:rsidRPr="004938B1">
        <w:rPr>
          <w:color w:val="000000" w:themeColor="text1"/>
        </w:rPr>
        <w:t xml:space="preserve"> позволяет изменять положение и ориентацию внутри кармана. Все это </w:t>
      </w:r>
      <w:r>
        <w:rPr>
          <w:color w:val="000000" w:themeColor="text1"/>
        </w:rPr>
        <w:t xml:space="preserve">способствует тому, что </w:t>
      </w:r>
      <w:r w:rsidRPr="004938B1">
        <w:rPr>
          <w:color w:val="000000" w:themeColor="text1"/>
        </w:rPr>
        <w:t>развити</w:t>
      </w:r>
      <w:r>
        <w:rPr>
          <w:color w:val="000000" w:themeColor="text1"/>
        </w:rPr>
        <w:t>е</w:t>
      </w:r>
      <w:r w:rsidRPr="004938B1">
        <w:rPr>
          <w:color w:val="000000" w:themeColor="text1"/>
        </w:rPr>
        <w:t xml:space="preserve"> резистентности ВИЧ к </w:t>
      </w:r>
      <w:r w:rsidR="00C153B8">
        <w:rPr>
          <w:color w:val="000000" w:themeColor="text1"/>
        </w:rPr>
        <w:t>этравирину</w:t>
      </w:r>
      <w:r w:rsidR="00C153B8" w:rsidRPr="004938B1">
        <w:rPr>
          <w:color w:val="000000" w:themeColor="text1"/>
        </w:rPr>
        <w:t xml:space="preserve"> </w:t>
      </w:r>
      <w:r w:rsidRPr="004938B1">
        <w:rPr>
          <w:color w:val="000000" w:themeColor="text1"/>
        </w:rPr>
        <w:t>значительно ниже по сравнению с ННИОТ первого</w:t>
      </w:r>
      <w:r>
        <w:rPr>
          <w:color w:val="000000" w:themeColor="text1"/>
        </w:rPr>
        <w:t xml:space="preserve"> поколения</w:t>
      </w:r>
      <w:r w:rsidRPr="004938B1">
        <w:rPr>
          <w:color w:val="000000" w:themeColor="text1"/>
        </w:rPr>
        <w:t xml:space="preserve"> </w:t>
      </w:r>
      <w:r>
        <w:rPr>
          <w:color w:val="000000" w:themeColor="text1"/>
        </w:rPr>
        <w:fldChar w:fldCharType="begin"/>
      </w:r>
      <w:r>
        <w:rPr>
          <w:color w:val="000000" w:themeColor="text1"/>
        </w:rPr>
        <w:instrText xml:space="preserve"> ADDIN ZOTERO_ITEM CSL_CITATION {"citationID":"WtFleqpn","properties":{"formattedCitation":"(32)","plainCitation":"(32)","noteIndex":0},"citationItems":[{"id":2501,"uris":["http://zotero.org/users/5483459/items/XQS79YPZ"],"itemData":{"id":2501,"type":"webpage","title":"Drug Approval Package: Intelence (Etravirine) NDA #02218. Microbiology Review(s). NDA 22-187.","URL":"https://www.accessdata.fda.gov/drugsatfda_docs/nda/2008/022187TOC.cfm","accessed":{"date-parts":[["2022",8,18]]}}}],"schema":"https://github.com/citation-style-language/schema/raw/master/csl-citation.json"} </w:instrText>
      </w:r>
      <w:r>
        <w:rPr>
          <w:color w:val="000000" w:themeColor="text1"/>
        </w:rPr>
        <w:fldChar w:fldCharType="separate"/>
      </w:r>
      <w:r w:rsidR="00D236D7" w:rsidRPr="00D236D7">
        <w:t>[</w:t>
      </w:r>
      <w:r w:rsidRPr="008749F9">
        <w:t>32</w:t>
      </w:r>
      <w:r w:rsidR="00D236D7" w:rsidRPr="00D236D7">
        <w:t>]</w:t>
      </w:r>
      <w:r>
        <w:rPr>
          <w:color w:val="000000" w:themeColor="text1"/>
        </w:rPr>
        <w:fldChar w:fldCharType="end"/>
      </w:r>
      <w:r>
        <w:rPr>
          <w:color w:val="000000" w:themeColor="text1"/>
        </w:rPr>
        <w:t>.</w:t>
      </w:r>
    </w:p>
    <w:p w14:paraId="15AF4403" w14:textId="77777777" w:rsidR="00295007" w:rsidRDefault="00295007" w:rsidP="00295007">
      <w:pPr>
        <w:autoSpaceDE w:val="0"/>
        <w:autoSpaceDN w:val="0"/>
        <w:adjustRightInd w:val="0"/>
        <w:ind w:firstLine="708"/>
        <w:rPr>
          <w:iCs/>
          <w:lang w:eastAsia="en-US"/>
        </w:rPr>
      </w:pPr>
    </w:p>
    <w:p w14:paraId="0A18CCF5" w14:textId="77777777" w:rsidR="00295007" w:rsidRPr="00AD62F6" w:rsidRDefault="00295007" w:rsidP="00295007">
      <w:pPr>
        <w:rPr>
          <w:b/>
          <w:i/>
          <w:color w:val="000000" w:themeColor="text1"/>
        </w:rPr>
      </w:pPr>
      <w:r w:rsidRPr="005E6358">
        <w:rPr>
          <w:rFonts w:eastAsia="Times New Roman"/>
          <w:b/>
          <w:color w:val="000000" w:themeColor="text1"/>
          <w:lang w:eastAsia="en-US"/>
        </w:rPr>
        <w:t xml:space="preserve">3.1.2. </w:t>
      </w:r>
      <w:bookmarkEnd w:id="72"/>
      <w:bookmarkEnd w:id="73"/>
      <w:r>
        <w:rPr>
          <w:b/>
          <w:color w:val="000000" w:themeColor="text1"/>
        </w:rPr>
        <w:t>Первичная фармакодинамика</w:t>
      </w:r>
    </w:p>
    <w:p w14:paraId="747B8487" w14:textId="77777777" w:rsidR="00295007" w:rsidRDefault="00295007" w:rsidP="00295007">
      <w:pPr>
        <w:pStyle w:val="4"/>
        <w:spacing w:after="240"/>
        <w:rPr>
          <w:rFonts w:ascii="Times New Roman" w:hAnsi="Times New Roman"/>
          <w:i/>
          <w:color w:val="000000" w:themeColor="text1"/>
          <w:sz w:val="24"/>
          <w:szCs w:val="24"/>
        </w:rPr>
      </w:pPr>
      <w:bookmarkStart w:id="74" w:name="_Toc117179188"/>
      <w:bookmarkStart w:id="75" w:name="_Hlk521883669"/>
      <w:r>
        <w:rPr>
          <w:rFonts w:ascii="Times New Roman" w:hAnsi="Times New Roman"/>
          <w:color w:val="000000" w:themeColor="text1"/>
          <w:sz w:val="24"/>
          <w:szCs w:val="24"/>
        </w:rPr>
        <w:lastRenderedPageBreak/>
        <w:t>3.1.2.1. Первичная ф</w:t>
      </w:r>
      <w:r w:rsidRPr="00AD62F6">
        <w:rPr>
          <w:rFonts w:ascii="Times New Roman" w:hAnsi="Times New Roman"/>
          <w:color w:val="000000" w:themeColor="text1"/>
          <w:sz w:val="24"/>
          <w:szCs w:val="24"/>
        </w:rPr>
        <w:t xml:space="preserve">армакодинамика </w:t>
      </w:r>
      <w:r w:rsidRPr="00AD62F6">
        <w:rPr>
          <w:rFonts w:ascii="Times New Roman" w:hAnsi="Times New Roman"/>
          <w:i/>
          <w:color w:val="000000" w:themeColor="text1"/>
          <w:sz w:val="24"/>
          <w:szCs w:val="24"/>
        </w:rPr>
        <w:t>in</w:t>
      </w:r>
      <w:r>
        <w:rPr>
          <w:rFonts w:ascii="Times New Roman" w:hAnsi="Times New Roman"/>
          <w:i/>
          <w:color w:val="000000" w:themeColor="text1"/>
          <w:sz w:val="24"/>
          <w:szCs w:val="24"/>
        </w:rPr>
        <w:t xml:space="preserve"> </w:t>
      </w:r>
      <w:r w:rsidRPr="00AD62F6">
        <w:rPr>
          <w:rFonts w:ascii="Times New Roman" w:hAnsi="Times New Roman"/>
          <w:i/>
          <w:color w:val="000000" w:themeColor="text1"/>
          <w:sz w:val="24"/>
          <w:szCs w:val="24"/>
        </w:rPr>
        <w:t>vitro</w:t>
      </w:r>
      <w:bookmarkEnd w:id="74"/>
    </w:p>
    <w:p w14:paraId="419831B8" w14:textId="04915246" w:rsidR="00295007" w:rsidRDefault="00295007" w:rsidP="009435FB">
      <w:pPr>
        <w:ind w:firstLine="709"/>
      </w:pPr>
      <w:r w:rsidRPr="009F1FB5">
        <w:t>Этравирин проявлял активность в отношении лабораторных штаммов и клинических изолятов ВИЧ-1 дикого типа в остро инфицированных Т-клеточных линиях, мононуклеарных клетках периферической крови человека и моноцитах/макрофагах человека, со значениями средней эффективной концентрации (EC</w:t>
      </w:r>
      <w:r w:rsidRPr="003A42FD">
        <w:rPr>
          <w:vertAlign w:val="subscript"/>
        </w:rPr>
        <w:t>50</w:t>
      </w:r>
      <w:r w:rsidRPr="009F1FB5">
        <w:t>) от 0,87 до 5,46 нмоль (от 0,4 до 2,4 нг/мл)</w:t>
      </w:r>
      <w:r>
        <w:t xml:space="preserve"> </w:t>
      </w:r>
      <w:r>
        <w:fldChar w:fldCharType="begin"/>
      </w:r>
      <w:r>
        <w:instrText xml:space="preserve"> ADDIN ZOTERO_ITEM CSL_CITATION {"citationID":"ei01QF3v","properties":{"formattedCitation":"(1,31\\uc0\\u8211{}33)","plainCitation":"(1,31–33)","noteIndex":0},"citationItems":[{"id":2460,"uris":["http://zotero.org/users/5483459/items/AZ4GNHE7"],"itemData":{"id":2460,"type":"document","title":"Product Monograph INTELENCE® etravirine tablets 25 mg, 100 mg, 200 mg. Janssen Inc.  Date of Revision: May 17, 2017."},"label":"page"},{"id":2499,"uris":["http://zotero.org/users/5483459/items/YASU7NC7"],"itemData":{"id":2499,"type":"article-journal","abstract":"BACKGROUND: Etravirine is the first non-nucleoside reverse transcriptase inhibitor (NNRTI) to be active against human immunodeficiency virus with NNRTI mutations.\nOBJECTIVE: To understand the unique features of etravirine and to evaluate its safety, efficacy, and optimal use.\nMETHODS: The structure and the mechanism of action of etravirine in blocking the reverse transcriptase enzyme and the preclinical, pharmacokinetic and pharmacodynamic studies were reviewed. The DUET Phase III clinical trials and the resistance profile of etravirine were evaluated.\nCONCLUSIONS: Etravirine has unique activity against most HIV isolates that are resistant to other NNRTIs. Unlike other NNRTIs, it has a higher genetic barrier to developing high-grade resistance. In the DUET studies, etravirine demonstrated virological efficacy superior to the control arms with comparable rates of adverse events with the exception of rash. Because of its effect on the cytochrome P450 system, there are important drug interactions that will need to be taken into consideration with its use.","container-title":"Expert Opinion on Pharmacotherapy","DOI":"10.1517/14656560802489569","ISSN":"1744-7666","issue":"17","journalAbbreviation":"Expert Opin Pharmacother","language":"eng","note":"PMID: 19006480","page":"3083-3094","source":"PubMed","title":"Etravirine: the renaissance of non-nucleoside reverse transcriptase inhibitors","title-short":"Etravirine","volume":"9","author":[{"family":"Jayaweera","given":"Dushyantha T."},{"family":"Espinoza","given":"Luis"},{"family":"Castro","given":"Jose"}],"issued":{"date-parts":[["2008",12]]}},"label":"page"},{"id":2501,"uris":["http://zotero.org/users/5483459/items/XQS79YPZ"],"itemData":{"id":2501,"type":"webpage","title":"Drug Approval Package: Intelence (Etravirine) NDA #02218. Microbiology Review(s). NDA 22-187.","URL":"https://www.accessdata.fda.gov/drugsatfda_docs/nda/2008/022187TOC.cfm","accessed":{"date-parts":[["2022",8,18]]}},"label":"page"},{"id":2506,"uris":["http://zotero.org/users/5483459/items/KY9UXU9S"],"itemData":{"id":2506,"type":"article-journal","abstract":"Anti-AIDS drug candidate and non-nucleoside reverse transcriptase inhibitor (NNRTI) TMC125-R165335 (etravirine) caused an initial drop in viral load similar to that observed with a five-drug combination in naïve patients and retains potency in patients infected with NNRTI-resistant HIV-1 variants. TMC125-R165335 and related anti-AIDS drug candidates can bind the enzyme RT in multiple conformations and thereby escape the effects of drug-resistance mutations. Structural studies showed that this inhibitor and other diarylpyrimidine (DAPY) analogues can adapt to changes in the NNRTI-binding pocket in several ways: (1). DAPY analogues can bind in at least two conformationally distinct modes; (2). within a given binding mode, torsional flexibility (\"wiggling\") of DAPY analogues permits access to numerous conformational variants; and (3). the compact design of the DAPY analogues permits significant repositioning and reorientation (translation and rotation) within the pocket (\"jiggling\"). Such adaptations appear to be critical for potency against wild-type and a wide range of drug-resistant mutant HIV-1 RTs. Exploitation of favorable components of inhibitor conformational flexibility (such as torsional flexibility about strategically located chemical bonds) can be a powerful drug design concept, especially for designing drugs that will be effective against rapidly mutating targets.","container-title":"Journal of Medicinal Chemistry","DOI":"10.1021/jm030558s","ISSN":"0022-2623","issue":"10","journalAbbreviation":"J Med Chem","language":"eng","note":"PMID: 15115397","page":"2550-2560","source":"PubMed","title":"Roles of conformational and positional adaptability in structure-based design of TMC125-R165335 (etravirine) and related non-nucleoside reverse transcriptase inhibitors that are highly potent and effective against wild-type and drug-resistant HIV-1 variants","volume":"47","author":[{"family":"Das","given":"Kalyan"},{"family":"Clark","given":"Arthur D."},{"family":"Lewi","given":"Paul J."},{"family":"Heeres","given":"Jan"},{"family":"De Jonge","given":"Marc R."},{"family":"Koymans","given":"Lucien M. H."},{"family":"Vinkers","given":"H. Maarten"},{"family":"Daeyaert","given":"Frederik"},{"family":"Ludovici","given":"Donald W."},{"family":"Kukla","given":"Michael J."},{"family":"De Corte","given":"Bart"},{"family":"Kavash","given":"Robert W."},{"family":"Ho","given":"Chih Y."},{"family":"Ye","given":"Hong"},{"family":"Lichtenstein","given":"Mark A."},{"family":"Andries","given":"Koen"},{"family":"Pauwels","given":"Rudi"},{"family":"De Béthune","given":"Marie-Pierre"},{"family":"Boyer","given":"Paul L."},{"family":"Clark","given":"Patrick"},{"family":"Hughes","given":"Stephen H."},{"family":"Janssen","given":"Paul A. J."},{"family":"Arnold","given":"Eddy"}],"issued":{"date-parts":[["2004",5,6]]}},"label":"page"}],"schema":"https://github.com/citation-style-language/schema/raw/master/csl-citation.json"} </w:instrText>
      </w:r>
      <w:r>
        <w:fldChar w:fldCharType="separate"/>
      </w:r>
      <w:r w:rsidR="00D236D7" w:rsidRPr="008B0B82">
        <w:t>[</w:t>
      </w:r>
      <w:r w:rsidRPr="008749F9">
        <w:t>1,</w:t>
      </w:r>
      <w:r w:rsidR="00964695">
        <w:t xml:space="preserve"> </w:t>
      </w:r>
      <w:r w:rsidRPr="008749F9">
        <w:t>31–33</w:t>
      </w:r>
      <w:r w:rsidR="00D236D7" w:rsidRPr="008B0B82">
        <w:t>]</w:t>
      </w:r>
      <w:r>
        <w:fldChar w:fldCharType="end"/>
      </w:r>
      <w:r>
        <w:t>.</w:t>
      </w:r>
    </w:p>
    <w:p w14:paraId="06B8314B" w14:textId="34D99E53" w:rsidR="00295007" w:rsidRDefault="00295007" w:rsidP="009435FB">
      <w:pPr>
        <w:ind w:firstLine="709"/>
      </w:pPr>
      <w:r w:rsidRPr="00314AA1">
        <w:t xml:space="preserve">Противовирусная активность </w:t>
      </w:r>
      <w:r>
        <w:t>э</w:t>
      </w:r>
      <w:r w:rsidRPr="009F1FB5">
        <w:t>травирин</w:t>
      </w:r>
      <w:r>
        <w:t>а</w:t>
      </w:r>
      <w:r w:rsidRPr="009F1FB5">
        <w:t xml:space="preserve"> </w:t>
      </w:r>
      <w:r w:rsidRPr="00314AA1">
        <w:t>была исследована в культуре клеток в отношении широкого круга возбудителей ВИЧ-1 группы М (подтипы A, B, C, D, E, F, G) со значениями EC</w:t>
      </w:r>
      <w:r w:rsidRPr="003A42FD">
        <w:rPr>
          <w:vertAlign w:val="subscript"/>
        </w:rPr>
        <w:t>50</w:t>
      </w:r>
      <w:r w:rsidRPr="00314AA1">
        <w:t xml:space="preserve"> от 0,29 до 1,65 нмоль, а против первичных изолятов ВИЧ-1 группы О – со значениями EC</w:t>
      </w:r>
      <w:r w:rsidRPr="008132EB">
        <w:rPr>
          <w:vertAlign w:val="subscript"/>
        </w:rPr>
        <w:t>50</w:t>
      </w:r>
      <w:r w:rsidRPr="00314AA1">
        <w:t xml:space="preserve"> от 11,5 до 21,7 нмоль. При этом данные значения EC</w:t>
      </w:r>
      <w:r w:rsidRPr="008132EB">
        <w:rPr>
          <w:vertAlign w:val="subscript"/>
        </w:rPr>
        <w:t>50</w:t>
      </w:r>
      <w:r w:rsidRPr="00314AA1">
        <w:t xml:space="preserve"> были значительно ниже диапазона 50% цитотоксической концентрации (CC</w:t>
      </w:r>
      <w:r w:rsidRPr="006C08B9">
        <w:rPr>
          <w:vertAlign w:val="subscript"/>
        </w:rPr>
        <w:t>50</w:t>
      </w:r>
      <w:r w:rsidRPr="00314AA1">
        <w:t>), которая составила от 15 до более 100 мкмоль</w:t>
      </w:r>
      <w:r>
        <w:t xml:space="preserve"> </w:t>
      </w:r>
      <w:r>
        <w:fldChar w:fldCharType="begin"/>
      </w:r>
      <w:r>
        <w:instrText xml:space="preserve"> ADDIN ZOTERO_ITEM CSL_CITATION {"citationID":"dyibJ0Eb","properties":{"formattedCitation":"(1,32)","plainCitation":"(1,32)","noteIndex":0},"citationItems":[{"id":2460,"uris":["http://zotero.org/users/5483459/items/AZ4GNHE7"],"itemData":{"id":2460,"type":"document","title":"Product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fldChar w:fldCharType="separate"/>
      </w:r>
      <w:r w:rsidR="00D236D7" w:rsidRPr="00D236D7">
        <w:t>[</w:t>
      </w:r>
      <w:r w:rsidRPr="008749F9">
        <w:t>1,</w:t>
      </w:r>
      <w:r w:rsidR="00964695">
        <w:t xml:space="preserve"> </w:t>
      </w:r>
      <w:r w:rsidRPr="008749F9">
        <w:t>32</w:t>
      </w:r>
      <w:r w:rsidR="00D236D7" w:rsidRPr="00D236D7">
        <w:t>]</w:t>
      </w:r>
      <w:r>
        <w:fldChar w:fldCharType="end"/>
      </w:r>
      <w:r>
        <w:t xml:space="preserve">. </w:t>
      </w:r>
      <w:r w:rsidRPr="008132EB">
        <w:rPr>
          <w:i/>
          <w:iCs/>
        </w:rPr>
        <w:t>In vitro</w:t>
      </w:r>
      <w:r w:rsidRPr="003A42FD">
        <w:t xml:space="preserve"> противовирусная активность </w:t>
      </w:r>
      <w:r>
        <w:t>э</w:t>
      </w:r>
      <w:r w:rsidRPr="009F1FB5">
        <w:t>травирин</w:t>
      </w:r>
      <w:r>
        <w:t>а</w:t>
      </w:r>
      <w:r w:rsidRPr="009F1FB5">
        <w:t xml:space="preserve"> </w:t>
      </w:r>
      <w:r w:rsidRPr="003A42FD">
        <w:t xml:space="preserve">в отношении ВИЧ-1 характеризуется ограниченной цитотоксичностью </w:t>
      </w:r>
      <w:r>
        <w:fldChar w:fldCharType="begin"/>
      </w:r>
      <w:r>
        <w:instrText xml:space="preserve"> ADDIN ZOTERO_ITEM CSL_CITATION {"citationID":"e2efDwcr","properties":{"formattedCitation":"(34)","plainCitation":"(34)","noteIndex":0},"citationItems":[{"id":2503,"uris":["http://zotero.org/users/5483459/items/CJNLQXLK"],"itemData":{"id":2503,"type":"article-journal","abstract":"Nonnucleoside reverse transcriptase inhibitors (NNRTIs) are potent inhibitors of human immunodeficiency virus type 1 (HIV-1); however, currently marketed NNRTIs rapidly select resistant virus, and cross-resistance within the class is extensive. A parallel screening strategy was applied to test candidates from a series of diarylpyrimidines against wild-type and resistant HIV strains carrying clinically relevant mutations. Serum protein binding and metabolic stability were addressed early in the selection process. The emerging clinical candidate, TMC125, was highly active against wild-type HIV-1 (50% effective concentration [EC50] = 1.4 to 4.8 nM) and showed some activity against HIV-2 (EC50 = 3.5 μM). TMC125 also inhibited a series of HIV-1 group M subtypes and circulating recombinant forms and a group O virus. Incubation of TMC125 with human liver microsomal fractions suggested good metabolic stability (15% decrease in drug concentration and 7% decrease in antiviral activity after 120 min). Although TMC125 is highly protein bound, its antiviral effect was not reduced by the presence of 45 mg of human serum albumin/ml, 1 mg of α1-acid glycoprotein/ml, or 50% human serum. In an initial screen for activity against a panel of 25 viruses carrying single and double reverse transcriptase amino acid substitutions associated with NNRTI resistance, the EC50 of TMC125 was &lt;5 nM for 19 viruses, including the double mutants K101E+K103N and K103N+Y181C. TMC125 also retained activity (EC50 &lt; 100 nM) against 97% of 1,081 recent clinically derived recombinant viruses resistant to at least one of the currently marketed NNRTIs. TMC125 is a potent next generation NNRTI, with the potential for use in individuals infected with NNRTI-resistant virus.","container-title":"Antimicrobial Agents and Chemotherapy","DOI":"10.1128/AAC.48.12.4680-4686.2004","ISSN":"0066-4804","issue":"12","journalAbbreviation":"Antimicrob Agents Chemother","note":"PMID: 15561844\nPMCID: PMC529207","page":"4680-4686","source":"PubMed Central","title":"TMC125, a Novel Next-Generation Nonnucleoside Reverse Transcriptase Inhibitor Active against Nonnucleoside Reverse Transcriptase Inhibitor-Resistant Human Immunodeficiency Virus Type 1","volume":"48","author":[{"family":"Andries","given":"Koen"},{"family":"Azijn","given":"Hilde"},{"family":"Thielemans","given":"Theo"},{"family":"Ludovici","given":"Donald"},{"family":"Kukla","given":"Michael"},{"family":"Heeres","given":"Jan"},{"family":"Janssen","given":"Paul"},{"family":"De Corte","given":"Bart"},{"family":"Vingerhoets","given":"Johan"},{"family":"Pauwels","given":"Rudi"},{"family":"Béthune","given":"Marie-Pierre","non-dropping-particle":"de"}],"issued":{"date-parts":[["2004",12]]}}}],"schema":"https://github.com/citation-style-language/schema/raw/master/csl-citation.json"} </w:instrText>
      </w:r>
      <w:r>
        <w:fldChar w:fldCharType="separate"/>
      </w:r>
      <w:r w:rsidR="00D236D7" w:rsidRPr="008B0B82">
        <w:t>[</w:t>
      </w:r>
      <w:r w:rsidRPr="008749F9">
        <w:t>34</w:t>
      </w:r>
      <w:r w:rsidR="00D236D7" w:rsidRPr="008B0B82">
        <w:t>]</w:t>
      </w:r>
      <w:r>
        <w:fldChar w:fldCharType="end"/>
      </w:r>
      <w:r>
        <w:t>.</w:t>
      </w:r>
    </w:p>
    <w:p w14:paraId="6347CEBB" w14:textId="110EEFB3" w:rsidR="00295007" w:rsidRDefault="00295007" w:rsidP="009435FB">
      <w:pPr>
        <w:ind w:firstLine="709"/>
      </w:pPr>
      <w:r w:rsidRPr="009F1FB5">
        <w:t xml:space="preserve">Этравирин </w:t>
      </w:r>
      <w:r>
        <w:t>высоко активен против штаммов LAI, SF2, Ba-L ВИЧ-1 дикого типа, со значениями EC</w:t>
      </w:r>
      <w:r w:rsidRPr="003A42FD">
        <w:rPr>
          <w:vertAlign w:val="subscript"/>
        </w:rPr>
        <w:t>50</w:t>
      </w:r>
      <w:r>
        <w:t xml:space="preserve"> от 1,4 до 4,8 нмоль</w:t>
      </w:r>
      <w:r w:rsidR="00E14097">
        <w:t xml:space="preserve">. </w:t>
      </w:r>
      <w:r w:rsidR="00C153B8" w:rsidRPr="009F1FB5">
        <w:t xml:space="preserve">Этравирин </w:t>
      </w:r>
      <w:r>
        <w:t>также проявлял противовирусную активность в отношении ВИЧ-2, EC</w:t>
      </w:r>
      <w:r w:rsidRPr="00E14097">
        <w:rPr>
          <w:vertAlign w:val="subscript"/>
        </w:rPr>
        <w:t>50</w:t>
      </w:r>
      <w:r>
        <w:t xml:space="preserve"> составила 3,5 мкмоль </w:t>
      </w:r>
      <w:r>
        <w:fldChar w:fldCharType="begin"/>
      </w:r>
      <w:r>
        <w:instrText xml:space="preserve"> ADDIN ZOTERO_ITEM CSL_CITATION {"citationID":"2OMhUNbN","properties":{"formattedCitation":"(34)","plainCitation":"(34)","noteIndex":0},"citationItems":[{"id":2503,"uris":["http://zotero.org/users/5483459/items/CJNLQXLK"],"itemData":{"id":2503,"type":"article-journal","abstract":"Nonnucleoside reverse transcriptase inhibitors (NNRTIs) are potent inhibitors of human immunodeficiency virus type 1 (HIV-1); however, currently marketed NNRTIs rapidly select resistant virus, and cross-resistance within the class is extensive. A parallel screening strategy was applied to test candidates from a series of diarylpyrimidines against wild-type and resistant HIV strains carrying clinically relevant mutations. Serum protein binding and metabolic stability were addressed early in the selection process. The emerging clinical candidate, TMC125, was highly active against wild-type HIV-1 (50% effective concentration [EC50] = 1.4 to 4.8 nM) and showed some activity against HIV-2 (EC50 = 3.5 μM). TMC125 also inhibited a series of HIV-1 group M subtypes and circulating recombinant forms and a group O virus. Incubation of TMC125 with human liver microsomal fractions suggested good metabolic stability (15% decrease in drug concentration and 7% decrease in antiviral activity after 120 min). Although TMC125 is highly protein bound, its antiviral effect was not reduced by the presence of 45 mg of human serum albumin/ml, 1 mg of α1-acid glycoprotein/ml, or 50% human serum. In an initial screen for activity against a panel of 25 viruses carrying single and double reverse transcriptase amino acid substitutions associated with NNRTI resistance, the EC50 of TMC125 was &lt;5 nM for 19 viruses, including the double mutants K101E+K103N and K103N+Y181C. TMC125 also retained activity (EC50 &lt; 100 nM) against 97% of 1,081 recent clinically derived recombinant viruses resistant to at least one of the currently marketed NNRTIs. TMC125 is a potent next generation NNRTI, with the potential for use in individuals infected with NNRTI-resistant virus.","container-title":"Antimicrobial Agents and Chemotherapy","DOI":"10.1128/AAC.48.12.4680-4686.2004","ISSN":"0066-4804","issue":"12","journalAbbreviation":"Antimicrob Agents Chemother","note":"PMID: 15561844\nPMCID: PMC529207","page":"4680-4686","source":"PubMed Central","title":"TMC125, a Novel Next-Generation Nonnucleoside Reverse Transcriptase Inhibitor Active against Nonnucleoside Reverse Transcriptase Inhibitor-Resistant Human Immunodeficiency Virus Type 1","volume":"48","author":[{"family":"Andries","given":"Koen"},{"family":"Azijn","given":"Hilde"},{"family":"Thielemans","given":"Theo"},{"family":"Ludovici","given":"Donald"},{"family":"Kukla","given":"Michael"},{"family":"Heeres","given":"Jan"},{"family":"Janssen","given":"Paul"},{"family":"De Corte","given":"Bart"},{"family":"Vingerhoets","given":"Johan"},{"family":"Pauwels","given":"Rudi"},{"family":"Béthune","given":"Marie-Pierre","non-dropping-particle":"de"}],"issued":{"date-parts":[["2004",12]]}}}],"schema":"https://github.com/citation-style-language/schema/raw/master/csl-citation.json"} </w:instrText>
      </w:r>
      <w:r>
        <w:fldChar w:fldCharType="separate"/>
      </w:r>
      <w:r w:rsidR="00D236D7" w:rsidRPr="00D236D7">
        <w:t>[</w:t>
      </w:r>
      <w:r w:rsidRPr="008749F9">
        <w:t>34</w:t>
      </w:r>
      <w:r w:rsidR="00D236D7" w:rsidRPr="00D236D7">
        <w:t>]</w:t>
      </w:r>
      <w:r>
        <w:fldChar w:fldCharType="end"/>
      </w:r>
      <w:r>
        <w:t>.</w:t>
      </w:r>
    </w:p>
    <w:p w14:paraId="54D2B685" w14:textId="7C7A1B5D" w:rsidR="00295007" w:rsidRDefault="00295007" w:rsidP="009435FB">
      <w:pPr>
        <w:ind w:firstLine="709"/>
      </w:pPr>
      <w:r>
        <w:t>Значение ЕС</w:t>
      </w:r>
      <w:r w:rsidRPr="00DB6C3B">
        <w:rPr>
          <w:vertAlign w:val="subscript"/>
        </w:rPr>
        <w:t>50</w:t>
      </w:r>
      <w:r>
        <w:t xml:space="preserve"> э</w:t>
      </w:r>
      <w:r w:rsidRPr="009F1FB5">
        <w:t>травирин</w:t>
      </w:r>
      <w:r>
        <w:t>а</w:t>
      </w:r>
      <w:r w:rsidRPr="009F1FB5">
        <w:t xml:space="preserve"> </w:t>
      </w:r>
      <w:r>
        <w:t xml:space="preserve">в отношении ВИЧ-1 увеличивалось в среднем в 5,8 раза в присутствии сыворотки крови человека </w:t>
      </w:r>
      <w:r>
        <w:fldChar w:fldCharType="begin"/>
      </w:r>
      <w:r>
        <w:instrText xml:space="preserve"> ADDIN ZOTERO_ITEM CSL_CITATION {"citationID":"xmt7lcmZ","properties":{"formattedCitation":"(1,32)","plainCitation":"(1,32)","noteIndex":0},"citationItems":[{"id":2460,"uris":["http://zotero.org/users/5483459/items/AZ4GNHE7"],"itemData":{"id":2460,"type":"document","title":"Product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fldChar w:fldCharType="separate"/>
      </w:r>
      <w:r w:rsidR="00D236D7" w:rsidRPr="00D236D7">
        <w:t>[</w:t>
      </w:r>
      <w:r w:rsidRPr="008749F9">
        <w:t>1,</w:t>
      </w:r>
      <w:r w:rsidR="00964695">
        <w:t xml:space="preserve"> </w:t>
      </w:r>
      <w:r w:rsidRPr="008749F9">
        <w:t>32</w:t>
      </w:r>
      <w:r w:rsidR="00D236D7" w:rsidRPr="00D236D7">
        <w:t>]</w:t>
      </w:r>
      <w:r>
        <w:fldChar w:fldCharType="end"/>
      </w:r>
      <w:r>
        <w:t>.</w:t>
      </w:r>
    </w:p>
    <w:p w14:paraId="32B0FD4F" w14:textId="1BB1ACE4" w:rsidR="00295007" w:rsidRDefault="00295007" w:rsidP="00EE1D8E">
      <w:pPr>
        <w:ind w:firstLine="709"/>
      </w:pPr>
      <w:r w:rsidRPr="002C6617">
        <w:t xml:space="preserve">Определение устойчивых к </w:t>
      </w:r>
      <w:r w:rsidR="0052747C">
        <w:t>э</w:t>
      </w:r>
      <w:r w:rsidR="0052747C" w:rsidRPr="009F1FB5">
        <w:t>травирин</w:t>
      </w:r>
      <w:r w:rsidR="0052747C">
        <w:t>у</w:t>
      </w:r>
      <w:r w:rsidR="0052747C" w:rsidRPr="009F1FB5">
        <w:t xml:space="preserve"> </w:t>
      </w:r>
      <w:r w:rsidRPr="002C6617">
        <w:t xml:space="preserve">штаммов, возникших в результате мутации ВИЧ-1 дикого типа различного происхождения и подтипов, так же, как и резистентных к ВИЧ-1 ННИОТ, проводили с вирусным инокулятом высокого и низкого титра. При высоком титре вирусного инокулята появление устойчивых к ВИЧ-1 дикого типа штаммов замедлялось или предотвращалось при концентрациях 40 нмоль или 200 нмоль, соответственно. Независимо от дизайна эксперимента и исходного штамма ВИЧ-1, развитие устойчивости к </w:t>
      </w:r>
      <w:r w:rsidR="00936CF1">
        <w:t>э</w:t>
      </w:r>
      <w:r w:rsidR="00936CF1" w:rsidRPr="009F1FB5">
        <w:t>травирин</w:t>
      </w:r>
      <w:r w:rsidR="00936CF1">
        <w:t>у</w:t>
      </w:r>
      <w:r w:rsidR="00936CF1" w:rsidRPr="009F1FB5">
        <w:t xml:space="preserve"> </w:t>
      </w:r>
      <w:r w:rsidRPr="002C6617">
        <w:t xml:space="preserve">как правило возникало при наличии множественных мутаций в RT, из которых наиболее частыми являлись: L100I, E138K, E138G, V179I, Y181C и M230I </w:t>
      </w:r>
      <w:r>
        <w:fldChar w:fldCharType="begin"/>
      </w:r>
      <w:r>
        <w:instrText xml:space="preserve"> ADDIN ZOTERO_ITEM CSL_CITATION {"citationID":"G9W7xdHC","properties":{"formattedCitation":"(1,32)","plainCitation":"(1,32)","noteIndex":0},"citationItems":[{"id":2460,"uris":["http://zotero.org/users/5483459/items/AZ4GNHE7"],"itemData":{"id":2460,"type":"document","title":"Product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fldChar w:fldCharType="separate"/>
      </w:r>
      <w:r w:rsidR="00D236D7" w:rsidRPr="00D236D7">
        <w:t>[</w:t>
      </w:r>
      <w:r w:rsidRPr="008749F9">
        <w:t>1,</w:t>
      </w:r>
      <w:r w:rsidR="00964695">
        <w:t xml:space="preserve"> </w:t>
      </w:r>
      <w:r w:rsidRPr="008749F9">
        <w:t>32</w:t>
      </w:r>
      <w:r w:rsidR="00D236D7" w:rsidRPr="00D236D7">
        <w:t>]</w:t>
      </w:r>
      <w:r>
        <w:fldChar w:fldCharType="end"/>
      </w:r>
      <w:r>
        <w:t>.</w:t>
      </w:r>
    </w:p>
    <w:p w14:paraId="0A4270B6" w14:textId="77777777" w:rsidR="00964695" w:rsidRDefault="00964695">
      <w:pPr>
        <w:ind w:firstLine="709"/>
      </w:pPr>
    </w:p>
    <w:p w14:paraId="4AF2963E" w14:textId="77777777" w:rsidR="00295007" w:rsidRPr="004938B1" w:rsidRDefault="00295007" w:rsidP="008B0B82">
      <w:pPr>
        <w:pStyle w:val="affb"/>
        <w:spacing w:before="0" w:after="0" w:line="240" w:lineRule="auto"/>
        <w:rPr>
          <w:b/>
          <w:bCs/>
          <w:color w:val="000000" w:themeColor="text1"/>
        </w:rPr>
      </w:pPr>
      <w:r w:rsidRPr="004938B1">
        <w:rPr>
          <w:b/>
          <w:bCs/>
          <w:color w:val="000000" w:themeColor="text1"/>
        </w:rPr>
        <w:t xml:space="preserve">Резистентность </w:t>
      </w:r>
      <w:r w:rsidRPr="004938B1">
        <w:rPr>
          <w:b/>
          <w:bCs/>
          <w:i/>
          <w:iCs/>
          <w:color w:val="000000" w:themeColor="text1"/>
          <w:lang w:val="en-US"/>
        </w:rPr>
        <w:t>in</w:t>
      </w:r>
      <w:r w:rsidRPr="004938B1">
        <w:rPr>
          <w:b/>
          <w:bCs/>
          <w:i/>
          <w:iCs/>
          <w:color w:val="000000" w:themeColor="text1"/>
        </w:rPr>
        <w:t xml:space="preserve"> </w:t>
      </w:r>
      <w:r w:rsidRPr="004938B1">
        <w:rPr>
          <w:b/>
          <w:bCs/>
          <w:i/>
          <w:iCs/>
          <w:color w:val="000000" w:themeColor="text1"/>
          <w:lang w:val="en-US"/>
        </w:rPr>
        <w:t>vitro</w:t>
      </w:r>
    </w:p>
    <w:p w14:paraId="5A7EAF3A" w14:textId="77777777" w:rsidR="00964695" w:rsidRDefault="00964695" w:rsidP="00EE1D8E">
      <w:pPr>
        <w:pStyle w:val="affb"/>
        <w:spacing w:before="0" w:after="0" w:line="240" w:lineRule="auto"/>
        <w:ind w:firstLine="709"/>
        <w:rPr>
          <w:color w:val="000000" w:themeColor="text1"/>
        </w:rPr>
      </w:pPr>
    </w:p>
    <w:p w14:paraId="577A9A7E" w14:textId="75474E7B" w:rsidR="00295007" w:rsidRDefault="00295007">
      <w:pPr>
        <w:pStyle w:val="affb"/>
        <w:spacing w:before="0" w:after="0" w:line="240" w:lineRule="auto"/>
        <w:ind w:firstLine="709"/>
        <w:rPr>
          <w:color w:val="000000" w:themeColor="text1"/>
        </w:rPr>
      </w:pPr>
      <w:r w:rsidRPr="004938B1">
        <w:rPr>
          <w:color w:val="000000" w:themeColor="text1"/>
        </w:rPr>
        <w:t xml:space="preserve">Потенциал развития резистентности ВИЧ к </w:t>
      </w:r>
      <w:r>
        <w:t>э</w:t>
      </w:r>
      <w:r w:rsidRPr="009F1FB5">
        <w:t>травирин</w:t>
      </w:r>
      <w:r>
        <w:t>у</w:t>
      </w:r>
      <w:r w:rsidRPr="009F1FB5">
        <w:t xml:space="preserve"> </w:t>
      </w:r>
      <w:r w:rsidRPr="004938B1">
        <w:rPr>
          <w:color w:val="000000" w:themeColor="text1"/>
        </w:rPr>
        <w:t xml:space="preserve">значительно ниже, по сравнению с ННИОТ первого поколения. Результаты исследований </w:t>
      </w:r>
      <w:r w:rsidRPr="004938B1">
        <w:rPr>
          <w:i/>
          <w:iCs/>
          <w:color w:val="000000" w:themeColor="text1"/>
          <w:lang w:val="en-US"/>
        </w:rPr>
        <w:t>in</w:t>
      </w:r>
      <w:r w:rsidRPr="004938B1">
        <w:rPr>
          <w:i/>
          <w:iCs/>
          <w:color w:val="000000" w:themeColor="text1"/>
        </w:rPr>
        <w:t xml:space="preserve"> </w:t>
      </w:r>
      <w:r w:rsidRPr="004938B1">
        <w:rPr>
          <w:i/>
          <w:iCs/>
          <w:color w:val="000000" w:themeColor="text1"/>
          <w:lang w:val="en-US"/>
        </w:rPr>
        <w:t>vitro</w:t>
      </w:r>
      <w:r w:rsidRPr="004938B1">
        <w:rPr>
          <w:color w:val="000000" w:themeColor="text1"/>
        </w:rPr>
        <w:t xml:space="preserve"> показали, что </w:t>
      </w:r>
      <w:r>
        <w:t>э</w:t>
      </w:r>
      <w:r w:rsidRPr="009F1FB5">
        <w:t xml:space="preserve">травирин </w:t>
      </w:r>
      <w:r w:rsidRPr="004938B1">
        <w:rPr>
          <w:color w:val="000000" w:themeColor="text1"/>
        </w:rPr>
        <w:t xml:space="preserve">обладает высоким генетическим барьером для развития устойчивости ВИЧ </w:t>
      </w:r>
      <w:r>
        <w:rPr>
          <w:color w:val="000000" w:themeColor="text1"/>
        </w:rPr>
        <w:fldChar w:fldCharType="begin"/>
      </w:r>
      <w:r>
        <w:rPr>
          <w:color w:val="000000" w:themeColor="text1"/>
        </w:rPr>
        <w:instrText xml:space="preserve"> ADDIN ZOTERO_ITEM CSL_CITATION {"citationID":"swp6olPk","properties":{"formattedCitation":"(34,35)","plainCitation":"(34,35)","noteIndex":0},"citationItems":[{"id":2503,"uris":["http://zotero.org/users/5483459/items/CJNLQXLK"],"itemData":{"id":2503,"type":"article-journal","abstract":"Nonnucleoside reverse transcriptase inhibitors (NNRTIs) are potent inhibitors of human immunodeficiency virus type 1 (HIV-1); however, currently marketed NNRTIs rapidly select resistant virus, and cross-resistance within the class is extensive. A parallel screening strategy was applied to test candidates from a series of diarylpyrimidines against wild-type and resistant HIV strains carrying clinically relevant mutations. Serum protein binding and metabolic stability were addressed early in the selection process. The emerging clinical candidate, TMC125, was highly active against wild-type HIV-1 (50% effective concentration [EC50] = 1.4 to 4.8 nM) and showed some activity against HIV-2 (EC50 = 3.5 μM). TMC125 also inhibited a series of HIV-1 group M subtypes and circulating recombinant forms and a group O virus. Incubation of TMC125 with human liver microsomal fractions suggested good metabolic stability (15% decrease in drug concentration and 7% decrease in antiviral activity after 120 min). Although TMC125 is highly protein bound, its antiviral effect was not reduced by the presence of 45 mg of human serum albumin/ml, 1 mg of α1-acid glycoprotein/ml, or 50% human serum. In an initial screen for activity against a panel of 25 viruses carrying single and double reverse transcriptase amino acid substitutions associated with NNRTI resistance, the EC50 of TMC125 was &lt;5 nM for 19 viruses, including the double mutants K101E+K103N and K103N+Y181C. TMC125 also retained activity (EC50 &lt; 100 nM) against 97% of 1,081 recent clinically derived recombinant viruses resistant to at least one of the currently marketed NNRTIs. TMC125 is a potent next generation NNRTI, with the potential for use in individuals infected with NNRTI-resistant virus.","container-title":"Antimicrobial Agents and Chemotherapy","DOI":"10.1128/AAC.48.12.4680-4686.2004","ISSN":"0066-4804","issue":"12","journalAbbreviation":"Antimicrob Agents Chemother","note":"PMID: 15561844\nPMCID: PMC529207","page":"4680-4686","source":"PubMed Central","title":"TMC125, a Novel Next-Generation Nonnucleoside Reverse Transcriptase Inhibitor Active against Nonnucleoside Reverse Transcriptase Inhibitor-Resistant Human Immunodeficiency Virus Type 1","volume":"48","author":[{"family":"Andries","given":"Koen"},{"family":"Azijn","given":"Hilde"},{"family":"Thielemans","given":"Theo"},{"family":"Ludovici","given":"Donald"},{"family":"Kukla","given":"Michael"},{"family":"Heeres","given":"Jan"},{"family":"Janssen","given":"Paul"},{"family":"De Corte","given":"Bart"},{"family":"Vingerhoets","given":"Johan"},{"family":"Pauwels","given":"Rudi"},{"family":"Béthune","given":"Marie-Pierre","non-dropping-particle":"de"}],"issued":{"date-parts":[["2004",12]]}},"label":"page"},{"id":2508,"uris":["http://zotero.org/users/5483459/items/HKTY77ZX"],"itemData":{"id":2508,"type":"article-journal","abstract":"TMC125 is a potent new investigational nonnucleoside reverse transcriptase inhibitor (NNRTI) that is active against human immunodeficiency virus type 1 (HIV-1) with resistance to currently licensed NNRTIs. Sequential passage experiments with both wild-type virus and NNRTI-resistant virus were performed to identify mutations selected by TMC125 in vitro. In addition to “classic” selection experiments at a low multiplicity of infection (MOI) with increasing concentrations of inhibitors, experiments at a high MOI with fixed concentrations of inhibitors were performed to ensure a standardized comparison between TMC125 and current NNRTIs. Both low- and high-MOI experiments demonstrated that the development of resistance to TMC125 required multiple mutations which frequently conferred cross-resistance to efavirenz and nevirapine. In high-MOI experiments, 1 μM TMC125 completely inhibited the breakthrough of resistant virus from wild-type and NNRTI-resistant HIV-1, in contrast to efavirenz and nevirapine. Furthermore, breakthrough of virus from site-directed mutant (SDM) SDM-K103N/Y181C occurred at the same time or later with TMC125 as breakthrough from wild-type HIV-1 with efavirenz or nevirapine. The selection experiments identified mutations selected by TMC125 that included known NNRTI-associated mutations L100I, Y181C, G190E, M230L, and Y318F and the novel mutations V179I and V179F. Testing the antiviral activity of TMC125 against a panel of SDMs indicated that the impact of these individual mutations on resistance was highly dependent upon the presence and identity of coexisting mutations. These results demonstrate that TMC125 has a unique profile of activity against NNRTI-resistant virus and possesses a high genetic barrier to the development of resistance in vitro.","container-title":"Journal of Virology","DOI":"10.1128/JVI.79.20.12773-12782.2005","ISSN":"0022-538X","issue":"20","journalAbbreviation":"J Virol","note":"PMID: 16188980\nPMCID: PMC1235844","page":"12773-12782","source":"PubMed Central","title":"TMC125 Displays a High Genetic Barrier to the Development of Resistance: Evidence from In Vitro Selection Experiments","title-short":"TMC125 Displays a High Genetic Barrier to the Development of Resistance","volume":"79","author":[{"family":"Vingerhoets","given":"Johan"},{"family":"Azijn","given":"Hilde"},{"family":"Fransen","given":"Els"},{"family":"De Baere","given":"Inky"},{"family":"Smeulders","given":"Liesbet"},{"family":"Jochmans","given":"Dirk"},{"family":"Andries","given":"Koen"},{"family":"Pauwels","given":"Rudi"},{"family":"Béthune","given":"Marie-Pierre","non-dropping-particle":"de"}],"issued":{"date-parts":[["2005",10]]}},"label":"page"}],"schema":"https://github.com/citation-style-language/schema/raw/master/csl-citation.json"} </w:instrText>
      </w:r>
      <w:r>
        <w:rPr>
          <w:color w:val="000000" w:themeColor="text1"/>
        </w:rPr>
        <w:fldChar w:fldCharType="separate"/>
      </w:r>
      <w:r w:rsidR="00D236D7" w:rsidRPr="00B66676">
        <w:t>[</w:t>
      </w:r>
      <w:r w:rsidRPr="008749F9">
        <w:t>34,</w:t>
      </w:r>
      <w:r w:rsidR="00964695">
        <w:t xml:space="preserve"> </w:t>
      </w:r>
      <w:r w:rsidRPr="008749F9">
        <w:t>35</w:t>
      </w:r>
      <w:r w:rsidR="00D236D7" w:rsidRPr="00B66676">
        <w:t>]</w:t>
      </w:r>
      <w:r>
        <w:rPr>
          <w:color w:val="000000" w:themeColor="text1"/>
        </w:rPr>
        <w:fldChar w:fldCharType="end"/>
      </w:r>
      <w:r>
        <w:rPr>
          <w:color w:val="000000" w:themeColor="text1"/>
        </w:rPr>
        <w:t>.</w:t>
      </w:r>
    </w:p>
    <w:p w14:paraId="1585C90A" w14:textId="14904942" w:rsidR="00295007" w:rsidRPr="004938B1" w:rsidRDefault="00295007">
      <w:pPr>
        <w:pStyle w:val="affb"/>
        <w:spacing w:before="0" w:after="0" w:line="240" w:lineRule="auto"/>
        <w:ind w:firstLine="709"/>
        <w:rPr>
          <w:color w:val="000000" w:themeColor="text1"/>
        </w:rPr>
      </w:pPr>
      <w:r w:rsidRPr="009F1FB5">
        <w:t>Этравирин</w:t>
      </w:r>
      <w:r w:rsidRPr="008132EB">
        <w:rPr>
          <w:color w:val="000000" w:themeColor="text1"/>
        </w:rPr>
        <w:t xml:space="preserve"> продемонстрировал противовирусную активность против 55 из 65 штаммов ВИЧ-1 с одиночными аминокислотными заменами в RT, которые связаны с устойчивостью к ННИОТ, включая мутацию K103N. Аминокислотные замены, приводящие к наивысшей устойчивости к </w:t>
      </w:r>
      <w:r>
        <w:t>э</w:t>
      </w:r>
      <w:r w:rsidRPr="009F1FB5">
        <w:t>травирин</w:t>
      </w:r>
      <w:r>
        <w:t xml:space="preserve">у </w:t>
      </w:r>
      <w:r w:rsidRPr="008132EB">
        <w:rPr>
          <w:color w:val="000000" w:themeColor="text1"/>
        </w:rPr>
        <w:t>в культуре клеток – Y181I (13-кратное изменение значения EC</w:t>
      </w:r>
      <w:r w:rsidRPr="00CA4E7A">
        <w:rPr>
          <w:color w:val="000000" w:themeColor="text1"/>
          <w:vertAlign w:val="subscript"/>
        </w:rPr>
        <w:t>50</w:t>
      </w:r>
      <w:r w:rsidRPr="008132EB">
        <w:rPr>
          <w:color w:val="000000" w:themeColor="text1"/>
        </w:rPr>
        <w:t>) и Y181V (17-кратное изменение значения EC</w:t>
      </w:r>
      <w:r w:rsidRPr="00CA4E7A">
        <w:rPr>
          <w:color w:val="000000" w:themeColor="text1"/>
          <w:vertAlign w:val="subscript"/>
        </w:rPr>
        <w:t>50</w:t>
      </w:r>
      <w:r w:rsidRPr="008132EB">
        <w:rPr>
          <w:color w:val="000000" w:themeColor="text1"/>
        </w:rPr>
        <w:t xml:space="preserve">). Противовирусная активность </w:t>
      </w:r>
      <w:r>
        <w:t>э</w:t>
      </w:r>
      <w:r w:rsidRPr="009F1FB5">
        <w:t>травирин</w:t>
      </w:r>
      <w:r>
        <w:t>а</w:t>
      </w:r>
      <w:r w:rsidRPr="009F1FB5">
        <w:t xml:space="preserve"> </w:t>
      </w:r>
      <w:r w:rsidRPr="008132EB">
        <w:rPr>
          <w:color w:val="000000" w:themeColor="text1"/>
        </w:rPr>
        <w:t xml:space="preserve">в культуре клеток против 24 штаммов ВИЧ-1 с множественными мутациями, связанными с устойчивостью к НИОТ и / или ИП, сравнима с таковой, наблюдаемой в отношении ВИЧ-1 дикого типа </w:t>
      </w:r>
      <w:r>
        <w:fldChar w:fldCharType="begin"/>
      </w:r>
      <w:r>
        <w:instrText xml:space="preserve"> ADDIN ZOTERO_ITEM CSL_CITATION {"citationID":"wAmH23GO","properties":{"formattedCitation":"(1,32)","plainCitation":"(1,32)","noteIndex":0},"citationItems":[{"id":2460,"uris":["http://zotero.org/users/5483459/items/AZ4GNHE7"],"itemData":{"id":2460,"type":"document","title":"Product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fldChar w:fldCharType="separate"/>
      </w:r>
      <w:r w:rsidR="00D236D7" w:rsidRPr="00D236D7">
        <w:t>[</w:t>
      </w:r>
      <w:r w:rsidRPr="008749F9">
        <w:t>1,</w:t>
      </w:r>
      <w:r w:rsidR="00964695">
        <w:t xml:space="preserve"> </w:t>
      </w:r>
      <w:r w:rsidRPr="008749F9">
        <w:t>32</w:t>
      </w:r>
      <w:r w:rsidR="00D236D7" w:rsidRPr="00D236D7">
        <w:t>]</w:t>
      </w:r>
      <w:r>
        <w:fldChar w:fldCharType="end"/>
      </w:r>
      <w:r>
        <w:t>.</w:t>
      </w:r>
    </w:p>
    <w:p w14:paraId="487E4260" w14:textId="16F01E39" w:rsidR="00295007" w:rsidRDefault="00295007" w:rsidP="009435FB">
      <w:pPr>
        <w:ind w:firstLine="709"/>
      </w:pPr>
      <w:r w:rsidRPr="00CA4E7A">
        <w:lastRenderedPageBreak/>
        <w:t xml:space="preserve">Первоначально активность </w:t>
      </w:r>
      <w:r>
        <w:t>э</w:t>
      </w:r>
      <w:r w:rsidRPr="009F1FB5">
        <w:t>травирин</w:t>
      </w:r>
      <w:r>
        <w:t>а</w:t>
      </w:r>
      <w:r w:rsidRPr="008132EB">
        <w:rPr>
          <w:color w:val="000000" w:themeColor="text1"/>
        </w:rPr>
        <w:t xml:space="preserve"> </w:t>
      </w:r>
      <w:r w:rsidRPr="00CA4E7A">
        <w:t xml:space="preserve">против резистентных к ННИОТ штаммам ВИЧ-1 исследовалась на панели вирусов, сконструированных с помощью сайт-направленного мутагенеза для того, чтобы провести выбор одиночных или двойных RT аминокислотных замен, которые, как известно, связаны с устойчивостью к ННИОТ. По сравнению с </w:t>
      </w:r>
      <w:bookmarkStart w:id="76" w:name="_Hlk112155886"/>
      <w:r w:rsidRPr="00CA4E7A">
        <w:t xml:space="preserve">невирапином (NVP), делавирдином (DLV) и эфавирензом (EFV), </w:t>
      </w:r>
      <w:bookmarkEnd w:id="76"/>
      <w:r>
        <w:t>э</w:t>
      </w:r>
      <w:r w:rsidRPr="009F1FB5">
        <w:t>травирин</w:t>
      </w:r>
      <w:r w:rsidRPr="008132EB">
        <w:rPr>
          <w:color w:val="000000" w:themeColor="text1"/>
        </w:rPr>
        <w:t xml:space="preserve"> </w:t>
      </w:r>
      <w:r w:rsidRPr="00CA4E7A">
        <w:t>показал гораздо более высокую активность в отношении данной панели мутантных вирусов, по сравнению с другими ННИОТ, EC</w:t>
      </w:r>
      <w:r w:rsidRPr="00CA4E7A">
        <w:rPr>
          <w:vertAlign w:val="subscript"/>
        </w:rPr>
        <w:t>50</w:t>
      </w:r>
      <w:r w:rsidRPr="00CA4E7A">
        <w:t xml:space="preserve"> составила менее 5 нмоль. Значения EC</w:t>
      </w:r>
      <w:r w:rsidRPr="00CA4E7A">
        <w:rPr>
          <w:vertAlign w:val="subscript"/>
        </w:rPr>
        <w:t>50</w:t>
      </w:r>
      <w:r w:rsidRPr="00CA4E7A">
        <w:t xml:space="preserve"> </w:t>
      </w:r>
      <w:r>
        <w:t>э</w:t>
      </w:r>
      <w:r w:rsidRPr="009F1FB5">
        <w:t>травирин</w:t>
      </w:r>
      <w:r>
        <w:t>а</w:t>
      </w:r>
      <w:r w:rsidRPr="008132EB">
        <w:rPr>
          <w:color w:val="000000" w:themeColor="text1"/>
        </w:rPr>
        <w:t xml:space="preserve"> </w:t>
      </w:r>
      <w:r w:rsidRPr="00CA4E7A">
        <w:t xml:space="preserve">более 10 нмоль и кратность устойчивости более 10 наблюдалась только в отношении трех вирусов: L100I+K103N, Y181I и F227C. Встречаемость данных вирусов в клинической популяции очень низка. Анализ базы данных, содержащей 74000 клинических изолятов показал, что распространенность Y181I составляет 0,51%, F227C – около 0 (всего 17 изолятов), комбинация L100I и K103N – 3% </w:t>
      </w:r>
      <w:r>
        <w:fldChar w:fldCharType="begin"/>
      </w:r>
      <w:r>
        <w:instrText xml:space="preserve"> ADDIN ZOTERO_ITEM CSL_CITATION {"citationID":"tCkqRO11","properties":{"formattedCitation":"(34)","plainCitation":"(34)","noteIndex":0},"citationItems":[{"id":2503,"uris":["http://zotero.org/users/5483459/items/CJNLQXLK"],"itemData":{"id":2503,"type":"article-journal","abstract":"Nonnucleoside reverse transcriptase inhibitors (NNRTIs) are potent inhibitors of human immunodeficiency virus type 1 (HIV-1); however, currently marketed NNRTIs rapidly select resistant virus, and cross-resistance within the class is extensive. A parallel screening strategy was applied to test candidates from a series of diarylpyrimidines against wild-type and resistant HIV strains carrying clinically relevant mutations. Serum protein binding and metabolic stability were addressed early in the selection process. The emerging clinical candidate, TMC125, was highly active against wild-type HIV-1 (50% effective concentration [EC50] = 1.4 to 4.8 nM) and showed some activity against HIV-2 (EC50 = 3.5 μM). TMC125 also inhibited a series of HIV-1 group M subtypes and circulating recombinant forms and a group O virus. Incubation of TMC125 with human liver microsomal fractions suggested good metabolic stability (15% decrease in drug concentration and 7% decrease in antiviral activity after 120 min). Although TMC125 is highly protein bound, its antiviral effect was not reduced by the presence of 45 mg of human serum albumin/ml, 1 mg of α1-acid glycoprotein/ml, or 50% human serum. In an initial screen for activity against a panel of 25 viruses carrying single and double reverse transcriptase amino acid substitutions associated with NNRTI resistance, the EC50 of TMC125 was &lt;5 nM for 19 viruses, including the double mutants K101E+K103N and K103N+Y181C. TMC125 also retained activity (EC50 &lt; 100 nM) against 97% of 1,081 recent clinically derived recombinant viruses resistant to at least one of the currently marketed NNRTIs. TMC125 is a potent next generation NNRTI, with the potential for use in individuals infected with NNRTI-resistant virus.","container-title":"Antimicrobial Agents and Chemotherapy","DOI":"10.1128/AAC.48.12.4680-4686.2004","ISSN":"0066-4804","issue":"12","journalAbbreviation":"Antimicrob Agents Chemother","note":"PMID: 15561844\nPMCID: PMC529207","page":"4680-4686","source":"PubMed Central","title":"TMC125, a Novel Next-Generation Nonnucleoside Reverse Transcriptase Inhibitor Active against Nonnucleoside Reverse Transcriptase Inhibitor-Resistant Human Immunodeficiency Virus Type 1","volume":"48","author":[{"family":"Andries","given":"Koen"},{"family":"Azijn","given":"Hilde"},{"family":"Thielemans","given":"Theo"},{"family":"Ludovici","given":"Donald"},{"family":"Kukla","given":"Michael"},{"family":"Heeres","given":"Jan"},{"family":"Janssen","given":"Paul"},{"family":"De Corte","given":"Bart"},{"family":"Vingerhoets","given":"Johan"},{"family":"Pauwels","given":"Rudi"},{"family":"Béthune","given":"Marie-Pierre","non-dropping-particle":"de"}],"issued":{"date-parts":[["2004",12]]}}}],"schema":"https://github.com/citation-style-language/schema/raw/master/csl-citation.json"} </w:instrText>
      </w:r>
      <w:r>
        <w:fldChar w:fldCharType="separate"/>
      </w:r>
      <w:r w:rsidR="00D236D7" w:rsidRPr="008B0B82">
        <w:t>[</w:t>
      </w:r>
      <w:r w:rsidRPr="008749F9">
        <w:t>34</w:t>
      </w:r>
      <w:r w:rsidR="00D236D7" w:rsidRPr="008B0B82">
        <w:t>]</w:t>
      </w:r>
      <w:r>
        <w:fldChar w:fldCharType="end"/>
      </w:r>
      <w:r>
        <w:t>.</w:t>
      </w:r>
    </w:p>
    <w:p w14:paraId="7EEE54CB" w14:textId="4A0CE0A1" w:rsidR="00984745" w:rsidRDefault="00295007" w:rsidP="00EE1D8E">
      <w:pPr>
        <w:ind w:firstLine="709"/>
      </w:pPr>
      <w:r w:rsidRPr="00CA4E7A">
        <w:t xml:space="preserve">Дальнейшее </w:t>
      </w:r>
      <w:r w:rsidRPr="00CA4E7A">
        <w:rPr>
          <w:i/>
          <w:iCs/>
        </w:rPr>
        <w:t>in vitro</w:t>
      </w:r>
      <w:r w:rsidRPr="00CA4E7A">
        <w:t xml:space="preserve"> исследование противовирусной активности </w:t>
      </w:r>
      <w:r>
        <w:t>э</w:t>
      </w:r>
      <w:r w:rsidRPr="009F1FB5">
        <w:t>травирин</w:t>
      </w:r>
      <w:r>
        <w:t>а</w:t>
      </w:r>
      <w:r w:rsidRPr="008132EB">
        <w:rPr>
          <w:color w:val="000000" w:themeColor="text1"/>
        </w:rPr>
        <w:t xml:space="preserve"> </w:t>
      </w:r>
      <w:r w:rsidRPr="00CA4E7A">
        <w:t>в отношении вирусных популяций, присутствующих у пациентов, проводилось с использованием клинических образцов. Из 2157 образцов 1081 (50,1%) показали более чем 10-кратное изменение EC</w:t>
      </w:r>
      <w:r w:rsidRPr="00CA4E7A">
        <w:rPr>
          <w:vertAlign w:val="subscript"/>
        </w:rPr>
        <w:t>50</w:t>
      </w:r>
      <w:r w:rsidRPr="00CA4E7A">
        <w:t xml:space="preserve"> по сравнению с ВИЧ дикого типа, как минимум, для одного ННИОТ. В этих 1081 образцах 98%, 88% и 81% вирусов были устойчивы к невирапин</w:t>
      </w:r>
      <w:r>
        <w:t>у</w:t>
      </w:r>
      <w:r w:rsidRPr="00CA4E7A">
        <w:t xml:space="preserve"> (NVP</w:t>
      </w:r>
      <w:r>
        <w:t>)</w:t>
      </w:r>
      <w:r w:rsidRPr="00CA4E7A">
        <w:t xml:space="preserve">, </w:t>
      </w:r>
      <w:r w:rsidRPr="00C21DE8">
        <w:t>делавирдин</w:t>
      </w:r>
      <w:r>
        <w:t>у</w:t>
      </w:r>
      <w:r w:rsidRPr="00C21DE8">
        <w:t xml:space="preserve"> (DLV) и эфавиренз</w:t>
      </w:r>
      <w:r>
        <w:t>у</w:t>
      </w:r>
      <w:r w:rsidRPr="00C21DE8">
        <w:t xml:space="preserve"> (EFV)</w:t>
      </w:r>
      <w:r w:rsidRPr="00CA4E7A">
        <w:t xml:space="preserve">, соответственно, тогда как только 20% – к </w:t>
      </w:r>
      <w:r>
        <w:t>этравирину (</w:t>
      </w:r>
      <w:r w:rsidRPr="00CA4E7A">
        <w:t>ETR</w:t>
      </w:r>
      <w:r>
        <w:t>)</w:t>
      </w:r>
      <w:r w:rsidRPr="00CA4E7A">
        <w:t xml:space="preserve">. </w:t>
      </w:r>
      <w:r>
        <w:t>Этравирин</w:t>
      </w:r>
      <w:r w:rsidRPr="00CA4E7A">
        <w:t xml:space="preserve"> подавлял 98% вирусов из всех образцов и 97% ННИОТ устойчивых штаммов, со значениями ЕС</w:t>
      </w:r>
      <w:r w:rsidRPr="00CF54CC">
        <w:rPr>
          <w:vertAlign w:val="subscript"/>
        </w:rPr>
        <w:t>50</w:t>
      </w:r>
      <w:r w:rsidRPr="00CA4E7A">
        <w:t xml:space="preserve"> менее 100 нмоль. Для EFV </w:t>
      </w:r>
      <w:r w:rsidR="00C376A8">
        <w:t>(</w:t>
      </w:r>
      <w:r w:rsidR="00C376A8" w:rsidRPr="00C21DE8">
        <w:t>эфавиренз</w:t>
      </w:r>
      <w:r w:rsidR="00C376A8">
        <w:t xml:space="preserve">а) </w:t>
      </w:r>
      <w:r w:rsidRPr="00CA4E7A">
        <w:t xml:space="preserve">данные проценты составили 77% и 54%, соответственно. Кроме того, </w:t>
      </w:r>
      <w:r>
        <w:t xml:space="preserve">этравирин </w:t>
      </w:r>
      <w:r w:rsidRPr="00CA4E7A">
        <w:t xml:space="preserve"> подавлял 77% ННИОТ-устойчивых штаммов с ЕС</w:t>
      </w:r>
      <w:r w:rsidRPr="00CF54CC">
        <w:rPr>
          <w:vertAlign w:val="subscript"/>
        </w:rPr>
        <w:t>50</w:t>
      </w:r>
      <w:r w:rsidRPr="00CA4E7A">
        <w:t xml:space="preserve"> менее 10 нмоль, тогда как </w:t>
      </w:r>
      <w:r w:rsidRPr="00C21DE8">
        <w:t>эфавиренз</w:t>
      </w:r>
      <w:r>
        <w:t>у</w:t>
      </w:r>
      <w:r w:rsidRPr="00C21DE8">
        <w:t xml:space="preserve"> </w:t>
      </w:r>
      <w:r w:rsidRPr="00CA4E7A">
        <w:t xml:space="preserve">– только 23% </w:t>
      </w:r>
      <w:r>
        <w:fldChar w:fldCharType="begin"/>
      </w:r>
      <w:r>
        <w:instrText xml:space="preserve"> ADDIN ZOTERO_ITEM CSL_CITATION {"citationID":"G37VTZMW","properties":{"formattedCitation":"(34)","plainCitation":"(34)","noteIndex":0},"citationItems":[{"id":2503,"uris":["http://zotero.org/users/5483459/items/CJNLQXLK"],"itemData":{"id":2503,"type":"article-journal","abstract":"Nonnucleoside reverse transcriptase inhibitors (NNRTIs) are potent inhibitors of human immunodeficiency virus type 1 (HIV-1); however, currently marketed NNRTIs rapidly select resistant virus, and cross-resistance within the class is extensive. A parallel screening strategy was applied to test candidates from a series of diarylpyrimidines against wild-type and resistant HIV strains carrying clinically relevant mutations. Serum protein binding and metabolic stability were addressed early in the selection process. The emerging clinical candidate, TMC125, was highly active against wild-type HIV-1 (50% effective concentration [EC50] = 1.4 to 4.8 nM) and showed some activity against HIV-2 (EC50 = 3.5 μM). TMC125 also inhibited a series of HIV-1 group M subtypes and circulating recombinant forms and a group O virus. Incubation of TMC125 with human liver microsomal fractions suggested good metabolic stability (15% decrease in drug concentration and 7% decrease in antiviral activity after 120 min). Although TMC125 is highly protein bound, its antiviral effect was not reduced by the presence of 45 mg of human serum albumin/ml, 1 mg of α1-acid glycoprotein/ml, or 50% human serum. In an initial screen for activity against a panel of 25 viruses carrying single and double reverse transcriptase amino acid substitutions associated with NNRTI resistance, the EC50 of TMC125 was &lt;5 nM for 19 viruses, including the double mutants K101E+K103N and K103N+Y181C. TMC125 also retained activity (EC50 &lt; 100 nM) against 97% of 1,081 recent clinically derived recombinant viruses resistant to at least one of the currently marketed NNRTIs. TMC125 is a potent next generation NNRTI, with the potential for use in individuals infected with NNRTI-resistant virus.","container-title":"Antimicrobial Agents and Chemotherapy","DOI":"10.1128/AAC.48.12.4680-4686.2004","ISSN":"0066-4804","issue":"12","journalAbbreviation":"Antimicrob Agents Chemother","note":"PMID: 15561844\nPMCID: PMC529207","page":"4680-4686","source":"PubMed Central","title":"TMC125, a Novel Next-Generation Nonnucleoside Reverse Transcriptase Inhibitor Active against Nonnucleoside Reverse Transcriptase Inhibitor-Resistant Human Immunodeficiency Virus Type 1","volume":"48","author":[{"family":"Andries","given":"Koen"},{"family":"Azijn","given":"Hilde"},{"family":"Thielemans","given":"Theo"},{"family":"Ludovici","given":"Donald"},{"family":"Kukla","given":"Michael"},{"family":"Heeres","given":"Jan"},{"family":"Janssen","given":"Paul"},{"family":"De Corte","given":"Bart"},{"family":"Vingerhoets","given":"Johan"},{"family":"Pauwels","given":"Rudi"},{"family":"Béthune","given":"Marie-Pierre","non-dropping-particle":"de"}],"issued":{"date-parts":[["2004",12]]}}}],"schema":"https://github.com/citation-style-language/schema/raw/master/csl-citation.json"} </w:instrText>
      </w:r>
      <w:r>
        <w:fldChar w:fldCharType="separate"/>
      </w:r>
      <w:r w:rsidR="00D236D7" w:rsidRPr="008B0B82">
        <w:t>[</w:t>
      </w:r>
      <w:r w:rsidRPr="008749F9">
        <w:t>34</w:t>
      </w:r>
      <w:r w:rsidR="00D236D7" w:rsidRPr="008B0B82">
        <w:t>]</w:t>
      </w:r>
      <w:r>
        <w:fldChar w:fldCharType="end"/>
      </w:r>
      <w:r>
        <w:t>.</w:t>
      </w:r>
    </w:p>
    <w:p w14:paraId="6B125933" w14:textId="77777777" w:rsidR="003D1D85" w:rsidRDefault="003D1D85">
      <w:pPr>
        <w:ind w:firstLine="709"/>
      </w:pPr>
    </w:p>
    <w:p w14:paraId="5CEDF1E1" w14:textId="77777777" w:rsidR="00295007" w:rsidRPr="00CF54CC" w:rsidRDefault="00295007" w:rsidP="008B0B82">
      <w:pPr>
        <w:rPr>
          <w:b/>
          <w:bCs/>
        </w:rPr>
      </w:pPr>
      <w:r w:rsidRPr="00CF54CC">
        <w:rPr>
          <w:b/>
          <w:bCs/>
        </w:rPr>
        <w:t xml:space="preserve">Перекрестная резистентность </w:t>
      </w:r>
      <w:r w:rsidRPr="00CF54CC">
        <w:rPr>
          <w:b/>
          <w:bCs/>
          <w:i/>
          <w:iCs/>
        </w:rPr>
        <w:t>in vitro</w:t>
      </w:r>
    </w:p>
    <w:p w14:paraId="2104D3DA" w14:textId="77777777" w:rsidR="003D1D85" w:rsidRDefault="003D1D85" w:rsidP="008B0B82">
      <w:pPr>
        <w:ind w:firstLine="709"/>
      </w:pPr>
    </w:p>
    <w:p w14:paraId="2F651FED" w14:textId="30C50CEA" w:rsidR="00295007" w:rsidRDefault="00295007" w:rsidP="008B0B82">
      <w:pPr>
        <w:ind w:firstLine="709"/>
      </w:pPr>
      <w:r>
        <w:t>Единичными аминокислотными заменами, связанными с более чем 3-кратным снижением чувствительности к этравирину, являлись K101A, K101P, K101Q, E138G, E138Q, Y181C, Y181I, Y181T, Y181V и M230L, и из них наибольшее снижение возникало при мутации Y181I (13-кратное изменение значений EC</w:t>
      </w:r>
      <w:r w:rsidRPr="007E7E03">
        <w:rPr>
          <w:vertAlign w:val="subscript"/>
        </w:rPr>
        <w:t>50</w:t>
      </w:r>
      <w:r>
        <w:t>) и Y181V (17-кратное изменение значения EC</w:t>
      </w:r>
      <w:r w:rsidRPr="00E232E2">
        <w:rPr>
          <w:vertAlign w:val="subscript"/>
        </w:rPr>
        <w:t>50</w:t>
      </w:r>
      <w:r>
        <w:t xml:space="preserve">). Мутантные штаммы, содержащие одну замену, связанную с устойчивостью к ННИОТ (K101P, K101Q, E138Q или M230L), обладали перекрестной устойчивостью между этравирином и </w:t>
      </w:r>
      <w:r w:rsidRPr="00C21DE8">
        <w:t>эфавиренз</w:t>
      </w:r>
      <w:r>
        <w:t>ом. Большинство 39 из 61 (64%) мутантных вирусов ННИОТ с 2 или 3 заменами аминокислот, связанными с устойчивостью к ННИОТ, имели сниженную чувствительность к этравирину (кратность изменения более 3). Наивысшие уровни устойчивости к этравирину наблюдались для ВИЧ-1, содержащего комбинацию замен V179F + Y181C (181-кратное изменение), V179 + Y181I (123-кратное изменение) или V179F + Y181C + F227C (888-кратное изменение). Этравирин сохранял значение ЕС</w:t>
      </w:r>
      <w:r w:rsidRPr="006E3463">
        <w:rPr>
          <w:vertAlign w:val="subscript"/>
        </w:rPr>
        <w:t>50</w:t>
      </w:r>
      <w:r>
        <w:t xml:space="preserve"> менее 10 нмоль в отношении 83% из 6171 клинических изолятов, устойчивых к</w:t>
      </w:r>
      <w:r w:rsidRPr="00CA4E7A">
        <w:t xml:space="preserve">, </w:t>
      </w:r>
      <w:r w:rsidRPr="00C21DE8">
        <w:t>делавирдин</w:t>
      </w:r>
      <w:r>
        <w:t>у</w:t>
      </w:r>
      <w:r w:rsidRPr="00C21DE8">
        <w:t xml:space="preserve"> (DLV)</w:t>
      </w:r>
      <w:r>
        <w:t>,</w:t>
      </w:r>
      <w:r w:rsidRPr="00C21DE8">
        <w:t xml:space="preserve"> эфавиренз</w:t>
      </w:r>
      <w:r>
        <w:t>у</w:t>
      </w:r>
      <w:r w:rsidRPr="00C21DE8">
        <w:t xml:space="preserve"> (EFV)</w:t>
      </w:r>
      <w:r>
        <w:t xml:space="preserve"> и/или </w:t>
      </w:r>
      <w:r w:rsidRPr="00CA4E7A">
        <w:t>невирапин</w:t>
      </w:r>
      <w:r>
        <w:t>у (</w:t>
      </w:r>
      <w:r w:rsidRPr="00CA4E7A">
        <w:t>NVP</w:t>
      </w:r>
      <w:r>
        <w:t xml:space="preserve">). В связи с этим, лечение пациентов </w:t>
      </w:r>
      <w:r w:rsidRPr="00C21DE8">
        <w:t>делавирдин</w:t>
      </w:r>
      <w:r>
        <w:t>ом</w:t>
      </w:r>
      <w:r w:rsidRPr="00C21DE8">
        <w:t xml:space="preserve"> (DLV)</w:t>
      </w:r>
      <w:r>
        <w:t>,</w:t>
      </w:r>
      <w:r w:rsidRPr="00C21DE8">
        <w:t xml:space="preserve"> эфавиренз</w:t>
      </w:r>
      <w:r>
        <w:t>ом</w:t>
      </w:r>
      <w:r w:rsidRPr="00C21DE8">
        <w:t xml:space="preserve"> (EFV</w:t>
      </w:r>
      <w:r>
        <w:t xml:space="preserve">), </w:t>
      </w:r>
      <w:r w:rsidRPr="00CA4E7A">
        <w:t>невирапин</w:t>
      </w:r>
      <w:r>
        <w:t>ом (</w:t>
      </w:r>
      <w:r w:rsidRPr="00CA4E7A">
        <w:t>NVP</w:t>
      </w:r>
      <w:r>
        <w:t xml:space="preserve">) после </w:t>
      </w:r>
      <w:r>
        <w:lastRenderedPageBreak/>
        <w:t xml:space="preserve">вирусологической неудачи схемы, содержащей этравирин (ETR), не рекомендуется  </w:t>
      </w:r>
      <w:r>
        <w:fldChar w:fldCharType="begin"/>
      </w:r>
      <w:r>
        <w:instrText xml:space="preserve"> ADDIN ZOTERO_ITEM CSL_CITATION {"citationID":"UcnmFSc3","properties":{"formattedCitation":"(1,32)","plainCitation":"(1,32)","noteIndex":0},"citationItems":[{"id":2460,"uris":["http://zotero.org/users/5483459/items/AZ4GNHE7"],"itemData":{"id":2460,"type":"document","title":"Product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fldChar w:fldCharType="separate"/>
      </w:r>
      <w:r w:rsidR="00D236D7" w:rsidRPr="00D236D7">
        <w:t>[</w:t>
      </w:r>
      <w:r w:rsidRPr="008749F9">
        <w:t>1,</w:t>
      </w:r>
      <w:r w:rsidR="003D1D85">
        <w:t xml:space="preserve"> </w:t>
      </w:r>
      <w:r w:rsidRPr="008749F9">
        <w:t>32</w:t>
      </w:r>
      <w:r w:rsidR="00D236D7" w:rsidRPr="00B50985">
        <w:t>]</w:t>
      </w:r>
      <w:r>
        <w:fldChar w:fldCharType="end"/>
      </w:r>
      <w:r>
        <w:t>.</w:t>
      </w:r>
    </w:p>
    <w:p w14:paraId="5586A31C" w14:textId="77777777" w:rsidR="00295007" w:rsidRDefault="00295007" w:rsidP="00295007">
      <w:pPr>
        <w:pStyle w:val="4"/>
        <w:spacing w:after="240"/>
        <w:rPr>
          <w:rFonts w:ascii="Times New Roman" w:hAnsi="Times New Roman"/>
          <w:i/>
          <w:color w:val="000000" w:themeColor="text1"/>
          <w:sz w:val="24"/>
          <w:szCs w:val="24"/>
        </w:rPr>
      </w:pPr>
      <w:bookmarkStart w:id="77" w:name="_Toc117179189"/>
      <w:bookmarkEnd w:id="75"/>
      <w:r>
        <w:rPr>
          <w:rFonts w:ascii="Times New Roman" w:hAnsi="Times New Roman"/>
          <w:color w:val="000000" w:themeColor="text1"/>
          <w:sz w:val="24"/>
          <w:szCs w:val="24"/>
        </w:rPr>
        <w:t>3.1.2</w:t>
      </w:r>
      <w:r w:rsidRPr="00AD62F6">
        <w:rPr>
          <w:rFonts w:ascii="Times New Roman" w:hAnsi="Times New Roman"/>
          <w:color w:val="000000" w:themeColor="text1"/>
          <w:sz w:val="24"/>
          <w:szCs w:val="24"/>
        </w:rPr>
        <w:t>.</w:t>
      </w:r>
      <w:r>
        <w:rPr>
          <w:rFonts w:ascii="Times New Roman" w:hAnsi="Times New Roman"/>
          <w:color w:val="000000" w:themeColor="text1"/>
          <w:sz w:val="24"/>
          <w:szCs w:val="24"/>
        </w:rPr>
        <w:t xml:space="preserve">2. </w:t>
      </w:r>
      <w:r w:rsidRPr="00AD62F6">
        <w:rPr>
          <w:rFonts w:ascii="Times New Roman" w:hAnsi="Times New Roman"/>
          <w:color w:val="000000" w:themeColor="text1"/>
          <w:sz w:val="24"/>
          <w:szCs w:val="24"/>
        </w:rPr>
        <w:t>Первичная фармакодинамика</w:t>
      </w:r>
      <w:r>
        <w:rPr>
          <w:rFonts w:ascii="Times New Roman" w:hAnsi="Times New Roman"/>
          <w:color w:val="000000" w:themeColor="text1"/>
          <w:sz w:val="24"/>
          <w:szCs w:val="24"/>
        </w:rPr>
        <w:t xml:space="preserve"> </w:t>
      </w:r>
      <w:r w:rsidRPr="00AD62F6">
        <w:rPr>
          <w:rFonts w:ascii="Times New Roman" w:hAnsi="Times New Roman"/>
          <w:i/>
          <w:color w:val="000000" w:themeColor="text1"/>
          <w:sz w:val="24"/>
          <w:szCs w:val="24"/>
        </w:rPr>
        <w:t>in</w:t>
      </w:r>
      <w:r>
        <w:rPr>
          <w:rFonts w:ascii="Times New Roman" w:hAnsi="Times New Roman"/>
          <w:i/>
          <w:color w:val="000000" w:themeColor="text1"/>
          <w:sz w:val="24"/>
          <w:szCs w:val="24"/>
        </w:rPr>
        <w:t xml:space="preserve"> </w:t>
      </w:r>
      <w:r w:rsidRPr="00AD62F6">
        <w:rPr>
          <w:rFonts w:ascii="Times New Roman" w:hAnsi="Times New Roman"/>
          <w:i/>
          <w:color w:val="000000" w:themeColor="text1"/>
          <w:sz w:val="24"/>
          <w:szCs w:val="24"/>
        </w:rPr>
        <w:t>vivo</w:t>
      </w:r>
      <w:bookmarkEnd w:id="77"/>
    </w:p>
    <w:p w14:paraId="7436A855" w14:textId="0AF68B9E" w:rsidR="00295007" w:rsidRDefault="00295007" w:rsidP="008B0B82">
      <w:pPr>
        <w:ind w:firstLine="709"/>
      </w:pPr>
      <w:r w:rsidRPr="00764BE0">
        <w:t xml:space="preserve">Доклинические исследования противовирусной активности </w:t>
      </w:r>
      <w:r>
        <w:t>этравирина</w:t>
      </w:r>
      <w:r w:rsidRPr="00764BE0">
        <w:t xml:space="preserve"> в отношении ВИЧ </w:t>
      </w:r>
      <w:r w:rsidRPr="00764BE0">
        <w:rPr>
          <w:i/>
          <w:iCs/>
        </w:rPr>
        <w:t>in vivo</w:t>
      </w:r>
      <w:r w:rsidRPr="00764BE0">
        <w:t xml:space="preserve"> на лабораторных животных не проводились.</w:t>
      </w:r>
      <w:r w:rsidRPr="005478F8">
        <w:t xml:space="preserve"> </w:t>
      </w:r>
      <w:r>
        <w:t>И</w:t>
      </w:r>
      <w:r w:rsidRPr="00764BE0">
        <w:t xml:space="preserve">сследования </w:t>
      </w:r>
      <w:r>
        <w:t>этравирина</w:t>
      </w:r>
      <w:r w:rsidRPr="00764BE0">
        <w:t xml:space="preserve"> </w:t>
      </w:r>
      <w:r>
        <w:rPr>
          <w:i/>
          <w:iCs/>
          <w:lang w:val="en-US"/>
        </w:rPr>
        <w:t>i</w:t>
      </w:r>
      <w:r w:rsidRPr="00764BE0">
        <w:rPr>
          <w:i/>
          <w:iCs/>
        </w:rPr>
        <w:t>n vivo</w:t>
      </w:r>
      <w:r w:rsidRPr="00764BE0">
        <w:t xml:space="preserve"> были выполнены непосредственно при проведении клинических исследований, чему предшествовала всесторонняя оценка фармакологической и токсикологической безопасности </w:t>
      </w:r>
      <w:r>
        <w:t>этравирина</w:t>
      </w:r>
      <w:r w:rsidRPr="00764BE0">
        <w:t xml:space="preserve"> на животных </w:t>
      </w:r>
      <w:r>
        <w:fldChar w:fldCharType="begin"/>
      </w:r>
      <w:r>
        <w:instrText xml:space="preserve"> ADDIN ZOTERO_ITEM CSL_CITATION {"citationID":"Obv64HL1","properties":{"formattedCitation":"(1,32,36,37)","plainCitation":"(1,32,36,37)","noteIndex":0},"citationItems":[{"id":2460,"uris":["http://zotero.org/users/5483459/items/AZ4GNHE7"],"itemData":{"id":2460,"type":"document","title":"Product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1,</w:t>
      </w:r>
      <w:r w:rsidR="003D1D85">
        <w:t xml:space="preserve"> </w:t>
      </w:r>
      <w:r w:rsidRPr="008749F9">
        <w:t>32,</w:t>
      </w:r>
      <w:r w:rsidR="003D1D85">
        <w:t xml:space="preserve"> </w:t>
      </w:r>
      <w:r w:rsidRPr="008749F9">
        <w:t>36,</w:t>
      </w:r>
      <w:r w:rsidR="003D1D85">
        <w:t xml:space="preserve"> </w:t>
      </w:r>
      <w:r w:rsidRPr="008749F9">
        <w:t>37</w:t>
      </w:r>
      <w:r w:rsidR="00B50985" w:rsidRPr="00B50985">
        <w:t>]</w:t>
      </w:r>
      <w:r>
        <w:fldChar w:fldCharType="end"/>
      </w:r>
      <w:r w:rsidRPr="005478F8">
        <w:t>.</w:t>
      </w:r>
    </w:p>
    <w:p w14:paraId="36C5843D" w14:textId="77777777" w:rsidR="00295007" w:rsidRDefault="00295007" w:rsidP="00295007">
      <w:pPr>
        <w:spacing w:before="240" w:after="240"/>
        <w:outlineLvl w:val="2"/>
        <w:rPr>
          <w:b/>
          <w:color w:val="000000" w:themeColor="text1"/>
        </w:rPr>
      </w:pPr>
      <w:bookmarkStart w:id="78" w:name="_Toc117179190"/>
      <w:r w:rsidRPr="005E6358">
        <w:rPr>
          <w:b/>
          <w:color w:val="000000" w:themeColor="text1"/>
        </w:rPr>
        <w:t>3.1.</w:t>
      </w:r>
      <w:r>
        <w:rPr>
          <w:b/>
          <w:color w:val="000000" w:themeColor="text1"/>
        </w:rPr>
        <w:t>3</w:t>
      </w:r>
      <w:r w:rsidRPr="005E6358">
        <w:rPr>
          <w:b/>
          <w:color w:val="000000" w:themeColor="text1"/>
        </w:rPr>
        <w:t>.</w:t>
      </w:r>
      <w:bookmarkStart w:id="79" w:name="_Hlk521883759"/>
      <w:r>
        <w:rPr>
          <w:b/>
          <w:color w:val="000000" w:themeColor="text1"/>
        </w:rPr>
        <w:t xml:space="preserve"> </w:t>
      </w:r>
      <w:r w:rsidRPr="005E6358">
        <w:rPr>
          <w:b/>
          <w:color w:val="000000" w:themeColor="text1"/>
        </w:rPr>
        <w:t>Вторичная фармакодинамика</w:t>
      </w:r>
      <w:bookmarkStart w:id="80" w:name="_Toc320631473"/>
      <w:bookmarkStart w:id="81" w:name="_Toc323751703"/>
      <w:bookmarkEnd w:id="78"/>
    </w:p>
    <w:p w14:paraId="526EE7CF" w14:textId="69ECB97D" w:rsidR="00295007" w:rsidRPr="004A7D05" w:rsidRDefault="00295007" w:rsidP="009435FB">
      <w:pPr>
        <w:pStyle w:val="OT"/>
        <w:spacing w:after="0"/>
        <w:ind w:firstLine="709"/>
        <w:rPr>
          <w:sz w:val="24"/>
          <w:szCs w:val="24"/>
        </w:rPr>
      </w:pPr>
      <w:r w:rsidRPr="004A7D05">
        <w:rPr>
          <w:sz w:val="24"/>
          <w:szCs w:val="24"/>
        </w:rPr>
        <w:t xml:space="preserve">Согласно данным микробиологических исследований, </w:t>
      </w:r>
      <w:r>
        <w:rPr>
          <w:sz w:val="24"/>
          <w:szCs w:val="24"/>
        </w:rPr>
        <w:t>этравирин</w:t>
      </w:r>
      <w:r w:rsidRPr="004A7D05">
        <w:rPr>
          <w:sz w:val="24"/>
          <w:szCs w:val="24"/>
        </w:rPr>
        <w:t xml:space="preserve"> не проявлял противовирусную активность в отношении вируса гепатита B, вируса гепатита C, вируса простого герпеса 1 типа, вируса простого герпеса 2 типа, вируса, вызывающего диарею крупного рогатого скота, коронавируса человека, вируса гриппа, вируса саркомы мышей Молоуни, вируса лихорадки Синдбис, вируса коровьей оспы, вируса везикулярного стоматита и вируса желтой лихорадки </w:t>
      </w:r>
      <w:r>
        <w:rPr>
          <w:sz w:val="24"/>
          <w:szCs w:val="24"/>
        </w:rPr>
        <w:fldChar w:fldCharType="begin"/>
      </w:r>
      <w:r>
        <w:rPr>
          <w:sz w:val="24"/>
          <w:szCs w:val="24"/>
        </w:rPr>
        <w:instrText xml:space="preserve"> ADDIN ZOTERO_ITEM CSL_CITATION {"citationID":"89dlvyP9","properties":{"formattedCitation":"(32)","plainCitation":"(32)","noteIndex":0},"citationItems":[{"id":2501,"uris":["http://zotero.org/users/5483459/items/XQS79YPZ"],"itemData":{"id":2501,"type":"webpage","title":"Drug Approval Package: Intelence (Etravirine) NDA #02218. Microbiology Review(s). NDA 22-187.","URL":"https://www.accessdata.fda.gov/drugsatfda_docs/nda/2008/022187TOC.cfm","accessed":{"date-parts":[["2022",8,18]]}}}],"schema":"https://github.com/citation-style-language/schema/raw/master/csl-citation.json"} </w:instrText>
      </w:r>
      <w:r>
        <w:rPr>
          <w:sz w:val="24"/>
          <w:szCs w:val="24"/>
        </w:rPr>
        <w:fldChar w:fldCharType="separate"/>
      </w:r>
      <w:r w:rsidR="00B50985" w:rsidRPr="00B50985">
        <w:rPr>
          <w:sz w:val="24"/>
        </w:rPr>
        <w:t>[</w:t>
      </w:r>
      <w:r w:rsidRPr="008749F9">
        <w:rPr>
          <w:sz w:val="24"/>
        </w:rPr>
        <w:t>32</w:t>
      </w:r>
      <w:r w:rsidR="00B50985" w:rsidRPr="00B50985">
        <w:rPr>
          <w:sz w:val="24"/>
        </w:rPr>
        <w:t>]</w:t>
      </w:r>
      <w:r>
        <w:rPr>
          <w:sz w:val="24"/>
          <w:szCs w:val="24"/>
        </w:rPr>
        <w:fldChar w:fldCharType="end"/>
      </w:r>
      <w:r>
        <w:rPr>
          <w:sz w:val="24"/>
          <w:szCs w:val="24"/>
        </w:rPr>
        <w:t>.</w:t>
      </w:r>
    </w:p>
    <w:p w14:paraId="03BFCD44" w14:textId="17847153" w:rsidR="00295007" w:rsidRPr="004A7D05" w:rsidRDefault="00295007" w:rsidP="009435FB">
      <w:pPr>
        <w:pStyle w:val="OT"/>
        <w:spacing w:after="0"/>
        <w:ind w:firstLine="709"/>
        <w:rPr>
          <w:sz w:val="24"/>
          <w:szCs w:val="24"/>
        </w:rPr>
      </w:pPr>
      <w:r w:rsidRPr="004A7D05">
        <w:rPr>
          <w:sz w:val="24"/>
          <w:szCs w:val="24"/>
        </w:rPr>
        <w:t xml:space="preserve">При исследовании противомалярийной активности </w:t>
      </w:r>
      <w:r w:rsidRPr="009B1F7D">
        <w:rPr>
          <w:i/>
          <w:iCs/>
          <w:sz w:val="24"/>
          <w:szCs w:val="24"/>
        </w:rPr>
        <w:t>in vitro</w:t>
      </w:r>
      <w:r w:rsidRPr="004A7D05">
        <w:rPr>
          <w:sz w:val="24"/>
          <w:szCs w:val="24"/>
        </w:rPr>
        <w:t xml:space="preserve"> </w:t>
      </w:r>
      <w:r>
        <w:rPr>
          <w:sz w:val="24"/>
          <w:szCs w:val="24"/>
        </w:rPr>
        <w:t>этравирин</w:t>
      </w:r>
      <w:r w:rsidRPr="004A7D05">
        <w:rPr>
          <w:sz w:val="24"/>
          <w:szCs w:val="24"/>
        </w:rPr>
        <w:t xml:space="preserve"> показал активность в отношении штаммов W2 и 3D7 </w:t>
      </w:r>
      <w:r w:rsidRPr="009B1F7D">
        <w:rPr>
          <w:i/>
          <w:iCs/>
          <w:sz w:val="24"/>
          <w:szCs w:val="24"/>
        </w:rPr>
        <w:t>Plasmodium falciparum</w:t>
      </w:r>
      <w:r w:rsidRPr="004A7D05">
        <w:rPr>
          <w:sz w:val="24"/>
          <w:szCs w:val="24"/>
        </w:rPr>
        <w:t>, однако, IC</w:t>
      </w:r>
      <w:r w:rsidRPr="009B1F7D">
        <w:rPr>
          <w:sz w:val="24"/>
          <w:szCs w:val="24"/>
          <w:vertAlign w:val="subscript"/>
        </w:rPr>
        <w:t>50</w:t>
      </w:r>
      <w:r w:rsidRPr="004A7D05">
        <w:rPr>
          <w:sz w:val="24"/>
          <w:szCs w:val="24"/>
        </w:rPr>
        <w:t xml:space="preserve"> составили 3,1 и 3,4 мкмоль, соответственно, что значительно превышает концентрации, создаваемые в плазме крови при применении стандартных клинических доз </w:t>
      </w:r>
      <w:r>
        <w:rPr>
          <w:sz w:val="24"/>
          <w:szCs w:val="24"/>
        </w:rPr>
        <w:t>этравирина</w:t>
      </w:r>
      <w:r w:rsidRPr="004A7D05">
        <w:rPr>
          <w:sz w:val="24"/>
          <w:szCs w:val="24"/>
        </w:rPr>
        <w:t xml:space="preserve"> </w:t>
      </w:r>
      <w:r>
        <w:rPr>
          <w:sz w:val="24"/>
          <w:szCs w:val="24"/>
        </w:rPr>
        <w:fldChar w:fldCharType="begin"/>
      </w:r>
      <w:r>
        <w:rPr>
          <w:sz w:val="24"/>
          <w:szCs w:val="24"/>
        </w:rPr>
        <w:instrText xml:space="preserve"> ADDIN ZOTERO_ITEM CSL_CITATION {"citationID":"VUR5SBsT","properties":{"formattedCitation":"(38)","plainCitation":"(38)","noteIndex":0},"citationItems":[{"id":2514,"uris":["http://zotero.org/users/5483459/items/W3NZPWJJ"],"itemData":{"id":2514,"type":"article-journal","abstract":"Malaria and HIV infection are both very common in many developing countries. With the increasing availability of therapy for HIV infection, it was of interest to determine whether antiretroviral drugs exert antimalarial effects. We therefore tested the in vitro activity of 19 antiretroviral drugs against the W2 and 3D7 strains of Plasmodium falciparum at concentrations up to 50 μM. None of 5 tested nucleoside reverse transcriptase inhibitors demonstrated activity. Two nonnucleoside reverse transcriptase inhibitors, efavirenz (mean 50% inhibitory concentration [IC(50)] of 22 to 30 μM against the two strains) and etravirine (3.1 to 3.4 μM), were active; nevirapine was not active. Also active were the fusion inhibitor enfuvirtide (6.2 to 7.9 μM) and the entry inhibitor maraviroc (15 to 21 μM). Raltegravir was not active. However, for all active drugs mentioned above, the IC(50)s were considerably greater than the concentrations achieved with standard dosing. The effects most likely to be clinically relevant were with HIV protease inhibitors. Of the tested compounds, activity was seen with lopinavir (2.7 to 2.9 μM), atazanavir (3.3 to 13.0 μM), saquinavir (5.0 to 12.1 μM), nelfinavir (6.5 to 12.1 μM), ritonavir (9.5 to 10.9 μM), tipranavir (15.5 to 22.3 μM), and amprenavir (28.1 to 40.8) but not darunavir. Lopinavir was active at levels well below those achieved with standard dosing of coformulated lopinavir-ritonavir. Lopinavir also demonstrated modest synergy with the antimalarial lumefantrine (mean fractional inhibitory concentration index of 0.66 for W2 and 0.53 for 3D7). Prior data showed that lopinavir-ritonavir also extends the pharmacokinetic exposure of lumefantrine. Thus, when used to treat HIV infection, lopinavir-ritonavir may have clinically relevant antimalarial activity and also enhance the activity of antimalarials.","container-title":"Antimicrobial Agents and Chemotherapy","DOI":"10.1128/AAC.05130-11","ISSN":"1098-6596","issue":"11","journalAbbreviation":"Antimicrob Agents Chemother","language":"eng","note":"PMID: 21876053\nPMCID: PMC3194998","page":"5073-5077","source":"PubMed","title":"In vitro activity of antiretroviral drugs against Plasmodium falciparum","volume":"55","author":[{"family":"Nsanzabana","given":"Christian"},{"family":"Rosenthal","given":"Philip J."}],"issued":{"date-parts":[["2011",11]]}}}],"schema":"https://github.com/citation-style-language/schema/raw/master/csl-citation.json"} </w:instrText>
      </w:r>
      <w:r>
        <w:rPr>
          <w:sz w:val="24"/>
          <w:szCs w:val="24"/>
        </w:rPr>
        <w:fldChar w:fldCharType="separate"/>
      </w:r>
      <w:r w:rsidR="00B50985" w:rsidRPr="008B0B82">
        <w:rPr>
          <w:sz w:val="24"/>
        </w:rPr>
        <w:t>[</w:t>
      </w:r>
      <w:r w:rsidRPr="008749F9">
        <w:rPr>
          <w:sz w:val="24"/>
        </w:rPr>
        <w:t>38</w:t>
      </w:r>
      <w:r w:rsidR="00B50985" w:rsidRPr="008B0B82">
        <w:rPr>
          <w:sz w:val="24"/>
        </w:rPr>
        <w:t>]</w:t>
      </w:r>
      <w:r>
        <w:rPr>
          <w:sz w:val="24"/>
          <w:szCs w:val="24"/>
        </w:rPr>
        <w:fldChar w:fldCharType="end"/>
      </w:r>
      <w:r>
        <w:rPr>
          <w:sz w:val="24"/>
          <w:szCs w:val="24"/>
        </w:rPr>
        <w:t>.</w:t>
      </w:r>
    </w:p>
    <w:p w14:paraId="70324DBE" w14:textId="35F75996" w:rsidR="00295007" w:rsidRPr="004A7D05" w:rsidRDefault="00295007" w:rsidP="009435FB">
      <w:pPr>
        <w:pStyle w:val="OT"/>
        <w:spacing w:after="0"/>
        <w:ind w:firstLine="709"/>
        <w:rPr>
          <w:sz w:val="24"/>
          <w:szCs w:val="24"/>
        </w:rPr>
      </w:pPr>
      <w:r w:rsidRPr="004A7D05">
        <w:rPr>
          <w:sz w:val="24"/>
          <w:szCs w:val="24"/>
        </w:rPr>
        <w:t xml:space="preserve">Также было </w:t>
      </w:r>
      <w:r>
        <w:rPr>
          <w:sz w:val="24"/>
          <w:szCs w:val="24"/>
        </w:rPr>
        <w:t>изучено</w:t>
      </w:r>
      <w:r w:rsidRPr="004A7D05">
        <w:rPr>
          <w:sz w:val="24"/>
          <w:szCs w:val="24"/>
        </w:rPr>
        <w:t xml:space="preserve"> ингибирующее влияние </w:t>
      </w:r>
      <w:r>
        <w:rPr>
          <w:sz w:val="24"/>
          <w:szCs w:val="24"/>
        </w:rPr>
        <w:t>этравирина</w:t>
      </w:r>
      <w:r w:rsidRPr="004A7D05">
        <w:rPr>
          <w:sz w:val="24"/>
          <w:szCs w:val="24"/>
        </w:rPr>
        <w:t xml:space="preserve"> в отношении печеночной стадии развития </w:t>
      </w:r>
      <w:r w:rsidRPr="009E35AD">
        <w:rPr>
          <w:i/>
          <w:iCs/>
          <w:sz w:val="24"/>
          <w:szCs w:val="24"/>
        </w:rPr>
        <w:t>Plasmodium berghei</w:t>
      </w:r>
      <w:r w:rsidRPr="004A7D05">
        <w:rPr>
          <w:sz w:val="24"/>
          <w:szCs w:val="24"/>
        </w:rPr>
        <w:t xml:space="preserve">, паразита, вызывающего малярию у грызунов. Показано, что </w:t>
      </w:r>
      <w:r w:rsidRPr="009E35AD">
        <w:rPr>
          <w:i/>
          <w:iCs/>
          <w:sz w:val="24"/>
          <w:szCs w:val="24"/>
        </w:rPr>
        <w:t>in vitro</w:t>
      </w:r>
      <w:r w:rsidRPr="004A7D05">
        <w:rPr>
          <w:sz w:val="24"/>
          <w:szCs w:val="24"/>
        </w:rPr>
        <w:t xml:space="preserve"> и </w:t>
      </w:r>
      <w:r w:rsidRPr="009E35AD">
        <w:rPr>
          <w:i/>
          <w:iCs/>
          <w:sz w:val="24"/>
          <w:szCs w:val="24"/>
        </w:rPr>
        <w:t>in vivo</w:t>
      </w:r>
      <w:r w:rsidRPr="004A7D05">
        <w:rPr>
          <w:sz w:val="24"/>
          <w:szCs w:val="24"/>
        </w:rPr>
        <w:t xml:space="preserve"> </w:t>
      </w:r>
      <w:r>
        <w:rPr>
          <w:sz w:val="24"/>
          <w:szCs w:val="24"/>
        </w:rPr>
        <w:t>этровирин</w:t>
      </w:r>
      <w:r w:rsidRPr="004A7D05">
        <w:rPr>
          <w:sz w:val="24"/>
          <w:szCs w:val="24"/>
        </w:rPr>
        <w:t xml:space="preserve"> ингибировал развитие паразита за счет снижения его способности развиваться внутри клеток печени, IC</w:t>
      </w:r>
      <w:r w:rsidRPr="009E35AD">
        <w:rPr>
          <w:sz w:val="24"/>
          <w:szCs w:val="24"/>
          <w:vertAlign w:val="subscript"/>
        </w:rPr>
        <w:t>50</w:t>
      </w:r>
      <w:r w:rsidRPr="004A7D05">
        <w:rPr>
          <w:sz w:val="24"/>
          <w:szCs w:val="24"/>
        </w:rPr>
        <w:t xml:space="preserve"> в среднем составила 4,4 мкмоль </w:t>
      </w:r>
      <w:r>
        <w:rPr>
          <w:sz w:val="24"/>
          <w:szCs w:val="24"/>
        </w:rPr>
        <w:fldChar w:fldCharType="begin"/>
      </w:r>
      <w:r>
        <w:rPr>
          <w:sz w:val="24"/>
          <w:szCs w:val="24"/>
        </w:rPr>
        <w:instrText xml:space="preserve"> ADDIN ZOTERO_ITEM CSL_CITATION {"citationID":"POR2ZdTO","properties":{"formattedCitation":"(39)","plainCitation":"(39)","noteIndex":0},"citationItems":[{"id":2517,"uris":["http://zotero.org/users/5483459/items/56BHWARW"],"itemData":{"id":2517,"type":"article-journal","abstract":"Recent WHO guidelines on control of human immunodeficiency virus (HIV) call for the widespread use of antiretroviral (AR) therapy (ART) for people living with HIV. Given the considerable overlap between infections by HIV and Plasmodium, the causative agent of malaria, it is important to understand the impact of AR compounds and ART regimens on infections by malaria parasites. We undertook a systematic approach to identify AR drugs and ART drug combinations with inhibitory activity against the obligatory hepatic stage of Plasmodium infection. Our in vitro screen of a wide array of AR drugs identified the non-nucleoside reverse transcriptase inhibitors efavirenz and etravirine (ETV), and the protease inhibitor nelfinavir, as compounds that significantly impair the development of the rodent malaria parasite P. berghei in an hepatoma cell line. Furthermore, we show that WHO-recommended ART drug combinations currently employed in the field strongly inhibit Plasmodium liver infection in mice, an effect that may be significantly enhanced by the inclusion of ETV in the treatment. Our observations are the first report of ETV as an anti-Plasmodial drug, paving the way for further evaluation and potential use of ETV-containing ARTs in regions of geographical overlap between HIV and Plasmodium infections.","container-title":"Frontiers in Cellular and Infection Microbiology","DOI":"10.3389/fcimb.2017.00329","ISSN":"2235-2988","journalAbbreviation":"Front Cell Infect Microbiol","language":"eng","note":"PMID: 28770176\nPMCID: PMC5515864","page":"329","source":"PubMed","title":"Inhibition of Plasmodium Hepatic Infection by Antiretroviral Compounds","volume":"7","author":[{"family":"Machado","given":"Marta"},{"family":"Sanches-Vaz","given":"Margarida"},{"family":"Cruz","given":"João P."},{"family":"Mendes","given":"António M."},{"family":"Prudêncio","given":"Miguel"}],"issued":{"date-parts":[["2017"]]}}}],"schema":"https://github.com/citation-style-language/schema/raw/master/csl-citation.json"} </w:instrText>
      </w:r>
      <w:r>
        <w:rPr>
          <w:sz w:val="24"/>
          <w:szCs w:val="24"/>
        </w:rPr>
        <w:fldChar w:fldCharType="separate"/>
      </w:r>
      <w:r w:rsidR="00B50985" w:rsidRPr="00B50985">
        <w:rPr>
          <w:sz w:val="24"/>
        </w:rPr>
        <w:t>[</w:t>
      </w:r>
      <w:r w:rsidRPr="008749F9">
        <w:rPr>
          <w:sz w:val="24"/>
        </w:rPr>
        <w:t>39</w:t>
      </w:r>
      <w:r w:rsidR="00B50985" w:rsidRPr="00B50985">
        <w:rPr>
          <w:sz w:val="24"/>
        </w:rPr>
        <w:t>]</w:t>
      </w:r>
      <w:r>
        <w:rPr>
          <w:sz w:val="24"/>
          <w:szCs w:val="24"/>
        </w:rPr>
        <w:fldChar w:fldCharType="end"/>
      </w:r>
      <w:r>
        <w:rPr>
          <w:sz w:val="24"/>
          <w:szCs w:val="24"/>
        </w:rPr>
        <w:t>.</w:t>
      </w:r>
    </w:p>
    <w:p w14:paraId="12DAB9CC" w14:textId="206D80A5" w:rsidR="00FC30B0" w:rsidRPr="00FC30B0" w:rsidRDefault="00295007" w:rsidP="009435FB">
      <w:pPr>
        <w:pStyle w:val="OT"/>
        <w:spacing w:after="0"/>
        <w:ind w:firstLine="709"/>
        <w:rPr>
          <w:sz w:val="24"/>
          <w:szCs w:val="24"/>
        </w:rPr>
      </w:pPr>
      <w:r w:rsidRPr="004A7D05">
        <w:rPr>
          <w:sz w:val="24"/>
          <w:szCs w:val="24"/>
        </w:rPr>
        <w:t xml:space="preserve">Исследование, проведенное с использованием молекулярного докинга, позволило смоделировать ингибирующее влияние некоторых АРВП против основной протеазы и РНК-зависимой РНК полимеразы (RdRp) вируса </w:t>
      </w:r>
      <w:bookmarkStart w:id="82" w:name="_Hlk112755680"/>
      <w:r w:rsidRPr="004A7D05">
        <w:rPr>
          <w:sz w:val="24"/>
          <w:szCs w:val="24"/>
        </w:rPr>
        <w:t>SARS-CoV-2</w:t>
      </w:r>
      <w:r w:rsidR="00FC30B0">
        <w:rPr>
          <w:sz w:val="24"/>
          <w:szCs w:val="24"/>
        </w:rPr>
        <w:t xml:space="preserve"> (</w:t>
      </w:r>
      <w:r w:rsidR="00FC30B0" w:rsidRPr="00FC30B0">
        <w:rPr>
          <w:sz w:val="24"/>
          <w:szCs w:val="24"/>
        </w:rPr>
        <w:t>новый коронавирус, вызвавший пандемию COVID-19</w:t>
      </w:r>
      <w:r w:rsidR="00FC30B0">
        <w:rPr>
          <w:sz w:val="24"/>
          <w:szCs w:val="24"/>
        </w:rPr>
        <w:t xml:space="preserve">). </w:t>
      </w:r>
    </w:p>
    <w:bookmarkEnd w:id="82"/>
    <w:p w14:paraId="54DD5A06" w14:textId="5AD1D9F2" w:rsidR="00295007" w:rsidRPr="004A7D05" w:rsidRDefault="00295007" w:rsidP="009435FB">
      <w:pPr>
        <w:pStyle w:val="OT"/>
        <w:spacing w:after="0"/>
        <w:ind w:firstLine="709"/>
        <w:rPr>
          <w:sz w:val="24"/>
          <w:szCs w:val="24"/>
        </w:rPr>
      </w:pPr>
      <w:r w:rsidRPr="004A7D05">
        <w:rPr>
          <w:sz w:val="24"/>
          <w:szCs w:val="24"/>
        </w:rPr>
        <w:t xml:space="preserve">Так же, как и ряд других препаратов, </w:t>
      </w:r>
      <w:r>
        <w:rPr>
          <w:sz w:val="24"/>
          <w:szCs w:val="24"/>
        </w:rPr>
        <w:t>этравирин</w:t>
      </w:r>
      <w:r w:rsidRPr="004A7D05">
        <w:rPr>
          <w:sz w:val="24"/>
          <w:szCs w:val="24"/>
        </w:rPr>
        <w:t xml:space="preserve"> показал высокую аффинность к рецептору Mpro и к RdRp, хорошую биодоступность и возможное лекарственное действие против SARS-CoV-2</w:t>
      </w:r>
      <w:r w:rsidR="00B50985" w:rsidRPr="00B50985">
        <w:rPr>
          <w:sz w:val="24"/>
          <w:szCs w:val="24"/>
        </w:rPr>
        <w:t xml:space="preserve"> [</w:t>
      </w:r>
      <w:r>
        <w:rPr>
          <w:sz w:val="24"/>
          <w:szCs w:val="24"/>
        </w:rPr>
        <w:fldChar w:fldCharType="begin"/>
      </w:r>
      <w:r>
        <w:rPr>
          <w:sz w:val="24"/>
          <w:szCs w:val="24"/>
        </w:rPr>
        <w:instrText xml:space="preserve"> ADDIN ZOTERO_ITEM CSL_CITATION {"citationID":"3JvlCaMT","properties":{"formattedCitation":"(40)","plainCitation":"(40)","noteIndex":0},"citationItems":[{"id":2520,"uris":["http://zotero.org/users/5483459/items/K7II8PYH"],"itemData":{"id":2520,"type":"article-journal","abstract":"BACKGROUND: Outbreak of COVID-19 has been recognized as a global health concern since it causes high rates of morbidity and mortality. No specific antiviral drugs are available for the treatment of COVID-19 till date. Drug repurposing strategy helps to find out the drugs for COVID-19 treatment from existing FDA approved antiviral drugs. In this study, FDA approved small molecule antiviral drugs were repurposed against the major viral proteins of SARS-CoV-2.\nMETHODS: The 3D structures of FDA approved small molecule antiviral drugs were retrieved from PubChem. Virtual screening was performed to find out the lead antiviral drug molecules against main protease (Mpro) and RNA-dependent RNA polymerase (RdRp) using COVID-19 Docking Server. Furthermore, lead molecules were individually docked against protein targets using AutoDock 4.0.1 software and their drug-likeness and ADMET properties were evaluated.\nRESULTS: Out of 65 FDA approved small molecule antiviral drugs screened, Raltegravir showed highest interaction energy value of -9 kcal/mol against Mpro of SARS-CoV-2 and Indinavir, Tipranavir, and Pibrentasvir exhibited a binding energy value of ≥-8 kcal/mol. Similarly Indinavir showed the highest binding energy of -11.5 kcal/mol against the target protein RdRp and Dolutegravir, Elbasvir, Tipranavir, Taltegravir, Grazoprevir, Daclatasvir, Glecaprevir, Ledipasvir, Pibrentasvir and Velpatasvir showed a binding energy value in range from -8 to -11.2 kcal/mol. The antiviral drugs Raltegravir, Indinavir, Tipranavir, Dolutegravir, and Etravirine also exhibited good bioavailability and drug-likeness properties.\nCONCLUSION: This study suggests that the screened small molecule antiviral drugs Raltegravir, Indinavir, Tipranavir, Dolutegravir, and Etravirine could serve as potential drugs for the treatment of COVID-19 with further validation studies.","container-title":"Journal of Infection and Public Health","DOI":"10.1016/j.jiph.2020.10.015","ISSN":"1876-035X","issue":"12","journalAbbreviation":"J Infect Public Health","language":"eng","note":"PMID: 33168456\nPMCID: PMC7587076","page":"1856-1861","source":"PubMed","title":"Raltegravir, Indinavir, Tipranavir, Dolutegravir, and Etravirine against main protease and RNA-dependent RNA polymerase of SARS-CoV-2: A molecular docking and drug repurposing approach","title-short":"Raltegravir, Indinavir, Tipranavir, Dolutegravir, and Etravirine against main protease and RNA-dependent RNA polymerase of SARS-CoV-2","volume":"13","author":[{"family":"Indu","given":"Purushothaman"},{"family":"Rameshkumar","given":"Marimuthu Ragavan"},{"family":"Arunagirinathan","given":"Narasingam"},{"family":"Al-Dhabi","given":"Naif Abdullah"},{"family":"Valan Arasu","given":"Mariadhas"},{"family":"Ignacimuthu","given":"Savarimuthu"}],"issued":{"date-parts":[["2020",12]]}}}],"schema":"https://github.com/citation-style-language/schema/raw/master/csl-citation.json"} </w:instrText>
      </w:r>
      <w:r>
        <w:rPr>
          <w:sz w:val="24"/>
          <w:szCs w:val="24"/>
        </w:rPr>
        <w:fldChar w:fldCharType="separate"/>
      </w:r>
      <w:r w:rsidRPr="008749F9">
        <w:rPr>
          <w:sz w:val="24"/>
        </w:rPr>
        <w:t>40</w:t>
      </w:r>
      <w:r w:rsidR="00B50985" w:rsidRPr="008B0B82">
        <w:rPr>
          <w:sz w:val="24"/>
        </w:rPr>
        <w:t>]</w:t>
      </w:r>
      <w:r>
        <w:rPr>
          <w:sz w:val="24"/>
          <w:szCs w:val="24"/>
        </w:rPr>
        <w:fldChar w:fldCharType="end"/>
      </w:r>
      <w:r>
        <w:rPr>
          <w:sz w:val="24"/>
          <w:szCs w:val="24"/>
        </w:rPr>
        <w:t>.</w:t>
      </w:r>
    </w:p>
    <w:p w14:paraId="4AD37684" w14:textId="3001B465" w:rsidR="00295007" w:rsidRPr="004A7D05" w:rsidRDefault="00295007" w:rsidP="009435FB">
      <w:pPr>
        <w:pStyle w:val="OT"/>
        <w:spacing w:after="0"/>
        <w:ind w:firstLine="709"/>
        <w:rPr>
          <w:sz w:val="24"/>
          <w:szCs w:val="24"/>
        </w:rPr>
      </w:pPr>
      <w:r w:rsidRPr="004A7D05">
        <w:rPr>
          <w:sz w:val="24"/>
          <w:szCs w:val="24"/>
        </w:rPr>
        <w:t xml:space="preserve">В связи с тем, что вирус Зика продуцирует неструктурные регуляторные белки, включая </w:t>
      </w:r>
      <w:bookmarkStart w:id="83" w:name="_Hlk112230269"/>
      <w:r w:rsidRPr="004A7D05">
        <w:rPr>
          <w:sz w:val="24"/>
          <w:szCs w:val="24"/>
        </w:rPr>
        <w:t>NS5</w:t>
      </w:r>
      <w:bookmarkEnd w:id="83"/>
      <w:r w:rsidRPr="004A7D05">
        <w:rPr>
          <w:sz w:val="24"/>
          <w:szCs w:val="24"/>
        </w:rPr>
        <w:t xml:space="preserve">, который играет ключевую роль в транскрипции и репликации вируса и обладает RdRp активностью, препараты, ингибирующие ферментативную активность NS5, способны подавлять вирус. Исследования с применением молекулярного докинга подтвердили, что ННИОТ, включая </w:t>
      </w:r>
      <w:r w:rsidR="00587A8B">
        <w:rPr>
          <w:sz w:val="24"/>
          <w:szCs w:val="24"/>
        </w:rPr>
        <w:t>этравирин</w:t>
      </w:r>
      <w:r w:rsidRPr="004A7D05">
        <w:rPr>
          <w:sz w:val="24"/>
          <w:szCs w:val="24"/>
        </w:rPr>
        <w:t xml:space="preserve">, предположительно, способны оказывать ингибирующее действие на NS5 и подавлять вирус Зика </w:t>
      </w:r>
      <w:r>
        <w:rPr>
          <w:sz w:val="24"/>
          <w:szCs w:val="24"/>
        </w:rPr>
        <w:fldChar w:fldCharType="begin"/>
      </w:r>
      <w:r>
        <w:rPr>
          <w:sz w:val="24"/>
          <w:szCs w:val="24"/>
        </w:rPr>
        <w:instrText xml:space="preserve"> ADDIN ZOTERO_ITEM CSL_CITATION {"citationID":"C7uXjfLw","properties":{"formattedCitation":"(41)","plainCitation":"(41)","noteIndex":0},"citationItems":[{"id":2523,"uris":["http://zotero.org/users/5483459/items/NYSKZW8I"],"itemData":{"id":2523,"type":"article-journal","abstract":"Zika virus (ZIKV) infection is associated with microcephaly in neonates and Guillain-Barré syndrome in adults. ZIKV produces a class of nonstructural (NS) regulatory proteins that play a critical role in viral transcription and replication, including NS5, which possesses RNA-dependent RNA polymerase (RdRp) activity. Here we demonstrate that rilpivirine (RPV), a non-nucleoside reverse transcriptase inhibitor (NNRTI) used in the treatment of HIV-1 infection, inhibits the enzymatic activity of NS5 and suppresses ZIKV infection and replication in primary human astrocytes. Similarly, other members of the NNRTI family, including etravirine and efavirenz, showed inhibitory effects on viral infection of brain cells. Site-directed mutagenesis identified 14 amino acid residues within the NS5 RdRp domain (AA265-903), which are important for the RPV interaction and the inhibition of NS5 polymerase activity. Administration of RPV to ZIKV-infected interferon-alpha/beta receptor (IFN-A/R) knockout mice improved the clinical outcome and prevented ZIKV-induced mortality. Histopathological examination of the brains from infected animals revealed that RPV reduced ZIKV RNA levels in the hippocampus, frontal cortex, thalamus, and cerebellum. Repurposing of NNRTIs, such as RPV, for the inhibition of ZIKV replication offers a possible therapeutic strategy for the prevention and treatment of ZIKV-associated disease.","container-title":"Molecular Therapy: The Journal of the American Society of Gene Therapy","DOI":"10.1016/j.ymthe.2019.10.006","ISSN":"1525-0024","issue":"12","journalAbbreviation":"Mol Ther","language":"eng","note":"PMID: 31653397\nPMCID: PMC6904669","page":"2067-2079","source":"PubMed","title":"Suppression of Zika Virus Infection in the Brain by the Antiretroviral Drug Rilpivirine","volume":"27","author":[{"family":"Sariyer","given":"Ilker Kudret"},{"family":"Gordon","given":"Jennifer"},{"family":"Burdo","given":"Tricia H."},{"family":"Wollebo","given":"Hassen S."},{"family":"Gianti","given":"Eleonora"},{"family":"Donadoni","given":"Martina"},{"family":"Bellizzi","given":"Anna"},{"family":"Cicalese","given":"Stephanie"},{"family":"Loomis","given":"Regina"},{"family":"Robinson","given":"Jake A."},{"family":"Carnevale","given":"Vincenzo"},{"family":"Steiner","given":"Joseph"},{"family":"Ozdener","given":"Mehmet H."},{"family":"Miller","given":"Andrew D."},{"family":"Amini","given":"Shohreh"},{"family":"Klein","given":"Michael L."},{"family":"Khalili","given":"Kamel"}],"issued":{"date-parts":[["2019",12,4]]}}}],"schema":"https://github.com/citation-style-language/schema/raw/master/csl-citation.json"} </w:instrText>
      </w:r>
      <w:r>
        <w:rPr>
          <w:sz w:val="24"/>
          <w:szCs w:val="24"/>
        </w:rPr>
        <w:fldChar w:fldCharType="separate"/>
      </w:r>
      <w:r w:rsidR="00B50985">
        <w:rPr>
          <w:sz w:val="24"/>
        </w:rPr>
        <w:t>[</w:t>
      </w:r>
      <w:r w:rsidRPr="008749F9">
        <w:rPr>
          <w:sz w:val="24"/>
        </w:rPr>
        <w:t>41</w:t>
      </w:r>
      <w:r w:rsidR="00B50985" w:rsidRPr="00B66676">
        <w:rPr>
          <w:sz w:val="24"/>
        </w:rPr>
        <w:t>]</w:t>
      </w:r>
      <w:r>
        <w:rPr>
          <w:sz w:val="24"/>
          <w:szCs w:val="24"/>
        </w:rPr>
        <w:fldChar w:fldCharType="end"/>
      </w:r>
      <w:r>
        <w:rPr>
          <w:sz w:val="24"/>
          <w:szCs w:val="24"/>
        </w:rPr>
        <w:t>.</w:t>
      </w:r>
    </w:p>
    <w:p w14:paraId="2D7673BB" w14:textId="77777777" w:rsidR="00295007" w:rsidRDefault="00295007" w:rsidP="00295007">
      <w:pPr>
        <w:spacing w:before="240" w:after="240"/>
        <w:outlineLvl w:val="2"/>
        <w:rPr>
          <w:b/>
          <w:color w:val="000000" w:themeColor="text1"/>
        </w:rPr>
      </w:pPr>
      <w:bookmarkStart w:id="84" w:name="_Toc499821139"/>
      <w:bookmarkStart w:id="85" w:name="_Toc117179191"/>
      <w:bookmarkEnd w:id="79"/>
      <w:r w:rsidRPr="005E6358">
        <w:rPr>
          <w:b/>
          <w:color w:val="000000" w:themeColor="text1"/>
        </w:rPr>
        <w:t>3.1.</w:t>
      </w:r>
      <w:r>
        <w:rPr>
          <w:b/>
          <w:color w:val="000000" w:themeColor="text1"/>
        </w:rPr>
        <w:t>4</w:t>
      </w:r>
      <w:r w:rsidRPr="005E6358">
        <w:rPr>
          <w:b/>
          <w:color w:val="000000" w:themeColor="text1"/>
        </w:rPr>
        <w:t>. Фармакологическая безопасност</w:t>
      </w:r>
      <w:bookmarkEnd w:id="84"/>
      <w:r w:rsidRPr="005E6358">
        <w:rPr>
          <w:b/>
          <w:color w:val="000000" w:themeColor="text1"/>
        </w:rPr>
        <w:t>ь</w:t>
      </w:r>
      <w:bookmarkEnd w:id="85"/>
    </w:p>
    <w:p w14:paraId="3442953E" w14:textId="504BC055" w:rsidR="00295007" w:rsidRDefault="00295007" w:rsidP="008B0B82">
      <w:pPr>
        <w:pStyle w:val="OT"/>
        <w:spacing w:after="0"/>
        <w:ind w:firstLine="709"/>
        <w:rPr>
          <w:sz w:val="24"/>
          <w:szCs w:val="24"/>
        </w:rPr>
      </w:pPr>
      <w:r w:rsidRPr="00166AE1">
        <w:rPr>
          <w:sz w:val="24"/>
          <w:szCs w:val="24"/>
        </w:rPr>
        <w:lastRenderedPageBreak/>
        <w:t xml:space="preserve">Исследования фармакологической безопасности на животных показали, что этравирин не оказывал значимого воздействия на калиевые каналы сердца и на параметры потенциала действия сердечной мышцы. Не было обнаружено какого-либо значимого влияния этравирин на нервную систему, за исключением незначительного ингибирования никотинергических рецепторов гладкой мускулатуры, а также незначительного связывания с глициновыми рецепторами. Показано токсическое действие этравирин на печень </w:t>
      </w:r>
      <w:r w:rsidRPr="00166AE1">
        <w:rPr>
          <w:sz w:val="24"/>
          <w:szCs w:val="24"/>
        </w:rPr>
        <w:fldChar w:fldCharType="begin"/>
      </w:r>
      <w:r>
        <w:rPr>
          <w:sz w:val="24"/>
          <w:szCs w:val="24"/>
        </w:rPr>
        <w:instrText xml:space="preserve"> ADDIN ZOTERO_ITEM CSL_CITATION {"citationID":"F3HkEl6c","properties":{"formattedCitation":"(1,36)","plainCitation":"(1,36)","noteIndex":0},"citationItems":[{"id":2460,"uris":["http://zotero.org/users/5483459/items/AZ4GNHE7"],"itemData":{"id":2460,"type":"document","title":"Product Monograph INTELENCE® etravirine tablets 25 mg, 100 mg, 200 mg. Janssen Inc.  Date of Revision: May 17, 2017."},"label":"page"},{"id":2512,"uris":["http://zotero.org/users/5483459/items/D5YAPSNZ"],"itemData":{"id":2512,"type":"document","title":"Drug Approval Package: Intelence (Etravirine) NDA #02218. Pharmacology Review(s) Drug Approval Package: Etravirine. NDA 22-187. Part I."},"label":"page"}],"schema":"https://github.com/citation-style-language/schema/raw/master/csl-citation.json"} </w:instrText>
      </w:r>
      <w:r w:rsidRPr="00166AE1">
        <w:rPr>
          <w:sz w:val="24"/>
          <w:szCs w:val="24"/>
        </w:rPr>
        <w:fldChar w:fldCharType="separate"/>
      </w:r>
      <w:r w:rsidR="00B50985" w:rsidRPr="00B66676">
        <w:rPr>
          <w:sz w:val="24"/>
        </w:rPr>
        <w:t>[</w:t>
      </w:r>
      <w:r w:rsidRPr="008749F9">
        <w:rPr>
          <w:sz w:val="24"/>
        </w:rPr>
        <w:t>1,</w:t>
      </w:r>
      <w:r w:rsidR="003D1D85">
        <w:rPr>
          <w:sz w:val="24"/>
        </w:rPr>
        <w:t xml:space="preserve"> </w:t>
      </w:r>
      <w:r w:rsidRPr="008749F9">
        <w:rPr>
          <w:sz w:val="24"/>
        </w:rPr>
        <w:t>36</w:t>
      </w:r>
      <w:r w:rsidR="00B50985" w:rsidRPr="00B66676">
        <w:rPr>
          <w:sz w:val="24"/>
        </w:rPr>
        <w:t>]</w:t>
      </w:r>
      <w:r w:rsidRPr="00166AE1">
        <w:rPr>
          <w:sz w:val="24"/>
          <w:szCs w:val="24"/>
        </w:rPr>
        <w:fldChar w:fldCharType="end"/>
      </w:r>
      <w:r w:rsidRPr="00166AE1">
        <w:rPr>
          <w:sz w:val="24"/>
          <w:szCs w:val="24"/>
        </w:rPr>
        <w:t>.</w:t>
      </w:r>
    </w:p>
    <w:p w14:paraId="5226FF7F" w14:textId="77777777" w:rsidR="003D1D85" w:rsidRPr="00166AE1" w:rsidRDefault="003D1D85" w:rsidP="008B0B82">
      <w:pPr>
        <w:pStyle w:val="OT"/>
        <w:spacing w:after="0"/>
        <w:ind w:firstLine="709"/>
        <w:rPr>
          <w:sz w:val="24"/>
          <w:szCs w:val="24"/>
        </w:rPr>
      </w:pPr>
    </w:p>
    <w:p w14:paraId="796429DC" w14:textId="77777777" w:rsidR="00295007" w:rsidRPr="000E05C3" w:rsidRDefault="00295007" w:rsidP="008B0B82">
      <w:pPr>
        <w:pStyle w:val="OT"/>
        <w:spacing w:after="0"/>
        <w:rPr>
          <w:b/>
          <w:bCs/>
          <w:sz w:val="24"/>
          <w:szCs w:val="24"/>
        </w:rPr>
      </w:pPr>
      <w:r w:rsidRPr="000E05C3">
        <w:rPr>
          <w:b/>
          <w:bCs/>
          <w:sz w:val="24"/>
          <w:szCs w:val="24"/>
        </w:rPr>
        <w:t>Влияние на сердечно-сосудистую систему</w:t>
      </w:r>
    </w:p>
    <w:p w14:paraId="36875FC1" w14:textId="77777777" w:rsidR="003D1D85" w:rsidRDefault="003D1D85" w:rsidP="00EE1D8E">
      <w:pPr>
        <w:pStyle w:val="OT"/>
        <w:spacing w:after="0"/>
        <w:ind w:firstLine="709"/>
        <w:rPr>
          <w:sz w:val="24"/>
          <w:szCs w:val="24"/>
        </w:rPr>
      </w:pPr>
    </w:p>
    <w:p w14:paraId="12A6E1EC" w14:textId="5DA5A3BD" w:rsidR="00295007" w:rsidRPr="009F35DE" w:rsidRDefault="00295007" w:rsidP="00EE1D8E">
      <w:pPr>
        <w:pStyle w:val="OT"/>
        <w:spacing w:after="0"/>
        <w:ind w:firstLine="709"/>
        <w:rPr>
          <w:sz w:val="24"/>
          <w:szCs w:val="24"/>
        </w:rPr>
      </w:pPr>
      <w:r w:rsidRPr="009F35DE">
        <w:rPr>
          <w:sz w:val="24"/>
          <w:szCs w:val="24"/>
        </w:rPr>
        <w:t xml:space="preserve">Сердечно-сосудистую безопасность этравирина оценивали </w:t>
      </w:r>
      <w:r w:rsidRPr="009F35DE">
        <w:rPr>
          <w:i/>
          <w:iCs/>
          <w:sz w:val="24"/>
          <w:szCs w:val="24"/>
        </w:rPr>
        <w:t>in vitro</w:t>
      </w:r>
      <w:r w:rsidRPr="009F35DE">
        <w:rPr>
          <w:sz w:val="24"/>
          <w:szCs w:val="24"/>
        </w:rPr>
        <w:t xml:space="preserve"> и </w:t>
      </w:r>
      <w:r w:rsidRPr="009F35DE">
        <w:rPr>
          <w:i/>
          <w:iCs/>
          <w:sz w:val="24"/>
          <w:szCs w:val="24"/>
        </w:rPr>
        <w:t>in vivo</w:t>
      </w:r>
      <w:r w:rsidRPr="009F35DE">
        <w:rPr>
          <w:sz w:val="24"/>
          <w:szCs w:val="24"/>
        </w:rPr>
        <w:t xml:space="preserve">, все проведенные исследования показали отсутствие значимого влияния на электрофизиологию сердца и параметры кардиогемодинамики </w:t>
      </w:r>
      <w:r w:rsidRPr="009F35DE">
        <w:rPr>
          <w:sz w:val="24"/>
          <w:szCs w:val="24"/>
        </w:rPr>
        <w:fldChar w:fldCharType="begin"/>
      </w:r>
      <w:r>
        <w:rPr>
          <w:sz w:val="24"/>
          <w:szCs w:val="24"/>
        </w:rPr>
        <w:instrText xml:space="preserve"> ADDIN ZOTERO_ITEM CSL_CITATION {"citationID":"jNtV2xfR","properties":{"formattedCitation":"(36)","plainCitation":"(36)","noteIndex":0},"citationItems":[{"id":2512,"uris":["http://zotero.org/users/5483459/items/D5YAPSNZ"],"itemData":{"id":2512,"type":"document","title":"Drug Approval Package: Intelence (Etravirine) NDA #02218. Pharmacology Review(s) Drug Approval Package: Etravirine. NDA 22-187. Part I."}}],"schema":"https://github.com/citation-style-language/schema/raw/master/csl-citation.json"} </w:instrText>
      </w:r>
      <w:r w:rsidRPr="009F35DE">
        <w:rPr>
          <w:sz w:val="24"/>
          <w:szCs w:val="24"/>
        </w:rPr>
        <w:fldChar w:fldCharType="separate"/>
      </w:r>
      <w:r w:rsidR="00B50985" w:rsidRPr="00B50985">
        <w:rPr>
          <w:sz w:val="24"/>
        </w:rPr>
        <w:t>[</w:t>
      </w:r>
      <w:r w:rsidRPr="008749F9">
        <w:rPr>
          <w:sz w:val="24"/>
        </w:rPr>
        <w:t>36</w:t>
      </w:r>
      <w:r w:rsidR="00B50985" w:rsidRPr="00B50985">
        <w:rPr>
          <w:sz w:val="24"/>
        </w:rPr>
        <w:t>]</w:t>
      </w:r>
      <w:r w:rsidRPr="009F35DE">
        <w:rPr>
          <w:sz w:val="24"/>
          <w:szCs w:val="24"/>
        </w:rPr>
        <w:fldChar w:fldCharType="end"/>
      </w:r>
      <w:r w:rsidRPr="009F35DE">
        <w:rPr>
          <w:sz w:val="24"/>
          <w:szCs w:val="24"/>
        </w:rPr>
        <w:t>.</w:t>
      </w:r>
    </w:p>
    <w:p w14:paraId="2735DE19" w14:textId="38D1312D" w:rsidR="00295007" w:rsidRDefault="00295007" w:rsidP="009435FB">
      <w:pPr>
        <w:pStyle w:val="OT"/>
        <w:spacing w:after="0"/>
        <w:ind w:firstLine="709"/>
        <w:rPr>
          <w:sz w:val="24"/>
          <w:szCs w:val="24"/>
        </w:rPr>
      </w:pPr>
      <w:r w:rsidRPr="009F35DE">
        <w:rPr>
          <w:sz w:val="24"/>
          <w:szCs w:val="24"/>
        </w:rPr>
        <w:t xml:space="preserve">В </w:t>
      </w:r>
      <w:r>
        <w:rPr>
          <w:sz w:val="24"/>
          <w:szCs w:val="24"/>
        </w:rPr>
        <w:t xml:space="preserve">исследовании </w:t>
      </w:r>
      <w:r w:rsidRPr="009F35DE">
        <w:rPr>
          <w:i/>
          <w:iCs/>
          <w:sz w:val="24"/>
          <w:szCs w:val="24"/>
        </w:rPr>
        <w:t>in vitro</w:t>
      </w:r>
      <w:r w:rsidRPr="009F35DE">
        <w:rPr>
          <w:sz w:val="24"/>
          <w:szCs w:val="24"/>
        </w:rPr>
        <w:t xml:space="preserve"> </w:t>
      </w:r>
      <w:r>
        <w:rPr>
          <w:sz w:val="24"/>
          <w:szCs w:val="24"/>
        </w:rPr>
        <w:t xml:space="preserve">в </w:t>
      </w:r>
      <w:r w:rsidRPr="009F35DE">
        <w:rPr>
          <w:sz w:val="24"/>
          <w:szCs w:val="24"/>
        </w:rPr>
        <w:t xml:space="preserve">изолированных сосочковых мышцах сердца морской свинки этравирин </w:t>
      </w:r>
      <w:r>
        <w:rPr>
          <w:sz w:val="24"/>
          <w:szCs w:val="24"/>
        </w:rPr>
        <w:t>в</w:t>
      </w:r>
      <w:r w:rsidRPr="009F35DE">
        <w:rPr>
          <w:sz w:val="24"/>
          <w:szCs w:val="24"/>
        </w:rPr>
        <w:t xml:space="preserve"> концентрациях 10</w:t>
      </w:r>
      <w:r w:rsidRPr="009F35DE">
        <w:rPr>
          <w:sz w:val="24"/>
          <w:szCs w:val="24"/>
          <w:vertAlign w:val="superscript"/>
        </w:rPr>
        <w:t>-8</w:t>
      </w:r>
      <w:r w:rsidRPr="009F35DE">
        <w:rPr>
          <w:sz w:val="24"/>
          <w:szCs w:val="24"/>
        </w:rPr>
        <w:t xml:space="preserve"> моль, 10</w:t>
      </w:r>
      <w:r w:rsidRPr="009F35DE">
        <w:rPr>
          <w:sz w:val="24"/>
          <w:szCs w:val="24"/>
          <w:vertAlign w:val="superscript"/>
        </w:rPr>
        <w:t>-7</w:t>
      </w:r>
      <w:r w:rsidRPr="009F35DE">
        <w:rPr>
          <w:sz w:val="24"/>
          <w:szCs w:val="24"/>
        </w:rPr>
        <w:t xml:space="preserve"> моль, 3×10</w:t>
      </w:r>
      <w:r w:rsidRPr="009F35DE">
        <w:rPr>
          <w:sz w:val="24"/>
          <w:szCs w:val="24"/>
          <w:vertAlign w:val="superscript"/>
        </w:rPr>
        <w:t xml:space="preserve">-7 </w:t>
      </w:r>
      <w:r w:rsidRPr="009F35DE">
        <w:rPr>
          <w:sz w:val="24"/>
          <w:szCs w:val="24"/>
        </w:rPr>
        <w:t>моль и 10</w:t>
      </w:r>
      <w:r w:rsidRPr="009F35DE">
        <w:rPr>
          <w:sz w:val="24"/>
          <w:szCs w:val="24"/>
          <w:vertAlign w:val="superscript"/>
        </w:rPr>
        <w:t>-6</w:t>
      </w:r>
      <w:r w:rsidRPr="009F35DE">
        <w:rPr>
          <w:sz w:val="24"/>
          <w:szCs w:val="24"/>
        </w:rPr>
        <w:t xml:space="preserve"> моль не оказывал влияния на электрофизиологические параметры, такие как продолжительность потенциала действия, амплитуда потенциала действия, мембранный потенциал покоя, скорость распространения потенциала действия и силу сокращения </w:t>
      </w:r>
      <w:r w:rsidRPr="009F35DE">
        <w:rPr>
          <w:sz w:val="24"/>
          <w:szCs w:val="24"/>
        </w:rPr>
        <w:fldChar w:fldCharType="begin"/>
      </w:r>
      <w:r>
        <w:rPr>
          <w:sz w:val="24"/>
          <w:szCs w:val="24"/>
        </w:rPr>
        <w:instrText xml:space="preserve"> ADDIN ZOTERO_ITEM CSL_CITATION {"citationID":"FIXeyMxk","properties":{"formattedCitation":"(36)","plainCitation":"(36)","noteIndex":0},"citationItems":[{"id":2512,"uris":["http://zotero.org/users/5483459/items/D5YAPSNZ"],"itemData":{"id":2512,"type":"document","title":"Drug Approval Package: Intelence (Etravirine) NDA #02218. Pharmacology Review(s) Drug Approval Package: Etravirine. NDA 22-187. Part I."}}],"schema":"https://github.com/citation-style-language/schema/raw/master/csl-citation.json"} </w:instrText>
      </w:r>
      <w:r w:rsidRPr="009F35DE">
        <w:rPr>
          <w:sz w:val="24"/>
          <w:szCs w:val="24"/>
        </w:rPr>
        <w:fldChar w:fldCharType="separate"/>
      </w:r>
      <w:r w:rsidR="00B50985" w:rsidRPr="00B50985">
        <w:rPr>
          <w:sz w:val="24"/>
        </w:rPr>
        <w:t>[</w:t>
      </w:r>
      <w:r w:rsidRPr="008749F9">
        <w:rPr>
          <w:sz w:val="24"/>
        </w:rPr>
        <w:t>36</w:t>
      </w:r>
      <w:r w:rsidR="00B50985" w:rsidRPr="00B50985">
        <w:rPr>
          <w:sz w:val="24"/>
        </w:rPr>
        <w:t>]</w:t>
      </w:r>
      <w:r w:rsidRPr="009F35DE">
        <w:rPr>
          <w:sz w:val="24"/>
          <w:szCs w:val="24"/>
        </w:rPr>
        <w:fldChar w:fldCharType="end"/>
      </w:r>
      <w:r w:rsidRPr="009F35DE">
        <w:rPr>
          <w:sz w:val="24"/>
          <w:szCs w:val="24"/>
        </w:rPr>
        <w:t>.</w:t>
      </w:r>
    </w:p>
    <w:p w14:paraId="12EB0419" w14:textId="69311393" w:rsidR="00295007" w:rsidRPr="009F35DE" w:rsidRDefault="00295007" w:rsidP="009435FB">
      <w:pPr>
        <w:pStyle w:val="OT"/>
        <w:spacing w:after="0"/>
        <w:ind w:firstLine="709"/>
        <w:rPr>
          <w:sz w:val="24"/>
          <w:szCs w:val="24"/>
        </w:rPr>
      </w:pPr>
      <w:r w:rsidRPr="009F35DE">
        <w:rPr>
          <w:sz w:val="24"/>
          <w:szCs w:val="24"/>
        </w:rPr>
        <w:t xml:space="preserve">При исследовании влияния этравирина на клетки линии </w:t>
      </w:r>
      <w:r w:rsidRPr="000E05C3">
        <w:rPr>
          <w:i/>
          <w:iCs/>
          <w:sz w:val="24"/>
          <w:szCs w:val="24"/>
        </w:rPr>
        <w:t>EA.hy926</w:t>
      </w:r>
      <w:r w:rsidRPr="009F35DE">
        <w:rPr>
          <w:sz w:val="24"/>
          <w:szCs w:val="24"/>
        </w:rPr>
        <w:t xml:space="preserve"> в концентрациях 3, 10 и 30 мкмоль в присутствии и без ингибитора поли(АДФ-рибоза)-полимеразы (PARP) PJ34 было показано, что при непосредственном влиянии на клеточную линию этравирин при возрастающих концентрациях не увеличивал апоптоз и некротическую гибель клеток, эти явления наблюдались только после воздействия красителем йодидом пропидия в сочетании с </w:t>
      </w:r>
      <w:r w:rsidRPr="00E53DB5">
        <w:rPr>
          <w:i/>
          <w:iCs/>
          <w:sz w:val="24"/>
          <w:szCs w:val="24"/>
        </w:rPr>
        <w:t>Hoechst</w:t>
      </w:r>
      <w:r w:rsidRPr="009F35DE">
        <w:rPr>
          <w:sz w:val="24"/>
          <w:szCs w:val="24"/>
        </w:rPr>
        <w:t xml:space="preserve"> (HPI) </w:t>
      </w:r>
      <w:r>
        <w:rPr>
          <w:sz w:val="24"/>
          <w:szCs w:val="24"/>
        </w:rPr>
        <w:fldChar w:fldCharType="begin"/>
      </w:r>
      <w:r>
        <w:rPr>
          <w:sz w:val="24"/>
          <w:szCs w:val="24"/>
        </w:rPr>
        <w:instrText xml:space="preserve"> ADDIN ZOTERO_ITEM CSL_CITATION {"citationID":"5tqqGYKx","properties":{"formattedCitation":"(42)","plainCitation":"(42)","noteIndex":0},"citationItems":[{"id":2526,"uris":["http://zotero.org/users/5483459/items/QSNUCUQB"],"itemData":{"id":2526,"type":"article-journal","abstract":"In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Pr>
          <w:sz w:val="24"/>
          <w:szCs w:val="24"/>
        </w:rPr>
        <w:fldChar w:fldCharType="separate"/>
      </w:r>
      <w:r w:rsidR="00B50985" w:rsidRPr="00B50985">
        <w:rPr>
          <w:sz w:val="24"/>
        </w:rPr>
        <w:t>[</w:t>
      </w:r>
      <w:r w:rsidRPr="008749F9">
        <w:rPr>
          <w:sz w:val="24"/>
        </w:rPr>
        <w:t>42</w:t>
      </w:r>
      <w:r w:rsidR="00B50985" w:rsidRPr="00B50985">
        <w:rPr>
          <w:sz w:val="24"/>
        </w:rPr>
        <w:t>]</w:t>
      </w:r>
      <w:r>
        <w:rPr>
          <w:sz w:val="24"/>
          <w:szCs w:val="24"/>
        </w:rPr>
        <w:fldChar w:fldCharType="end"/>
      </w:r>
      <w:r>
        <w:rPr>
          <w:sz w:val="24"/>
          <w:szCs w:val="24"/>
        </w:rPr>
        <w:t xml:space="preserve">. </w:t>
      </w:r>
      <w:r w:rsidRPr="009F35DE">
        <w:rPr>
          <w:sz w:val="24"/>
          <w:szCs w:val="24"/>
        </w:rPr>
        <w:t xml:space="preserve">Изучение влияния на эндотелиальную функцию изолированной аорты крысы показало, что этравирин приводил к дисфункции эндотелиальных клеток, включая потерю продукции NO и увеличение высвобождения воспалительных цитокинов. Однако, по сравнению с ННИОТ первого поколения, повреждающее действие этравирина на эндотелий проявлялось в меньшей степени, это дает возможность предположить более безопасный профиль </w:t>
      </w:r>
      <w:r>
        <w:rPr>
          <w:sz w:val="24"/>
          <w:szCs w:val="24"/>
        </w:rPr>
        <w:t>препарата</w:t>
      </w:r>
      <w:r w:rsidRPr="009F35DE">
        <w:rPr>
          <w:sz w:val="24"/>
          <w:szCs w:val="24"/>
        </w:rPr>
        <w:t xml:space="preserve"> в отношении побочных эффектов со стороны сердечно-сосудистой системы </w:t>
      </w:r>
      <w:r w:rsidRPr="009F35DE">
        <w:rPr>
          <w:sz w:val="24"/>
          <w:szCs w:val="24"/>
        </w:rPr>
        <w:fldChar w:fldCharType="begin"/>
      </w:r>
      <w:r>
        <w:rPr>
          <w:sz w:val="24"/>
          <w:szCs w:val="24"/>
        </w:rPr>
        <w:instrText xml:space="preserve"> ADDIN ZOTERO_ITEM CSL_CITATION {"citationID":"JGpCqORz","properties":{"formattedCitation":"(42)","plainCitation":"(42)","noteIndex":0},"citationItems":[{"id":2526,"uris":["http://zotero.org/users/5483459/items/QSNUCUQB"],"itemData":{"id":2526,"type":"article-journal","abstract":"In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sidRPr="009F35DE">
        <w:rPr>
          <w:sz w:val="24"/>
          <w:szCs w:val="24"/>
        </w:rPr>
        <w:fldChar w:fldCharType="separate"/>
      </w:r>
      <w:r w:rsidR="00B50985" w:rsidRPr="00B66676">
        <w:rPr>
          <w:sz w:val="24"/>
        </w:rPr>
        <w:t>[</w:t>
      </w:r>
      <w:r w:rsidRPr="008749F9">
        <w:rPr>
          <w:sz w:val="24"/>
        </w:rPr>
        <w:t>42</w:t>
      </w:r>
      <w:r w:rsidR="00B50985" w:rsidRPr="00B66676">
        <w:rPr>
          <w:sz w:val="24"/>
        </w:rPr>
        <w:t>]</w:t>
      </w:r>
      <w:r w:rsidRPr="009F35DE">
        <w:rPr>
          <w:sz w:val="24"/>
          <w:szCs w:val="24"/>
        </w:rPr>
        <w:fldChar w:fldCharType="end"/>
      </w:r>
      <w:r w:rsidRPr="009F35DE">
        <w:rPr>
          <w:sz w:val="24"/>
          <w:szCs w:val="24"/>
        </w:rPr>
        <w:t>.</w:t>
      </w:r>
    </w:p>
    <w:p w14:paraId="5D08DDA4" w14:textId="77777777" w:rsidR="00295007" w:rsidRDefault="00295007" w:rsidP="009435FB">
      <w:pPr>
        <w:pStyle w:val="OT"/>
        <w:spacing w:after="0"/>
        <w:ind w:firstLine="709"/>
        <w:rPr>
          <w:sz w:val="24"/>
          <w:szCs w:val="24"/>
        </w:rPr>
      </w:pPr>
      <w:r w:rsidRPr="009F35DE">
        <w:rPr>
          <w:i/>
          <w:iCs/>
          <w:sz w:val="24"/>
          <w:szCs w:val="24"/>
        </w:rPr>
        <w:t>In vivo</w:t>
      </w:r>
      <w:r w:rsidRPr="009F35DE">
        <w:rPr>
          <w:sz w:val="24"/>
          <w:szCs w:val="24"/>
        </w:rPr>
        <w:t xml:space="preserve"> у собак породы бигль этравирин в полиэтиленгликоле (ПЭГ) 400 не оказывал значимого влияния на электрокардиограмму (ЭКГ) и параметры кардиогемодинамики после однократного перорального введения через желудочный зонд в дозах 10 и 40 мг/кг. Средние уровни этравирина в плазме крови при введении 10 мг/кг составили 0,05, 0,19 и 0,23 мкг/мл, а при введении 40 мг/кг – 0,16, 0,30 и 0,23 мкг/мл через 30, 60 и 240 минут после введения, соответственно. Так как высушенный распылением этравирин имел более высокую биодоступность и системное воздействие, было проведено дополнительное исследование сердечно-сосудистой безопасности этравирина </w:t>
      </w:r>
      <w:r w:rsidRPr="009F35DE">
        <w:rPr>
          <w:i/>
          <w:iCs/>
          <w:sz w:val="24"/>
          <w:szCs w:val="24"/>
        </w:rPr>
        <w:t>in vivo</w:t>
      </w:r>
      <w:r w:rsidRPr="009F35DE">
        <w:rPr>
          <w:sz w:val="24"/>
          <w:szCs w:val="24"/>
        </w:rPr>
        <w:t xml:space="preserve"> на собаках породы бигль. В данном исследовании высушенный распылением этравирин в виде водной суспензии после однократного введения через желудочный зонд в дозах 100 и 200 мг/кг не оказывал значимого воздействия на ЭКГ и кардиогемодинамические параметры.</w:t>
      </w:r>
    </w:p>
    <w:p w14:paraId="382BBD03" w14:textId="71A29AC6" w:rsidR="00295007" w:rsidRDefault="00295007" w:rsidP="00EE1D8E">
      <w:pPr>
        <w:pStyle w:val="OT"/>
        <w:spacing w:after="0"/>
        <w:ind w:firstLine="709"/>
        <w:rPr>
          <w:sz w:val="24"/>
          <w:szCs w:val="24"/>
        </w:rPr>
      </w:pPr>
      <w:r w:rsidRPr="009F35DE">
        <w:rPr>
          <w:sz w:val="24"/>
          <w:szCs w:val="24"/>
        </w:rPr>
        <w:t xml:space="preserve">Введение в дозе 400 мг/кг (по 200 мг кг два раза в сутки с интервалом 1 </w:t>
      </w:r>
      <w:r w:rsidRPr="009F35DE">
        <w:rPr>
          <w:sz w:val="24"/>
          <w:szCs w:val="24"/>
        </w:rPr>
        <w:lastRenderedPageBreak/>
        <w:t>час) приводило к незначительному обратимому увеличению частоты сердечных сокращений и повышению артериального давления через 1 час после введения второй дозы. Средние значения максимальной плазменной концентрации (C</w:t>
      </w:r>
      <w:r w:rsidRPr="009F35DE">
        <w:rPr>
          <w:sz w:val="24"/>
          <w:szCs w:val="24"/>
          <w:vertAlign w:val="subscript"/>
        </w:rPr>
        <w:t>max</w:t>
      </w:r>
      <w:r w:rsidRPr="009F35DE">
        <w:rPr>
          <w:sz w:val="24"/>
          <w:szCs w:val="24"/>
        </w:rPr>
        <w:t>) этравирина составили 4,9, 4,8 и 3,3 мкг/мл, а соответствующие значения площади под кривой «концентрация – время» (AUC</w:t>
      </w:r>
      <w:r w:rsidRPr="008B0B82">
        <w:rPr>
          <w:sz w:val="24"/>
          <w:szCs w:val="24"/>
          <w:vertAlign w:val="subscript"/>
        </w:rPr>
        <w:t>0-24</w:t>
      </w:r>
      <w:r w:rsidR="003D1D85">
        <w:rPr>
          <w:sz w:val="24"/>
          <w:szCs w:val="24"/>
        </w:rPr>
        <w:t>)</w:t>
      </w:r>
      <w:r w:rsidRPr="009F35DE">
        <w:rPr>
          <w:sz w:val="24"/>
          <w:szCs w:val="24"/>
        </w:rPr>
        <w:t xml:space="preserve"> – 76, 75 и 50 мкг·ч/мл для доз 100, 200 и 400 мг/кг (200 мг/кг два раза в сутки), соответственно. Кроме того, во время токсикологических исследований у собак при многократном пероральном применении этравирина и этравирина гидробромида продолжительностью до 12 месяцев при дозах до 240 мг/кг/сутки и AUC</w:t>
      </w:r>
      <w:r w:rsidRPr="008B0B82">
        <w:rPr>
          <w:sz w:val="24"/>
          <w:szCs w:val="24"/>
          <w:vertAlign w:val="subscript"/>
        </w:rPr>
        <w:t>0-24</w:t>
      </w:r>
      <w:r w:rsidRPr="009F35DE">
        <w:rPr>
          <w:sz w:val="24"/>
          <w:szCs w:val="24"/>
        </w:rPr>
        <w:t xml:space="preserve"> до 40 мкг·ч/мл, не наблюдалось связанного с этравирином изменения частоты сердечных сокращений или влияния на ЭКГ. Также не обнаружено воздействия этравирина на сердечно-сосудистую систему в 6 месячном исследовании у собак при многократном </w:t>
      </w:r>
      <w:r w:rsidR="00E53DB5">
        <w:rPr>
          <w:sz w:val="24"/>
          <w:szCs w:val="24"/>
        </w:rPr>
        <w:t>пероральном</w:t>
      </w:r>
      <w:r w:rsidRPr="009F35DE">
        <w:rPr>
          <w:sz w:val="24"/>
          <w:szCs w:val="24"/>
        </w:rPr>
        <w:t xml:space="preserve"> введении высушенного распылением этравирина в дозах до 500 мг/кг/сутки и AUC</w:t>
      </w:r>
      <w:r w:rsidRPr="008B0B82">
        <w:rPr>
          <w:sz w:val="24"/>
          <w:szCs w:val="24"/>
          <w:vertAlign w:val="subscript"/>
        </w:rPr>
        <w:t>0-24</w:t>
      </w:r>
      <w:r w:rsidRPr="009F35DE">
        <w:rPr>
          <w:sz w:val="24"/>
          <w:szCs w:val="24"/>
        </w:rPr>
        <w:t xml:space="preserve"> до 62 мкг</w:t>
      </w:r>
      <w:r w:rsidR="003D1D85">
        <w:rPr>
          <w:sz w:val="24"/>
          <w:szCs w:val="24"/>
        </w:rPr>
        <w:t>*</w:t>
      </w:r>
      <w:r w:rsidRPr="009F35DE">
        <w:rPr>
          <w:sz w:val="24"/>
          <w:szCs w:val="24"/>
        </w:rPr>
        <w:t xml:space="preserve">ч/мл </w:t>
      </w:r>
      <w:r w:rsidRPr="009F35DE">
        <w:rPr>
          <w:sz w:val="24"/>
          <w:szCs w:val="24"/>
        </w:rPr>
        <w:fldChar w:fldCharType="begin"/>
      </w:r>
      <w:r>
        <w:rPr>
          <w:sz w:val="24"/>
          <w:szCs w:val="24"/>
        </w:rPr>
        <w:instrText xml:space="preserve"> ADDIN ZOTERO_ITEM CSL_CITATION {"citationID":"MFwyyyz0","properties":{"formattedCitation":"(42)","plainCitation":"(42)","noteIndex":0},"citationItems":[{"id":2526,"uris":["http://zotero.org/users/5483459/items/QSNUCUQB"],"itemData":{"id":2526,"type":"article-journal","abstract":"In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sidRPr="009F35DE">
        <w:rPr>
          <w:sz w:val="24"/>
          <w:szCs w:val="24"/>
        </w:rPr>
        <w:fldChar w:fldCharType="separate"/>
      </w:r>
      <w:r w:rsidR="00B50985" w:rsidRPr="008B0B82">
        <w:rPr>
          <w:sz w:val="24"/>
        </w:rPr>
        <w:t>[</w:t>
      </w:r>
      <w:r w:rsidRPr="008749F9">
        <w:rPr>
          <w:sz w:val="24"/>
        </w:rPr>
        <w:t>42</w:t>
      </w:r>
      <w:r w:rsidR="00B50985" w:rsidRPr="008B0B82">
        <w:rPr>
          <w:sz w:val="24"/>
        </w:rPr>
        <w:t>]</w:t>
      </w:r>
      <w:r w:rsidRPr="009F35DE">
        <w:rPr>
          <w:sz w:val="24"/>
          <w:szCs w:val="24"/>
        </w:rPr>
        <w:fldChar w:fldCharType="end"/>
      </w:r>
      <w:r w:rsidRPr="009F35DE">
        <w:rPr>
          <w:sz w:val="24"/>
          <w:szCs w:val="24"/>
        </w:rPr>
        <w:t>.</w:t>
      </w:r>
    </w:p>
    <w:p w14:paraId="23E9344F" w14:textId="77777777" w:rsidR="003D1D85" w:rsidRDefault="003D1D85">
      <w:pPr>
        <w:pStyle w:val="OT"/>
        <w:spacing w:after="0"/>
        <w:ind w:firstLine="709"/>
        <w:rPr>
          <w:sz w:val="24"/>
          <w:szCs w:val="24"/>
        </w:rPr>
      </w:pPr>
    </w:p>
    <w:p w14:paraId="00FEED2B" w14:textId="77777777" w:rsidR="00295007" w:rsidRPr="00EF2E67" w:rsidRDefault="00295007" w:rsidP="008B0B82">
      <w:pPr>
        <w:pStyle w:val="OT"/>
        <w:spacing w:after="0"/>
        <w:rPr>
          <w:b/>
          <w:bCs/>
          <w:sz w:val="24"/>
          <w:szCs w:val="24"/>
        </w:rPr>
      </w:pPr>
      <w:r w:rsidRPr="00EF2E67">
        <w:rPr>
          <w:b/>
          <w:bCs/>
          <w:sz w:val="24"/>
          <w:szCs w:val="24"/>
        </w:rPr>
        <w:t>Влияние на центральную нервную систему (ЦНС)</w:t>
      </w:r>
    </w:p>
    <w:p w14:paraId="6992A844" w14:textId="77777777" w:rsidR="003D1D85" w:rsidRDefault="003D1D85" w:rsidP="00EE1D8E">
      <w:pPr>
        <w:pStyle w:val="OT"/>
        <w:spacing w:after="0"/>
        <w:ind w:firstLine="709"/>
        <w:rPr>
          <w:i/>
          <w:iCs/>
          <w:sz w:val="24"/>
          <w:szCs w:val="24"/>
        </w:rPr>
      </w:pPr>
    </w:p>
    <w:p w14:paraId="4EDD2C43" w14:textId="695B2B22" w:rsidR="00295007" w:rsidRPr="00EF2E67" w:rsidRDefault="00295007">
      <w:pPr>
        <w:pStyle w:val="OT"/>
        <w:spacing w:after="0"/>
        <w:ind w:firstLine="709"/>
        <w:rPr>
          <w:sz w:val="24"/>
          <w:szCs w:val="24"/>
        </w:rPr>
      </w:pPr>
      <w:r w:rsidRPr="00EF2E67">
        <w:rPr>
          <w:i/>
          <w:iCs/>
          <w:sz w:val="24"/>
          <w:szCs w:val="24"/>
        </w:rPr>
        <w:t>In vivo</w:t>
      </w:r>
      <w:r w:rsidRPr="00EF2E67">
        <w:rPr>
          <w:sz w:val="24"/>
          <w:szCs w:val="24"/>
        </w:rPr>
        <w:t xml:space="preserve"> эффекты этравирин</w:t>
      </w:r>
      <w:r>
        <w:rPr>
          <w:sz w:val="24"/>
          <w:szCs w:val="24"/>
        </w:rPr>
        <w:t>а</w:t>
      </w:r>
      <w:r w:rsidRPr="00EF2E67">
        <w:rPr>
          <w:sz w:val="24"/>
          <w:szCs w:val="24"/>
        </w:rPr>
        <w:t xml:space="preserve"> на внешнее поведение, рефлексы и другие функции организма были изучены на крысах. При пероральном введении в дозе 80 мг/кг этравирин</w:t>
      </w:r>
      <w:r>
        <w:rPr>
          <w:sz w:val="24"/>
          <w:szCs w:val="24"/>
        </w:rPr>
        <w:t xml:space="preserve"> </w:t>
      </w:r>
      <w:r w:rsidRPr="00EF2E67">
        <w:rPr>
          <w:sz w:val="24"/>
          <w:szCs w:val="24"/>
        </w:rPr>
        <w:t>в ПЭГ400 не оказывал влияния на внешнее поведение, открытие века, диаметр зрачка, температуру тела, рефлекс ушной раковины, корнеальный рефлекс, реакцию отдергивания хвоста при его погружении в горячую воду, мышечный тонус, пентилентетразол-индуцированные судороги, частоту дыхания, покраснение ушной раковины или смертность. При исследовании моторной активности при средней эффективной дозе (ED</w:t>
      </w:r>
      <w:r w:rsidRPr="00EF2E67">
        <w:rPr>
          <w:sz w:val="24"/>
          <w:szCs w:val="24"/>
          <w:vertAlign w:val="subscript"/>
        </w:rPr>
        <w:t>50</w:t>
      </w:r>
      <w:r w:rsidRPr="00EF2E67">
        <w:rPr>
          <w:sz w:val="24"/>
          <w:szCs w:val="24"/>
        </w:rPr>
        <w:t xml:space="preserve">) более 80 мг/кг </w:t>
      </w:r>
      <w:r w:rsidRPr="00F479EF">
        <w:rPr>
          <w:sz w:val="24"/>
          <w:szCs w:val="24"/>
        </w:rPr>
        <w:t>перорально</w:t>
      </w:r>
      <w:r>
        <w:rPr>
          <w:sz w:val="24"/>
          <w:szCs w:val="24"/>
        </w:rPr>
        <w:t xml:space="preserve"> </w:t>
      </w:r>
      <w:r w:rsidRPr="00EF2E67">
        <w:rPr>
          <w:sz w:val="24"/>
          <w:szCs w:val="24"/>
        </w:rPr>
        <w:t>этравирин</w:t>
      </w:r>
      <w:r>
        <w:rPr>
          <w:sz w:val="24"/>
          <w:szCs w:val="24"/>
        </w:rPr>
        <w:t xml:space="preserve"> </w:t>
      </w:r>
      <w:r w:rsidRPr="00EF2E67">
        <w:rPr>
          <w:sz w:val="24"/>
          <w:szCs w:val="24"/>
        </w:rPr>
        <w:t>не влиял на двигательную активность. Кроме того, этравирин</w:t>
      </w:r>
      <w:r>
        <w:rPr>
          <w:sz w:val="24"/>
          <w:szCs w:val="24"/>
        </w:rPr>
        <w:t xml:space="preserve"> </w:t>
      </w:r>
      <w:r w:rsidRPr="00EF2E67">
        <w:rPr>
          <w:sz w:val="24"/>
          <w:szCs w:val="24"/>
        </w:rPr>
        <w:t>не оказывал влияния на метогекситал индуцированный наркоз (ED</w:t>
      </w:r>
      <w:r w:rsidRPr="00F479EF">
        <w:rPr>
          <w:sz w:val="24"/>
          <w:szCs w:val="24"/>
          <w:vertAlign w:val="subscript"/>
        </w:rPr>
        <w:t>50</w:t>
      </w:r>
      <w:r w:rsidRPr="00EF2E67">
        <w:rPr>
          <w:sz w:val="24"/>
          <w:szCs w:val="24"/>
        </w:rPr>
        <w:t xml:space="preserve"> более 80 мг/кг)</w:t>
      </w:r>
      <w:r>
        <w:rPr>
          <w:sz w:val="24"/>
          <w:szCs w:val="24"/>
        </w:rPr>
        <w:t xml:space="preserve"> </w:t>
      </w:r>
      <w:r w:rsidRPr="009F35DE">
        <w:rPr>
          <w:sz w:val="24"/>
          <w:szCs w:val="24"/>
        </w:rPr>
        <w:fldChar w:fldCharType="begin"/>
      </w:r>
      <w:r>
        <w:rPr>
          <w:sz w:val="24"/>
          <w:szCs w:val="24"/>
        </w:rPr>
        <w:instrText xml:space="preserve"> ADDIN ZOTERO_ITEM CSL_CITATION {"citationID":"q7hAedwl","properties":{"formattedCitation":"(42)","plainCitation":"(42)","noteIndex":0},"citationItems":[{"id":2526,"uris":["http://zotero.org/users/5483459/items/QSNUCUQB"],"itemData":{"id":2526,"type":"article-journal","abstract":"In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sidRPr="009F35DE">
        <w:rPr>
          <w:sz w:val="24"/>
          <w:szCs w:val="24"/>
        </w:rPr>
        <w:fldChar w:fldCharType="separate"/>
      </w:r>
      <w:r w:rsidR="00B50985" w:rsidRPr="00B50985">
        <w:rPr>
          <w:sz w:val="24"/>
        </w:rPr>
        <w:t>[</w:t>
      </w:r>
      <w:r w:rsidRPr="008749F9">
        <w:rPr>
          <w:sz w:val="24"/>
        </w:rPr>
        <w:t>42</w:t>
      </w:r>
      <w:r w:rsidR="00B50985" w:rsidRPr="00B50985">
        <w:rPr>
          <w:sz w:val="24"/>
        </w:rPr>
        <w:t>]</w:t>
      </w:r>
      <w:r w:rsidRPr="009F35DE">
        <w:rPr>
          <w:sz w:val="24"/>
          <w:szCs w:val="24"/>
        </w:rPr>
        <w:fldChar w:fldCharType="end"/>
      </w:r>
      <w:r w:rsidRPr="009F35DE">
        <w:rPr>
          <w:sz w:val="24"/>
          <w:szCs w:val="24"/>
        </w:rPr>
        <w:t>.</w:t>
      </w:r>
    </w:p>
    <w:p w14:paraId="15F7F58A" w14:textId="651F4870" w:rsidR="00295007" w:rsidRPr="00393D66" w:rsidRDefault="00295007" w:rsidP="009435FB">
      <w:pPr>
        <w:pStyle w:val="OT"/>
        <w:spacing w:after="0"/>
        <w:ind w:firstLine="709"/>
        <w:rPr>
          <w:sz w:val="24"/>
          <w:szCs w:val="24"/>
        </w:rPr>
      </w:pPr>
      <w:r w:rsidRPr="00393D66">
        <w:rPr>
          <w:sz w:val="24"/>
          <w:szCs w:val="24"/>
        </w:rPr>
        <w:t>Было показано, что этравирин предотвращал диарею, вызванную применением касторового масла, и подавлял вызванные никотином сокращения гладкой мускулатуры при 10</w:t>
      </w:r>
      <w:r w:rsidRPr="00393D66">
        <w:rPr>
          <w:sz w:val="24"/>
          <w:szCs w:val="24"/>
          <w:vertAlign w:val="superscript"/>
        </w:rPr>
        <w:t>-5</w:t>
      </w:r>
      <w:r w:rsidRPr="00393D66">
        <w:rPr>
          <w:sz w:val="24"/>
          <w:szCs w:val="24"/>
        </w:rPr>
        <w:t>, 10</w:t>
      </w:r>
      <w:r w:rsidRPr="00393D66">
        <w:rPr>
          <w:sz w:val="24"/>
          <w:szCs w:val="24"/>
          <w:vertAlign w:val="superscript"/>
        </w:rPr>
        <w:t>-6</w:t>
      </w:r>
      <w:r w:rsidRPr="00393D66">
        <w:rPr>
          <w:sz w:val="24"/>
          <w:szCs w:val="24"/>
        </w:rPr>
        <w:t xml:space="preserve"> моль, хотя при 10</w:t>
      </w:r>
      <w:r w:rsidRPr="00393D66">
        <w:rPr>
          <w:sz w:val="24"/>
          <w:szCs w:val="24"/>
          <w:vertAlign w:val="superscript"/>
        </w:rPr>
        <w:t>-7</w:t>
      </w:r>
      <w:r w:rsidRPr="00393D66">
        <w:rPr>
          <w:sz w:val="24"/>
          <w:szCs w:val="24"/>
        </w:rPr>
        <w:t xml:space="preserve"> моль такой активности уже не наблюдалось. Сокращения, вызванные стимуляцией электрическим полем, не подавлялись при концентрации до 10</w:t>
      </w:r>
      <w:r w:rsidRPr="00393D66">
        <w:rPr>
          <w:sz w:val="24"/>
          <w:szCs w:val="24"/>
          <w:vertAlign w:val="superscript"/>
        </w:rPr>
        <w:t>-5</w:t>
      </w:r>
      <w:r w:rsidRPr="00393D66">
        <w:rPr>
          <w:sz w:val="24"/>
          <w:szCs w:val="24"/>
        </w:rPr>
        <w:t xml:space="preserve"> моль, поэтому был сделан вывод, что этравирин оказывает ингибирующее действие на никотинергические рецепторы нервов гладкой мускулатуры в микромолярных концентрациях ) </w:t>
      </w:r>
      <w:r w:rsidRPr="00393D66">
        <w:rPr>
          <w:sz w:val="24"/>
          <w:szCs w:val="24"/>
        </w:rPr>
        <w:fldChar w:fldCharType="begin"/>
      </w:r>
      <w:r>
        <w:rPr>
          <w:sz w:val="24"/>
          <w:szCs w:val="24"/>
        </w:rPr>
        <w:instrText xml:space="preserve"> ADDIN ZOTERO_ITEM CSL_CITATION {"citationID":"Lr55V8NA","properties":{"formattedCitation":"(42)","plainCitation":"(42)","noteIndex":0},"citationItems":[{"id":2526,"uris":["http://zotero.org/users/5483459/items/QSNUCUQB"],"itemData":{"id":2526,"type":"article-journal","abstract":"In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sidRPr="00393D66">
        <w:rPr>
          <w:sz w:val="24"/>
          <w:szCs w:val="24"/>
        </w:rPr>
        <w:fldChar w:fldCharType="separate"/>
      </w:r>
      <w:r w:rsidR="00B50985" w:rsidRPr="00B50985">
        <w:rPr>
          <w:sz w:val="24"/>
        </w:rPr>
        <w:t>[</w:t>
      </w:r>
      <w:r w:rsidRPr="008749F9">
        <w:rPr>
          <w:sz w:val="24"/>
        </w:rPr>
        <w:t>42</w:t>
      </w:r>
      <w:r w:rsidR="00B50985" w:rsidRPr="00B50985">
        <w:rPr>
          <w:sz w:val="24"/>
        </w:rPr>
        <w:t>]</w:t>
      </w:r>
      <w:r w:rsidRPr="00393D66">
        <w:rPr>
          <w:sz w:val="24"/>
          <w:szCs w:val="24"/>
        </w:rPr>
        <w:fldChar w:fldCharType="end"/>
      </w:r>
      <w:r w:rsidRPr="00393D66">
        <w:rPr>
          <w:sz w:val="24"/>
          <w:szCs w:val="24"/>
        </w:rPr>
        <w:t>.</w:t>
      </w:r>
    </w:p>
    <w:p w14:paraId="64935CFD" w14:textId="62791677" w:rsidR="00295007" w:rsidRPr="00393D66" w:rsidRDefault="00295007" w:rsidP="009435FB">
      <w:pPr>
        <w:pStyle w:val="OT"/>
        <w:spacing w:after="0"/>
        <w:ind w:firstLine="709"/>
        <w:rPr>
          <w:sz w:val="24"/>
          <w:szCs w:val="24"/>
        </w:rPr>
      </w:pPr>
      <w:r w:rsidRPr="00393D66">
        <w:rPr>
          <w:sz w:val="24"/>
          <w:szCs w:val="24"/>
        </w:rPr>
        <w:t>Дополнительно оценивали нейроповеденческие эффекты высушенного распылением этравирина в виде водной суспензии у крыс в модифицированном тесте Ирвина в дозах до 500 мг/кг. Только в самой высокой дозе наблюдалась незначительная задержка установочного рефлекса у 3 и</w:t>
      </w:r>
      <w:r w:rsidRPr="00393D66">
        <w:rPr>
          <w:rFonts w:hint="eastAsia"/>
          <w:sz w:val="24"/>
          <w:szCs w:val="24"/>
        </w:rPr>
        <w:t>з 5 животных, хотя поведенческие и вегетативные функции оставались в норме, также не было клинических проявлений отсроченной нейротоксичности. Средние значения C</w:t>
      </w:r>
      <w:r w:rsidRPr="00393D66">
        <w:rPr>
          <w:rFonts w:hint="eastAsia"/>
          <w:sz w:val="24"/>
          <w:szCs w:val="24"/>
          <w:vertAlign w:val="subscript"/>
        </w:rPr>
        <w:t>max</w:t>
      </w:r>
      <w:r w:rsidRPr="00393D66">
        <w:rPr>
          <w:rFonts w:hint="eastAsia"/>
          <w:sz w:val="24"/>
          <w:szCs w:val="24"/>
        </w:rPr>
        <w:t xml:space="preserve"> составляли 1,0, 1,2 и 1,7 мкг/мл, а соответствующие значения AUC0-∞ – 4,7 , 7,4 и 10 мкг·ч/</w:t>
      </w:r>
      <w:r w:rsidRPr="00393D66">
        <w:rPr>
          <w:sz w:val="24"/>
          <w:szCs w:val="24"/>
        </w:rPr>
        <w:t xml:space="preserve">мл у крыс, получавших дозу 200, 350 и 500 мг/кг, соответственно </w:t>
      </w:r>
      <w:r w:rsidRPr="00393D66">
        <w:rPr>
          <w:sz w:val="24"/>
          <w:szCs w:val="24"/>
        </w:rPr>
        <w:fldChar w:fldCharType="begin"/>
      </w:r>
      <w:r>
        <w:rPr>
          <w:sz w:val="24"/>
          <w:szCs w:val="24"/>
        </w:rPr>
        <w:instrText xml:space="preserve"> ADDIN ZOTERO_ITEM CSL_CITATION {"citationID":"8zJGPsGY","properties":{"formattedCitation":"(42)","plainCitation":"(42)","noteIndex":0},"citationItems":[{"id":2526,"uris":["http://zotero.org/users/5483459/items/QSNUCUQB"],"itemData":{"id":2526,"type":"article-journal","abstract":"In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sidRPr="00393D66">
        <w:rPr>
          <w:sz w:val="24"/>
          <w:szCs w:val="24"/>
        </w:rPr>
        <w:fldChar w:fldCharType="separate"/>
      </w:r>
      <w:r w:rsidR="00B50985" w:rsidRPr="00B50985">
        <w:rPr>
          <w:sz w:val="24"/>
        </w:rPr>
        <w:t>[</w:t>
      </w:r>
      <w:r w:rsidRPr="008749F9">
        <w:rPr>
          <w:sz w:val="24"/>
        </w:rPr>
        <w:t>42</w:t>
      </w:r>
      <w:r w:rsidR="00B50985" w:rsidRPr="00B50985">
        <w:rPr>
          <w:sz w:val="24"/>
        </w:rPr>
        <w:t>]</w:t>
      </w:r>
      <w:r w:rsidRPr="00393D66">
        <w:rPr>
          <w:sz w:val="24"/>
          <w:szCs w:val="24"/>
        </w:rPr>
        <w:fldChar w:fldCharType="end"/>
      </w:r>
      <w:r w:rsidRPr="00393D66">
        <w:rPr>
          <w:sz w:val="24"/>
          <w:szCs w:val="24"/>
        </w:rPr>
        <w:t>.</w:t>
      </w:r>
    </w:p>
    <w:p w14:paraId="0463360C" w14:textId="699D2E28" w:rsidR="00295007" w:rsidRDefault="00295007" w:rsidP="00EE1D8E">
      <w:pPr>
        <w:pStyle w:val="OT"/>
        <w:spacing w:after="0"/>
        <w:ind w:firstLine="709"/>
        <w:rPr>
          <w:sz w:val="24"/>
          <w:szCs w:val="24"/>
        </w:rPr>
      </w:pPr>
      <w:r w:rsidRPr="00393D66">
        <w:rPr>
          <w:sz w:val="24"/>
          <w:szCs w:val="24"/>
        </w:rPr>
        <w:t xml:space="preserve">При оценке цереброваскулярных эффектов </w:t>
      </w:r>
      <w:r w:rsidRPr="00393D66">
        <w:rPr>
          <w:i/>
          <w:iCs/>
          <w:sz w:val="24"/>
          <w:szCs w:val="24"/>
        </w:rPr>
        <w:t>in vitro</w:t>
      </w:r>
      <w:r w:rsidRPr="00393D66">
        <w:rPr>
          <w:sz w:val="24"/>
          <w:szCs w:val="24"/>
        </w:rPr>
        <w:t xml:space="preserve"> и </w:t>
      </w:r>
      <w:r w:rsidRPr="00393D66">
        <w:rPr>
          <w:i/>
          <w:iCs/>
          <w:sz w:val="24"/>
          <w:szCs w:val="24"/>
        </w:rPr>
        <w:t>in vivo</w:t>
      </w:r>
      <w:r w:rsidRPr="00393D66">
        <w:rPr>
          <w:sz w:val="24"/>
          <w:szCs w:val="24"/>
        </w:rPr>
        <w:t xml:space="preserve"> в рамках комплексного исследования АРВП было показано, что при физиологически </w:t>
      </w:r>
      <w:r w:rsidRPr="00393D66">
        <w:rPr>
          <w:sz w:val="24"/>
          <w:szCs w:val="24"/>
        </w:rPr>
        <w:lastRenderedPageBreak/>
        <w:t xml:space="preserve">значимых концентрациях этравирин не оказывал влияния на целостность </w:t>
      </w:r>
      <w:bookmarkStart w:id="86" w:name="_Hlk112230584"/>
      <w:r w:rsidRPr="00393D66">
        <w:rPr>
          <w:sz w:val="24"/>
          <w:szCs w:val="24"/>
        </w:rPr>
        <w:t>гематоэнцефалического барьера (ГЭБ</w:t>
      </w:r>
      <w:bookmarkEnd w:id="86"/>
      <w:r w:rsidRPr="00393D66">
        <w:rPr>
          <w:sz w:val="24"/>
          <w:szCs w:val="24"/>
        </w:rPr>
        <w:t xml:space="preserve">), не приводил к увеличению его проницаемости и не влиял на целостность эндотелия, что дает возможность предположить отсутствие эндотелиальной токсичности этравирина  </w:t>
      </w:r>
      <w:r w:rsidRPr="00393D66">
        <w:rPr>
          <w:sz w:val="24"/>
          <w:szCs w:val="24"/>
        </w:rPr>
        <w:fldChar w:fldCharType="begin"/>
      </w:r>
      <w:r>
        <w:rPr>
          <w:sz w:val="24"/>
          <w:szCs w:val="24"/>
        </w:rPr>
        <w:instrText xml:space="preserve"> ADDIN ZOTERO_ITEM CSL_CITATION {"citationID":"vK4jw6Wu","properties":{"formattedCitation":"(43)","plainCitation":"(43)","noteIndex":0},"citationItems":[{"id":2528,"uris":["http://zotero.org/users/5483459/items/E297RWT4"],"itemData":{"id":2528,"type":"article-journal","abstract":"The introduction of antiretroviral drugs (ARVd) changed the prognosis of HIV infection from a deadly disease to a chronic disease. However, even with undetectable viral loads, patients still develop a wide range of pathologies, including cerebrovascular complications and stroke. It is hypothesized that toxic side effects of ARVd may contribute to these effects. To address this notion, we evaluated the impact of several non-nucleoside reverse transcriptase inhibitors (NNRTI; Efavirenz, Etravirine, Rilpivirine and Nevirapine) on the integrity of the blood-brain barrier, and their impact on severity of stroke. Among studied drugs, Efavirenz, but not other NNRTIs, altered claudin-5 expression, increased endothelial permeability, and disrupted the blood-brain barrier integrity. Importantly, Efavirenz exposure increased the severity of stroke in a model of middle cerebral artery occlusion in mice. Taken together, these results indicate that selected ARVd can exacerbate HIV-associated cerebrovascular pathology. Therefore, careful consideration should be taken when choosing an anti-retroviral therapy regimen.","container-title":"Scientific Reports","DOI":"10.1038/srep39738","ISSN":"2045-2322","journalAbbreviation":"Sci Rep","language":"eng","note":"PMID: 28008980\nPMCID: PMC5180178","page":"39738","source":"PubMed","title":"Antiretroviral Treatment with Efavirenz Disrupts the Blood-Brain Barrier Integrity and Increases Stroke Severity","volume":"6","author":[{"family":"Bertrand","given":"Luc"},{"family":"Dygert","given":"Levi"},{"family":"Toborek","given":"Michal"}],"issued":{"date-parts":[["2016",12,23]]}}}],"schema":"https://github.com/citation-style-language/schema/raw/master/csl-citation.json"} </w:instrText>
      </w:r>
      <w:r w:rsidRPr="00393D66">
        <w:rPr>
          <w:sz w:val="24"/>
          <w:szCs w:val="24"/>
        </w:rPr>
        <w:fldChar w:fldCharType="separate"/>
      </w:r>
      <w:r w:rsidR="00B50985" w:rsidRPr="00B50985">
        <w:rPr>
          <w:sz w:val="24"/>
        </w:rPr>
        <w:t>[</w:t>
      </w:r>
      <w:r w:rsidRPr="008749F9">
        <w:rPr>
          <w:sz w:val="24"/>
        </w:rPr>
        <w:t>43</w:t>
      </w:r>
      <w:r w:rsidR="00B50985" w:rsidRPr="00B50985">
        <w:rPr>
          <w:sz w:val="24"/>
        </w:rPr>
        <w:t>]</w:t>
      </w:r>
      <w:r w:rsidRPr="00393D66">
        <w:rPr>
          <w:sz w:val="24"/>
          <w:szCs w:val="24"/>
        </w:rPr>
        <w:fldChar w:fldCharType="end"/>
      </w:r>
      <w:r w:rsidRPr="00393D66">
        <w:rPr>
          <w:sz w:val="24"/>
          <w:szCs w:val="24"/>
        </w:rPr>
        <w:t>.</w:t>
      </w:r>
    </w:p>
    <w:p w14:paraId="4E00AD77" w14:textId="77777777" w:rsidR="003D1D85" w:rsidRPr="00393D66" w:rsidRDefault="003D1D85">
      <w:pPr>
        <w:pStyle w:val="OT"/>
        <w:spacing w:after="0"/>
        <w:ind w:firstLine="709"/>
        <w:rPr>
          <w:sz w:val="24"/>
          <w:szCs w:val="24"/>
        </w:rPr>
      </w:pPr>
    </w:p>
    <w:p w14:paraId="6D1D1F8E" w14:textId="77777777" w:rsidR="00295007" w:rsidRPr="00393D66" w:rsidRDefault="00295007" w:rsidP="008B0B82">
      <w:pPr>
        <w:pStyle w:val="OT"/>
        <w:spacing w:after="0"/>
        <w:rPr>
          <w:b/>
          <w:bCs/>
          <w:sz w:val="24"/>
          <w:szCs w:val="24"/>
        </w:rPr>
      </w:pPr>
      <w:r w:rsidRPr="00393D66">
        <w:rPr>
          <w:b/>
          <w:bCs/>
          <w:sz w:val="24"/>
          <w:szCs w:val="24"/>
        </w:rPr>
        <w:t>Влияние на дыхательную систему</w:t>
      </w:r>
    </w:p>
    <w:p w14:paraId="1D894503" w14:textId="77777777" w:rsidR="003D1D85" w:rsidRDefault="003D1D85" w:rsidP="008B0B82">
      <w:pPr>
        <w:pStyle w:val="OT"/>
        <w:spacing w:after="0"/>
        <w:ind w:firstLine="709"/>
        <w:rPr>
          <w:sz w:val="24"/>
          <w:szCs w:val="24"/>
        </w:rPr>
      </w:pPr>
    </w:p>
    <w:p w14:paraId="11508971" w14:textId="3D553986" w:rsidR="00295007" w:rsidRDefault="00295007" w:rsidP="008B0B82">
      <w:pPr>
        <w:pStyle w:val="OT"/>
        <w:spacing w:after="0"/>
        <w:ind w:firstLine="709"/>
        <w:rPr>
          <w:sz w:val="24"/>
          <w:szCs w:val="24"/>
        </w:rPr>
      </w:pPr>
      <w:r w:rsidRPr="00177357">
        <w:rPr>
          <w:sz w:val="24"/>
          <w:szCs w:val="24"/>
        </w:rPr>
        <w:t xml:space="preserve">При исследовании влияния на дыхательную систему </w:t>
      </w:r>
      <w:r w:rsidRPr="00177357">
        <w:rPr>
          <w:i/>
          <w:iCs/>
          <w:sz w:val="24"/>
          <w:szCs w:val="24"/>
        </w:rPr>
        <w:t>in vivo</w:t>
      </w:r>
      <w:r w:rsidRPr="00177357">
        <w:rPr>
          <w:sz w:val="24"/>
          <w:szCs w:val="24"/>
        </w:rPr>
        <w:t xml:space="preserve"> у крыс этравирин вводили перорально в дозе 80 мг/кг, при этом не было обнаружено какого-либо воздействия на дыхание. В данном исследовании токсико-кинетические параметры не измерялись. Также при пероральном введении этравирин собакам в дозах до 400 мг/кг (по 200 мг/кг два раза в сутки с интервалом в 1 час) не происходило изменение частоты дыхания и насыщения артериальной крови кислородом. </w:t>
      </w:r>
      <w:r w:rsidRPr="00177357">
        <w:rPr>
          <w:sz w:val="24"/>
          <w:szCs w:val="24"/>
        </w:rPr>
        <w:fldChar w:fldCharType="begin"/>
      </w:r>
      <w:r>
        <w:rPr>
          <w:sz w:val="24"/>
          <w:szCs w:val="24"/>
        </w:rPr>
        <w:instrText xml:space="preserve"> ADDIN ZOTERO_ITEM CSL_CITATION {"citationID":"kiSaHiha","properties":{"formattedCitation":"(42)","plainCitation":"(42)","noteIndex":0},"citationItems":[{"id":2526,"uris":["http://zotero.org/users/5483459/items/QSNUCUQB"],"itemData":{"id":2526,"type":"article-journal","abstract":"In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sidRPr="00177357">
        <w:rPr>
          <w:sz w:val="24"/>
          <w:szCs w:val="24"/>
        </w:rPr>
        <w:fldChar w:fldCharType="separate"/>
      </w:r>
      <w:r w:rsidR="00B50985" w:rsidRPr="008B0B82">
        <w:rPr>
          <w:sz w:val="24"/>
        </w:rPr>
        <w:t>[</w:t>
      </w:r>
      <w:r w:rsidRPr="008749F9">
        <w:rPr>
          <w:sz w:val="24"/>
        </w:rPr>
        <w:t>42</w:t>
      </w:r>
      <w:r w:rsidR="00B50985" w:rsidRPr="008B0B82">
        <w:rPr>
          <w:sz w:val="24"/>
        </w:rPr>
        <w:t>]</w:t>
      </w:r>
      <w:r w:rsidRPr="00177357">
        <w:rPr>
          <w:sz w:val="24"/>
          <w:szCs w:val="24"/>
        </w:rPr>
        <w:fldChar w:fldCharType="end"/>
      </w:r>
      <w:r w:rsidRPr="00177357">
        <w:rPr>
          <w:sz w:val="24"/>
          <w:szCs w:val="24"/>
        </w:rPr>
        <w:t>.</w:t>
      </w:r>
    </w:p>
    <w:p w14:paraId="774511F2" w14:textId="77777777" w:rsidR="003D1D85" w:rsidRPr="00177357" w:rsidRDefault="003D1D85" w:rsidP="008B0B82">
      <w:pPr>
        <w:pStyle w:val="OT"/>
        <w:spacing w:after="0"/>
        <w:ind w:firstLine="709"/>
        <w:rPr>
          <w:sz w:val="24"/>
          <w:szCs w:val="24"/>
        </w:rPr>
      </w:pPr>
    </w:p>
    <w:p w14:paraId="59B57B75" w14:textId="77777777" w:rsidR="00295007" w:rsidRPr="00527306" w:rsidRDefault="00295007" w:rsidP="008B0B82">
      <w:pPr>
        <w:pStyle w:val="OT"/>
        <w:spacing w:after="0"/>
        <w:rPr>
          <w:b/>
          <w:bCs/>
          <w:sz w:val="24"/>
          <w:szCs w:val="24"/>
        </w:rPr>
      </w:pPr>
      <w:r w:rsidRPr="00527306">
        <w:rPr>
          <w:b/>
          <w:bCs/>
          <w:sz w:val="24"/>
          <w:szCs w:val="24"/>
        </w:rPr>
        <w:t>Влияние на печень</w:t>
      </w:r>
    </w:p>
    <w:p w14:paraId="5B911E4F" w14:textId="77777777" w:rsidR="003D1D85" w:rsidRDefault="003D1D85" w:rsidP="008B0B82">
      <w:pPr>
        <w:pStyle w:val="OT"/>
        <w:spacing w:after="0"/>
        <w:ind w:firstLine="709"/>
        <w:rPr>
          <w:sz w:val="24"/>
          <w:szCs w:val="24"/>
        </w:rPr>
      </w:pPr>
    </w:p>
    <w:p w14:paraId="26175498" w14:textId="4BECEEC7" w:rsidR="000E2517" w:rsidRPr="00527306" w:rsidRDefault="00295007" w:rsidP="008B0B82">
      <w:pPr>
        <w:pStyle w:val="OT"/>
        <w:spacing w:after="0"/>
        <w:ind w:firstLine="709"/>
        <w:rPr>
          <w:sz w:val="24"/>
          <w:szCs w:val="24"/>
        </w:rPr>
      </w:pPr>
      <w:r w:rsidRPr="00527306">
        <w:rPr>
          <w:sz w:val="24"/>
          <w:szCs w:val="24"/>
        </w:rPr>
        <w:t>В исследованиях на мышах, крысах и собаках было показано, что печень – это основной орган, в отношении которого проявляется токсическое действие этравирина. Профиль гепатотоксичности у грызунов включал увеличение веса печени</w:t>
      </w:r>
      <w:r>
        <w:rPr>
          <w:sz w:val="24"/>
          <w:szCs w:val="24"/>
        </w:rPr>
        <w:t xml:space="preserve"> (</w:t>
      </w:r>
      <w:r w:rsidRPr="00527306">
        <w:rPr>
          <w:sz w:val="24"/>
          <w:szCs w:val="24"/>
        </w:rPr>
        <w:t>гепатоцеллюлярн</w:t>
      </w:r>
      <w:r>
        <w:rPr>
          <w:sz w:val="24"/>
          <w:szCs w:val="24"/>
        </w:rPr>
        <w:t>ая</w:t>
      </w:r>
      <w:r w:rsidRPr="00527306">
        <w:rPr>
          <w:sz w:val="24"/>
          <w:szCs w:val="24"/>
        </w:rPr>
        <w:t xml:space="preserve"> гипертрофи</w:t>
      </w:r>
      <w:r>
        <w:rPr>
          <w:sz w:val="24"/>
          <w:szCs w:val="24"/>
        </w:rPr>
        <w:t>я)</w:t>
      </w:r>
      <w:r w:rsidRPr="00527306">
        <w:rPr>
          <w:sz w:val="24"/>
          <w:szCs w:val="24"/>
        </w:rPr>
        <w:t>, вакуолизацию, некроз и/или повышение уровня ферментов печени</w:t>
      </w:r>
      <w:r>
        <w:rPr>
          <w:sz w:val="24"/>
          <w:szCs w:val="24"/>
        </w:rPr>
        <w:t xml:space="preserve">. </w:t>
      </w:r>
      <w:r w:rsidRPr="00527306">
        <w:rPr>
          <w:sz w:val="24"/>
          <w:szCs w:val="24"/>
        </w:rPr>
        <w:t xml:space="preserve">Гепатотоксичность у грызунов увеличивалась с увеличением дозы, при этом увеличение веса органа и ферментов печени у мышей было более выражено и повышалось в 2,4 и в 9 раз, соответственно. У крыс данные эффекты проявлялись в меньшей степени, увеличение веса печени составляло до 20%. Данные гепатотоксические эффекты у грызунов не сопровождались значительным повышением билирубина. У собак повышение уровня ферментов печени аланинаминотрансферазы (АЛТ) и аспартатаминотрансферазы (АСТ) в 3 раза носило обратимый характер и сопровождалось повышением билирубина и застоем желчи в желчном пузыре. Гистологические исследования показали возникновение микрогранулем в печени </w:t>
      </w:r>
      <w:r w:rsidRPr="00527306">
        <w:rPr>
          <w:sz w:val="24"/>
          <w:szCs w:val="24"/>
        </w:rPr>
        <w:fldChar w:fldCharType="begin"/>
      </w:r>
      <w:r>
        <w:rPr>
          <w:sz w:val="24"/>
          <w:szCs w:val="24"/>
        </w:rPr>
        <w:instrText xml:space="preserve"> ADDIN ZOTERO_ITEM CSL_CITATION {"citationID":"w0b6hGpO","properties":{"formattedCitation":"(42)","plainCitation":"(42)","noteIndex":0},"citationItems":[{"id":2526,"uris":["http://zotero.org/users/5483459/items/QSNUCUQB"],"itemData":{"id":2526,"type":"article-journal","abstract":"In the present in vitro study the direct cardiac effects of a nucleoside reverse transcriptase inhibitor (NRTI) abacavir in combination with palmitic acid or cobalt chloride mimicking a diet high in saturated fatty acids or hypoxia respectively, were studied. The introduction of highly active antiretroviral therapy (HAART) has dramatically improved the life expectancy of HIV infected individuals. With the increased lifespan, complications associated with HAART are becoming more evident. Together with HIV itself and a higher prevalence of traditional risk factors, the antiretroviral agents are linked to an increase in cardiovascular diseases in the HIV population. In the present in vitro study the direct cardiac effects of a nucleoside reverse transcriptase inhibitor (NRTI) abacavir in combination with palmitic acid or cobalt chloride mimicking a diet high in saturated fatty acids or hypoxia respectively, were studied. Exposure to abacavir has been associated with an increased risk of myocardial infarction in clinical studies, but the damaging molecular mechanism remains elusive. Furthermore the in vitro cardiovascular effects of three non-nucleoside reverse transcriptase inhibitors (NNRTIs) were investigated; first generation NNRTI efavirenz and the second generation NNRTIs rilpivirine and etravirine.","container-title":"undefined","language":"en","source":"www.semanticscholar.org","title":"Cardiovascular side effects of the antiretroviral agents rilpivirine, efavirenz, etravirine and abacavir: possible underlying mechanisms","title-short":"Cardiovascular side effects of the antiretroviral agents rilpivirine, efavirenz, etravirine and abacavir","URL":"https://www.semanticscholar.org/paper/Cardiovascular-side-effects-of-the-antiretroviral-Bergin/b2e17496ef64de0fbefb8d5285cdfb4a00cbe4ec","author":[{"family":"Bergin","given":"Hild"}],"accessed":{"date-parts":[["2022",8,18]]},"issued":{"date-parts":[["2014"]]}}}],"schema":"https://github.com/citation-style-language/schema/raw/master/csl-citation.json"} </w:instrText>
      </w:r>
      <w:r w:rsidRPr="00527306">
        <w:rPr>
          <w:sz w:val="24"/>
          <w:szCs w:val="24"/>
        </w:rPr>
        <w:fldChar w:fldCharType="separate"/>
      </w:r>
      <w:r w:rsidR="00B50985" w:rsidRPr="00B66676">
        <w:rPr>
          <w:sz w:val="24"/>
        </w:rPr>
        <w:t>[</w:t>
      </w:r>
      <w:r w:rsidRPr="008749F9">
        <w:rPr>
          <w:sz w:val="24"/>
        </w:rPr>
        <w:t>42</w:t>
      </w:r>
      <w:r w:rsidR="00B50985" w:rsidRPr="00B66676">
        <w:rPr>
          <w:sz w:val="24"/>
        </w:rPr>
        <w:t>]</w:t>
      </w:r>
      <w:r w:rsidRPr="00527306">
        <w:rPr>
          <w:sz w:val="24"/>
          <w:szCs w:val="24"/>
        </w:rPr>
        <w:fldChar w:fldCharType="end"/>
      </w:r>
      <w:r w:rsidRPr="00527306">
        <w:rPr>
          <w:sz w:val="24"/>
          <w:szCs w:val="24"/>
        </w:rPr>
        <w:t>.</w:t>
      </w:r>
    </w:p>
    <w:p w14:paraId="289487CA" w14:textId="77777777" w:rsidR="00295007" w:rsidRDefault="00295007" w:rsidP="00295007">
      <w:pPr>
        <w:spacing w:before="240" w:after="240"/>
        <w:outlineLvl w:val="2"/>
        <w:rPr>
          <w:b/>
          <w:color w:val="000000" w:themeColor="text1"/>
        </w:rPr>
      </w:pPr>
      <w:bookmarkStart w:id="87" w:name="_Toc117179192"/>
      <w:r w:rsidRPr="005E6358">
        <w:rPr>
          <w:b/>
          <w:color w:val="000000" w:themeColor="text1"/>
        </w:rPr>
        <w:t>3.1.</w:t>
      </w:r>
      <w:r>
        <w:rPr>
          <w:b/>
          <w:color w:val="000000" w:themeColor="text1"/>
        </w:rPr>
        <w:t>5</w:t>
      </w:r>
      <w:r w:rsidRPr="005E6358">
        <w:rPr>
          <w:b/>
          <w:color w:val="000000" w:themeColor="text1"/>
        </w:rPr>
        <w:t>. Фармакодинамические лекарственные взаимодействия</w:t>
      </w:r>
      <w:bookmarkEnd w:id="87"/>
    </w:p>
    <w:p w14:paraId="652A0F2C" w14:textId="77777777" w:rsidR="00295007" w:rsidRPr="00772627" w:rsidRDefault="00295007" w:rsidP="008B0B82">
      <w:pPr>
        <w:pStyle w:val="OT"/>
        <w:spacing w:after="0"/>
        <w:rPr>
          <w:b/>
          <w:bCs/>
          <w:sz w:val="24"/>
          <w:szCs w:val="24"/>
        </w:rPr>
      </w:pPr>
      <w:r w:rsidRPr="00772627">
        <w:rPr>
          <w:b/>
          <w:bCs/>
          <w:sz w:val="24"/>
          <w:szCs w:val="24"/>
        </w:rPr>
        <w:t>Взаимодействие с другими антиретровирусными препаратами (АРВП)</w:t>
      </w:r>
    </w:p>
    <w:bookmarkEnd w:id="80"/>
    <w:bookmarkEnd w:id="81"/>
    <w:p w14:paraId="5756D54A" w14:textId="77777777" w:rsidR="003D1D85" w:rsidRDefault="003D1D85" w:rsidP="00EE1D8E">
      <w:pPr>
        <w:pStyle w:val="OT"/>
        <w:spacing w:after="0"/>
        <w:ind w:firstLine="709"/>
        <w:rPr>
          <w:sz w:val="24"/>
          <w:szCs w:val="24"/>
        </w:rPr>
      </w:pPr>
    </w:p>
    <w:p w14:paraId="1994ED11" w14:textId="4BFCA3F2" w:rsidR="00295007" w:rsidRPr="000275F3" w:rsidRDefault="00295007">
      <w:pPr>
        <w:pStyle w:val="OT"/>
        <w:spacing w:after="0"/>
        <w:ind w:firstLine="709"/>
        <w:rPr>
          <w:sz w:val="24"/>
          <w:szCs w:val="24"/>
        </w:rPr>
      </w:pPr>
      <w:r w:rsidRPr="000275F3">
        <w:rPr>
          <w:sz w:val="24"/>
          <w:szCs w:val="24"/>
        </w:rPr>
        <w:t xml:space="preserve">В </w:t>
      </w:r>
      <w:r w:rsidRPr="000275F3">
        <w:rPr>
          <w:i/>
          <w:iCs/>
          <w:sz w:val="24"/>
          <w:szCs w:val="24"/>
        </w:rPr>
        <w:t>in vitro</w:t>
      </w:r>
      <w:r w:rsidRPr="000275F3">
        <w:rPr>
          <w:sz w:val="24"/>
          <w:szCs w:val="24"/>
        </w:rPr>
        <w:t xml:space="preserve"> исследованиях не наблюдалось антагонизма между этравирином и другими АРВП. Противовирусная активность этравирина усиливалась при совместном применении с ИП: ампренавиром, атазанавиром, дарунавиром, индинавиром, лопинавиром, нелфинавиром, ритонавиром, типранавиром и саквинавиром; НИОТ: зальцитабином, диданозином, ставудином, абакавиром и тенофовиром; ННИОТ: делавирдином, эфавирензом , невирапином, ИС</w:t>
      </w:r>
      <w:r w:rsidR="00D91C60">
        <w:rPr>
          <w:sz w:val="24"/>
          <w:szCs w:val="24"/>
        </w:rPr>
        <w:t>:</w:t>
      </w:r>
      <w:r w:rsidRPr="000275F3">
        <w:rPr>
          <w:sz w:val="24"/>
          <w:szCs w:val="24"/>
        </w:rPr>
        <w:t xml:space="preserve"> энфувиртидом; ИИ: ралтегравиром и антагонистом рецепторов CCR5 маравироком </w:t>
      </w:r>
      <w:r w:rsidRPr="000275F3">
        <w:rPr>
          <w:sz w:val="24"/>
          <w:szCs w:val="24"/>
        </w:rPr>
        <w:fldChar w:fldCharType="begin"/>
      </w:r>
      <w:r>
        <w:rPr>
          <w:sz w:val="24"/>
          <w:szCs w:val="24"/>
        </w:rPr>
        <w:instrText xml:space="preserve"> ADDIN ZOTERO_ITEM CSL_CITATION {"citationID":"Pq7w2rrt","properties":{"formattedCitation":"(1,32)","plainCitation":"(1,32)","noteIndex":0},"citationItems":[{"id":2501,"uris":["http://zotero.org/users/5483459/items/XQS79YPZ"],"itemData":{"id":2501,"type":"webpage","title":"Drug Approval Package: Intelence (Etravirine) NDA #02218. Microbiology Review(s). NDA 22-187.","URL":"https://www.accessdata.fda.gov/drugsatfda_docs/nda/2008/022187TOC.cfm","accessed":{"date-parts":[["2022",8,18]]}},"label":"page"},{"id":2460,"uris":["http://zotero.org/users/5483459/items/AZ4GNHE7"],"itemData":{"id":2460,"type":"document","title":"Product Monograph INTELENCE® etravirine tablets 25 mg, 100 mg, 200 mg. Janssen Inc.  Date of Revision: May 17, 2017."},"label":"page"}],"schema":"https://github.com/citation-style-language/schema/raw/master/csl-citation.json"} </w:instrText>
      </w:r>
      <w:r w:rsidRPr="000275F3">
        <w:rPr>
          <w:sz w:val="24"/>
          <w:szCs w:val="24"/>
        </w:rPr>
        <w:fldChar w:fldCharType="separate"/>
      </w:r>
      <w:r w:rsidR="00B50985" w:rsidRPr="00B50985">
        <w:rPr>
          <w:sz w:val="24"/>
        </w:rPr>
        <w:t>[</w:t>
      </w:r>
      <w:r w:rsidRPr="008749F9">
        <w:rPr>
          <w:sz w:val="24"/>
        </w:rPr>
        <w:t>1,</w:t>
      </w:r>
      <w:r w:rsidR="003D1D85">
        <w:rPr>
          <w:sz w:val="24"/>
        </w:rPr>
        <w:t xml:space="preserve"> </w:t>
      </w:r>
      <w:r w:rsidRPr="008749F9">
        <w:rPr>
          <w:sz w:val="24"/>
        </w:rPr>
        <w:t>32</w:t>
      </w:r>
      <w:r w:rsidR="00B50985" w:rsidRPr="00B50985">
        <w:rPr>
          <w:sz w:val="24"/>
        </w:rPr>
        <w:t>]</w:t>
      </w:r>
      <w:r w:rsidRPr="000275F3">
        <w:rPr>
          <w:sz w:val="24"/>
          <w:szCs w:val="24"/>
        </w:rPr>
        <w:fldChar w:fldCharType="end"/>
      </w:r>
      <w:r w:rsidRPr="000275F3">
        <w:rPr>
          <w:sz w:val="24"/>
          <w:szCs w:val="24"/>
        </w:rPr>
        <w:t>.</w:t>
      </w:r>
    </w:p>
    <w:p w14:paraId="0157761A" w14:textId="35D743C3" w:rsidR="00295007" w:rsidRDefault="00295007">
      <w:pPr>
        <w:pStyle w:val="OT"/>
        <w:spacing w:after="0"/>
        <w:ind w:firstLine="709"/>
        <w:rPr>
          <w:sz w:val="24"/>
          <w:szCs w:val="24"/>
        </w:rPr>
      </w:pPr>
      <w:r w:rsidRPr="000275F3">
        <w:rPr>
          <w:sz w:val="24"/>
          <w:szCs w:val="24"/>
        </w:rPr>
        <w:t xml:space="preserve">В сочетании с НИОТ эмтрицитабином, ламивудином и зидовудином </w:t>
      </w:r>
      <w:r w:rsidRPr="00D91C60">
        <w:rPr>
          <w:i/>
          <w:iCs/>
          <w:sz w:val="24"/>
          <w:szCs w:val="24"/>
        </w:rPr>
        <w:t>in vitro</w:t>
      </w:r>
      <w:r w:rsidRPr="000275F3">
        <w:rPr>
          <w:sz w:val="24"/>
          <w:szCs w:val="24"/>
        </w:rPr>
        <w:t xml:space="preserve"> этравирин проявлял дополнительную синергическую противовирусную активность </w:t>
      </w:r>
      <w:r w:rsidRPr="000275F3">
        <w:rPr>
          <w:sz w:val="24"/>
          <w:szCs w:val="24"/>
        </w:rPr>
        <w:fldChar w:fldCharType="begin"/>
      </w:r>
      <w:r>
        <w:rPr>
          <w:sz w:val="24"/>
          <w:szCs w:val="24"/>
        </w:rPr>
        <w:instrText xml:space="preserve"> ADDIN ZOTERO_ITEM CSL_CITATION {"citationID":"EifaU6dJ","properties":{"formattedCitation":"(1,32)","plainCitation":"(1,32)","noteIndex":0},"citationItems":[{"id":2501,"uris":["http://zotero.org/users/5483459/items/XQS79YPZ"],"itemData":{"id":2501,"type":"webpage","title":"Drug Approval Package: Intelence (Etravirine) NDA #02218. Microbiology Review(s). NDA 22-187.","URL":"https://www.accessdata.fda.gov/drugsatfda_docs/nda/2008/022187TOC.cfm","accessed":{"date-parts":[["2022",8,18]]}},"label":"page"},{"id":2460,"uris":["http://zotero.org/users/5483459/items/AZ4GNHE7"],"itemData":{"id":2460,"type":"document","title":"Product Monograph INTELENCE® etravirine tablets 25 mg, 100 mg, 200 mg. Janssen Inc.  Date of Revision: May 17, 2017."},"label":"page"}],"schema":"https://github.com/citation-style-language/schema/raw/master/csl-citation.json"} </w:instrText>
      </w:r>
      <w:r w:rsidRPr="000275F3">
        <w:rPr>
          <w:sz w:val="24"/>
          <w:szCs w:val="24"/>
        </w:rPr>
        <w:fldChar w:fldCharType="separate"/>
      </w:r>
      <w:r w:rsidR="00B50985" w:rsidRPr="00B50985">
        <w:rPr>
          <w:sz w:val="24"/>
        </w:rPr>
        <w:t>[</w:t>
      </w:r>
      <w:r w:rsidRPr="008749F9">
        <w:rPr>
          <w:sz w:val="24"/>
        </w:rPr>
        <w:t>1,</w:t>
      </w:r>
      <w:r w:rsidR="003D1D85">
        <w:rPr>
          <w:sz w:val="24"/>
        </w:rPr>
        <w:t xml:space="preserve"> </w:t>
      </w:r>
      <w:r w:rsidRPr="008749F9">
        <w:rPr>
          <w:sz w:val="24"/>
        </w:rPr>
        <w:t>32</w:t>
      </w:r>
      <w:r w:rsidR="00B50985" w:rsidRPr="00B50985">
        <w:rPr>
          <w:sz w:val="24"/>
        </w:rPr>
        <w:t>]</w:t>
      </w:r>
      <w:r w:rsidRPr="000275F3">
        <w:rPr>
          <w:sz w:val="24"/>
          <w:szCs w:val="24"/>
        </w:rPr>
        <w:fldChar w:fldCharType="end"/>
      </w:r>
      <w:r w:rsidRPr="000275F3">
        <w:rPr>
          <w:sz w:val="24"/>
          <w:szCs w:val="24"/>
        </w:rPr>
        <w:t>.</w:t>
      </w:r>
    </w:p>
    <w:p w14:paraId="0D494CF2" w14:textId="77777777" w:rsidR="003D1D85" w:rsidRDefault="003D1D85" w:rsidP="008B0B82">
      <w:pPr>
        <w:pStyle w:val="OT"/>
        <w:spacing w:after="0"/>
        <w:rPr>
          <w:b/>
          <w:bCs/>
          <w:sz w:val="24"/>
          <w:szCs w:val="24"/>
        </w:rPr>
      </w:pPr>
    </w:p>
    <w:p w14:paraId="5A0F55CB" w14:textId="77777777" w:rsidR="00A97B7A" w:rsidRDefault="00A97B7A" w:rsidP="008B0B82">
      <w:pPr>
        <w:pStyle w:val="OT"/>
        <w:spacing w:after="0"/>
        <w:rPr>
          <w:b/>
          <w:bCs/>
          <w:sz w:val="24"/>
          <w:szCs w:val="24"/>
        </w:rPr>
        <w:sectPr w:rsidR="00A97B7A" w:rsidSect="00AB01E2">
          <w:pgSz w:w="11906" w:h="16838"/>
          <w:pgMar w:top="1134" w:right="849" w:bottom="1134" w:left="1701" w:header="708" w:footer="709" w:gutter="0"/>
          <w:cols w:space="708"/>
          <w:docGrid w:linePitch="360"/>
        </w:sectPr>
      </w:pPr>
    </w:p>
    <w:p w14:paraId="135A7D85" w14:textId="583DE88D" w:rsidR="00295007" w:rsidRPr="000275F3" w:rsidRDefault="00295007" w:rsidP="008B0B82">
      <w:pPr>
        <w:pStyle w:val="OT"/>
        <w:spacing w:after="0"/>
        <w:rPr>
          <w:sz w:val="24"/>
          <w:szCs w:val="24"/>
        </w:rPr>
      </w:pPr>
      <w:r w:rsidRPr="00772627">
        <w:rPr>
          <w:b/>
          <w:bCs/>
          <w:sz w:val="24"/>
          <w:szCs w:val="24"/>
        </w:rPr>
        <w:lastRenderedPageBreak/>
        <w:t>Взаимодействие с</w:t>
      </w:r>
      <w:r>
        <w:rPr>
          <w:b/>
          <w:bCs/>
          <w:sz w:val="24"/>
          <w:szCs w:val="24"/>
        </w:rPr>
        <w:t xml:space="preserve"> варфарином </w:t>
      </w:r>
    </w:p>
    <w:p w14:paraId="6EFEE635" w14:textId="77777777" w:rsidR="003D1D85" w:rsidRDefault="003D1D85" w:rsidP="00EE1D8E">
      <w:pPr>
        <w:pStyle w:val="OT"/>
        <w:spacing w:after="0"/>
        <w:ind w:firstLine="709"/>
        <w:rPr>
          <w:sz w:val="24"/>
          <w:szCs w:val="24"/>
        </w:rPr>
      </w:pPr>
    </w:p>
    <w:p w14:paraId="118E0208" w14:textId="197D816E" w:rsidR="00295007" w:rsidRPr="000275F3" w:rsidRDefault="00295007">
      <w:pPr>
        <w:pStyle w:val="OT"/>
        <w:spacing w:after="0"/>
        <w:ind w:firstLine="709"/>
        <w:rPr>
          <w:sz w:val="24"/>
          <w:szCs w:val="24"/>
        </w:rPr>
      </w:pPr>
      <w:r w:rsidRPr="000275F3">
        <w:rPr>
          <w:sz w:val="24"/>
          <w:szCs w:val="24"/>
        </w:rPr>
        <w:t xml:space="preserve">Влияние этравирина на фармакодинамику варфарина у крыс оценивали в </w:t>
      </w:r>
      <w:r w:rsidRPr="000275F3">
        <w:rPr>
          <w:i/>
          <w:iCs/>
          <w:sz w:val="24"/>
          <w:szCs w:val="24"/>
        </w:rPr>
        <w:t>in vivo</w:t>
      </w:r>
      <w:r w:rsidRPr="000275F3">
        <w:rPr>
          <w:sz w:val="24"/>
          <w:szCs w:val="24"/>
        </w:rPr>
        <w:t xml:space="preserve"> исследовании, где самцы крыс породы </w:t>
      </w:r>
      <w:r w:rsidRPr="000275F3">
        <w:rPr>
          <w:i/>
          <w:iCs/>
          <w:sz w:val="24"/>
          <w:szCs w:val="24"/>
        </w:rPr>
        <w:t>Sprague-Dawley</w:t>
      </w:r>
      <w:r w:rsidRPr="000275F3">
        <w:rPr>
          <w:sz w:val="24"/>
          <w:szCs w:val="24"/>
        </w:rPr>
        <w:t xml:space="preserve"> были разделены на две группы и подвергнуты канюлированию яремной вены. Контрольная группа, состоящая из 10 животных, получала варфарин внутривенно в дозе 1 мг/кг, а </w:t>
      </w:r>
      <w:r w:rsidR="00D91C60">
        <w:rPr>
          <w:sz w:val="24"/>
          <w:szCs w:val="24"/>
        </w:rPr>
        <w:t xml:space="preserve">в </w:t>
      </w:r>
      <w:r w:rsidRPr="000275F3">
        <w:rPr>
          <w:sz w:val="24"/>
          <w:szCs w:val="24"/>
        </w:rPr>
        <w:t xml:space="preserve">исследуемой группе, состоящей из 13 животных, варфарин вводился внутривенно в дозе 1 мг/кг с последующим введением этравирина в дозе 25 мг/кг внутривенно. Мониторинг антикоагулянтной активности осуществляли путем измерения </w:t>
      </w:r>
      <w:bookmarkStart w:id="88" w:name="_Hlk112230877"/>
      <w:r w:rsidRPr="000275F3">
        <w:rPr>
          <w:sz w:val="24"/>
          <w:szCs w:val="24"/>
        </w:rPr>
        <w:t>МНО</w:t>
      </w:r>
      <w:bookmarkEnd w:id="88"/>
      <w:r w:rsidR="00D91C60">
        <w:rPr>
          <w:sz w:val="24"/>
          <w:szCs w:val="24"/>
        </w:rPr>
        <w:t xml:space="preserve"> и </w:t>
      </w:r>
      <w:r w:rsidRPr="000275F3">
        <w:rPr>
          <w:sz w:val="24"/>
          <w:szCs w:val="24"/>
        </w:rPr>
        <w:t xml:space="preserve">витамин </w:t>
      </w:r>
      <w:r w:rsidR="003D1D85" w:rsidRPr="000275F3">
        <w:rPr>
          <w:sz w:val="24"/>
          <w:szCs w:val="24"/>
        </w:rPr>
        <w:t>К-зависимых факторам</w:t>
      </w:r>
      <w:r w:rsidRPr="000275F3">
        <w:rPr>
          <w:sz w:val="24"/>
          <w:szCs w:val="24"/>
        </w:rPr>
        <w:t xml:space="preserve"> свертывания крови (II, VII и X). При сравнении значений МНО между двумя группами, среднее значение МНО в группе, получавшей варфарин и этравирин, было выше по сравнению с контрольной группой. Через 6 дней после введения препаратов МНО в контрольной группе составляло 4,9, а в группе, получавшей варфарин и этравирина – 6,5. Таким образом, в исследовании на крысах показано, что этравирин усиливает антикоагулянтную активность варфарина, что может иметь клиническое значение </w:t>
      </w:r>
      <w:r w:rsidRPr="000275F3">
        <w:rPr>
          <w:sz w:val="24"/>
          <w:szCs w:val="24"/>
        </w:rPr>
        <w:fldChar w:fldCharType="begin"/>
      </w:r>
      <w:r>
        <w:rPr>
          <w:sz w:val="24"/>
          <w:szCs w:val="24"/>
        </w:rPr>
        <w:instrText xml:space="preserve"> ADDIN ZOTERO_ITEM CSL_CITATION {"citationID":"6vMlCHeO","properties":{"formattedCitation":"(44)","plainCitation":"(44)","noteIndex":0},"citationItems":[{"id":2531,"uris":["http://zotero.org/users/5483459/items/MPG5FWSF"],"itemData":{"id":2531,"type":"article-journal","abstract":"BACKGROUND AND PURPOSE: Warfarin is often used with etravirine (ETV) to prevent HIV-related thromboembolic events. As both warfarin and ETV bind to plasma proteins and are metabolized by hepatic cytochrome P450s, they are likely to interact. Hence, we evaluated the effect of ETV on the pharmacokinetics and blood clotting time of racemic warfarin in rats.\nEXPERIMENTAL APPROACH: Two groups of male Sprague-Dawley rats, in which the jugular vein had been cannulated, were studied. The control group (n = 10) received 1 mg·kg(-1) racemic warfarin i.v., and the test group (n = 13) 1 mg·kg(-1) of racemic warfarin followed by 25 mg·kg(-1) ETV i.v. Serial blood samples were collected for up to 144 h and the blood clotting time (calculated as international normalized ratio [INR]) measured in blood plasma at each sample point. Plasma concentrations of R-warfarin, S-warfarin, R-7-hydroxywarfarin and S-7-hydroxywarfarin were measured by a LC/MS/MS method using a chiral lux cellulose-1 column. Pharmacokinetic parameters were analysed using non-compartmental methods.\nKEY RESULTS: ETV significantly increased, by threefold, the systemic clearance and volume of distribution of S-warfarin, but not those of R-warfarin. ETV decreased the total AUC of warfarin, but had no effect on its elimination half-life. ETV also increased the systemic clearance of both R-7-hydroxywarfarin and S-7-hydroxywarfarin but only increased the volume of distribution of R-7-hydroxywarfarin. Interestingly, the effect of warfarin on blood clotting time (INR) was significantly increased in the presence of etravirine.\nCONCLUSION AND IMPLICATIONS: Our data suggest that etravirine may potentiate the anticoagulant effect of warfarin and this could have clinical significance.","container-title":"British Journal of Pharmacology","DOI":"10.1111/bph.12082","ISSN":"1476-5381","issue":"8","journalAbbreviation":"Br J Pharmacol","language":"eng","note":"PMID: 23215758\nPMCID: PMC3623055","page":"1851-1858","source":"PubMed","title":"Effects of etravirine on the pharmacokinetics and pharmacodynamics of warfarin in rats","volume":"168","author":[{"family":"John","given":"J."},{"family":"John","given":"M."},{"family":"Wu","given":"L."},{"family":"Hsiao","given":"C."},{"family":"Abobo","given":"C. V."},{"family":"Liang","given":"D."}],"issued":{"date-parts":[["2013",4]]}}}],"schema":"https://github.com/citation-style-language/schema/raw/master/csl-citation.json"} </w:instrText>
      </w:r>
      <w:r w:rsidRPr="000275F3">
        <w:rPr>
          <w:sz w:val="24"/>
          <w:szCs w:val="24"/>
        </w:rPr>
        <w:fldChar w:fldCharType="separate"/>
      </w:r>
      <w:r w:rsidR="00B50985" w:rsidRPr="00B66676">
        <w:rPr>
          <w:sz w:val="24"/>
        </w:rPr>
        <w:t>[</w:t>
      </w:r>
      <w:r w:rsidRPr="008749F9">
        <w:rPr>
          <w:sz w:val="24"/>
        </w:rPr>
        <w:t>44</w:t>
      </w:r>
      <w:r w:rsidR="00B50985" w:rsidRPr="00B66676">
        <w:rPr>
          <w:sz w:val="24"/>
        </w:rPr>
        <w:t>]</w:t>
      </w:r>
      <w:r w:rsidRPr="000275F3">
        <w:rPr>
          <w:sz w:val="24"/>
          <w:szCs w:val="24"/>
        </w:rPr>
        <w:fldChar w:fldCharType="end"/>
      </w:r>
      <w:r w:rsidRPr="000275F3">
        <w:rPr>
          <w:sz w:val="24"/>
          <w:szCs w:val="24"/>
        </w:rPr>
        <w:t>.</w:t>
      </w:r>
    </w:p>
    <w:p w14:paraId="0FF09A0E" w14:textId="77777777" w:rsidR="00295007" w:rsidRDefault="00295007" w:rsidP="00295007">
      <w:pPr>
        <w:pStyle w:val="2"/>
        <w:tabs>
          <w:tab w:val="left" w:pos="284"/>
          <w:tab w:val="left" w:pos="567"/>
        </w:tabs>
        <w:spacing w:line="240" w:lineRule="auto"/>
        <w:rPr>
          <w:color w:val="000000" w:themeColor="text1"/>
        </w:rPr>
      </w:pPr>
      <w:bookmarkStart w:id="89" w:name="_Toc117179193"/>
      <w:r w:rsidRPr="005E6358">
        <w:rPr>
          <w:color w:val="000000" w:themeColor="text1"/>
        </w:rPr>
        <w:t>3.2. Доклиническая фармакокинетика</w:t>
      </w:r>
      <w:bookmarkEnd w:id="89"/>
    </w:p>
    <w:p w14:paraId="1C52BC34" w14:textId="0BADDCCA" w:rsidR="00295007" w:rsidRDefault="00295007" w:rsidP="00295007">
      <w:pPr>
        <w:ind w:firstLine="709"/>
      </w:pPr>
      <w:r w:rsidRPr="000275F3">
        <w:t xml:space="preserve">Доклинические исследования фармакокинетики этравирина были проведены на мышах, крысах и собаках при </w:t>
      </w:r>
      <w:r>
        <w:t>пероральном</w:t>
      </w:r>
      <w:r w:rsidRPr="000275F3">
        <w:t xml:space="preserve"> пути введения. Концентрации этравирина в плазме крови определялись с использованием валидированной методики </w:t>
      </w:r>
      <w:bookmarkStart w:id="90" w:name="_Hlk112230911"/>
      <w:r w:rsidRPr="000275F3">
        <w:t>жидкостной хроматографии с масс спектрометрией (ЖХ-МС),</w:t>
      </w:r>
      <w:bookmarkEnd w:id="90"/>
      <w:r w:rsidRPr="000275F3">
        <w:t xml:space="preserve"> нижний предел обнаружения 5 нг/мл </w:t>
      </w:r>
      <w:r w:rsidRPr="000275F3">
        <w:fldChar w:fldCharType="begin"/>
      </w:r>
      <w:r>
        <w:instrText xml:space="preserve"> ADDIN ZOTERO_ITEM CSL_CITATION {"citationID":"2qafg2nz","properties":{"formattedCitation":"(1,32)","plainCitation":"(1,32)","noteIndex":0},"citationItems":[{"id":2501,"uris":["http://zotero.org/users/5483459/items/XQS79YPZ"],"itemData":{"id":2501,"type":"webpage","title":"Drug Approval Package: Intelence (Etravirine) NDA #02218. Microbiology Review(s). NDA 22-187.","URL":"https://www.accessdata.fda.gov/drugsatfda_docs/nda/2008/022187TOC.cfm","accessed":{"date-parts":[["2022",8,18]]}},"label":"page"},{"id":2460,"uris":["http://zotero.org/users/5483459/items/AZ4GNHE7"],"itemData":{"id":2460,"type":"document","title":"Product Monograph INTELENCE® etravirine tablets 25 mg, 100 mg, 200 mg. Janssen Inc.  Date of Revision: May 17, 2017."},"label":"page"}],"schema":"https://github.com/citation-style-language/schema/raw/master/csl-citation.json"} </w:instrText>
      </w:r>
      <w:r w:rsidRPr="000275F3">
        <w:fldChar w:fldCharType="separate"/>
      </w:r>
      <w:r w:rsidR="00B50985" w:rsidRPr="00B50985">
        <w:t>[</w:t>
      </w:r>
      <w:r w:rsidRPr="008749F9">
        <w:t>1,</w:t>
      </w:r>
      <w:r w:rsidR="003D1D85">
        <w:t xml:space="preserve"> </w:t>
      </w:r>
      <w:r w:rsidRPr="008749F9">
        <w:t>32</w:t>
      </w:r>
      <w:r w:rsidR="00B50985" w:rsidRPr="00B50985">
        <w:t>]</w:t>
      </w:r>
      <w:r w:rsidRPr="000275F3">
        <w:fldChar w:fldCharType="end"/>
      </w:r>
      <w:r w:rsidRPr="000275F3">
        <w:t>.</w:t>
      </w:r>
    </w:p>
    <w:p w14:paraId="15427462" w14:textId="77777777" w:rsidR="00295007" w:rsidRPr="001B1959" w:rsidRDefault="00295007" w:rsidP="00295007">
      <w:pPr>
        <w:spacing w:before="240" w:after="240"/>
        <w:outlineLvl w:val="2"/>
        <w:rPr>
          <w:b/>
          <w:color w:val="000000" w:themeColor="text1"/>
        </w:rPr>
      </w:pPr>
      <w:bookmarkStart w:id="91" w:name="_Toc484199228"/>
      <w:bookmarkStart w:id="92" w:name="_Toc10578060"/>
      <w:bookmarkStart w:id="93" w:name="_Toc117179194"/>
      <w:bookmarkStart w:id="94" w:name="_Hlk521883862"/>
      <w:bookmarkStart w:id="95" w:name="_Toc483835323"/>
      <w:bookmarkStart w:id="96" w:name="_Toc484591394"/>
      <w:bookmarkStart w:id="97" w:name="_Toc415001099"/>
      <w:bookmarkStart w:id="98" w:name="_Toc298775544"/>
      <w:r w:rsidRPr="001B1959">
        <w:rPr>
          <w:b/>
          <w:color w:val="000000" w:themeColor="text1"/>
        </w:rPr>
        <w:t>3</w:t>
      </w:r>
      <w:r>
        <w:rPr>
          <w:b/>
          <w:color w:val="000000" w:themeColor="text1"/>
        </w:rPr>
        <w:t xml:space="preserve">.2.1. </w:t>
      </w:r>
      <w:bookmarkEnd w:id="91"/>
      <w:bookmarkEnd w:id="92"/>
      <w:r>
        <w:rPr>
          <w:b/>
          <w:bCs/>
          <w:iCs/>
          <w:color w:val="000000" w:themeColor="text1"/>
          <w:szCs w:val="28"/>
        </w:rPr>
        <w:t>Всасывание</w:t>
      </w:r>
      <w:bookmarkEnd w:id="93"/>
    </w:p>
    <w:p w14:paraId="31779607" w14:textId="078838FE" w:rsidR="00295007" w:rsidRDefault="00295007" w:rsidP="00295007">
      <w:pPr>
        <w:ind w:firstLine="708"/>
      </w:pPr>
      <w:bookmarkStart w:id="99" w:name="_Toc483835321"/>
      <w:bookmarkStart w:id="100" w:name="_Toc484591392"/>
      <w:bookmarkStart w:id="101" w:name="_Toc484199229"/>
      <w:bookmarkStart w:id="102" w:name="_Toc10578061"/>
      <w:r w:rsidRPr="00214957">
        <w:t xml:space="preserve">Исследование абсорбции </w:t>
      </w:r>
      <w:r w:rsidRPr="000275F3">
        <w:t xml:space="preserve">этравирина </w:t>
      </w:r>
      <w:r w:rsidRPr="00214957">
        <w:t>проводилось на мышах, крысах и собаках после однократного и многократного перорально</w:t>
      </w:r>
      <w:r>
        <w:t>го</w:t>
      </w:r>
      <w:r w:rsidRPr="00214957">
        <w:t xml:space="preserve"> введения как в рамках фармакокинетического исследования, так и для токсикокинетической оценки при проведении токсикологических исследований. У всех видов животных при перорально</w:t>
      </w:r>
      <w:r>
        <w:t>м</w:t>
      </w:r>
      <w:r w:rsidRPr="00214957">
        <w:t xml:space="preserve"> введении всасывание </w:t>
      </w:r>
      <w:r w:rsidRPr="000275F3">
        <w:t xml:space="preserve">этравирина </w:t>
      </w:r>
      <w:r w:rsidRPr="00214957">
        <w:t xml:space="preserve">было ограничено из-за плохой растворимости и кишечной проницаемости. У крыс доля абсорбированной дозы </w:t>
      </w:r>
      <w:r w:rsidRPr="000275F3">
        <w:t xml:space="preserve">этравирина </w:t>
      </w:r>
      <w:r w:rsidRPr="00214957">
        <w:t xml:space="preserve">составила менее 11%, у собак – 8-12% для </w:t>
      </w:r>
      <w:r w:rsidRPr="000275F3">
        <w:t xml:space="preserve">этравирина </w:t>
      </w:r>
      <w:r w:rsidRPr="00214957">
        <w:t xml:space="preserve">гидробромида и 33-34% для высушенного распылением </w:t>
      </w:r>
      <w:r w:rsidRPr="000275F3">
        <w:t>этравирина</w:t>
      </w:r>
      <w:r w:rsidRPr="00214957">
        <w:t xml:space="preserve">. Первоначально доклинические исследования были выполнены с </w:t>
      </w:r>
      <w:r w:rsidRPr="000275F3">
        <w:t>этравирин</w:t>
      </w:r>
      <w:r>
        <w:t>ом</w:t>
      </w:r>
      <w:r w:rsidRPr="000275F3">
        <w:t xml:space="preserve"> </w:t>
      </w:r>
      <w:r w:rsidRPr="00214957">
        <w:t xml:space="preserve">в ПЭГ400. Затем были исследованы </w:t>
      </w:r>
      <w:r w:rsidRPr="000275F3">
        <w:t xml:space="preserve">этравирин </w:t>
      </w:r>
      <w:r w:rsidRPr="00214957">
        <w:t xml:space="preserve">гидробромид в ПЭГ400 и высушенный распылением </w:t>
      </w:r>
      <w:r w:rsidRPr="000275F3">
        <w:t xml:space="preserve">этравирина </w:t>
      </w:r>
      <w:r w:rsidRPr="00214957">
        <w:t xml:space="preserve">в виде суспензии в воде, которые показали более высокое всасывание по сравнению с </w:t>
      </w:r>
      <w:r w:rsidRPr="000275F3">
        <w:t>этравирин</w:t>
      </w:r>
      <w:r>
        <w:t>ом</w:t>
      </w:r>
      <w:r w:rsidRPr="00214957">
        <w:t xml:space="preserve">. У мышей и крыс всасывание </w:t>
      </w:r>
      <w:r w:rsidRPr="000275F3">
        <w:t xml:space="preserve">этравирина </w:t>
      </w:r>
      <w:r w:rsidRPr="00214957">
        <w:t xml:space="preserve">гидробромида по сравнению с </w:t>
      </w:r>
      <w:r w:rsidRPr="000275F3">
        <w:t>этравирин</w:t>
      </w:r>
      <w:r>
        <w:t>ом</w:t>
      </w:r>
      <w:r w:rsidRPr="000275F3">
        <w:t xml:space="preserve"> </w:t>
      </w:r>
      <w:r w:rsidRPr="00214957">
        <w:t xml:space="preserve">было выше в 6,3 и 1,6 раз, соответственно. Однако не было существенной разницы между двумя формами у собак. Дальнейшие эксперименты на крысах и собаках показали, что при однократном введении высушенного распылением </w:t>
      </w:r>
      <w:r w:rsidRPr="000275F3">
        <w:t>этравирина</w:t>
      </w:r>
      <w:r w:rsidRPr="00214957">
        <w:t xml:space="preserve">, его всасывание было выше в 4 и 5 раз, соответственно, по сравнению с </w:t>
      </w:r>
      <w:r w:rsidRPr="000275F3">
        <w:t xml:space="preserve">этравирина </w:t>
      </w:r>
      <w:r w:rsidRPr="00214957">
        <w:t xml:space="preserve">гидробромидом. Однако эта разница между двумя формами была менее выраженной при многократном введении из-за ферментативной аутоиндукции </w:t>
      </w:r>
      <w:r>
        <w:fldChar w:fldCharType="begin"/>
      </w:r>
      <w:r>
        <w:instrText xml:space="preserve"> ADDIN ZOTERO_ITEM CSL_CITATION {"citationID":"UhhdyDcS","properties":{"formattedCitation":"(32)","plainCitation":"(32)","noteIndex":0},"citationItems":[{"id":2501,"uris":["http://zotero.org/users/5483459/items/XQS79YPZ"],"itemData":{"id":2501,"type":"webpage","title":"Drug Approval Package: Intelence (Etravirine) NDA #02218. Microbiology Review(s). NDA 22-187.","URL":"https://www.accessdata.fda.gov/drugsatfda_docs/nda/2008/022187TOC.cfm","accessed":{"date-parts":[["2022",8,18]]}}}],"schema":"https://github.com/citation-style-language/schema/raw/master/csl-citation.json"} </w:instrText>
      </w:r>
      <w:r>
        <w:fldChar w:fldCharType="separate"/>
      </w:r>
      <w:r w:rsidR="00B50985" w:rsidRPr="00B50985">
        <w:t>[</w:t>
      </w:r>
      <w:r w:rsidRPr="008749F9">
        <w:t>32</w:t>
      </w:r>
      <w:r w:rsidR="00B50985" w:rsidRPr="00B50985">
        <w:t>]</w:t>
      </w:r>
      <w:r>
        <w:fldChar w:fldCharType="end"/>
      </w:r>
      <w:r>
        <w:t>.</w:t>
      </w:r>
    </w:p>
    <w:p w14:paraId="0732E4C5" w14:textId="342784B6" w:rsidR="00295007" w:rsidRDefault="00295007" w:rsidP="00295007">
      <w:pPr>
        <w:ind w:firstLine="708"/>
      </w:pPr>
      <w:r>
        <w:lastRenderedPageBreak/>
        <w:t>После перорального введения через желудочный зонд C</w:t>
      </w:r>
      <w:r w:rsidRPr="003A6379">
        <w:rPr>
          <w:vertAlign w:val="subscript"/>
        </w:rPr>
        <w:t>max</w:t>
      </w:r>
      <w:r>
        <w:t xml:space="preserve"> в плазме крови достигались в течение 4 часов у всех видов животных, выведение из плазмы было быстрым, с конечным периодом полувыведения (T</w:t>
      </w:r>
      <w:r w:rsidRPr="00AE4C90">
        <w:rPr>
          <w:vertAlign w:val="subscript"/>
        </w:rPr>
        <w:t>1/2</w:t>
      </w:r>
      <w:r>
        <w:t xml:space="preserve">) около 5, 6 и 15 часов у мышей, крыс и собак, соответственно. У мышей и собак не было фармакокинетичеких различий, связанных с полом, в то время как у самок крыс, по сравнению с самцами, системное воздействие было выше </w:t>
      </w:r>
      <w:r>
        <w:fldChar w:fldCharType="begin"/>
      </w:r>
      <w:r>
        <w:instrText xml:space="preserve"> ADDIN ZOTERO_ITEM CSL_CITATION {"citationID":"Eh5aSP6I","properties":{"formattedCitation":"(32)","plainCitation":"(32)","noteIndex":0},"citationItems":[{"id":2501,"uris":["http://zotero.org/users/5483459/items/XQS79YPZ"],"itemData":{"id":2501,"type":"webpage","title":"Drug Approval Package: Intelence (Etravirine) NDA #02218. Microbiology Review(s). NDA 22-187.","URL":"https://www.accessdata.fda.gov/drugsatfda_docs/nda/2008/022187TOC.cfm","accessed":{"date-parts":[["2022",8,18]]}}}],"schema":"https://github.com/citation-style-language/schema/raw/master/csl-citation.json"} </w:instrText>
      </w:r>
      <w:r>
        <w:fldChar w:fldCharType="separate"/>
      </w:r>
      <w:r w:rsidR="00B50985" w:rsidRPr="00B50985">
        <w:t>[</w:t>
      </w:r>
      <w:r w:rsidRPr="008749F9">
        <w:t>32</w:t>
      </w:r>
      <w:r w:rsidR="00B50985" w:rsidRPr="00B50985">
        <w:t>]</w:t>
      </w:r>
      <w:r>
        <w:fldChar w:fldCharType="end"/>
      </w:r>
      <w:r>
        <w:t>.</w:t>
      </w:r>
    </w:p>
    <w:p w14:paraId="467EFF7B" w14:textId="23DA560C" w:rsidR="00295007" w:rsidRDefault="00295007" w:rsidP="00295007">
      <w:pPr>
        <w:ind w:firstLine="708"/>
      </w:pPr>
      <w:r>
        <w:t xml:space="preserve">Другое фармакокинетическое исследование на крысах показало, что </w:t>
      </w:r>
      <w:r w:rsidR="00D72791">
        <w:t>при пероральном введении</w:t>
      </w:r>
      <w:r>
        <w:t xml:space="preserve"> этравирина при помощи желудочного зонда в дозе 200 мг/кг </w:t>
      </w:r>
      <w:r w:rsidRPr="00C86ECA">
        <w:t>AUC</w:t>
      </w:r>
      <w:r w:rsidRPr="008B0B82">
        <w:rPr>
          <w:vertAlign w:val="subscript"/>
        </w:rPr>
        <w:t>0</w:t>
      </w:r>
      <w:r w:rsidRPr="0093690F">
        <w:rPr>
          <w:vertAlign w:val="subscript"/>
        </w:rPr>
        <w:t>-24</w:t>
      </w:r>
      <w:r>
        <w:t>, C</w:t>
      </w:r>
      <w:r w:rsidRPr="00AE4C90">
        <w:rPr>
          <w:vertAlign w:val="subscript"/>
        </w:rPr>
        <w:t>max</w:t>
      </w:r>
      <w:r>
        <w:t xml:space="preserve"> и T</w:t>
      </w:r>
      <w:r w:rsidRPr="00AE4C90">
        <w:rPr>
          <w:vertAlign w:val="subscript"/>
        </w:rPr>
        <w:t xml:space="preserve">1/2 </w:t>
      </w:r>
      <w:r>
        <w:t xml:space="preserve">составили 223,9±38,2 нг·ч/мл, 28,0±12,0 нг/мл и 5,78 ± 2,8 ч, соответственно. Данное исследование подтверждает данные о низкой биодоступности этравирина при пероральном введении </w:t>
      </w:r>
      <w:r>
        <w:fldChar w:fldCharType="begin"/>
      </w:r>
      <w:r>
        <w:instrText xml:space="preserve"> ADDIN ZOTERO_ITEM CSL_CITATION {"citationID":"RPTOyEHO","properties":{"formattedCitation":"(45)","plainCitation":"(45)","noteIndex":0},"citationItems":[{"id":2534,"uris":["http://zotero.org/users/5483459/items/4QERN2HB"],"itemData":{"id":2534,"type":"article-journal","abstract":"Etravirine is a non-nucleoside reverse transcriptase inhibitor (NNRTI) that is active against NNRT-resistant HIV-1. A simple, sensitive, and specific LC-MS/MS method was developed and validated for the analysis of etravirine in rat plasma using itraconazole as the internal standard. The analytes were extracted with ethyl acetate and chromatographed on a reverse-phase XTerra MS C₁₈ column. Elution was achieved with a mobile phase gradient varying the proportion of a 2 mM ammonium acetate aqueous solution containing 0.1% formic acid (solvent A) and a 0.1% formic acid in methanol solution (solvent B) at a flow rate of 300 μL/min. The analytes were monitored by tandem-mass spectrometry with positive electrospray ionization. The precu</w:instrText>
      </w:r>
      <w:r>
        <w:rPr>
          <w:rFonts w:hint="eastAsia"/>
        </w:rPr>
        <w:instrText>rsor/product transitions (m/z) in the positive ion mode were 435.9</w:instrText>
      </w:r>
      <w:r>
        <w:rPr>
          <w:rFonts w:hint="eastAsia"/>
        </w:rPr>
        <w:instrText>→</w:instrText>
      </w:r>
      <w:r>
        <w:rPr>
          <w:rFonts w:hint="eastAsia"/>
        </w:rPr>
        <w:instrText>163.6 and 706.7</w:instrText>
      </w:r>
      <w:r>
        <w:rPr>
          <w:rFonts w:hint="eastAsia"/>
        </w:rPr>
        <w:instrText>→</w:instrText>
      </w:r>
      <w:r>
        <w:rPr>
          <w:rFonts w:hint="eastAsia"/>
        </w:rPr>
        <w:instrText>392.6 for etravirine and the internal standard, respectively. Calibration curves were linear over the etravirine rat plasma concentration range of 1-100 ng/mL. The inter- a</w:instrText>
      </w:r>
      <w:r>
        <w:instrText xml:space="preserve">nd intra-day accuracy and precision were within ±10%. The assay has been successfully used for pharmacokinetic evaluation of etravirine using the rat as an animal model.","container-title":"Journal of Chromatography. B, Analytical Technologies in the Biomedical and Life Sciences","DOI":"10.1016/j.jchromb.2010.09.016","ISSN":"1873-376X","issue":"30","journalAbbreviation":"J Chromatogr B Analyt Technol Biomed Life Sci","language":"eng","note":"PMID: 20965798\nPMCID: PMC3008212","page":"3181-3186","source":"PubMed","title":"LC-MS/MS determination of etravirine in rat plasma and its application in pharmacokinetic studies","volume":"878","author":[{"family":"Abobo","given":"Cyril V."},{"family":"Wu","given":"Lei"},{"family":"John","given":"Jyothy"},{"family":"Joseph","given":"Mathew K."},{"family":"Bates","given":"Theodore R."},{"family":"Liang","given":"Dong"}],"issued":{"date-parts":[["2010",11,15]]}}}],"schema":"https://github.com/citation-style-language/schema/raw/master/csl-citation.json"} </w:instrText>
      </w:r>
      <w:r>
        <w:fldChar w:fldCharType="separate"/>
      </w:r>
      <w:r w:rsidR="00B50985" w:rsidRPr="00B50985">
        <w:t>[</w:t>
      </w:r>
      <w:r w:rsidRPr="008749F9">
        <w:t>45</w:t>
      </w:r>
      <w:r w:rsidR="00B50985" w:rsidRPr="00B50985">
        <w:t>]</w:t>
      </w:r>
      <w:r>
        <w:fldChar w:fldCharType="end"/>
      </w:r>
      <w:r>
        <w:t>.</w:t>
      </w:r>
    </w:p>
    <w:p w14:paraId="3C25CC41" w14:textId="77777777" w:rsidR="00295007" w:rsidRDefault="00295007" w:rsidP="00295007">
      <w:pPr>
        <w:spacing w:before="240" w:after="240"/>
        <w:outlineLvl w:val="2"/>
        <w:rPr>
          <w:b/>
          <w:bCs/>
          <w:color w:val="000000" w:themeColor="text1"/>
        </w:rPr>
      </w:pPr>
      <w:bookmarkStart w:id="103" w:name="_Toc117179195"/>
      <w:bookmarkEnd w:id="99"/>
      <w:bookmarkEnd w:id="100"/>
      <w:r>
        <w:rPr>
          <w:b/>
          <w:color w:val="000000" w:themeColor="text1"/>
        </w:rPr>
        <w:t xml:space="preserve">3.2.2. </w:t>
      </w:r>
      <w:bookmarkEnd w:id="101"/>
      <w:bookmarkEnd w:id="102"/>
      <w:r>
        <w:rPr>
          <w:b/>
          <w:bCs/>
          <w:color w:val="000000" w:themeColor="text1"/>
        </w:rPr>
        <w:t>Распределение</w:t>
      </w:r>
      <w:bookmarkEnd w:id="103"/>
    </w:p>
    <w:p w14:paraId="1119B16F" w14:textId="3EE35576" w:rsidR="00295007" w:rsidRPr="00C86ECA" w:rsidRDefault="00295007" w:rsidP="009435FB">
      <w:pPr>
        <w:pStyle w:val="OT"/>
        <w:spacing w:after="0"/>
        <w:ind w:firstLine="709"/>
        <w:rPr>
          <w:sz w:val="24"/>
          <w:szCs w:val="24"/>
        </w:rPr>
      </w:pPr>
      <w:r w:rsidRPr="00C86ECA">
        <w:rPr>
          <w:sz w:val="24"/>
          <w:szCs w:val="24"/>
        </w:rPr>
        <w:t xml:space="preserve">В исследовании </w:t>
      </w:r>
      <w:r w:rsidRPr="0096233F">
        <w:rPr>
          <w:i/>
          <w:iCs/>
          <w:sz w:val="24"/>
          <w:szCs w:val="24"/>
        </w:rPr>
        <w:t>in vivo</w:t>
      </w:r>
      <w:r w:rsidRPr="00C86ECA">
        <w:rPr>
          <w:sz w:val="24"/>
          <w:szCs w:val="24"/>
        </w:rPr>
        <w:t xml:space="preserve"> у крыс после однократного </w:t>
      </w:r>
      <w:r>
        <w:rPr>
          <w:sz w:val="24"/>
          <w:szCs w:val="24"/>
        </w:rPr>
        <w:t>перорального</w:t>
      </w:r>
      <w:r w:rsidRPr="00C86ECA">
        <w:rPr>
          <w:sz w:val="24"/>
          <w:szCs w:val="24"/>
        </w:rPr>
        <w:t xml:space="preserve"> введения </w:t>
      </w:r>
      <w:r w:rsidRPr="008B0B82">
        <w:rPr>
          <w:sz w:val="24"/>
          <w:szCs w:val="24"/>
          <w:vertAlign w:val="superscript"/>
        </w:rPr>
        <w:t>14</w:t>
      </w:r>
      <w:r w:rsidRPr="00C86ECA">
        <w:rPr>
          <w:sz w:val="24"/>
          <w:szCs w:val="24"/>
        </w:rPr>
        <w:t>C-</w:t>
      </w:r>
      <w:r w:rsidR="00650374">
        <w:rPr>
          <w:sz w:val="24"/>
          <w:szCs w:val="24"/>
        </w:rPr>
        <w:t>этравирин</w:t>
      </w:r>
      <w:r w:rsidRPr="00C86ECA">
        <w:rPr>
          <w:sz w:val="24"/>
          <w:szCs w:val="24"/>
        </w:rPr>
        <w:t xml:space="preserve"> быстро распределялся в тканях, пиковые уровни наблюдались в течение 3 часов. Самые высокие концентрации радиоактивного меченого </w:t>
      </w:r>
      <w:r>
        <w:rPr>
          <w:sz w:val="24"/>
          <w:szCs w:val="24"/>
        </w:rPr>
        <w:t>этраверина</w:t>
      </w:r>
      <w:r w:rsidRPr="00C86ECA">
        <w:rPr>
          <w:sz w:val="24"/>
          <w:szCs w:val="24"/>
        </w:rPr>
        <w:t xml:space="preserve"> и его метаболитов были обнаружены в ЖКТ, печени и надпочечниках, а самые низкие – в крови, плазме, мозге, легких и костях. Не было признаков чрезмерного накопления </w:t>
      </w:r>
      <w:r>
        <w:rPr>
          <w:sz w:val="24"/>
          <w:szCs w:val="24"/>
        </w:rPr>
        <w:t>этраверина</w:t>
      </w:r>
      <w:r w:rsidRPr="00C86ECA">
        <w:rPr>
          <w:sz w:val="24"/>
          <w:szCs w:val="24"/>
        </w:rPr>
        <w:t xml:space="preserve"> в тканях, устранение радиоактивности происходило у крыс полностью в течение 96 часов после </w:t>
      </w:r>
      <w:r w:rsidRPr="00AB70C5">
        <w:rPr>
          <w:sz w:val="24"/>
          <w:szCs w:val="24"/>
        </w:rPr>
        <w:t xml:space="preserve"> </w:t>
      </w:r>
      <w:r>
        <w:rPr>
          <w:sz w:val="24"/>
          <w:szCs w:val="24"/>
        </w:rPr>
        <w:t>перорального</w:t>
      </w:r>
      <w:r w:rsidRPr="00C86ECA">
        <w:rPr>
          <w:sz w:val="24"/>
          <w:szCs w:val="24"/>
        </w:rPr>
        <w:t xml:space="preserve">  введения </w:t>
      </w:r>
      <w:r w:rsidRPr="000275F3">
        <w:rPr>
          <w:sz w:val="24"/>
          <w:szCs w:val="24"/>
        </w:rPr>
        <w:fldChar w:fldCharType="begin"/>
      </w:r>
      <w:r>
        <w:rPr>
          <w:sz w:val="24"/>
          <w:szCs w:val="24"/>
        </w:rPr>
        <w:instrText xml:space="preserve"> ADDIN ZOTERO_ITEM CSL_CITATION {"citationID":"40Ob2gZj","properties":{"formattedCitation":"(1,32)","plainCitation":"(1,32)","noteIndex":0},"citationItems":[{"id":2501,"uris":["http://zotero.org/users/5483459/items/XQS79YPZ"],"itemData":{"id":2501,"type":"webpage","title":"Drug Approval Package: Intelence (Etravirine) NDA #02218. Microbiology Review(s). NDA 22-187.","URL":"https://www.accessdata.fda.gov/drugsatfda_docs/nda/2008/022187TOC.cfm","accessed":{"date-parts":[["2022",8,18]]}},"label":"page"},{"id":2460,"uris":["http://zotero.org/users/5483459/items/AZ4GNHE7"],"itemData":{"id":2460,"type":"document","title":"Product Monograph INTELENCE® etravirine tablets 25 mg, 100 mg, 200 mg. Janssen Inc.  Date of Revision: May 17, 2017."},"label":"page"}],"schema":"https://github.com/citation-style-language/schema/raw/master/csl-citation.json"} </w:instrText>
      </w:r>
      <w:r w:rsidRPr="000275F3">
        <w:rPr>
          <w:sz w:val="24"/>
          <w:szCs w:val="24"/>
        </w:rPr>
        <w:fldChar w:fldCharType="separate"/>
      </w:r>
      <w:r w:rsidR="00B50985" w:rsidRPr="00B50985">
        <w:rPr>
          <w:sz w:val="24"/>
        </w:rPr>
        <w:t>[</w:t>
      </w:r>
      <w:r w:rsidRPr="008749F9">
        <w:rPr>
          <w:sz w:val="24"/>
        </w:rPr>
        <w:t>1,</w:t>
      </w:r>
      <w:r w:rsidR="003D1D85">
        <w:rPr>
          <w:sz w:val="24"/>
        </w:rPr>
        <w:t xml:space="preserve"> </w:t>
      </w:r>
      <w:r w:rsidRPr="008749F9">
        <w:rPr>
          <w:sz w:val="24"/>
        </w:rPr>
        <w:t>32</w:t>
      </w:r>
      <w:r w:rsidR="00B50985" w:rsidRPr="00B50985">
        <w:rPr>
          <w:sz w:val="24"/>
        </w:rPr>
        <w:t>]</w:t>
      </w:r>
      <w:r w:rsidRPr="000275F3">
        <w:rPr>
          <w:sz w:val="24"/>
          <w:szCs w:val="24"/>
        </w:rPr>
        <w:fldChar w:fldCharType="end"/>
      </w:r>
      <w:r w:rsidRPr="000275F3">
        <w:rPr>
          <w:sz w:val="24"/>
          <w:szCs w:val="24"/>
        </w:rPr>
        <w:t>.</w:t>
      </w:r>
    </w:p>
    <w:p w14:paraId="21B89E4E" w14:textId="673189D8" w:rsidR="00295007" w:rsidRPr="00C86ECA" w:rsidRDefault="00295007" w:rsidP="009435FB">
      <w:pPr>
        <w:pStyle w:val="OT"/>
        <w:spacing w:after="0"/>
        <w:ind w:firstLine="709"/>
        <w:rPr>
          <w:b/>
          <w:bCs/>
          <w:color w:val="000000" w:themeColor="text1"/>
          <w:sz w:val="24"/>
          <w:szCs w:val="24"/>
        </w:rPr>
      </w:pPr>
      <w:r w:rsidRPr="00C86ECA">
        <w:rPr>
          <w:sz w:val="24"/>
          <w:szCs w:val="24"/>
        </w:rPr>
        <w:t xml:space="preserve">При исследовании у беременных крыс наблюдалось распределение радиоактивного меченого </w:t>
      </w:r>
      <w:r>
        <w:rPr>
          <w:sz w:val="24"/>
          <w:szCs w:val="24"/>
        </w:rPr>
        <w:t>этраверина</w:t>
      </w:r>
      <w:r w:rsidRPr="00C86ECA">
        <w:rPr>
          <w:sz w:val="24"/>
          <w:szCs w:val="24"/>
        </w:rPr>
        <w:t xml:space="preserve"> и его метаболитов в плаценте, влагалище, матке, молочных железах и тканях плода. Общие уровни радиоактивности в плаценте и тканях плода примерно вдвое превышали уровни, наблюдаемые в крови самки </w:t>
      </w:r>
      <w:r>
        <w:rPr>
          <w:sz w:val="24"/>
          <w:szCs w:val="24"/>
        </w:rPr>
        <w:fldChar w:fldCharType="begin"/>
      </w:r>
      <w:r>
        <w:rPr>
          <w:sz w:val="24"/>
          <w:szCs w:val="24"/>
        </w:rPr>
        <w:instrText xml:space="preserve"> ADDIN ZOTERO_ITEM CSL_CITATION {"citationID":"shPf4wy4","properties":{"formattedCitation":"(32)","plainCitation":"(32)","noteIndex":0},"citationItems":[{"id":2501,"uris":["http://zotero.org/users/5483459/items/XQS79YPZ"],"itemData":{"id":2501,"type":"webpage","title":"Drug Approval Package: Intelence (Etravirine) NDA #02218. Microbiology Review(s). NDA 22-187.","URL":"https://www.accessdata.fda.gov/drugsatfda_docs/nda/2008/022187TOC.cfm","accessed":{"date-parts":[["2022",8,18]]}}}],"schema":"https://github.com/citation-style-language/schema/raw/master/csl-citation.json"} </w:instrText>
      </w:r>
      <w:r>
        <w:rPr>
          <w:sz w:val="24"/>
          <w:szCs w:val="24"/>
        </w:rPr>
        <w:fldChar w:fldCharType="separate"/>
      </w:r>
      <w:r w:rsidR="00B50985" w:rsidRPr="00B50985">
        <w:rPr>
          <w:sz w:val="24"/>
        </w:rPr>
        <w:t>[</w:t>
      </w:r>
      <w:r w:rsidRPr="008749F9">
        <w:rPr>
          <w:sz w:val="24"/>
        </w:rPr>
        <w:t>32</w:t>
      </w:r>
      <w:r w:rsidR="00B50985" w:rsidRPr="00B50985">
        <w:rPr>
          <w:sz w:val="24"/>
        </w:rPr>
        <w:t>]</w:t>
      </w:r>
      <w:r>
        <w:rPr>
          <w:sz w:val="24"/>
          <w:szCs w:val="24"/>
        </w:rPr>
        <w:fldChar w:fldCharType="end"/>
      </w:r>
      <w:r>
        <w:rPr>
          <w:sz w:val="24"/>
          <w:szCs w:val="24"/>
        </w:rPr>
        <w:t>.</w:t>
      </w:r>
    </w:p>
    <w:p w14:paraId="430CC570" w14:textId="1935F2CB" w:rsidR="00295007" w:rsidRDefault="00295007" w:rsidP="009435FB">
      <w:pPr>
        <w:pStyle w:val="OT"/>
        <w:ind w:firstLine="709"/>
        <w:rPr>
          <w:sz w:val="24"/>
          <w:szCs w:val="24"/>
        </w:rPr>
      </w:pPr>
      <w:r w:rsidRPr="00887C99">
        <w:rPr>
          <w:i/>
          <w:iCs/>
          <w:sz w:val="24"/>
          <w:szCs w:val="24"/>
        </w:rPr>
        <w:t>In vitro</w:t>
      </w:r>
      <w:r w:rsidRPr="00887C99">
        <w:rPr>
          <w:sz w:val="24"/>
          <w:szCs w:val="24"/>
        </w:rPr>
        <w:t xml:space="preserve"> с помощью равновесного диализа у здоровых особей крыс и собак было изучено связывание этраверина с протеинами плазмы крови. Установлено, что связывание этраверина с белками очень высокое для всех исследованных видов: 99,93% у собак, 99,88% у самцов крыс и 99,86% у самок крыс при концентрации 1000 нг/мл. Несвязанная фракция колебалась от 0,07% у собак до 0,14% у самок крыс. Этраверин связывался преимущественно с альбумином и α1-кислым гликопротеином </w:t>
      </w:r>
      <w:r w:rsidRPr="000275F3">
        <w:rPr>
          <w:sz w:val="24"/>
          <w:szCs w:val="24"/>
        </w:rPr>
        <w:fldChar w:fldCharType="begin"/>
      </w:r>
      <w:r>
        <w:rPr>
          <w:sz w:val="24"/>
          <w:szCs w:val="24"/>
        </w:rPr>
        <w:instrText xml:space="preserve"> ADDIN ZOTERO_ITEM CSL_CITATION {"citationID":"uXX1BTvX","properties":{"formattedCitation":"(1,46)","plainCitation":"(1,46)","noteIndex":0},"citationItems":[{"id":2460,"uris":["http://zotero.org/users/5483459/items/AZ4GNHE7"],"itemData":{"id":2460,"type":"document","title":"Product Monograph INTELENCE® etravirine tablets 25 mg, 100 mg, 200 mg. Janssen Inc.  Date of Revision: May 17, 2017."},"label":"page"},{"id":2537,"uris":["http://zotero.org/users/5483459/items/SSGP2BF9"],"itemData":{"id":2537,"type":"article-journal","abstract":"Etravirine and rilpivirine are two new nonnucleoside reverse transcriptase inhibitors (NNRTIs) that have the distinct advantage of being able to be used in patients with exposure to previous NNRTIs (e.g., nevirapine or efavirenz). Etravirine was approved by the United States Food and Drug Administration to be used twice/day in treatment-experienced patients infected with the human immunodeficiency virus. The approval was based on phase III clinical studies in which 61% of etravirine-treated patients reached an undetectable viral load of less than 50 copies/ml compared with 40% of patients who received the optimized background regimen. Etravirine was well tolerated with a self-limiting skin rash being the most common toxicity, reported in 19% of patients. Rilpivirine, a once-daily NNRTI, is entering phase III studies; the drug appears to be effective against a broad range of NNRTI-resistant viruses including etravirine-resistant strains.","container-title":"Pharmacotherapy","DOI":"10.1592/phco.29.3.281","ISSN":"0277-0008","issue":"3","journalAbbreviation":"Pharmacotherapy","language":"eng","note":"PMID: 19249947","page":"281-294","source":"PubMed","title":"Etravirine and rilpivirine: nonnucleoside reverse transcriptase inhibitors with activity against human immunodeficiency virus type 1 strains resistant to previous nonnucleoside agents","title-short":"Etravirine and rilpivirine","volume":"29","author":[{"family":"Fulco","given":"Patricia Pecora"},{"family":"McNicholl","given":"Ian R."}],"issued":{"date-parts":[["2009",3]]}},"label":"page"}],"schema":"https://github.com/citation-style-language/schema/raw/master/csl-citation.json"} </w:instrText>
      </w:r>
      <w:r w:rsidRPr="000275F3">
        <w:rPr>
          <w:sz w:val="24"/>
          <w:szCs w:val="24"/>
        </w:rPr>
        <w:fldChar w:fldCharType="separate"/>
      </w:r>
      <w:r w:rsidR="00B50985" w:rsidRPr="00B50985">
        <w:rPr>
          <w:sz w:val="24"/>
        </w:rPr>
        <w:t>[</w:t>
      </w:r>
      <w:r w:rsidRPr="008749F9">
        <w:rPr>
          <w:sz w:val="24"/>
        </w:rPr>
        <w:t>1,</w:t>
      </w:r>
      <w:r w:rsidR="003D1D85">
        <w:rPr>
          <w:sz w:val="24"/>
        </w:rPr>
        <w:t xml:space="preserve"> </w:t>
      </w:r>
      <w:r w:rsidRPr="008749F9">
        <w:rPr>
          <w:sz w:val="24"/>
        </w:rPr>
        <w:t>46</w:t>
      </w:r>
      <w:r w:rsidR="00B50985" w:rsidRPr="00B50985">
        <w:rPr>
          <w:sz w:val="24"/>
        </w:rPr>
        <w:t>]</w:t>
      </w:r>
      <w:r w:rsidRPr="000275F3">
        <w:rPr>
          <w:sz w:val="24"/>
          <w:szCs w:val="24"/>
        </w:rPr>
        <w:fldChar w:fldCharType="end"/>
      </w:r>
      <w:r w:rsidRPr="000275F3">
        <w:rPr>
          <w:sz w:val="24"/>
          <w:szCs w:val="24"/>
        </w:rPr>
        <w:t>.</w:t>
      </w:r>
      <w:r>
        <w:rPr>
          <w:sz w:val="24"/>
          <w:szCs w:val="24"/>
        </w:rPr>
        <w:t xml:space="preserve"> </w:t>
      </w:r>
      <w:r w:rsidRPr="00887C99">
        <w:rPr>
          <w:sz w:val="24"/>
          <w:szCs w:val="24"/>
        </w:rPr>
        <w:t xml:space="preserve">Взаимосвязь между степенью связывания этраверина с белками плазмы крови и </w:t>
      </w:r>
      <w:r w:rsidRPr="003E2C2E">
        <w:rPr>
          <w:i/>
          <w:iCs/>
          <w:sz w:val="24"/>
          <w:szCs w:val="24"/>
        </w:rPr>
        <w:t>in vivo</w:t>
      </w:r>
      <w:r w:rsidRPr="00887C99">
        <w:rPr>
          <w:sz w:val="24"/>
          <w:szCs w:val="24"/>
        </w:rPr>
        <w:t xml:space="preserve"> противовирусной активностью отсутствовала </w:t>
      </w:r>
      <w:r w:rsidR="00B50985" w:rsidRPr="00B50985">
        <w:rPr>
          <w:sz w:val="24"/>
          <w:szCs w:val="24"/>
        </w:rPr>
        <w:t>[</w:t>
      </w:r>
      <w:r w:rsidRPr="00887C99">
        <w:rPr>
          <w:sz w:val="24"/>
          <w:szCs w:val="24"/>
        </w:rPr>
        <w:t>35</w:t>
      </w:r>
      <w:r w:rsidR="00B50985" w:rsidRPr="00B50985">
        <w:rPr>
          <w:sz w:val="24"/>
          <w:szCs w:val="24"/>
        </w:rPr>
        <w:t>]</w:t>
      </w:r>
      <w:r w:rsidRPr="00887C99">
        <w:rPr>
          <w:sz w:val="24"/>
          <w:szCs w:val="24"/>
        </w:rPr>
        <w:t>.</w:t>
      </w:r>
    </w:p>
    <w:p w14:paraId="5BFF38EC" w14:textId="63BEDED3" w:rsidR="00295007" w:rsidRDefault="00295007" w:rsidP="00295007">
      <w:pPr>
        <w:spacing w:before="240" w:after="240"/>
        <w:outlineLvl w:val="2"/>
        <w:rPr>
          <w:b/>
          <w:color w:val="000000" w:themeColor="text1"/>
        </w:rPr>
      </w:pPr>
      <w:bookmarkStart w:id="104" w:name="_Toc117179196"/>
      <w:r>
        <w:rPr>
          <w:b/>
          <w:color w:val="000000" w:themeColor="text1"/>
        </w:rPr>
        <w:t>3.2.</w:t>
      </w:r>
      <w:r w:rsidR="00D72791">
        <w:rPr>
          <w:b/>
          <w:color w:val="000000" w:themeColor="text1"/>
        </w:rPr>
        <w:t>3</w:t>
      </w:r>
      <w:r>
        <w:rPr>
          <w:b/>
          <w:color w:val="000000" w:themeColor="text1"/>
        </w:rPr>
        <w:t xml:space="preserve">. </w:t>
      </w:r>
      <w:r>
        <w:rPr>
          <w:b/>
          <w:bCs/>
          <w:color w:val="000000" w:themeColor="text1"/>
        </w:rPr>
        <w:t>Метаболизм</w:t>
      </w:r>
      <w:bookmarkEnd w:id="104"/>
    </w:p>
    <w:p w14:paraId="69378A67" w14:textId="1A3952E1" w:rsidR="00295007" w:rsidRPr="004938B1" w:rsidRDefault="00295007" w:rsidP="00295007">
      <w:pPr>
        <w:pStyle w:val="affb"/>
        <w:spacing w:before="0" w:after="0" w:line="240" w:lineRule="auto"/>
        <w:ind w:firstLine="709"/>
        <w:rPr>
          <w:iCs/>
          <w:color w:val="000000" w:themeColor="text1"/>
        </w:rPr>
      </w:pPr>
      <w:r w:rsidRPr="004938B1">
        <w:rPr>
          <w:iCs/>
          <w:color w:val="000000" w:themeColor="text1"/>
        </w:rPr>
        <w:t xml:space="preserve">В экспериментах </w:t>
      </w:r>
      <w:r w:rsidRPr="004938B1">
        <w:rPr>
          <w:i/>
          <w:color w:val="000000" w:themeColor="text1"/>
        </w:rPr>
        <w:t>in vitro</w:t>
      </w:r>
      <w:r w:rsidRPr="004938B1">
        <w:rPr>
          <w:color w:val="000000" w:themeColor="text1"/>
        </w:rPr>
        <w:t xml:space="preserve"> с микросомами печени человека было показано, что </w:t>
      </w:r>
      <w:r w:rsidRPr="00887C99">
        <w:t xml:space="preserve">этраверин </w:t>
      </w:r>
      <w:r w:rsidRPr="004938B1">
        <w:rPr>
          <w:color w:val="000000" w:themeColor="text1"/>
        </w:rPr>
        <w:t xml:space="preserve">в основном подвергается окислительному метаболизму под действием </w:t>
      </w:r>
      <w:r w:rsidRPr="004938B1">
        <w:rPr>
          <w:iCs/>
          <w:color w:val="000000" w:themeColor="text1"/>
        </w:rPr>
        <w:t xml:space="preserve">печеночных изоферментов цитохрома </w:t>
      </w:r>
      <w:r w:rsidRPr="004938B1">
        <w:rPr>
          <w:iCs/>
          <w:color w:val="000000" w:themeColor="text1"/>
          <w:lang w:val="en-US"/>
        </w:rPr>
        <w:t>P</w:t>
      </w:r>
      <w:r w:rsidRPr="004938B1">
        <w:rPr>
          <w:iCs/>
          <w:color w:val="000000" w:themeColor="text1"/>
        </w:rPr>
        <w:t xml:space="preserve">450 (CYP450), а именно CYP3A и CYP2C (CYP2C9 и CYP2C19). Основные метаболиты, образованные метилгидроксилированием диметилбензонитрила, в клеточной культуре были как минимум на 90% менее активными против ВИЧ дикого типа по сравнению с </w:t>
      </w:r>
      <w:r w:rsidRPr="00887C99">
        <w:t>этраверин</w:t>
      </w:r>
      <w:r>
        <w:t>ом</w:t>
      </w:r>
      <w:r w:rsidRPr="00887C99">
        <w:t xml:space="preserve"> </w:t>
      </w:r>
      <w:r w:rsidRPr="004938B1">
        <w:rPr>
          <w:iCs/>
          <w:color w:val="000000" w:themeColor="text1"/>
        </w:rPr>
        <w:fldChar w:fldCharType="begin"/>
      </w:r>
      <w:r>
        <w:rPr>
          <w:iCs/>
          <w:color w:val="000000" w:themeColor="text1"/>
        </w:rPr>
        <w:instrText xml:space="preserve"> ADDIN ZOTERO_ITEM CSL_CITATION {"citationID":"12fA5USk","properties":{"formattedCitation":"(47,48)","plainCitation":"(47,48)","noteIndex":0},"citationItems":[{"id":"FZS0kn4e/WL1Bj275","uris":["http://zotero.org/groups/4439851/items/I6LT52DY"],"itemData":{"id":571,"type":"article-journal","abstract":"Etravirine and rilpivirine are two new nonnucleoside reverse transcriptase inhibitors (NNRTIs) that have the distinct advantage of being able to be used in patients with exposure to previous NNRTIs (e.g., nevirapine or efavirenz). Etravirine was approved by the United States Food and Drug Administration to be used twice/day in treatment-experienced patients infected with the human immunodeficiency virus. The approval was based on phase III clinical studies in which 61% of etravirine-treated patients reached an undetectable viral load of less than 50 copies/ml compared with 40% of patients who received the optimized background regimen. Etravirine was well tolerated with a self-limiting skin rash being the most common toxicity, reported in 19% of patients. Rilpivirine, a once-daily NNRTI, is entering phase III studies; the drug appears to be effective against a broad range of NNRTI-resistant viruses including etravirine-resistant strains.","container-title":"Pharmacotherapy: The Journal of Human Pharmacology and Drug Therapy","DOI":"10.1592/phco.29.3.281","ISSN":"1875-9114","issue":"3","language":"en","note":"_eprint: https://onlinelibrary.wiley.com/doi/pdf/10.1592/phco.29.3.281","page":"281-294","source":"Wiley Online Library","title":"Etravirine and Rilpivirine: Nonnucleoside Reverse Transcriptase Inhibitors with Activity Against Human Immunodeficiency Virus Type 1 Strains Resistant to Previous Nonnucleoside Agents","title-short":"Etravirine and Rilpivirine","URL":"https://onlinelibrary.wiley.com/doi/abs/10.1592/phco.29.3.281","volume":"29","author":[{"family":"Fulco","given":"Patricia Pecora"},{"family":"McNicholl","given":"Ian R."}],"accessed":{"date-parts":[["2021",10,7]]},"issued":{"date-parts":[["2009"]]}},"label":"page"},{"id":"FZS0kn4e/EYyGnEL9","uris":["http://zotero.org/groups/4439851/items/J3QTEQ6F"],"itemData":{"id":369,"type":"article","title":"INTELENCE® etravirine tablets 25 mg, 100 mg, 200 mg. Product monograph. Janssen Inc. Date of Revision: June 24, 2019. intelence_cpm.pdf [Internet]. [cited 2021 Sep 30]. Available from: https://www.janssen.com/canada/sites/www_janssen_com_canada/files/prod_files/live/intelence_cpm.pdf"},"label":"page"}],"schema":"https://github.com/citation-style-language/schema/raw/master/csl-citation.json"} </w:instrText>
      </w:r>
      <w:r w:rsidRPr="004938B1">
        <w:rPr>
          <w:iCs/>
          <w:color w:val="000000" w:themeColor="text1"/>
        </w:rPr>
        <w:fldChar w:fldCharType="separate"/>
      </w:r>
      <w:r w:rsidR="00B50985" w:rsidRPr="00B66676">
        <w:t>[</w:t>
      </w:r>
      <w:r w:rsidRPr="008749F9">
        <w:t>47,</w:t>
      </w:r>
      <w:r w:rsidR="003D1D85">
        <w:t xml:space="preserve"> </w:t>
      </w:r>
      <w:r w:rsidRPr="008749F9">
        <w:t>48</w:t>
      </w:r>
      <w:r w:rsidR="00B50985" w:rsidRPr="00B66676">
        <w:t>]</w:t>
      </w:r>
      <w:r w:rsidRPr="004938B1">
        <w:rPr>
          <w:iCs/>
          <w:color w:val="000000" w:themeColor="text1"/>
        </w:rPr>
        <w:fldChar w:fldCharType="end"/>
      </w:r>
      <w:r w:rsidRPr="004938B1">
        <w:rPr>
          <w:iCs/>
          <w:color w:val="000000" w:themeColor="text1"/>
        </w:rPr>
        <w:t>.</w:t>
      </w:r>
    </w:p>
    <w:p w14:paraId="12C57500" w14:textId="3997E64B" w:rsidR="00295007" w:rsidRPr="004938B1" w:rsidRDefault="00295007" w:rsidP="00295007">
      <w:pPr>
        <w:pStyle w:val="affb"/>
        <w:spacing w:before="0" w:after="0" w:line="240" w:lineRule="auto"/>
        <w:ind w:firstLine="709"/>
        <w:rPr>
          <w:iCs/>
          <w:color w:val="000000" w:themeColor="text1"/>
        </w:rPr>
      </w:pPr>
      <w:r w:rsidRPr="004938B1">
        <w:rPr>
          <w:iCs/>
          <w:color w:val="000000" w:themeColor="text1"/>
        </w:rPr>
        <w:lastRenderedPageBreak/>
        <w:t xml:space="preserve">При инкубации </w:t>
      </w:r>
      <w:r w:rsidRPr="00887C99">
        <w:t>этраверин</w:t>
      </w:r>
      <w:r>
        <w:t>а</w:t>
      </w:r>
      <w:r w:rsidRPr="00887C99">
        <w:t xml:space="preserve"> </w:t>
      </w:r>
      <w:r w:rsidRPr="004938B1">
        <w:rPr>
          <w:i/>
          <w:color w:val="000000" w:themeColor="text1"/>
        </w:rPr>
        <w:t>in vitro</w:t>
      </w:r>
      <w:r w:rsidRPr="004938B1">
        <w:rPr>
          <w:iCs/>
          <w:color w:val="000000" w:themeColor="text1"/>
        </w:rPr>
        <w:t xml:space="preserve"> с субклеточными фракциями печени и гепатоцитами было показано, что метаболизм </w:t>
      </w:r>
      <w:r w:rsidR="003D1D85">
        <w:rPr>
          <w:rFonts w:eastAsia="TimesNewRomanPSMT"/>
        </w:rPr>
        <w:t xml:space="preserve">этраверина </w:t>
      </w:r>
      <w:r w:rsidR="003D1D85">
        <w:t>в</w:t>
      </w:r>
      <w:r w:rsidRPr="004938B1">
        <w:rPr>
          <w:iCs/>
          <w:color w:val="000000" w:themeColor="text1"/>
        </w:rPr>
        <w:t xml:space="preserve"> субклеточных фракциях печени был медленным у крыс и очень медленным у собак и человека, в то время как в гепатоцитах крыс и собак наблюдался относительно более быстрый метаболизм, по сравнению с гепатоцитами человека. У крыс, собак и человека общим метаболическим путем было окисление по пиримидинильной функциональной группе с образованием метаболита М1. М1 дополнительно подвергался глюкуронированию в гепатоцитах крысы и собаки с образованием М5. У всех видов наблюдалось окисление метила по диметилбензонитрильной группе (образование М2). В гепатоцитах крысы и собаки М2 подвергался глюкуронированию (образование М6). М2 дополнительно окислялся у крыс и человека (образование М3 и М7). У собак были обнаружены следы конъюгатов глутатиона, а также окисленного и глюкуронидированного метаболита M4. Главными метаболитами </w:t>
      </w:r>
      <w:r w:rsidRPr="00887C99">
        <w:t>этраверин</w:t>
      </w:r>
      <w:r>
        <w:t>а</w:t>
      </w:r>
      <w:r w:rsidRPr="00887C99">
        <w:t xml:space="preserve"> </w:t>
      </w:r>
      <w:r w:rsidRPr="004938B1">
        <w:rPr>
          <w:iCs/>
          <w:color w:val="000000" w:themeColor="text1"/>
        </w:rPr>
        <w:t xml:space="preserve">у всех видов являлись M1, M2, M3, M6 и M7, при этом в печени человека наблюдалось присутствие только четырех метаболитов: M1, M2, M3 и M7. Таким образом, для метаболизма </w:t>
      </w:r>
      <w:r w:rsidRPr="00887C99">
        <w:t>этраверин</w:t>
      </w:r>
      <w:r>
        <w:t>а</w:t>
      </w:r>
      <w:r w:rsidRPr="00887C99">
        <w:t xml:space="preserve"> </w:t>
      </w:r>
      <w:r w:rsidRPr="004938B1">
        <w:rPr>
          <w:iCs/>
          <w:color w:val="000000" w:themeColor="text1"/>
        </w:rPr>
        <w:t xml:space="preserve">у человека характерно отсутствие фазы </w:t>
      </w:r>
      <w:r w:rsidRPr="004938B1">
        <w:rPr>
          <w:iCs/>
          <w:color w:val="000000" w:themeColor="text1"/>
          <w:lang w:val="en-US"/>
        </w:rPr>
        <w:t>II</w:t>
      </w:r>
      <w:r w:rsidRPr="004938B1">
        <w:rPr>
          <w:iCs/>
          <w:color w:val="000000" w:themeColor="text1"/>
        </w:rPr>
        <w:t xml:space="preserve"> </w:t>
      </w:r>
      <w:r>
        <w:rPr>
          <w:iCs/>
          <w:color w:val="000000" w:themeColor="text1"/>
        </w:rPr>
        <w:fldChar w:fldCharType="begin"/>
      </w:r>
      <w:r>
        <w:rPr>
          <w:iCs/>
          <w:color w:val="000000" w:themeColor="text1"/>
        </w:rPr>
        <w:instrText xml:space="preserve"> ADDIN ZOTERO_ITEM CSL_CITATION {"citationID":"Poc9tKcR","properties":{"formattedCitation":"(36,37)","plainCitation":"(36,37)","noteIndex":0},"citationItems":[{"id":2512,"uris":["http://zotero.org/users/5483459/items/D5YAPSNZ"],"itemData":{"id":2512,"type":"document","title":"Drug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rPr>
          <w:iCs/>
          <w:color w:val="000000" w:themeColor="text1"/>
        </w:rPr>
        <w:fldChar w:fldCharType="separate"/>
      </w:r>
      <w:r w:rsidR="00B50985" w:rsidRPr="00B50985">
        <w:t>[</w:t>
      </w:r>
      <w:r w:rsidRPr="008749F9">
        <w:t>36,</w:t>
      </w:r>
      <w:r w:rsidR="00D72791">
        <w:t xml:space="preserve"> </w:t>
      </w:r>
      <w:r w:rsidRPr="008749F9">
        <w:t>37</w:t>
      </w:r>
      <w:r w:rsidR="00B50985" w:rsidRPr="00B50985">
        <w:t>]</w:t>
      </w:r>
      <w:r>
        <w:rPr>
          <w:iCs/>
          <w:color w:val="000000" w:themeColor="text1"/>
        </w:rPr>
        <w:fldChar w:fldCharType="end"/>
      </w:r>
      <w:r>
        <w:rPr>
          <w:iCs/>
          <w:color w:val="000000" w:themeColor="text1"/>
        </w:rPr>
        <w:t>.</w:t>
      </w:r>
    </w:p>
    <w:p w14:paraId="3C2643D6" w14:textId="7E9E65E4" w:rsidR="00295007" w:rsidRPr="004938B1" w:rsidRDefault="00295007" w:rsidP="00295007">
      <w:pPr>
        <w:pStyle w:val="affb"/>
        <w:spacing w:before="0" w:after="0" w:line="240" w:lineRule="auto"/>
        <w:ind w:firstLine="709"/>
        <w:rPr>
          <w:iCs/>
          <w:color w:val="000000" w:themeColor="text1"/>
        </w:rPr>
      </w:pPr>
      <w:r w:rsidRPr="004938B1">
        <w:rPr>
          <w:iCs/>
          <w:color w:val="000000" w:themeColor="text1"/>
        </w:rPr>
        <w:t xml:space="preserve">Основными формами CYP450, участвующими в метаболизме </w:t>
      </w:r>
      <w:r w:rsidRPr="00887C99">
        <w:t>этраверин</w:t>
      </w:r>
      <w:r>
        <w:t>а</w:t>
      </w:r>
      <w:r w:rsidRPr="00887C99">
        <w:t xml:space="preserve"> </w:t>
      </w:r>
      <w:r w:rsidRPr="004938B1">
        <w:rPr>
          <w:iCs/>
          <w:color w:val="000000" w:themeColor="text1"/>
        </w:rPr>
        <w:t xml:space="preserve">у человека, являются: CYP3A4, который принимает участие в образовании метаболитов M1 и M2, CYP2C9 – М2, CYP2C18 – M3 и CYP2C19 – М7. Также в метаболизме </w:t>
      </w:r>
      <w:r>
        <w:rPr>
          <w:rFonts w:eastAsia="TimesNewRomanPSMT"/>
        </w:rPr>
        <w:t xml:space="preserve">этраверина </w:t>
      </w:r>
      <w:r>
        <w:t xml:space="preserve"> </w:t>
      </w:r>
      <w:r w:rsidRPr="004938B1">
        <w:rPr>
          <w:iCs/>
          <w:color w:val="000000" w:themeColor="text1"/>
        </w:rPr>
        <w:t xml:space="preserve"> участвует CYP1A1 при образовании М2 </w:t>
      </w:r>
      <w:r>
        <w:rPr>
          <w:iCs/>
          <w:color w:val="000000" w:themeColor="text1"/>
        </w:rPr>
        <w:fldChar w:fldCharType="begin"/>
      </w:r>
      <w:r>
        <w:rPr>
          <w:iCs/>
          <w:color w:val="000000" w:themeColor="text1"/>
        </w:rPr>
        <w:instrText xml:space="preserve"> ADDIN ZOTERO_ITEM CSL_CITATION {"citationID":"1ne5OviD","properties":{"formattedCitation":"(36,37)","plainCitation":"(36,37)","noteIndex":0},"citationItems":[{"id":2512,"uris":["http://zotero.org/users/5483459/items/D5YAPSNZ"],"itemData":{"id":2512,"type":"document","title":"Drug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rPr>
          <w:iCs/>
          <w:color w:val="000000" w:themeColor="text1"/>
        </w:rPr>
        <w:fldChar w:fldCharType="separate"/>
      </w:r>
      <w:r w:rsidR="00B50985" w:rsidRPr="00B50985">
        <w:t>[</w:t>
      </w:r>
      <w:r w:rsidRPr="008749F9">
        <w:t>36,</w:t>
      </w:r>
      <w:r w:rsidR="00D72791">
        <w:t xml:space="preserve"> </w:t>
      </w:r>
      <w:r w:rsidRPr="008749F9">
        <w:t>37</w:t>
      </w:r>
      <w:r w:rsidR="00B50985" w:rsidRPr="00B66676">
        <w:t>]</w:t>
      </w:r>
      <w:r>
        <w:rPr>
          <w:iCs/>
          <w:color w:val="000000" w:themeColor="text1"/>
        </w:rPr>
        <w:fldChar w:fldCharType="end"/>
      </w:r>
      <w:r>
        <w:rPr>
          <w:iCs/>
          <w:color w:val="000000" w:themeColor="text1"/>
        </w:rPr>
        <w:t>.</w:t>
      </w:r>
    </w:p>
    <w:p w14:paraId="1BFA9E40" w14:textId="2C773B91" w:rsidR="00295007" w:rsidRDefault="00295007" w:rsidP="00295007">
      <w:pPr>
        <w:spacing w:before="240" w:after="240"/>
        <w:outlineLvl w:val="2"/>
        <w:rPr>
          <w:b/>
          <w:color w:val="000000" w:themeColor="text1"/>
        </w:rPr>
      </w:pPr>
      <w:bookmarkStart w:id="105" w:name="_Toc117179197"/>
      <w:r>
        <w:rPr>
          <w:b/>
          <w:color w:val="000000" w:themeColor="text1"/>
        </w:rPr>
        <w:t>3.2.</w:t>
      </w:r>
      <w:r w:rsidR="00D72791">
        <w:rPr>
          <w:b/>
          <w:color w:val="000000" w:themeColor="text1"/>
        </w:rPr>
        <w:t>4</w:t>
      </w:r>
      <w:r>
        <w:rPr>
          <w:b/>
          <w:color w:val="000000" w:themeColor="text1"/>
        </w:rPr>
        <w:t xml:space="preserve">. </w:t>
      </w:r>
      <w:r>
        <w:rPr>
          <w:b/>
          <w:bCs/>
          <w:color w:val="000000" w:themeColor="text1"/>
        </w:rPr>
        <w:t>Выведение</w:t>
      </w:r>
      <w:bookmarkEnd w:id="105"/>
    </w:p>
    <w:p w14:paraId="7895CB8C" w14:textId="569EF8C0" w:rsidR="00295007" w:rsidRPr="004938B1" w:rsidRDefault="00295007" w:rsidP="009435FB">
      <w:pPr>
        <w:pStyle w:val="affb"/>
        <w:spacing w:before="0" w:after="0" w:line="240" w:lineRule="auto"/>
        <w:ind w:firstLine="709"/>
        <w:rPr>
          <w:color w:val="000000" w:themeColor="text1"/>
          <w:highlight w:val="yellow"/>
        </w:rPr>
      </w:pPr>
      <w:r w:rsidRPr="004938B1">
        <w:rPr>
          <w:color w:val="000000" w:themeColor="text1"/>
        </w:rPr>
        <w:t xml:space="preserve">Выведение </w:t>
      </w:r>
      <w:r w:rsidRPr="00887C99">
        <w:t>этраверин</w:t>
      </w:r>
      <w:r>
        <w:t>а</w:t>
      </w:r>
      <w:r w:rsidRPr="00887C99">
        <w:t xml:space="preserve"> </w:t>
      </w:r>
      <w:r w:rsidRPr="004938B1">
        <w:rPr>
          <w:color w:val="000000" w:themeColor="text1"/>
        </w:rPr>
        <w:t xml:space="preserve">изучалось </w:t>
      </w:r>
      <w:r w:rsidRPr="004938B1">
        <w:rPr>
          <w:i/>
          <w:iCs/>
          <w:color w:val="000000" w:themeColor="text1"/>
          <w:lang w:val="en-US"/>
        </w:rPr>
        <w:t>in</w:t>
      </w:r>
      <w:r w:rsidRPr="004938B1">
        <w:rPr>
          <w:i/>
          <w:iCs/>
          <w:color w:val="000000" w:themeColor="text1"/>
        </w:rPr>
        <w:t xml:space="preserve"> </w:t>
      </w:r>
      <w:r w:rsidRPr="004938B1">
        <w:rPr>
          <w:i/>
          <w:iCs/>
          <w:color w:val="000000" w:themeColor="text1"/>
          <w:lang w:val="en-US"/>
        </w:rPr>
        <w:t>vivo</w:t>
      </w:r>
      <w:r w:rsidRPr="004938B1">
        <w:rPr>
          <w:color w:val="000000" w:themeColor="text1"/>
        </w:rPr>
        <w:t xml:space="preserve"> после однократного </w:t>
      </w:r>
      <w:r>
        <w:rPr>
          <w:color w:val="000000" w:themeColor="text1"/>
        </w:rPr>
        <w:t xml:space="preserve">перорального </w:t>
      </w:r>
      <w:r w:rsidRPr="004938B1">
        <w:rPr>
          <w:color w:val="000000" w:themeColor="text1"/>
        </w:rPr>
        <w:t xml:space="preserve">введения </w:t>
      </w:r>
      <w:r w:rsidRPr="004938B1">
        <w:rPr>
          <w:color w:val="000000" w:themeColor="text1"/>
          <w:vertAlign w:val="superscript"/>
        </w:rPr>
        <w:t>14</w:t>
      </w:r>
      <w:r w:rsidRPr="004938B1">
        <w:rPr>
          <w:color w:val="000000" w:themeColor="text1"/>
          <w:lang w:val="en-US"/>
        </w:rPr>
        <w:t>C</w:t>
      </w:r>
      <w:r w:rsidRPr="004938B1">
        <w:rPr>
          <w:color w:val="000000" w:themeColor="text1"/>
        </w:rPr>
        <w:t>-</w:t>
      </w:r>
      <w:r w:rsidRPr="0088406B">
        <w:t xml:space="preserve"> </w:t>
      </w:r>
      <w:r w:rsidR="003D1D85" w:rsidRPr="0088406B">
        <w:rPr>
          <w:color w:val="000000" w:themeColor="text1"/>
        </w:rPr>
        <w:t>этраверина у</w:t>
      </w:r>
      <w:r w:rsidRPr="004938B1">
        <w:rPr>
          <w:color w:val="000000" w:themeColor="text1"/>
        </w:rPr>
        <w:t xml:space="preserve"> мышей (в дозе 200 мг/кг), крыс (в дозе 70 мг/кг) и собак (в дозе 20 мг/кг). У животных всех видов </w:t>
      </w:r>
      <w:r w:rsidRPr="00887C99">
        <w:t xml:space="preserve">этраверин </w:t>
      </w:r>
      <w:r w:rsidRPr="004938B1">
        <w:rPr>
          <w:color w:val="000000" w:themeColor="text1"/>
        </w:rPr>
        <w:t xml:space="preserve">выводился преимущественно с фекалиями, при этом через 24 часа после </w:t>
      </w:r>
      <w:r>
        <w:rPr>
          <w:color w:val="000000" w:themeColor="text1"/>
        </w:rPr>
        <w:t>перорального</w:t>
      </w:r>
      <w:r w:rsidRPr="004938B1">
        <w:rPr>
          <w:color w:val="000000" w:themeColor="text1"/>
        </w:rPr>
        <w:t xml:space="preserve"> введения дозы у мышей выводилось от 78% до 87% </w:t>
      </w:r>
      <w:r w:rsidRPr="00887C99">
        <w:t>этраверин</w:t>
      </w:r>
      <w:r>
        <w:t>а</w:t>
      </w:r>
      <w:r w:rsidRPr="004938B1">
        <w:rPr>
          <w:color w:val="000000" w:themeColor="text1"/>
        </w:rPr>
        <w:t xml:space="preserve">, у крыс – от 84% до 93% и у собак – 90%. Большая часть вещества выводилась в неизменном виде. Экскреция </w:t>
      </w:r>
      <w:r w:rsidRPr="00887C99">
        <w:t>этраверин</w:t>
      </w:r>
      <w:r>
        <w:t>а</w:t>
      </w:r>
      <w:r w:rsidRPr="00887C99">
        <w:t xml:space="preserve"> </w:t>
      </w:r>
      <w:r w:rsidRPr="004938B1">
        <w:rPr>
          <w:color w:val="000000" w:themeColor="text1"/>
        </w:rPr>
        <w:t>почками и с желчью была ограничена (от 0,1% до 0,6%) у всех видов животных</w:t>
      </w:r>
      <w:r>
        <w:rPr>
          <w:color w:val="000000" w:themeColor="text1"/>
        </w:rPr>
        <w:t xml:space="preserve"> </w:t>
      </w:r>
      <w:r>
        <w:rPr>
          <w:color w:val="000000" w:themeColor="text1"/>
        </w:rPr>
        <w:fldChar w:fldCharType="begin"/>
      </w:r>
      <w:r>
        <w:rPr>
          <w:color w:val="000000" w:themeColor="text1"/>
        </w:rPr>
        <w:instrText xml:space="preserve"> ADDIN ZOTERO_ITEM CSL_CITATION {"citationID":"JaLM6ef8","properties":{"formattedCitation":"(1,36)","plainCitation":"(1,36)","noteIndex":0},"citationItems":[{"id":2460,"uris":["http://zotero.org/users/5483459/items/AZ4GNHE7"],"itemData":{"id":2460,"type":"document","title":"Product Monograph INTELENCE® etravirine tablets 25 mg, 100 mg, 200 mg. Janssen Inc.  Date of Revision: May 17, 2017."},"label":"page"},{"id":2512,"uris":["http://zotero.org/users/5483459/items/D5YAPSNZ"],"itemData":{"id":2512,"type":"document","title":"Drug Approval Package: Intelence (Etravirine) NDA #02218. Pharmacology Review(s) Drug Approval Package: Etravirine. NDA 22-187. Part I."},"label":"page"}],"schema":"https://github.com/citation-style-language/schema/raw/master/csl-citation.json"} </w:instrText>
      </w:r>
      <w:r>
        <w:rPr>
          <w:color w:val="000000" w:themeColor="text1"/>
        </w:rPr>
        <w:fldChar w:fldCharType="separate"/>
      </w:r>
      <w:r w:rsidR="00B50985" w:rsidRPr="00B50985">
        <w:t>[</w:t>
      </w:r>
      <w:r w:rsidRPr="008749F9">
        <w:t>1,</w:t>
      </w:r>
      <w:r w:rsidR="003D1D85">
        <w:t xml:space="preserve"> </w:t>
      </w:r>
      <w:r w:rsidRPr="008749F9">
        <w:t>36</w:t>
      </w:r>
      <w:r w:rsidR="00B50985" w:rsidRPr="00B50985">
        <w:t>]</w:t>
      </w:r>
      <w:r>
        <w:rPr>
          <w:color w:val="000000" w:themeColor="text1"/>
        </w:rPr>
        <w:fldChar w:fldCharType="end"/>
      </w:r>
      <w:r w:rsidRPr="004938B1">
        <w:rPr>
          <w:color w:val="000000" w:themeColor="text1"/>
        </w:rPr>
        <w:t>.</w:t>
      </w:r>
    </w:p>
    <w:p w14:paraId="25AEB2F2" w14:textId="7534E744" w:rsidR="00295007" w:rsidRDefault="00295007" w:rsidP="00295007">
      <w:pPr>
        <w:spacing w:before="240" w:after="240"/>
        <w:outlineLvl w:val="2"/>
        <w:rPr>
          <w:b/>
          <w:color w:val="000000" w:themeColor="text1"/>
        </w:rPr>
      </w:pPr>
      <w:bookmarkStart w:id="106" w:name="_Toc117179198"/>
      <w:r>
        <w:rPr>
          <w:b/>
          <w:color w:val="000000" w:themeColor="text1"/>
        </w:rPr>
        <w:t>3.2.</w:t>
      </w:r>
      <w:r w:rsidR="00D72791">
        <w:rPr>
          <w:b/>
          <w:color w:val="000000" w:themeColor="text1"/>
        </w:rPr>
        <w:t>5</w:t>
      </w:r>
      <w:r>
        <w:rPr>
          <w:b/>
          <w:color w:val="000000" w:themeColor="text1"/>
        </w:rPr>
        <w:t xml:space="preserve">. </w:t>
      </w:r>
      <w:r>
        <w:rPr>
          <w:b/>
          <w:bCs/>
          <w:color w:val="000000" w:themeColor="text1"/>
        </w:rPr>
        <w:t>Фармакокинетические лекарственные взаимодействия</w:t>
      </w:r>
      <w:bookmarkEnd w:id="106"/>
    </w:p>
    <w:p w14:paraId="3A13B5C5" w14:textId="083B502B" w:rsidR="00295007" w:rsidRDefault="00295007" w:rsidP="00295007">
      <w:pPr>
        <w:ind w:firstLine="709"/>
      </w:pPr>
      <w:r>
        <w:t xml:space="preserve">В исследовании </w:t>
      </w:r>
      <w:r w:rsidRPr="00887C99">
        <w:rPr>
          <w:i/>
          <w:iCs/>
        </w:rPr>
        <w:t>in vitro</w:t>
      </w:r>
      <w:r>
        <w:t xml:space="preserve"> с использованием культуры клеток печени было показано, что ритонавир и индинавир значительно ингибировали образование метаболитов M1 и M2 </w:t>
      </w:r>
      <w:r w:rsidRPr="00887C99">
        <w:t>этраверин</w:t>
      </w:r>
      <w:r>
        <w:t>а. IC</w:t>
      </w:r>
      <w:r w:rsidRPr="00145A1E">
        <w:rPr>
          <w:vertAlign w:val="subscript"/>
        </w:rPr>
        <w:t>50</w:t>
      </w:r>
      <w:r>
        <w:t xml:space="preserve"> ритонавира при образовании метаболитов M1 и M2 составила 0,06 мкг/мл и 3,67 мкг/мл, соответственно. IC</w:t>
      </w:r>
      <w:r w:rsidRPr="00145A1E">
        <w:rPr>
          <w:vertAlign w:val="subscript"/>
        </w:rPr>
        <w:t>50</w:t>
      </w:r>
      <w:r>
        <w:t xml:space="preserve"> индинавира составила 0,45 мкг/мл для M1 и 4,68 мкг/мл для M2. На основании этих данных можно ожидать значительное влияние ритонавира и индинавира на метаболизм </w:t>
      </w:r>
      <w:r w:rsidRPr="00887C99">
        <w:t>этраверин</w:t>
      </w:r>
      <w:r>
        <w:t xml:space="preserve">а </w:t>
      </w:r>
      <w:r>
        <w:fldChar w:fldCharType="begin"/>
      </w:r>
      <w:r>
        <w:instrText xml:space="preserve"> ADDIN ZOTERO_ITEM CSL_CITATION {"citationID":"axuNpBkL","properties":{"formattedCitation":"(1,32)","plainCitation":"(1,32)","noteIndex":0},"citationItems":[{"id":2460,"uris":["http://zotero.org/users/5483459/items/AZ4GNHE7"],"itemData":{"id":2460,"type":"document","title":"Product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fldChar w:fldCharType="separate"/>
      </w:r>
      <w:r w:rsidR="00B50985" w:rsidRPr="00B50985">
        <w:t>[</w:t>
      </w:r>
      <w:r w:rsidRPr="008749F9">
        <w:t>1,</w:t>
      </w:r>
      <w:r w:rsidR="003D1D85">
        <w:t xml:space="preserve"> </w:t>
      </w:r>
      <w:r w:rsidRPr="008749F9">
        <w:t>32</w:t>
      </w:r>
      <w:r w:rsidR="00B50985" w:rsidRPr="00B50985">
        <w:t>]</w:t>
      </w:r>
      <w:r>
        <w:fldChar w:fldCharType="end"/>
      </w:r>
      <w:r>
        <w:t>.</w:t>
      </w:r>
    </w:p>
    <w:p w14:paraId="213127D3" w14:textId="7C430E5C" w:rsidR="00295007" w:rsidRDefault="00295007" w:rsidP="00295007">
      <w:pPr>
        <w:ind w:firstLine="709"/>
      </w:pPr>
      <w:r>
        <w:t xml:space="preserve">В другом </w:t>
      </w:r>
      <w:r w:rsidRPr="00145A1E">
        <w:rPr>
          <w:i/>
          <w:iCs/>
        </w:rPr>
        <w:t>in vitro</w:t>
      </w:r>
      <w:r>
        <w:t xml:space="preserve"> исследовании с использованием культуры клеток печени было показано, что зидовудин, ламивудин, ставудин, н</w:t>
      </w:r>
      <w:r w:rsidRPr="00145A1E">
        <w:t>евирапин</w:t>
      </w:r>
      <w:r>
        <w:t xml:space="preserve">, диданозин, ритонавир, индинавир, саквинавир, нелфинавир, ампренавир, </w:t>
      </w:r>
      <w:r w:rsidRPr="00E11517">
        <w:t>делавирдин</w:t>
      </w:r>
      <w:r>
        <w:t>, э</w:t>
      </w:r>
      <w:r w:rsidRPr="00145A1E">
        <w:t xml:space="preserve">фавиренз </w:t>
      </w:r>
      <w:r>
        <w:t xml:space="preserve">и абакавир ингибировали CYP450 опосредованный метаболизм </w:t>
      </w:r>
      <w:r w:rsidRPr="00887C99">
        <w:lastRenderedPageBreak/>
        <w:t>этраверин</w:t>
      </w:r>
      <w:r>
        <w:t xml:space="preserve">а. При концентрациях, равных средним уровням в плазме </w:t>
      </w:r>
      <w:r w:rsidRPr="00E11517">
        <w:rPr>
          <w:i/>
          <w:iCs/>
        </w:rPr>
        <w:t>in vivo</w:t>
      </w:r>
      <w:r>
        <w:t xml:space="preserve">, метаболизм </w:t>
      </w:r>
      <w:r w:rsidRPr="00887C99">
        <w:t>этраверин</w:t>
      </w:r>
      <w:r>
        <w:t>а лишь незначительно (&lt;26%) ингибировался саквинавиром, э</w:t>
      </w:r>
      <w:r w:rsidRPr="00145A1E">
        <w:t>фавиренз</w:t>
      </w:r>
      <w:r>
        <w:t xml:space="preserve">ом и абакавиром, в то время как индинавиром, нелфинавиром и ампренавиром – от 48% до 72%, и почти полностью ингибировался ритонавиром и </w:t>
      </w:r>
      <w:r w:rsidRPr="00E11517">
        <w:t>делавирдин</w:t>
      </w:r>
      <w:r>
        <w:t>ом</w:t>
      </w:r>
      <w:r w:rsidRPr="00E11517">
        <w:t xml:space="preserve"> </w:t>
      </w:r>
      <w:r>
        <w:fldChar w:fldCharType="begin"/>
      </w:r>
      <w:r>
        <w:instrText xml:space="preserve"> ADDIN ZOTERO_ITEM CSL_CITATION {"citationID":"6mPQ5Mn3","properties":{"formattedCitation":"(1,32)","plainCitation":"(1,32)","noteIndex":0},"citationItems":[{"id":2460,"uris":["http://zotero.org/users/5483459/items/AZ4GNHE7"],"itemData":{"id":2460,"type":"document","title":"Product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fldChar w:fldCharType="separate"/>
      </w:r>
      <w:r w:rsidR="00B50985" w:rsidRPr="00B50985">
        <w:t>[</w:t>
      </w:r>
      <w:r w:rsidRPr="008749F9">
        <w:t>1,</w:t>
      </w:r>
      <w:r w:rsidR="003D1D85">
        <w:t xml:space="preserve"> </w:t>
      </w:r>
      <w:r w:rsidRPr="008749F9">
        <w:t>32</w:t>
      </w:r>
      <w:r w:rsidR="00B50985" w:rsidRPr="00B50985">
        <w:t>]</w:t>
      </w:r>
      <w:r>
        <w:fldChar w:fldCharType="end"/>
      </w:r>
      <w:r>
        <w:t>.</w:t>
      </w:r>
    </w:p>
    <w:p w14:paraId="75D19AA6" w14:textId="18932AA7" w:rsidR="00295007" w:rsidRDefault="00295007" w:rsidP="00295007">
      <w:pPr>
        <w:ind w:firstLine="709"/>
      </w:pPr>
      <w:r>
        <w:t xml:space="preserve">Так как в экспериментах </w:t>
      </w:r>
      <w:r w:rsidRPr="00DB587F">
        <w:rPr>
          <w:i/>
          <w:iCs/>
        </w:rPr>
        <w:t>in vitro</w:t>
      </w:r>
      <w:r>
        <w:t xml:space="preserve"> показано, что </w:t>
      </w:r>
      <w:r w:rsidRPr="00887C99">
        <w:t>этраверин</w:t>
      </w:r>
      <w:r>
        <w:t xml:space="preserve"> является слабым ингибитором изоферментов CYP2C9 и CYP2C19, одновременное его применение с лекарственными средствами, которые метаболизируются с участием CYP2C9 или CYP2C19, может повышать их концентрацию в плазме крови </w:t>
      </w:r>
      <w:r>
        <w:fldChar w:fldCharType="begin"/>
      </w:r>
      <w:r>
        <w:instrText xml:space="preserve"> ADDIN ZOTERO_ITEM CSL_CITATION {"citationID":"6cwEYNBR","properties":{"formattedCitation":"(32)","plainCitation":"(32)","noteIndex":0},"citationItems":[{"id":2501,"uris":["http://zotero.org/users/5483459/items/XQS79YPZ"],"itemData":{"id":2501,"type":"webpage","title":"Drug Approval Package: Intelence (Etravirine) NDA #02218. Microbiology Review(s). NDA 22-187.","URL":"https://www.accessdata.fda.gov/drugsatfda_docs/nda/2008/022187TOC.cfm","accessed":{"date-parts":[["2022",8,18]]}}}],"schema":"https://github.com/citation-style-language/schema/raw/master/csl-citation.json"} </w:instrText>
      </w:r>
      <w:r>
        <w:fldChar w:fldCharType="separate"/>
      </w:r>
      <w:r w:rsidR="00B50985" w:rsidRPr="00B50985">
        <w:t>[</w:t>
      </w:r>
      <w:r w:rsidRPr="008749F9">
        <w:t>32</w:t>
      </w:r>
      <w:r w:rsidR="00B50985" w:rsidRPr="00B50985">
        <w:t>]</w:t>
      </w:r>
      <w:r>
        <w:fldChar w:fldCharType="end"/>
      </w:r>
      <w:r>
        <w:t>.</w:t>
      </w:r>
    </w:p>
    <w:p w14:paraId="0526B9B6" w14:textId="035BDB8E" w:rsidR="00295007" w:rsidRDefault="00295007" w:rsidP="00295007">
      <w:pPr>
        <w:ind w:firstLine="709"/>
      </w:pPr>
      <w:r>
        <w:t xml:space="preserve">При исследовании влияния </w:t>
      </w:r>
      <w:r w:rsidRPr="00887C99">
        <w:t>этраверин</w:t>
      </w:r>
      <w:r>
        <w:t xml:space="preserve">а на фармакокинетику варфарина установлено, что </w:t>
      </w:r>
      <w:r w:rsidRPr="00887C99">
        <w:t>этраверин</w:t>
      </w:r>
      <w:r>
        <w:t xml:space="preserve"> в 3 раза увеличивал клиренс и объем распределения S-варфарина, но не оказывал влияния на R-варфарин. Также </w:t>
      </w:r>
      <w:r w:rsidRPr="00887C99">
        <w:t>этраверин</w:t>
      </w:r>
      <w:r>
        <w:t xml:space="preserve"> снижал общую AUC варфарина, но не влиял на его T</w:t>
      </w:r>
      <w:r w:rsidRPr="00DB587F">
        <w:rPr>
          <w:vertAlign w:val="subscript"/>
        </w:rPr>
        <w:t>1/2</w:t>
      </w:r>
      <w:r>
        <w:t xml:space="preserve">, действие варфарина на </w:t>
      </w:r>
      <w:r w:rsidR="00F65DC9">
        <w:t>МНО</w:t>
      </w:r>
      <w:r>
        <w:t xml:space="preserve"> значительно увеличивалось в присутствии </w:t>
      </w:r>
      <w:r w:rsidRPr="00887C99">
        <w:t>этраверин</w:t>
      </w:r>
      <w:r>
        <w:t xml:space="preserve">а </w:t>
      </w:r>
      <w:r w:rsidR="001669F8">
        <w:fldChar w:fldCharType="begin"/>
      </w:r>
      <w:r w:rsidR="001669F8">
        <w:instrText xml:space="preserve"> ADDIN ZOTERO_ITEM CSL_CITATION {"citationID":"axuNpBkL","properties":{"formattedCitation":"(1,32)","plainCitation":"(1,32)","noteIndex":0},"citationItems":[{"id":2460,"uris":["http://zotero.org/users/5483459/items/AZ4GNHE7"],"itemData":{"id":2460,"type":"document","title":"Product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rsidR="001669F8">
        <w:fldChar w:fldCharType="separate"/>
      </w:r>
      <w:r w:rsidR="00B50985" w:rsidRPr="00B50985">
        <w:t>[</w:t>
      </w:r>
      <w:r w:rsidR="001669F8" w:rsidRPr="008749F9">
        <w:t>1,</w:t>
      </w:r>
      <w:r w:rsidR="003D1D85">
        <w:t xml:space="preserve"> </w:t>
      </w:r>
      <w:r w:rsidR="001669F8" w:rsidRPr="008749F9">
        <w:t>32</w:t>
      </w:r>
      <w:r w:rsidR="00B50985" w:rsidRPr="00B50985">
        <w:t>]</w:t>
      </w:r>
      <w:r w:rsidR="001669F8">
        <w:fldChar w:fldCharType="end"/>
      </w:r>
      <w:r w:rsidR="001669F8">
        <w:t>.</w:t>
      </w:r>
    </w:p>
    <w:p w14:paraId="457DD05F" w14:textId="5C2B0FD6" w:rsidR="005245A9" w:rsidRDefault="00295007" w:rsidP="005245A9">
      <w:pPr>
        <w:ind w:firstLine="709"/>
      </w:pPr>
      <w:r>
        <w:t xml:space="preserve">Влияние </w:t>
      </w:r>
      <w:r w:rsidRPr="00887C99">
        <w:t>этраверин</w:t>
      </w:r>
      <w:r>
        <w:t xml:space="preserve">а на трансплацентарную фармакокинетику тенофовира и абакавира было исследовано </w:t>
      </w:r>
      <w:r w:rsidRPr="009466B6">
        <w:rPr>
          <w:i/>
          <w:iCs/>
        </w:rPr>
        <w:t>in situ</w:t>
      </w:r>
      <w:r>
        <w:t xml:space="preserve"> с использованием плаценты крысы с двойной перфузией. Установлено, что </w:t>
      </w:r>
      <w:r w:rsidRPr="00887C99">
        <w:t>этраверин</w:t>
      </w:r>
      <w:r>
        <w:t xml:space="preserve"> влияет на прохождение тенофовира через плаценту посредством подавления переносчика ABCG2, блокируя активный транспорт тенофовира. Э</w:t>
      </w:r>
      <w:r w:rsidRPr="00887C99">
        <w:t>траверин</w:t>
      </w:r>
      <w:r>
        <w:t xml:space="preserve"> не оказывал влияния на транспорт абакавира. Эти результаты следует учитывать при введении </w:t>
      </w:r>
      <w:r w:rsidRPr="00887C99">
        <w:t>этраверин</w:t>
      </w:r>
      <w:r>
        <w:t xml:space="preserve">а в схему АРТ, содержащую тенофовир, во время беременности </w:t>
      </w:r>
      <w:r w:rsidR="005245A9">
        <w:fldChar w:fldCharType="begin"/>
      </w:r>
      <w:r w:rsidR="005245A9">
        <w:instrText xml:space="preserve"> ADDIN ZOTERO_ITEM CSL_CITATION {"citationID":"axuNpBkL","properties":{"formattedCitation":"(1,32)","plainCitation":"(1,32)","noteIndex":0},"citationItems":[{"id":2460,"uris":["http://zotero.org/users/5483459/items/AZ4GNHE7"],"itemData":{"id":2460,"type":"document","title":"Product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22-187.","URL":"https://www.accessdata.fda.gov/drugsatfda_docs/nda/2008/022187TOC.cfm","accessed":{"date-parts":[["2022",8,18]]}},"label":"page"}],"schema":"https://github.com/citation-style-language/schema/raw/master/csl-citation.json"} </w:instrText>
      </w:r>
      <w:r w:rsidR="005245A9">
        <w:fldChar w:fldCharType="separate"/>
      </w:r>
      <w:r w:rsidR="00B50985" w:rsidRPr="00B50985">
        <w:t>[</w:t>
      </w:r>
      <w:r w:rsidR="005245A9" w:rsidRPr="008749F9">
        <w:t>1,</w:t>
      </w:r>
      <w:r w:rsidR="003D1D85">
        <w:t xml:space="preserve"> </w:t>
      </w:r>
      <w:r w:rsidR="005245A9" w:rsidRPr="008749F9">
        <w:t>32</w:t>
      </w:r>
      <w:r w:rsidR="00B50985" w:rsidRPr="00B50985">
        <w:t>]</w:t>
      </w:r>
      <w:r w:rsidR="005245A9">
        <w:fldChar w:fldCharType="end"/>
      </w:r>
      <w:r w:rsidR="005245A9">
        <w:t>.</w:t>
      </w:r>
    </w:p>
    <w:p w14:paraId="0EACE523" w14:textId="77777777" w:rsidR="00295007" w:rsidRDefault="00295007" w:rsidP="00295007">
      <w:pPr>
        <w:pStyle w:val="2"/>
        <w:spacing w:line="240" w:lineRule="auto"/>
        <w:rPr>
          <w:color w:val="000000" w:themeColor="text1"/>
        </w:rPr>
      </w:pPr>
      <w:bookmarkStart w:id="107" w:name="_Toc117179199"/>
      <w:bookmarkEnd w:id="94"/>
      <w:bookmarkEnd w:id="95"/>
      <w:bookmarkEnd w:id="96"/>
      <w:r w:rsidRPr="005E6358">
        <w:rPr>
          <w:color w:val="000000" w:themeColor="text1"/>
        </w:rPr>
        <w:t>3.3. Токсикологические исследования</w:t>
      </w:r>
      <w:bookmarkEnd w:id="97"/>
      <w:bookmarkEnd w:id="107"/>
    </w:p>
    <w:p w14:paraId="19DF3507" w14:textId="77777777" w:rsidR="00295007" w:rsidRPr="005E6358" w:rsidRDefault="00295007" w:rsidP="00295007">
      <w:pPr>
        <w:pStyle w:val="3"/>
        <w:spacing w:after="240"/>
        <w:rPr>
          <w:rFonts w:ascii="Times New Roman" w:hAnsi="Times New Roman"/>
          <w:color w:val="000000" w:themeColor="text1"/>
          <w:szCs w:val="24"/>
        </w:rPr>
      </w:pPr>
      <w:bookmarkStart w:id="108" w:name="_Toc117179200"/>
      <w:r w:rsidRPr="005E6358">
        <w:rPr>
          <w:rFonts w:ascii="Times New Roman" w:hAnsi="Times New Roman"/>
          <w:color w:val="000000" w:themeColor="text1"/>
        </w:rPr>
        <w:t>3.3.1.</w:t>
      </w:r>
      <w:r>
        <w:rPr>
          <w:rFonts w:ascii="Times New Roman" w:hAnsi="Times New Roman"/>
          <w:color w:val="000000" w:themeColor="text1"/>
        </w:rPr>
        <w:t xml:space="preserve"> </w:t>
      </w:r>
      <w:r w:rsidRPr="005E6358">
        <w:rPr>
          <w:rFonts w:ascii="Times New Roman" w:hAnsi="Times New Roman"/>
          <w:color w:val="000000" w:themeColor="text1"/>
        </w:rPr>
        <w:t>Токсичность</w:t>
      </w:r>
      <w:r w:rsidRPr="005E6358">
        <w:rPr>
          <w:rFonts w:ascii="Times New Roman" w:hAnsi="Times New Roman"/>
          <w:color w:val="000000" w:themeColor="text1"/>
          <w:szCs w:val="24"/>
        </w:rPr>
        <w:t xml:space="preserve"> при однократном введении</w:t>
      </w:r>
      <w:bookmarkEnd w:id="108"/>
    </w:p>
    <w:p w14:paraId="230201B2" w14:textId="2D145737" w:rsidR="00295007" w:rsidRPr="000D02D2" w:rsidRDefault="00295007" w:rsidP="00295007">
      <w:pPr>
        <w:autoSpaceDE w:val="0"/>
        <w:autoSpaceDN w:val="0"/>
        <w:adjustRightInd w:val="0"/>
        <w:ind w:firstLine="708"/>
        <w:rPr>
          <w:rFonts w:eastAsia="TimesNewRomanPSMT"/>
        </w:rPr>
      </w:pPr>
      <w:r w:rsidRPr="009466B6">
        <w:rPr>
          <w:rFonts w:eastAsia="TimesNewRomanPSMT"/>
        </w:rPr>
        <w:t>Исследования проводились на мышах</w:t>
      </w:r>
      <w:r w:rsidR="000B78D3">
        <w:rPr>
          <w:rFonts w:eastAsia="TimesNewRomanPSMT"/>
        </w:rPr>
        <w:t xml:space="preserve"> и</w:t>
      </w:r>
      <w:r w:rsidRPr="009466B6">
        <w:rPr>
          <w:rFonts w:eastAsia="TimesNewRomanPSMT"/>
        </w:rPr>
        <w:t xml:space="preserve"> крысах</w:t>
      </w:r>
      <w:r w:rsidR="00412E0D">
        <w:rPr>
          <w:rFonts w:eastAsia="TimesNewRomanPSMT"/>
        </w:rPr>
        <w:t xml:space="preserve">. </w:t>
      </w:r>
      <w:r w:rsidRPr="000D02D2">
        <w:rPr>
          <w:rFonts w:eastAsia="TimesNewRomanPSMT"/>
        </w:rPr>
        <w:t xml:space="preserve">В исследованиях на мышах высушенный распылением этраверин в ПЭГ400 вводили однократно </w:t>
      </w:r>
      <w:r>
        <w:rPr>
          <w:rFonts w:eastAsia="TimesNewRomanPSMT"/>
        </w:rPr>
        <w:t>перорально</w:t>
      </w:r>
      <w:r w:rsidRPr="000D02D2">
        <w:rPr>
          <w:rFonts w:eastAsia="TimesNewRomanPSMT"/>
        </w:rPr>
        <w:t xml:space="preserve"> в дозах 500 мг/кг и 1000 мг/кг, а также подкожно в дозах до 320 мг/кг. Контроль за состоянием животных после введения препарата (изменение массы тела, выживаемость, клинические симптомы) проводился в течение 15 дней. Не было зафиксировано летальных исходов, отсутствовали какие-либо токсикологические эффекты. Незначительное снижение массы тела на 3 день наблюдения было обнаружено у двух самок, получавших этраверин </w:t>
      </w:r>
      <w:r>
        <w:rPr>
          <w:rFonts w:eastAsia="TimesNewRomanPSMT"/>
        </w:rPr>
        <w:t>перорально</w:t>
      </w:r>
      <w:r w:rsidRPr="000D02D2">
        <w:rPr>
          <w:rFonts w:eastAsia="TimesNewRomanPSMT"/>
        </w:rPr>
        <w:t xml:space="preserve"> в дозе 1000 мг/кг </w:t>
      </w:r>
      <w:r>
        <w:rPr>
          <w:rFonts w:eastAsia="TimesNewRomanPSMT"/>
        </w:rPr>
        <w:fldChar w:fldCharType="begin"/>
      </w:r>
      <w:r>
        <w:rPr>
          <w:rFonts w:eastAsia="TimesNewRomanPSMT"/>
        </w:rPr>
        <w:instrText xml:space="preserve"> ADDIN ZOTERO_ITEM CSL_CITATION {"citationID":"WJItm6dG","properties":{"formattedCitation":"(1,32,49)","plainCitation":"(1,32,49)","noteIndex":0},"citationItems":[{"id":2460,"uris":["http://zotero.org/users/5483459/items/AZ4GNHE7"],"itemData":{"id":2460,"type":"document","title":"Product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rPr>
          <w:rFonts w:eastAsia="TimesNewRomanPSMT"/>
        </w:rPr>
        <w:fldChar w:fldCharType="separate"/>
      </w:r>
      <w:r w:rsidR="00B50985" w:rsidRPr="00B50985">
        <w:t>[</w:t>
      </w:r>
      <w:r w:rsidRPr="008749F9">
        <w:t>1,</w:t>
      </w:r>
      <w:r w:rsidR="003D1D85">
        <w:t xml:space="preserve"> </w:t>
      </w:r>
      <w:r w:rsidRPr="008749F9">
        <w:t>32,</w:t>
      </w:r>
      <w:r w:rsidR="003D1D85">
        <w:t xml:space="preserve"> </w:t>
      </w:r>
      <w:r w:rsidRPr="008749F9">
        <w:t>49</w:t>
      </w:r>
      <w:r w:rsidR="00B50985" w:rsidRPr="00B50985">
        <w:t>]</w:t>
      </w:r>
      <w:r>
        <w:rPr>
          <w:rFonts w:eastAsia="TimesNewRomanPSMT"/>
        </w:rPr>
        <w:fldChar w:fldCharType="end"/>
      </w:r>
      <w:r>
        <w:rPr>
          <w:rFonts w:eastAsia="TimesNewRomanPSMT"/>
        </w:rPr>
        <w:t>.</w:t>
      </w:r>
    </w:p>
    <w:p w14:paraId="1F07CD54" w14:textId="67D32A5B" w:rsidR="00295007" w:rsidRPr="000D02D2" w:rsidRDefault="00295007" w:rsidP="00295007">
      <w:pPr>
        <w:autoSpaceDE w:val="0"/>
        <w:autoSpaceDN w:val="0"/>
        <w:adjustRightInd w:val="0"/>
        <w:ind w:firstLine="708"/>
        <w:rPr>
          <w:rFonts w:eastAsia="TimesNewRomanPSMT"/>
        </w:rPr>
      </w:pPr>
      <w:r w:rsidRPr="000D02D2">
        <w:rPr>
          <w:rFonts w:eastAsia="TimesNewRomanPSMT"/>
        </w:rPr>
        <w:t xml:space="preserve">При однократном </w:t>
      </w:r>
      <w:r>
        <w:rPr>
          <w:rFonts w:eastAsia="TimesNewRomanPSMT"/>
        </w:rPr>
        <w:t>пероральном</w:t>
      </w:r>
      <w:r w:rsidRPr="000D02D2">
        <w:rPr>
          <w:rFonts w:eastAsia="TimesNewRomanPSMT"/>
        </w:rPr>
        <w:t xml:space="preserve"> введении крысам высушенного распылением этраверин в ПЭГ400 в дозах 500 мг/кг и 1000 мг/кг, а также подкожно в дозах до 320 мг/кг, не наблюдалось токсикологических эффектов, за исключением единичного случая раздражения в месте введения у самки при подкожно применении самой высокой дозы 320 мг/кг. Контроль за состоянием животных после введения препарата (изменение массы тела, выживаемость, клинические симптомы) проводился в течение 15 дней </w:t>
      </w:r>
      <w:r>
        <w:rPr>
          <w:rFonts w:eastAsia="TimesNewRomanPSMT"/>
        </w:rPr>
        <w:fldChar w:fldCharType="begin"/>
      </w:r>
      <w:r>
        <w:rPr>
          <w:rFonts w:eastAsia="TimesNewRomanPSMT"/>
        </w:rPr>
        <w:instrText xml:space="preserve"> ADDIN ZOTERO_ITEM CSL_CITATION {"citationID":"SYigURkA","properties":{"formattedCitation":"(1,32,49)","plainCitation":"(1,32,49)","noteIndex":0},"citationItems":[{"id":2460,"uris":["http://zotero.org/users/5483459/items/AZ4GNHE7"],"itemData":{"id":2460,"type":"document","title":"Product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rPr>
          <w:rFonts w:eastAsia="TimesNewRomanPSMT"/>
        </w:rPr>
        <w:fldChar w:fldCharType="separate"/>
      </w:r>
      <w:r w:rsidR="00B50985" w:rsidRPr="00B50985">
        <w:t>[</w:t>
      </w:r>
      <w:r w:rsidRPr="008749F9">
        <w:t>1,</w:t>
      </w:r>
      <w:r w:rsidR="003D1D85">
        <w:t xml:space="preserve"> </w:t>
      </w:r>
      <w:r w:rsidRPr="008749F9">
        <w:t>32,</w:t>
      </w:r>
      <w:r w:rsidR="003D1D85">
        <w:t xml:space="preserve"> </w:t>
      </w:r>
      <w:r w:rsidRPr="008749F9">
        <w:t>49</w:t>
      </w:r>
      <w:r w:rsidR="00B50985" w:rsidRPr="00B50985">
        <w:t>]</w:t>
      </w:r>
      <w:r>
        <w:rPr>
          <w:rFonts w:eastAsia="TimesNewRomanPSMT"/>
        </w:rPr>
        <w:fldChar w:fldCharType="end"/>
      </w:r>
      <w:r>
        <w:rPr>
          <w:rFonts w:eastAsia="TimesNewRomanPSMT"/>
        </w:rPr>
        <w:t>.</w:t>
      </w:r>
    </w:p>
    <w:p w14:paraId="46D0FA86" w14:textId="77777777" w:rsidR="00295007" w:rsidRDefault="00295007" w:rsidP="00295007">
      <w:pPr>
        <w:pStyle w:val="3"/>
        <w:spacing w:after="240"/>
        <w:rPr>
          <w:rFonts w:ascii="Times New Roman" w:hAnsi="Times New Roman"/>
          <w:color w:val="000000" w:themeColor="text1"/>
        </w:rPr>
      </w:pPr>
      <w:bookmarkStart w:id="109" w:name="_Toc117179201"/>
      <w:r w:rsidRPr="005E6358">
        <w:rPr>
          <w:rFonts w:ascii="Times New Roman" w:hAnsi="Times New Roman"/>
          <w:color w:val="000000" w:themeColor="text1"/>
        </w:rPr>
        <w:t>3.3.2. Токсичность</w:t>
      </w:r>
      <w:r>
        <w:rPr>
          <w:rFonts w:ascii="Times New Roman" w:hAnsi="Times New Roman"/>
          <w:color w:val="000000" w:themeColor="text1"/>
        </w:rPr>
        <w:t xml:space="preserve"> </w:t>
      </w:r>
      <w:r w:rsidRPr="005E6358">
        <w:rPr>
          <w:rFonts w:ascii="Times New Roman" w:hAnsi="Times New Roman"/>
          <w:color w:val="000000" w:themeColor="text1"/>
        </w:rPr>
        <w:t>при многократном введении</w:t>
      </w:r>
      <w:bookmarkEnd w:id="109"/>
    </w:p>
    <w:p w14:paraId="5A27B919" w14:textId="0F65E64A" w:rsidR="00295007" w:rsidRDefault="00295007" w:rsidP="009435FB">
      <w:pPr>
        <w:ind w:firstLine="709"/>
      </w:pPr>
      <w:r>
        <w:t xml:space="preserve">Всего было проведено порядка 15 исследований токсичности </w:t>
      </w:r>
      <w:r w:rsidRPr="000D02D2">
        <w:rPr>
          <w:rFonts w:eastAsia="TimesNewRomanPSMT"/>
        </w:rPr>
        <w:t>этраверин</w:t>
      </w:r>
      <w:r>
        <w:rPr>
          <w:rFonts w:eastAsia="TimesNewRomanPSMT"/>
        </w:rPr>
        <w:t>а</w:t>
      </w:r>
      <w:r w:rsidRPr="000D02D2">
        <w:rPr>
          <w:rFonts w:eastAsia="TimesNewRomanPSMT"/>
        </w:rPr>
        <w:t xml:space="preserve"> </w:t>
      </w:r>
      <w:r>
        <w:t>при многократном введении на мышах, крысах, кроликах и собаках, продолжи</w:t>
      </w:r>
      <w:r>
        <w:lastRenderedPageBreak/>
        <w:t xml:space="preserve">тельностью от 5 дней до 12 месяцев </w:t>
      </w:r>
      <w:r w:rsidR="003D1D85" w:rsidRPr="008B0B82">
        <w:t>[36]</w:t>
      </w:r>
      <w:r>
        <w:t xml:space="preserve">. Самое длительное исследование токсичности </w:t>
      </w:r>
      <w:r w:rsidRPr="000D02D2">
        <w:rPr>
          <w:rFonts w:eastAsia="TimesNewRomanPSMT"/>
        </w:rPr>
        <w:t>этраверин</w:t>
      </w:r>
      <w:r>
        <w:rPr>
          <w:rFonts w:eastAsia="TimesNewRomanPSMT"/>
        </w:rPr>
        <w:t>а</w:t>
      </w:r>
      <w:r w:rsidRPr="000D02D2">
        <w:rPr>
          <w:rFonts w:eastAsia="TimesNewRomanPSMT"/>
        </w:rPr>
        <w:t xml:space="preserve"> </w:t>
      </w:r>
      <w:r>
        <w:t xml:space="preserve">при многократном введении на мышах проводилось в течение 3 месяцев, на крысах – в течение 6 месяцев, на собаках – в течение 12 месяцев </w:t>
      </w:r>
      <w:r w:rsidR="003D1D85">
        <w:fldChar w:fldCharType="begin"/>
      </w:r>
      <w:r w:rsidR="003D1D85">
        <w:instrText xml:space="preserve"> ADDIN ZOTERO_ITEM CSL_CITATION {"citationID":"CcpPOy8T","properties":{"formattedCitation":"(36,36,49)","plainCitation":"(36,36,49)","noteIndex":0},"citationItems":[{"id":2512,"uris":["http://zotero.org/users/5483459/items/D5YAPSNZ"],"itemData":{"id":2512,"type":"document","title":"Drug Approval Package: Intelence (Etravirine) NDA #02218. Pharmacology Review(s) Drug Approval Package: Etravirine. NDA 22-187. Part I."},"label":"page"},{"id":2512,"uris":["http://zotero.org/users/5483459/items/D5YAPSNZ"],"itemData":{"id":2512,"type":"document","title":"Drug Approval Package: Intelence (Etravirine) NDA #02218. Pharmacology Review(s) Drug Approval Package: Etravirine. NDA 22-187. Part I."},"label":"page"},{"id":2541,"uris":["http://zotero.org/users/5483459/items/HG644SK6"],"itemData":{"id":2541,"type":"document","title":"European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rsidR="003D1D85">
        <w:fldChar w:fldCharType="separate"/>
      </w:r>
      <w:r w:rsidR="003D1D85" w:rsidRPr="008B0B82">
        <w:t xml:space="preserve">[36, </w:t>
      </w:r>
      <w:r w:rsidR="003D1D85" w:rsidRPr="008749F9">
        <w:t>49</w:t>
      </w:r>
      <w:r w:rsidR="003D1D85" w:rsidRPr="008B0B82">
        <w:t>]</w:t>
      </w:r>
      <w:r w:rsidR="003D1D85">
        <w:fldChar w:fldCharType="end"/>
      </w:r>
      <w:r>
        <w:t xml:space="preserve">. Кроме того, было проведено одно исследование токсичности </w:t>
      </w:r>
      <w:r w:rsidRPr="000D02D2">
        <w:rPr>
          <w:rFonts w:eastAsia="TimesNewRomanPSMT"/>
        </w:rPr>
        <w:t>этраверин</w:t>
      </w:r>
      <w:r>
        <w:rPr>
          <w:rFonts w:eastAsia="TimesNewRomanPSMT"/>
        </w:rPr>
        <w:t>а</w:t>
      </w:r>
      <w:r w:rsidRPr="000D02D2">
        <w:rPr>
          <w:rFonts w:eastAsia="TimesNewRomanPSMT"/>
        </w:rPr>
        <w:t xml:space="preserve"> </w:t>
      </w:r>
      <w:r>
        <w:t xml:space="preserve">при многократном введении на кроликах, в течение 5 дней как предварительное оценочное для дальнейшего изучения репродуктивной токсичности </w:t>
      </w:r>
      <w:r>
        <w:fldChar w:fldCharType="begin"/>
      </w:r>
      <w:r>
        <w:instrText xml:space="preserve"> ADDIN ZOTERO_ITEM CSL_CITATION {"citationID":"viaH2kV0","properties":{"formattedCitation":"(49)","plainCitation":"(49)","noteIndex":0},"citationItems":[{"id":2541,"uris":["http://zotero.org/users/5483459/items/HG644SK6"],"itemData":{"id":2541,"type":"document","title":"European Medicines Agency INTELENCE®Summary of Product Characteristic. 2008.Doc.Ref.: EMEA/CHMP/43952/2008"}}],"schema":"https://github.com/citation-style-language/schema/raw/master/csl-citation.json"} </w:instrText>
      </w:r>
      <w:r>
        <w:fldChar w:fldCharType="separate"/>
      </w:r>
      <w:r w:rsidR="00B50985" w:rsidRPr="00B50985">
        <w:t>[</w:t>
      </w:r>
      <w:r w:rsidRPr="008749F9">
        <w:t>49</w:t>
      </w:r>
      <w:r w:rsidR="00B50985" w:rsidRPr="00B50985">
        <w:t>]</w:t>
      </w:r>
      <w:r>
        <w:fldChar w:fldCharType="end"/>
      </w:r>
      <w:r>
        <w:t>.</w:t>
      </w:r>
    </w:p>
    <w:p w14:paraId="0F2CF321" w14:textId="666254E7" w:rsidR="00295007" w:rsidRDefault="00295007" w:rsidP="009435FB">
      <w:pPr>
        <w:ind w:firstLine="709"/>
      </w:pPr>
      <w:r>
        <w:t xml:space="preserve">При исследовании </w:t>
      </w:r>
      <w:r>
        <w:rPr>
          <w:rFonts w:eastAsia="TimesNewRomanPSMT"/>
        </w:rPr>
        <w:t xml:space="preserve">этраверина </w:t>
      </w:r>
      <w:r>
        <w:t xml:space="preserve">гидробромида в ПЭГ400 у мышей </w:t>
      </w:r>
      <w:r w:rsidRPr="00BE3C32">
        <w:rPr>
          <w:i/>
          <w:iCs/>
        </w:rPr>
        <w:t>CD-1</w:t>
      </w:r>
      <w:r>
        <w:t xml:space="preserve"> при многократном введении в течение 2 недель в дозах до 1200 мг/кг/сутки и в течении 3 месяцев в дозах до 800 мг/кг/сутки не было зафиксировано летальных случаев, связанных с применением </w:t>
      </w:r>
      <w:r>
        <w:rPr>
          <w:rFonts w:eastAsia="TimesNewRomanPSMT"/>
        </w:rPr>
        <w:t xml:space="preserve">этраверина </w:t>
      </w:r>
      <w:r>
        <w:t xml:space="preserve">гидробромида. В исследованиях на мышах основным органом, в отношении которого проявлялось токсикологическое действие </w:t>
      </w:r>
      <w:r>
        <w:rPr>
          <w:rFonts w:eastAsia="TimesNewRomanPSMT"/>
        </w:rPr>
        <w:t>этраверина</w:t>
      </w:r>
      <w:r>
        <w:t>, была печень, наблюдалось дозозависимое увеличение трансаминаз, щелочной фосфатазы (ЩФ), триглицеридов и холестерина, в ходе гистопатологических исследований – гепатоцеллюлярная гипертрофия и некроз печени. NOAEL установить не удалось, так как уже при низких дозах 10 мг/кг/сутки было обнаружено токсическое влияние на печень (изменение параметров сыворотки крови, гистопатологические изменения печени). Системные экспозиции (AUC</w:t>
      </w:r>
      <w:r w:rsidRPr="008B0B82">
        <w:rPr>
          <w:vertAlign w:val="subscript"/>
        </w:rPr>
        <w:t>0-24</w:t>
      </w:r>
      <w:r>
        <w:t>) при максимальной дозе 800 мг/кг/сутки в 3-месячном исследовании составили 7,8 и 10 мкг</w:t>
      </w:r>
      <w:r w:rsidR="00AD78CD" w:rsidRPr="008B0B82">
        <w:t>*</w:t>
      </w:r>
      <w:r>
        <w:t xml:space="preserve">ч/мл у самцов и самок, соответственно. В 3-месячном исследовании высушенного распылением </w:t>
      </w:r>
      <w:r>
        <w:rPr>
          <w:rFonts w:eastAsia="TimesNewRomanPSMT"/>
        </w:rPr>
        <w:t xml:space="preserve">этраверина </w:t>
      </w:r>
      <w:r>
        <w:t xml:space="preserve">при добавлении в пищу мышам случаи гибели животных наблюдались в дозах 450 мг/кг/сутки и выше и были связаны с нарушением свертываемости крови, последующей кардиомиопатией, гемотораксом и кровотечением. Токсическое влияние на сердце и кровоизлияния наблюдались только у самцов и только при введении с пищей, при пероральном введении через желудочный зонд у самцов подобных эффектов не было. У самок не обнаружено </w:t>
      </w:r>
      <w:r w:rsidR="00AD78CD">
        <w:t>какого-либо</w:t>
      </w:r>
      <w:r>
        <w:t xml:space="preserve"> влияния на сердце с летальными исходами, хотя системное воздействие было сопоставимым для обоих полов. Также в данном исследовании отмечалось токсическое влияние на печень, как и при пероральном введении с помощью желудочного зонда. NOAEL в данном исследовании не определялась в связи с геморрагической кардиомиопатией и отрицательным влиянием на печень. Наивысшие системные экспозиции (AUC</w:t>
      </w:r>
      <w:r w:rsidRPr="00175414">
        <w:rPr>
          <w:vertAlign w:val="subscript"/>
        </w:rPr>
        <w:t>0-24</w:t>
      </w:r>
      <w:r>
        <w:t xml:space="preserve">) при введении </w:t>
      </w:r>
      <w:r>
        <w:rPr>
          <w:rFonts w:eastAsia="TimesNewRomanPSMT"/>
        </w:rPr>
        <w:t xml:space="preserve">этраверина </w:t>
      </w:r>
      <w:r>
        <w:t xml:space="preserve">мышам c пищей составили 10 и 8,1 мкг·ч/мл у самцов и самок, соответственно </w:t>
      </w:r>
      <w:r>
        <w:fldChar w:fldCharType="begin"/>
      </w:r>
      <w:r>
        <w:instrText xml:space="preserve"> ADDIN ZOTERO_ITEM CSL_CITATION {"citationID":"6MDbcbo7","properties":{"formattedCitation":"(36,37)","plainCitation":"(36,37)","noteIndex":0},"citationItems":[{"id":2512,"uris":["http://zotero.org/users/5483459/items/D5YAPSNZ"],"itemData":{"id":2512,"type":"document","title":"Drug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36,</w:t>
      </w:r>
      <w:r w:rsidR="00AD78CD" w:rsidRPr="008B0B82">
        <w:t xml:space="preserve"> </w:t>
      </w:r>
      <w:r w:rsidRPr="008749F9">
        <w:t>37</w:t>
      </w:r>
      <w:r w:rsidR="00B50985" w:rsidRPr="00B50985">
        <w:t>]</w:t>
      </w:r>
      <w:r>
        <w:fldChar w:fldCharType="end"/>
      </w:r>
      <w:r>
        <w:t>.</w:t>
      </w:r>
    </w:p>
    <w:p w14:paraId="4A77E220" w14:textId="58A05C07" w:rsidR="00295007" w:rsidRDefault="00295007" w:rsidP="009435FB">
      <w:pPr>
        <w:ind w:firstLine="709"/>
      </w:pPr>
      <w:r>
        <w:t xml:space="preserve">При исследовании </w:t>
      </w:r>
      <w:r>
        <w:rPr>
          <w:rFonts w:eastAsia="TimesNewRomanPSMT"/>
        </w:rPr>
        <w:t xml:space="preserve">этраверина </w:t>
      </w:r>
      <w:r>
        <w:t xml:space="preserve">в ПЭГ400 у крыс </w:t>
      </w:r>
      <w:r w:rsidRPr="00175414">
        <w:rPr>
          <w:i/>
          <w:iCs/>
        </w:rPr>
        <w:t>Wistar</w:t>
      </w:r>
      <w:r>
        <w:t xml:space="preserve"> при многократном введении в течение 2 недель вводимые дозы составили до 320 мг/кг/сутки. </w:t>
      </w:r>
      <w:r>
        <w:rPr>
          <w:rFonts w:eastAsia="TimesNewRomanPSMT"/>
        </w:rPr>
        <w:t xml:space="preserve">Этраверина </w:t>
      </w:r>
      <w:r>
        <w:t xml:space="preserve">гидробромид в ПЭГ400 при исследовании в течение 6 месяцев водили в дозе 600 мг/кг/сутки. Не было зафиксировано случаев гибели животных, связанных с применением </w:t>
      </w:r>
      <w:r>
        <w:rPr>
          <w:rFonts w:eastAsia="TimesNewRomanPSMT"/>
        </w:rPr>
        <w:t>этраверина</w:t>
      </w:r>
      <w:r>
        <w:t xml:space="preserve">. Все клинические показатели, а также масса тела и потребление пищи были в норме, офтальмоскопия не показала каких-либо отклонений. Гистопатологические изменения печени (гипертрофия) наблюдались во всех исследованиях на крысах продолжительностью 3 месяца и более, при этом не были повышены печеночные трансаминазы. Также токсичность </w:t>
      </w:r>
      <w:r>
        <w:rPr>
          <w:rFonts w:eastAsia="TimesNewRomanPSMT"/>
        </w:rPr>
        <w:t xml:space="preserve">этраверина </w:t>
      </w:r>
      <w:r>
        <w:t xml:space="preserve">у крыс наблюдалась в отношении щитовидной железы (увеличение массы органа). Такие изменения являлись специфическими для грызунов и соответствовали способности </w:t>
      </w:r>
      <w:r w:rsidRPr="00175414">
        <w:t xml:space="preserve">этраверина </w:t>
      </w:r>
      <w:r>
        <w:t xml:space="preserve">индуцировать ферменты печени, и, вероятно, отражали адаптивную реакцию на индукцию ферментов </w:t>
      </w:r>
      <w:r>
        <w:lastRenderedPageBreak/>
        <w:t xml:space="preserve">печени и повышение выделения гормонов щитовидной железы. </w:t>
      </w:r>
      <w:r w:rsidR="00F93EF5" w:rsidRPr="00F93EF5">
        <w:t>Максимальная доза, не оказывающая явного нежелательного эффекта</w:t>
      </w:r>
      <w:r w:rsidR="00F93EF5">
        <w:t xml:space="preserve"> (</w:t>
      </w:r>
      <w:r>
        <w:t>NOAEL</w:t>
      </w:r>
      <w:r w:rsidR="00263A86">
        <w:t>)</w:t>
      </w:r>
      <w:r>
        <w:t xml:space="preserve"> в 6 месячном исследовании </w:t>
      </w:r>
      <w:r>
        <w:rPr>
          <w:rFonts w:eastAsia="TimesNewRomanPSMT"/>
        </w:rPr>
        <w:t xml:space="preserve">этраверина </w:t>
      </w:r>
      <w:r>
        <w:t>гидробромида составила 70 мг/кг/сутки, при этом системные экспозиции (AUC0-last) составили 0,21 и 0,66 мкг</w:t>
      </w:r>
      <w:r w:rsidR="00AD78CD" w:rsidRPr="008B0B82">
        <w:t>*</w:t>
      </w:r>
      <w:r>
        <w:t xml:space="preserve">ч/мл у самцов и самок, соответственно. В 3-месячном исследовании </w:t>
      </w:r>
      <w:r w:rsidR="00AD78CD">
        <w:t>этраверин при</w:t>
      </w:r>
      <w:r>
        <w:t xml:space="preserve"> добавлении в пищу при самой низкой дозе 330 мг/кг/сутки NOAEL установить не удалось из-за токсикологического влияния на печень. Несмотря на то, что в исследованиях у крыс при добавлении </w:t>
      </w:r>
      <w:r w:rsidR="00AD78CD">
        <w:rPr>
          <w:rFonts w:eastAsia="TimesNewRomanPSMT"/>
        </w:rPr>
        <w:t xml:space="preserve">этраверина </w:t>
      </w:r>
      <w:r w:rsidR="00AD78CD">
        <w:t>в</w:t>
      </w:r>
      <w:r>
        <w:t xml:space="preserve"> пищу наблюдалось повышение времени свертывания крови, кровотечений или изменений в сердце зафиксировано не было. Системные экспозиции (AUC</w:t>
      </w:r>
      <w:r w:rsidRPr="00175414">
        <w:rPr>
          <w:vertAlign w:val="subscript"/>
        </w:rPr>
        <w:t>0-24</w:t>
      </w:r>
      <w:r>
        <w:t xml:space="preserve">) в дозе 330 мг/кг/сутки составили 1,2 и 3,0 мкг·ч/мл у самцов и самок, соответственно. Системные экспозиции при </w:t>
      </w:r>
      <w:r w:rsidR="00301725">
        <w:t>внутр</w:t>
      </w:r>
      <w:r w:rsidR="0019273B">
        <w:t>и</w:t>
      </w:r>
      <w:r w:rsidR="00301725">
        <w:t>тжедудочном</w:t>
      </w:r>
      <w:r>
        <w:t xml:space="preserve">  введении </w:t>
      </w:r>
      <w:r>
        <w:rPr>
          <w:rFonts w:eastAsia="TimesNewRomanPSMT"/>
        </w:rPr>
        <w:t xml:space="preserve">этраверина </w:t>
      </w:r>
      <w:r>
        <w:t xml:space="preserve">с пищей в диапазоне доз до 990 мг/кг/сутки и при введении </w:t>
      </w:r>
      <w:r>
        <w:rPr>
          <w:rFonts w:eastAsia="TimesNewRomanPSMT"/>
        </w:rPr>
        <w:t xml:space="preserve">этраверина </w:t>
      </w:r>
      <w:r>
        <w:t>гидробромида при помощи желудочного зонда в диапазоне доз до 600 мг/кг/сутки были аналогичными – 2,1-6,7 мкг</w:t>
      </w:r>
      <w:r w:rsidR="00AD78CD" w:rsidRPr="008B0B82">
        <w:t>*</w:t>
      </w:r>
      <w:r>
        <w:t>ч/мл и 2,3-6,7 мкг</w:t>
      </w:r>
      <w:r w:rsidR="00AD78CD" w:rsidRPr="008B0B82">
        <w:t>*</w:t>
      </w:r>
      <w:r>
        <w:t xml:space="preserve">ч/мл, соответственно </w:t>
      </w:r>
      <w:r>
        <w:fldChar w:fldCharType="begin"/>
      </w:r>
      <w:r>
        <w:instrText xml:space="preserve"> ADDIN ZOTERO_ITEM CSL_CITATION {"citationID":"VTEQRWby","properties":{"formattedCitation":"(36,37)","plainCitation":"(36,37)","noteIndex":0},"citationItems":[{"id":2512,"uris":["http://zotero.org/users/5483459/items/D5YAPSNZ"],"itemData":{"id":2512,"type":"document","title":"Drug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36,</w:t>
      </w:r>
      <w:r w:rsidR="00AD78CD" w:rsidRPr="008B0B82">
        <w:t xml:space="preserve"> </w:t>
      </w:r>
      <w:r w:rsidRPr="008749F9">
        <w:t>37</w:t>
      </w:r>
      <w:r w:rsidR="00B50985" w:rsidRPr="00B50985">
        <w:t>]</w:t>
      </w:r>
      <w:r>
        <w:fldChar w:fldCharType="end"/>
      </w:r>
      <w:r>
        <w:t>.</w:t>
      </w:r>
    </w:p>
    <w:p w14:paraId="77778701" w14:textId="4BB722AA" w:rsidR="00412E0D" w:rsidRPr="00161F13" w:rsidRDefault="00412E0D" w:rsidP="009435FB">
      <w:pPr>
        <w:autoSpaceDE w:val="0"/>
        <w:autoSpaceDN w:val="0"/>
        <w:adjustRightInd w:val="0"/>
        <w:ind w:firstLine="709"/>
        <w:rPr>
          <w:rFonts w:eastAsia="TimesNewRomanPSMT"/>
        </w:rPr>
      </w:pPr>
      <w:r w:rsidRPr="000D02D2">
        <w:rPr>
          <w:rFonts w:eastAsia="TimesNewRomanPSMT"/>
        </w:rPr>
        <w:t>У собак исследование токсичности этраверин</w:t>
      </w:r>
      <w:r>
        <w:rPr>
          <w:rFonts w:eastAsia="TimesNewRomanPSMT"/>
        </w:rPr>
        <w:t>а</w:t>
      </w:r>
      <w:r w:rsidRPr="000D02D2">
        <w:rPr>
          <w:rFonts w:eastAsia="TimesNewRomanPSMT"/>
        </w:rPr>
        <w:t xml:space="preserve"> проводилось в 3 фазы с применением высушенного распылением этраверин</w:t>
      </w:r>
      <w:r>
        <w:rPr>
          <w:rFonts w:eastAsia="TimesNewRomanPSMT"/>
        </w:rPr>
        <w:t>а</w:t>
      </w:r>
      <w:r w:rsidRPr="000D02D2">
        <w:rPr>
          <w:rFonts w:eastAsia="TimesNewRomanPSMT"/>
        </w:rPr>
        <w:t xml:space="preserve"> в виде водной суспензии </w:t>
      </w:r>
      <w:r>
        <w:rPr>
          <w:rFonts w:eastAsia="TimesNewRomanPSMT"/>
        </w:rPr>
        <w:t>перорально</w:t>
      </w:r>
      <w:r w:rsidRPr="000D02D2">
        <w:rPr>
          <w:rFonts w:eastAsia="TimesNewRomanPSMT"/>
        </w:rPr>
        <w:t xml:space="preserve"> при помощи желудочного зонда. Первая фаза исследования заключалась в последовательном увеличении дозы до 160 мг/кг/сутки. Вторая фаза продолжалась 5 дней, в течение которых собакам ежедневно вводили этраверин в дозе 120 мг/кг/сутки. Во время третьей фазы доза этраверин</w:t>
      </w:r>
      <w:r>
        <w:rPr>
          <w:rFonts w:eastAsia="TimesNewRomanPSMT"/>
        </w:rPr>
        <w:t>а</w:t>
      </w:r>
      <w:r w:rsidRPr="000D02D2">
        <w:rPr>
          <w:rFonts w:eastAsia="TimesNewRomanPSMT"/>
        </w:rPr>
        <w:t xml:space="preserve"> составила 350 мг/кг/сутки в течение 5 дней. В данном исследовании не наблюдалось каких-либо токсикологических эффектов </w:t>
      </w:r>
      <w:r>
        <w:rPr>
          <w:rFonts w:eastAsia="TimesNewRomanPSMT"/>
        </w:rPr>
        <w:fldChar w:fldCharType="begin"/>
      </w:r>
      <w:r>
        <w:rPr>
          <w:rFonts w:eastAsia="TimesNewRomanPSMT"/>
        </w:rPr>
        <w:instrText xml:space="preserve"> ADDIN ZOTERO_ITEM CSL_CITATION {"citationID":"huzq2IW4","properties":{"formattedCitation":"(1,32,49)","plainCitation":"(1,32,49)","noteIndex":0},"citationItems":[{"id":2460,"uris":["http://zotero.org/users/5483459/items/AZ4GNHE7"],"itemData":{"id":2460,"type":"document","title":"Product Monograph INTELENCE® etravirine tablets 25 mg, 100 mg, 200 mg. Janssen Inc.  Date of Revision: May 17, 2017."},"label":"page"},{"id":2501,"uris":["http://zotero.org/users/5483459/items/XQS79YPZ"],"itemData":{"id":2501,"type":"webpage","title":"Drug Approval Package: Intelence (Etravirine) NDA #02218. Microbiology Review(s). NDA 22-187.","URL":"https://www.accessdata.fda.gov/drugsatfda_docs/nda/2008/022187TOC.cfm","accessed":{"date-parts":[["2022",8,18]]}},"label":"page"},{"id":2541,"uris":["http://zotero.org/users/5483459/items/HG644SK6"],"itemData":{"id":2541,"type":"document","title":"European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rPr>
          <w:rFonts w:eastAsia="TimesNewRomanPSMT"/>
        </w:rPr>
        <w:fldChar w:fldCharType="separate"/>
      </w:r>
      <w:r w:rsidR="00B50985" w:rsidRPr="00B66676">
        <w:t>[</w:t>
      </w:r>
      <w:r w:rsidRPr="008749F9">
        <w:t>1,</w:t>
      </w:r>
      <w:r w:rsidR="00AD78CD" w:rsidRPr="008B0B82">
        <w:t xml:space="preserve"> </w:t>
      </w:r>
      <w:r w:rsidRPr="008749F9">
        <w:t>32,</w:t>
      </w:r>
      <w:r w:rsidR="00AD78CD" w:rsidRPr="008B0B82">
        <w:t xml:space="preserve"> </w:t>
      </w:r>
      <w:r w:rsidRPr="008749F9">
        <w:t>49</w:t>
      </w:r>
      <w:r w:rsidR="00B50985" w:rsidRPr="00B66676">
        <w:t>]</w:t>
      </w:r>
      <w:r>
        <w:rPr>
          <w:rFonts w:eastAsia="TimesNewRomanPSMT"/>
        </w:rPr>
        <w:fldChar w:fldCharType="end"/>
      </w:r>
      <w:r>
        <w:rPr>
          <w:rFonts w:eastAsia="TimesNewRomanPSMT"/>
        </w:rPr>
        <w:t>.</w:t>
      </w:r>
    </w:p>
    <w:p w14:paraId="44CDA5C5" w14:textId="09990162" w:rsidR="00412E0D" w:rsidRDefault="00295007" w:rsidP="008B0B82">
      <w:pPr>
        <w:ind w:firstLine="709"/>
      </w:pPr>
      <w:r>
        <w:t xml:space="preserve">При исследовании </w:t>
      </w:r>
      <w:r w:rsidR="00AD78CD">
        <w:rPr>
          <w:rFonts w:eastAsia="TimesNewRomanPSMT"/>
        </w:rPr>
        <w:t xml:space="preserve">этраверина </w:t>
      </w:r>
      <w:r w:rsidR="00AD78CD">
        <w:t>в</w:t>
      </w:r>
      <w:r>
        <w:t xml:space="preserve"> ПЭГ400 у собак породы бигль при многократном пероральном введении через желудочный зонд в течение 2 недель и 1 месяца дозы составили до 160 мг/кг/сутки. При исследовании </w:t>
      </w:r>
      <w:r w:rsidR="00AD78CD">
        <w:rPr>
          <w:rFonts w:eastAsia="TimesNewRomanPSMT"/>
        </w:rPr>
        <w:t xml:space="preserve">этраверина </w:t>
      </w:r>
      <w:r w:rsidR="00AD78CD">
        <w:t>гидробромида</w:t>
      </w:r>
      <w:r>
        <w:t xml:space="preserve"> в ПЭГ400 в течение 12 месяцев – до 240 мг/кг/сутки. При данном диапазоне доз </w:t>
      </w:r>
      <w:r w:rsidR="00AD78CD">
        <w:t>этраверин хорошо</w:t>
      </w:r>
      <w:r>
        <w:t xml:space="preserve"> переносился и какого-либо токсикологического влияния на органы не наблюдалось. NOAEL в 12-месячном исследовании составила 240 мг/кг/сутки, при системной экспозиции (AUC</w:t>
      </w:r>
      <w:r w:rsidRPr="008359D8">
        <w:rPr>
          <w:vertAlign w:val="subscript"/>
        </w:rPr>
        <w:t>0-24</w:t>
      </w:r>
      <w:r>
        <w:t xml:space="preserve">) 36 и 23 мкг·ч/мл у самцов и самок, соответственно. Дополнительные исследования водной суспензии высушенного распылением </w:t>
      </w:r>
      <w:r w:rsidR="00AD78CD">
        <w:rPr>
          <w:rFonts w:eastAsia="TimesNewRomanPSMT"/>
        </w:rPr>
        <w:t xml:space="preserve">этраверина </w:t>
      </w:r>
      <w:r w:rsidR="00AD78CD">
        <w:t>при</w:t>
      </w:r>
      <w:r>
        <w:t xml:space="preserve"> многократном введении собакам в течение 1 и 6 месяцев проводились с дозами до 500 мг/кг/сутки, разделенными на равные части и вводимыми через 5 часов. Токсическое влияние в данных исследованиях проявлялось в виде рвоты, частота и степень тяжести которой являлись дозозависимыми. При самой высокой дозе 500 мг/кг/сутки у собак снижалась масса тела и потребление пищи. У самцов при самой высокой дозе повышался общий билирубин, ЩФ и АЛТ. При дозе 160 мг/кг/сутки и выше наблюдались изменения печени (микрогранулемы), тогда как изменения в желчном пузыре (застой желчи) наблюдались только при дозе 500 мг/кг/сутки. Вероятно, в 6-месячном исследовании при многократном введении высушенного распылением </w:t>
      </w:r>
      <w:r>
        <w:rPr>
          <w:rFonts w:eastAsia="TimesNewRomanPSMT"/>
        </w:rPr>
        <w:t xml:space="preserve">этраверина </w:t>
      </w:r>
      <w:r>
        <w:t xml:space="preserve"> в виде водной суспензии в дозе 500 мг/кг/сутки возникновение токсических эффектов связано с более высокой системной экспозицией (AUC</w:t>
      </w:r>
      <w:r w:rsidRPr="00175414">
        <w:rPr>
          <w:vertAlign w:val="subscript"/>
        </w:rPr>
        <w:t>0 24</w:t>
      </w:r>
      <w:r>
        <w:t xml:space="preserve">) 62 мкг·ч/мл у самцов и самок собак </w:t>
      </w:r>
      <w:r>
        <w:fldChar w:fldCharType="begin"/>
      </w:r>
      <w:r>
        <w:instrText xml:space="preserve"> ADDIN ZOTERO_ITEM CSL_CITATION {"citationID":"yKC3uSq0","properties":{"formattedCitation":"(36,37)","plainCitation":"(36,37)","noteIndex":0},"citationItems":[{"id":2512,"uris":["http://zotero.org/users/5483459/items/D5YAPSNZ"],"itemData":{"id":2512,"type":"document","title":"Drug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36,</w:t>
      </w:r>
      <w:r w:rsidR="00AD78CD" w:rsidRPr="008B0B82">
        <w:t xml:space="preserve"> </w:t>
      </w:r>
      <w:r w:rsidRPr="008749F9">
        <w:t>37</w:t>
      </w:r>
      <w:r w:rsidR="00B50985" w:rsidRPr="00B50985">
        <w:t>]</w:t>
      </w:r>
      <w:r>
        <w:fldChar w:fldCharType="end"/>
      </w:r>
      <w:r>
        <w:t>.</w:t>
      </w:r>
    </w:p>
    <w:p w14:paraId="2564FC66" w14:textId="77777777" w:rsidR="00295007" w:rsidRDefault="00295007" w:rsidP="00295007">
      <w:pPr>
        <w:pStyle w:val="3"/>
        <w:spacing w:after="240"/>
        <w:rPr>
          <w:rStyle w:val="apple-converted-space"/>
          <w:rFonts w:ascii="Times New Roman" w:eastAsia="Calibri" w:hAnsi="Times New Roman"/>
          <w:bCs w:val="0"/>
          <w:color w:val="000000" w:themeColor="text1"/>
          <w:shd w:val="clear" w:color="auto" w:fill="FFFFFF"/>
        </w:rPr>
      </w:pPr>
      <w:bookmarkStart w:id="110" w:name="_Toc117179202"/>
      <w:bookmarkEnd w:id="98"/>
      <w:r w:rsidRPr="005E6358">
        <w:rPr>
          <w:rFonts w:ascii="Times New Roman" w:hAnsi="Times New Roman"/>
          <w:color w:val="000000" w:themeColor="text1"/>
          <w:szCs w:val="24"/>
        </w:rPr>
        <w:lastRenderedPageBreak/>
        <w:t>3.3.3.</w:t>
      </w:r>
      <w:bookmarkStart w:id="111" w:name="_Toc477355751"/>
      <w:r>
        <w:rPr>
          <w:rFonts w:ascii="Times New Roman" w:hAnsi="Times New Roman"/>
          <w:color w:val="000000" w:themeColor="text1"/>
          <w:szCs w:val="24"/>
        </w:rPr>
        <w:t xml:space="preserve"> </w:t>
      </w:r>
      <w:r w:rsidRPr="005E6358">
        <w:rPr>
          <w:rStyle w:val="apple-converted-space"/>
          <w:rFonts w:ascii="Times New Roman" w:eastAsia="Calibri" w:hAnsi="Times New Roman"/>
          <w:bCs w:val="0"/>
          <w:color w:val="000000" w:themeColor="text1"/>
          <w:shd w:val="clear" w:color="auto" w:fill="FFFFFF"/>
        </w:rPr>
        <w:t>Генотоксичность</w:t>
      </w:r>
      <w:bookmarkEnd w:id="110"/>
      <w:bookmarkEnd w:id="111"/>
    </w:p>
    <w:p w14:paraId="2E339605" w14:textId="7DFDE944" w:rsidR="00295007" w:rsidRDefault="00295007" w:rsidP="009435FB">
      <w:pPr>
        <w:ind w:firstLine="709"/>
      </w:pPr>
      <w:r>
        <w:t xml:space="preserve">Оценка мутагенного потенциала </w:t>
      </w:r>
      <w:r>
        <w:rPr>
          <w:rFonts w:eastAsia="TimesNewRomanPSMT"/>
        </w:rPr>
        <w:t xml:space="preserve">этраверина </w:t>
      </w:r>
      <w:r>
        <w:t xml:space="preserve">проводилась с использованием стандартной батареи тестов на генотоксичность с метаболической активацией и без нее. Все проведенные исследования: тест обратной мутации бактерий (теста Эймса), анализ хромосомных аберраций в метафазе </w:t>
      </w:r>
      <w:r w:rsidRPr="00175414">
        <w:rPr>
          <w:i/>
          <w:iCs/>
        </w:rPr>
        <w:t>in vitro</w:t>
      </w:r>
      <w:r>
        <w:t xml:space="preserve"> в лимфоцитах человека и </w:t>
      </w:r>
      <w:r w:rsidRPr="00175414">
        <w:rPr>
          <w:i/>
          <w:iCs/>
        </w:rPr>
        <w:t>in vivo</w:t>
      </w:r>
      <w:r>
        <w:t xml:space="preserve"> тест хромосомных аберраций по учету микроядер в клетках костного мозга мышей показали отсутствие генотоксичности </w:t>
      </w:r>
      <w:r>
        <w:rPr>
          <w:rFonts w:eastAsia="TimesNewRomanPSMT"/>
        </w:rPr>
        <w:t xml:space="preserve">этраверина </w:t>
      </w:r>
      <w:r>
        <w:rPr>
          <w:rFonts w:eastAsia="TimesNewRomanPSMT"/>
        </w:rPr>
        <w:fldChar w:fldCharType="begin"/>
      </w:r>
      <w:r>
        <w:rPr>
          <w:rFonts w:eastAsia="TimesNewRomanPSMT"/>
        </w:rPr>
        <w:instrText xml:space="preserve"> ADDIN ZOTERO_ITEM CSL_CITATION {"citationID":"6jD1sHSP","properties":{"formattedCitation":"(1,49)","plainCitation":"(1,49)","noteIndex":0},"citationItems":[{"id":2460,"uris":["http://zotero.org/users/5483459/items/AZ4GNHE7"],"itemData":{"id":2460,"type":"document","title":"Product Monograph INTELENCE® etravirine tablets 25 mg, 100 mg, 200 mg. Janssen Inc.  Date of Revision: May 17, 2017."},"label":"page"},{"id":2541,"uris":["http://zotero.org/users/5483459/items/HG644SK6"],"itemData":{"id":2541,"type":"document","title":"European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rPr>
          <w:rFonts w:eastAsia="TimesNewRomanPSMT"/>
        </w:rPr>
        <w:fldChar w:fldCharType="separate"/>
      </w:r>
      <w:r w:rsidR="00B50985" w:rsidRPr="00B50985">
        <w:t>[</w:t>
      </w:r>
      <w:r w:rsidRPr="008749F9">
        <w:t>1,</w:t>
      </w:r>
      <w:r w:rsidR="00AD78CD" w:rsidRPr="008B0B82">
        <w:t xml:space="preserve"> </w:t>
      </w:r>
      <w:r w:rsidRPr="008749F9">
        <w:t>49</w:t>
      </w:r>
      <w:r w:rsidR="00B50985" w:rsidRPr="00B50985">
        <w:t>]</w:t>
      </w:r>
      <w:r>
        <w:rPr>
          <w:rFonts w:eastAsia="TimesNewRomanPSMT"/>
        </w:rPr>
        <w:fldChar w:fldCharType="end"/>
      </w:r>
      <w:r>
        <w:rPr>
          <w:rFonts w:eastAsia="TimesNewRomanPSMT"/>
        </w:rPr>
        <w:t>.</w:t>
      </w:r>
    </w:p>
    <w:p w14:paraId="0C0F03CE" w14:textId="46003AD4" w:rsidR="00295007" w:rsidRDefault="00295007" w:rsidP="009435FB">
      <w:pPr>
        <w:ind w:firstLine="709"/>
      </w:pPr>
      <w:r>
        <w:t xml:space="preserve">Тест Эймса проводился в двух независимых экспериментах индукции </w:t>
      </w:r>
      <w:r w:rsidR="00AD78CD">
        <w:t xml:space="preserve">обратных мутаций </w:t>
      </w:r>
      <w:r>
        <w:t xml:space="preserve">с использованием </w:t>
      </w:r>
      <w:r w:rsidRPr="00175414">
        <w:rPr>
          <w:i/>
          <w:iCs/>
        </w:rPr>
        <w:t>Salmonella typhimurium</w:t>
      </w:r>
      <w:r>
        <w:t xml:space="preserve"> (штаммы TA1535, TA1537, TA102, TA98 и TA100) и </w:t>
      </w:r>
      <w:r w:rsidRPr="00175414">
        <w:rPr>
          <w:i/>
          <w:iCs/>
        </w:rPr>
        <w:t>Escherichia coli</w:t>
      </w:r>
      <w:r>
        <w:t xml:space="preserve"> (штамм WP2uvrA). Максимальная исследуемая концентрация </w:t>
      </w:r>
      <w:r>
        <w:rPr>
          <w:rFonts w:eastAsia="TimesNewRomanPSMT"/>
        </w:rPr>
        <w:t xml:space="preserve">этраверина </w:t>
      </w:r>
      <w:r>
        <w:t xml:space="preserve">была ограничена растворимостью вещества, условия испытаний включали как прямой анализ на чашке, так и анализ с метаболической активацией, в присутствии S9-фракции печени крыс, индуцированной Aroclor-1254. Максимальная исследуемая концентрация вещества составила 333 мкг на чашку. В данном исследовании не наблюдалось мутагенной активности в отношении ни одного из тестируемых штаммов вплоть до максимальной концентрации </w:t>
      </w:r>
      <w:r>
        <w:rPr>
          <w:rFonts w:eastAsia="TimesNewRomanPSMT"/>
        </w:rPr>
        <w:t xml:space="preserve">этраверина </w:t>
      </w:r>
      <w:r>
        <w:t xml:space="preserve"> </w:t>
      </w:r>
      <w:r>
        <w:fldChar w:fldCharType="begin"/>
      </w:r>
      <w:r>
        <w:instrText xml:space="preserve"> ADDIN ZOTERO_ITEM CSL_CITATION {"citationID":"ExSRore3","properties":{"formattedCitation":"(37)","plainCitation":"(37)","noteIndex":0},"citationItems":[{"id":2513,"uris":["http://zotero.org/users/5483459/items/IGNR669U"],"itemData":{"id":2513,"type":"document","title":"Drug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37119BFA" w14:textId="7BEFC2E8" w:rsidR="00295007" w:rsidRDefault="00295007" w:rsidP="009435FB">
      <w:pPr>
        <w:ind w:firstLine="709"/>
      </w:pPr>
      <w:r>
        <w:t xml:space="preserve">В </w:t>
      </w:r>
      <w:r w:rsidRPr="00175414">
        <w:rPr>
          <w:i/>
          <w:iCs/>
        </w:rPr>
        <w:t>in vitro</w:t>
      </w:r>
      <w:r>
        <w:t xml:space="preserve"> анализе хромосомных аберраций в лимфоцитах человека митоген стимулированные лимфоциты подвергали воздействию </w:t>
      </w:r>
      <w:r>
        <w:rPr>
          <w:rFonts w:eastAsia="TimesNewRomanPSMT"/>
        </w:rPr>
        <w:t xml:space="preserve">этраверина </w:t>
      </w:r>
      <w:r>
        <w:t xml:space="preserve">в диапазоне до самых высоких концентраций, допускаемых растворимостью соединения, 100 мкг/мл. Тест проводился с метаболической активацией и без нее (фракция S9 печени крысы, индуцированная Aroclor 1254). Увеличения количества хромосомных повреждений в клетках, подвергшихся воздействию </w:t>
      </w:r>
      <w:r>
        <w:rPr>
          <w:rFonts w:eastAsia="TimesNewRomanPSMT"/>
        </w:rPr>
        <w:t>этраверина</w:t>
      </w:r>
      <w:r>
        <w:t xml:space="preserve">, вплоть до 100 мкг/мл (предел растворимости) в первом эксперименте (3 часа воздействия и 24 часа фиксации с и без фракции S9 печени) зафиксировано не было. На основании того, что в первом эксперименте снижался митотический индекс, был проведен второй эксперимент, где исследовали концентрации </w:t>
      </w:r>
      <w:r>
        <w:rPr>
          <w:rFonts w:eastAsia="TimesNewRomanPSMT"/>
        </w:rPr>
        <w:t xml:space="preserve">этраверина </w:t>
      </w:r>
      <w:r>
        <w:t xml:space="preserve">до 10 мкг/мл (24-часовая или 48-часовая экспозиция при 24 часовой или 48-часовой фиксации, в отсутствии S9) или до 56 мкг/мл при 3 часовой экспозиции и времени фиксации 48 ч в присутствии S9. Во втором эксперименте кластогенная активность </w:t>
      </w:r>
      <w:r>
        <w:rPr>
          <w:rFonts w:eastAsia="TimesNewRomanPSMT"/>
        </w:rPr>
        <w:t xml:space="preserve">этраверина </w:t>
      </w:r>
      <w:r>
        <w:t xml:space="preserve"> не наблюдалась </w:t>
      </w:r>
      <w:r>
        <w:fldChar w:fldCharType="begin"/>
      </w:r>
      <w:r>
        <w:instrText xml:space="preserve"> ADDIN ZOTERO_ITEM CSL_CITATION {"citationID":"c2zaVD9k","properties":{"formattedCitation":"(37)","plainCitation":"(37)","noteIndex":0},"citationItems":[{"id":2513,"uris":["http://zotero.org/users/5483459/items/IGNR669U"],"itemData":{"id":2513,"type":"document","title":"Drug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66676">
        <w:t>[</w:t>
      </w:r>
      <w:r w:rsidRPr="008749F9">
        <w:t>37</w:t>
      </w:r>
      <w:r w:rsidR="00B50985" w:rsidRPr="00B66676">
        <w:t>]</w:t>
      </w:r>
      <w:r>
        <w:fldChar w:fldCharType="end"/>
      </w:r>
      <w:r>
        <w:t>.</w:t>
      </w:r>
    </w:p>
    <w:p w14:paraId="39998AC1" w14:textId="72A37845" w:rsidR="00295007" w:rsidRDefault="00295007" w:rsidP="009435FB">
      <w:pPr>
        <w:ind w:firstLine="709"/>
      </w:pPr>
      <w:r>
        <w:t xml:space="preserve">В </w:t>
      </w:r>
      <w:r w:rsidRPr="00175414">
        <w:rPr>
          <w:i/>
          <w:iCs/>
        </w:rPr>
        <w:t>in vivo</w:t>
      </w:r>
      <w:r>
        <w:t xml:space="preserve"> цитогенетическом исследовании костного мозга мышей (микроядерный тест) для обнаружения хромосомных аберраций </w:t>
      </w:r>
      <w:r>
        <w:rPr>
          <w:rFonts w:eastAsia="TimesNewRomanPSMT"/>
        </w:rPr>
        <w:t xml:space="preserve">этраверина </w:t>
      </w:r>
      <w:r>
        <w:t xml:space="preserve">вводили самцам перорально при помощи желудочного зонда в диапазоне доз до 2000 мг/кг. Не было зафиксировано снижения соотношения полихроматических и нормохроматических эритроцитов, что отражает отсутствие токсических эффектов </w:t>
      </w:r>
      <w:r>
        <w:rPr>
          <w:rFonts w:eastAsia="TimesNewRomanPSMT"/>
        </w:rPr>
        <w:t xml:space="preserve">этраверина </w:t>
      </w:r>
      <w:r>
        <w:t xml:space="preserve">на эритропоэз. Количество микроядерных полихроматических эритроцитов в костном мозге животных, получавших этраверин, не увеличивалось </w:t>
      </w:r>
      <w:r>
        <w:fldChar w:fldCharType="begin"/>
      </w:r>
      <w:r>
        <w:instrText xml:space="preserve"> ADDIN ZOTERO_ITEM CSL_CITATION {"citationID":"NcboaZVN","properties":{"formattedCitation":"(37)","plainCitation":"(37)","noteIndex":0},"citationItems":[{"id":2513,"uris":["http://zotero.org/users/5483459/items/IGNR669U"],"itemData":{"id":2513,"type":"document","title":"Drug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526CEC26" w14:textId="7FE51E17" w:rsidR="00295007" w:rsidRDefault="00295007" w:rsidP="009435FB">
      <w:pPr>
        <w:ind w:firstLine="709"/>
      </w:pPr>
      <w:r>
        <w:t xml:space="preserve">В целом, данная батарея тестов </w:t>
      </w:r>
      <w:r w:rsidRPr="00175414">
        <w:rPr>
          <w:i/>
          <w:iCs/>
        </w:rPr>
        <w:t>in vitro</w:t>
      </w:r>
      <w:r>
        <w:t xml:space="preserve"> и </w:t>
      </w:r>
      <w:r w:rsidRPr="00175414">
        <w:rPr>
          <w:i/>
          <w:iCs/>
        </w:rPr>
        <w:t>in vivo</w:t>
      </w:r>
      <w:r>
        <w:t xml:space="preserve"> </w:t>
      </w:r>
      <w:r w:rsidR="00AE725F">
        <w:t>позволила установить, что этрави</w:t>
      </w:r>
      <w:r>
        <w:t xml:space="preserve">рин не проявляет мутагенных или кластогенных свойств, так как отсутствовали доказательства мутагенности, в пределах растворимости вещества, доказательства кластогенного потенциала при концентрации до 10 мкг/мл. В </w:t>
      </w:r>
      <w:r>
        <w:lastRenderedPageBreak/>
        <w:t>цитогенетическом исследовании не наблюдалось увеличения количества микроядерных клеток</w:t>
      </w:r>
      <w:r w:rsidR="008E3D65">
        <w:t>. Результаты исследований геното</w:t>
      </w:r>
      <w:r w:rsidR="00AE725F">
        <w:t>ксичности представлены в таблицах 3-1 и 3-2</w:t>
      </w:r>
      <w:r>
        <w:t xml:space="preserve"> </w:t>
      </w:r>
      <w:r>
        <w:fldChar w:fldCharType="begin"/>
      </w:r>
      <w:r>
        <w:instrText xml:space="preserve"> ADDIN ZOTERO_ITEM CSL_CITATION {"citationID":"OjgZVdfK","properties":{"formattedCitation":"(37)","plainCitation":"(37)","noteIndex":0},"citationItems":[{"id":2513,"uris":["http://zotero.org/users/5483459/items/IGNR669U"],"itemData":{"id":2513,"type":"document","title":"Drug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8E3D65">
        <w:t>[</w:t>
      </w:r>
      <w:r w:rsidRPr="008749F9">
        <w:t>37</w:t>
      </w:r>
      <w:r w:rsidR="00B50985" w:rsidRPr="008E3D65">
        <w:t>]</w:t>
      </w:r>
      <w:r>
        <w:fldChar w:fldCharType="end"/>
      </w:r>
      <w:r>
        <w:t>.</w:t>
      </w:r>
    </w:p>
    <w:p w14:paraId="0C30889A" w14:textId="77777777" w:rsidR="00AE725F" w:rsidRDefault="00AE725F" w:rsidP="009435FB">
      <w:pPr>
        <w:ind w:firstLine="709"/>
      </w:pPr>
    </w:p>
    <w:p w14:paraId="3CF52EBF" w14:textId="2E83B0D0" w:rsidR="00AE725F" w:rsidRDefault="00AE725F" w:rsidP="009E2AAD">
      <w:r w:rsidRPr="00AE725F">
        <w:rPr>
          <w:b/>
        </w:rPr>
        <w:t>Таблица 3-1.</w:t>
      </w:r>
      <w:r>
        <w:t xml:space="preserve"> Исследования генотоксичности </w:t>
      </w:r>
      <w:r w:rsidR="003D1BF7">
        <w:t xml:space="preserve">этравирина </w:t>
      </w:r>
      <w:r w:rsidRPr="008B0B82">
        <w:rPr>
          <w:i/>
          <w:lang w:val="en-US"/>
        </w:rPr>
        <w:t>in</w:t>
      </w:r>
      <w:r w:rsidRPr="008B0B82">
        <w:rPr>
          <w:i/>
        </w:rPr>
        <w:t xml:space="preserve"> </w:t>
      </w:r>
      <w:r w:rsidRPr="008B0B82">
        <w:rPr>
          <w:i/>
          <w:lang w:val="en-US"/>
        </w:rPr>
        <w:t>vitro</w:t>
      </w:r>
      <w:r>
        <w:t>.</w:t>
      </w:r>
    </w:p>
    <w:tbl>
      <w:tblPr>
        <w:tblW w:w="9332" w:type="dxa"/>
        <w:tblInd w:w="-5" w:type="dxa"/>
        <w:tblLook w:val="04A0" w:firstRow="1" w:lastRow="0" w:firstColumn="1" w:lastColumn="0" w:noHBand="0" w:noVBand="1"/>
      </w:tblPr>
      <w:tblGrid>
        <w:gridCol w:w="1954"/>
        <w:gridCol w:w="2070"/>
        <w:gridCol w:w="2029"/>
        <w:gridCol w:w="1702"/>
        <w:gridCol w:w="1577"/>
      </w:tblGrid>
      <w:tr w:rsidR="003E4A3E" w:rsidRPr="00AE725F" w14:paraId="50FD5C58" w14:textId="77777777" w:rsidTr="00A97B7A">
        <w:trPr>
          <w:trHeight w:val="289"/>
          <w:tblHeader/>
        </w:trPr>
        <w:tc>
          <w:tcPr>
            <w:tcW w:w="1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67C7E68" w14:textId="77777777" w:rsidR="00AE725F" w:rsidRPr="00AE725F" w:rsidRDefault="00AE725F" w:rsidP="008B0B82">
            <w:pPr>
              <w:jc w:val="center"/>
              <w:rPr>
                <w:rFonts w:eastAsia="Times New Roman"/>
                <w:b/>
                <w:sz w:val="22"/>
                <w:szCs w:val="22"/>
                <w:lang w:eastAsia="ru-RU"/>
              </w:rPr>
            </w:pPr>
            <w:r w:rsidRPr="00AE725F">
              <w:rPr>
                <w:rFonts w:eastAsia="Times New Roman"/>
                <w:b/>
                <w:sz w:val="22"/>
                <w:szCs w:val="22"/>
                <w:lang w:eastAsia="ru-RU"/>
              </w:rPr>
              <w:t>Анализ</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10A2DD5" w14:textId="77777777" w:rsidR="00AE725F" w:rsidRPr="00AE725F" w:rsidRDefault="00AE725F" w:rsidP="008B0B82">
            <w:pPr>
              <w:jc w:val="center"/>
              <w:rPr>
                <w:rFonts w:eastAsia="Times New Roman"/>
                <w:b/>
                <w:sz w:val="22"/>
                <w:szCs w:val="22"/>
                <w:lang w:eastAsia="ru-RU"/>
              </w:rPr>
            </w:pPr>
            <w:r w:rsidRPr="00AE725F">
              <w:rPr>
                <w:rFonts w:eastAsia="Times New Roman"/>
                <w:b/>
                <w:sz w:val="22"/>
                <w:szCs w:val="22"/>
                <w:lang w:eastAsia="ru-RU"/>
              </w:rPr>
              <w:t>Индикатор</w:t>
            </w:r>
          </w:p>
        </w:tc>
        <w:tc>
          <w:tcPr>
            <w:tcW w:w="202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E8CF3E1" w14:textId="77777777" w:rsidR="00AE725F" w:rsidRPr="00AE725F" w:rsidRDefault="00AE725F" w:rsidP="008B0B82">
            <w:pPr>
              <w:jc w:val="center"/>
              <w:rPr>
                <w:rFonts w:eastAsia="Times New Roman"/>
                <w:b/>
                <w:sz w:val="22"/>
                <w:szCs w:val="22"/>
                <w:lang w:eastAsia="ru-RU"/>
              </w:rPr>
            </w:pPr>
            <w:r w:rsidRPr="00AE725F">
              <w:rPr>
                <w:rFonts w:eastAsia="Times New Roman"/>
                <w:b/>
                <w:sz w:val="22"/>
                <w:szCs w:val="22"/>
                <w:lang w:eastAsia="ru-RU"/>
              </w:rPr>
              <w:t>Дозы</w:t>
            </w:r>
          </w:p>
        </w:tc>
        <w:tc>
          <w:tcPr>
            <w:tcW w:w="17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0750517" w14:textId="77777777" w:rsidR="00AE725F" w:rsidRPr="00AE725F" w:rsidRDefault="00AE725F" w:rsidP="008B0B82">
            <w:pPr>
              <w:jc w:val="center"/>
              <w:rPr>
                <w:rFonts w:eastAsia="Times New Roman"/>
                <w:b/>
                <w:sz w:val="22"/>
                <w:szCs w:val="22"/>
                <w:lang w:eastAsia="ru-RU"/>
              </w:rPr>
            </w:pPr>
            <w:r w:rsidRPr="00AE725F">
              <w:rPr>
                <w:rFonts w:eastAsia="Times New Roman"/>
                <w:b/>
                <w:sz w:val="22"/>
                <w:szCs w:val="22"/>
                <w:lang w:eastAsia="ru-RU"/>
              </w:rPr>
              <w:t>Результат</w:t>
            </w:r>
          </w:p>
        </w:tc>
        <w:tc>
          <w:tcPr>
            <w:tcW w:w="157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450F615" w14:textId="076F2442" w:rsidR="00AE725F" w:rsidRPr="00AE725F" w:rsidRDefault="00AD78CD" w:rsidP="008B0B82">
            <w:pPr>
              <w:jc w:val="center"/>
              <w:rPr>
                <w:rFonts w:eastAsia="Times New Roman"/>
                <w:b/>
                <w:sz w:val="22"/>
                <w:szCs w:val="22"/>
                <w:lang w:eastAsia="ru-RU"/>
              </w:rPr>
            </w:pPr>
            <w:r>
              <w:rPr>
                <w:rFonts w:eastAsia="Times New Roman"/>
                <w:b/>
                <w:sz w:val="22"/>
                <w:szCs w:val="22"/>
                <w:lang w:eastAsia="ru-RU"/>
              </w:rPr>
              <w:t xml:space="preserve">Соответствие </w:t>
            </w:r>
            <w:r w:rsidR="00AE725F" w:rsidRPr="00AE725F">
              <w:rPr>
                <w:rFonts w:eastAsia="Times New Roman"/>
                <w:b/>
                <w:sz w:val="22"/>
                <w:szCs w:val="22"/>
                <w:lang w:eastAsia="ru-RU"/>
              </w:rPr>
              <w:t>GLP</w:t>
            </w:r>
          </w:p>
        </w:tc>
      </w:tr>
      <w:tr w:rsidR="003E4A3E" w:rsidRPr="00AE725F" w14:paraId="5644F078" w14:textId="77777777" w:rsidTr="00A97B7A">
        <w:trPr>
          <w:trHeight w:val="867"/>
        </w:trPr>
        <w:tc>
          <w:tcPr>
            <w:tcW w:w="1954" w:type="dxa"/>
            <w:vMerge w:val="restart"/>
            <w:tcBorders>
              <w:top w:val="nil"/>
              <w:left w:val="single" w:sz="4" w:space="0" w:color="auto"/>
              <w:bottom w:val="single" w:sz="4" w:space="0" w:color="auto"/>
              <w:right w:val="single" w:sz="4" w:space="0" w:color="auto"/>
            </w:tcBorders>
            <w:shd w:val="clear" w:color="auto" w:fill="auto"/>
            <w:vAlign w:val="center"/>
            <w:hideMark/>
          </w:tcPr>
          <w:p w14:paraId="22CC83B6" w14:textId="752B8682" w:rsidR="005C6F87" w:rsidRPr="00AE725F" w:rsidRDefault="005C6F87" w:rsidP="00AE725F">
            <w:pPr>
              <w:jc w:val="left"/>
              <w:rPr>
                <w:rFonts w:eastAsia="Times New Roman"/>
                <w:color w:val="000000"/>
                <w:sz w:val="22"/>
                <w:szCs w:val="22"/>
                <w:lang w:eastAsia="ru-RU"/>
              </w:rPr>
            </w:pPr>
            <w:r>
              <w:rPr>
                <w:rFonts w:eastAsia="Times New Roman"/>
                <w:color w:val="000000"/>
                <w:sz w:val="22"/>
                <w:szCs w:val="22"/>
                <w:lang w:eastAsia="ru-RU"/>
              </w:rPr>
              <w:t>Бактериальный тест Эймса</w:t>
            </w:r>
            <w:r w:rsidRPr="00AE725F">
              <w:rPr>
                <w:rFonts w:eastAsia="Times New Roman"/>
                <w:color w:val="000000"/>
                <w:sz w:val="22"/>
                <w:szCs w:val="22"/>
                <w:lang w:eastAsia="ru-RU"/>
              </w:rPr>
              <w:br/>
              <w:t>(S9mix +/-)</w:t>
            </w:r>
          </w:p>
        </w:tc>
        <w:tc>
          <w:tcPr>
            <w:tcW w:w="2070" w:type="dxa"/>
            <w:tcBorders>
              <w:top w:val="nil"/>
              <w:left w:val="nil"/>
              <w:bottom w:val="single" w:sz="4" w:space="0" w:color="auto"/>
              <w:right w:val="single" w:sz="4" w:space="0" w:color="auto"/>
            </w:tcBorders>
            <w:shd w:val="clear" w:color="auto" w:fill="auto"/>
            <w:vAlign w:val="center"/>
            <w:hideMark/>
          </w:tcPr>
          <w:p w14:paraId="1AE58FEC" w14:textId="77777777" w:rsidR="005C6F87" w:rsidRPr="00AE725F" w:rsidRDefault="005C6F87" w:rsidP="00AE725F">
            <w:pPr>
              <w:jc w:val="left"/>
              <w:rPr>
                <w:rFonts w:eastAsia="Times New Roman"/>
                <w:color w:val="000000"/>
                <w:sz w:val="22"/>
                <w:szCs w:val="22"/>
                <w:lang w:val="en-US" w:eastAsia="ru-RU"/>
              </w:rPr>
            </w:pPr>
            <w:r w:rsidRPr="008B0B82">
              <w:rPr>
                <w:rFonts w:eastAsia="Times New Roman"/>
                <w:i/>
                <w:color w:val="000000"/>
                <w:sz w:val="22"/>
                <w:szCs w:val="22"/>
                <w:lang w:val="en-US" w:eastAsia="ru-RU"/>
              </w:rPr>
              <w:t>Salmonella typhimurium</w:t>
            </w:r>
            <w:r w:rsidRPr="00AE725F">
              <w:rPr>
                <w:rFonts w:eastAsia="Times New Roman"/>
                <w:color w:val="000000"/>
                <w:sz w:val="22"/>
                <w:szCs w:val="22"/>
                <w:lang w:val="en-US" w:eastAsia="ru-RU"/>
              </w:rPr>
              <w:t xml:space="preserve"> TA98, TA100, TA102, TA1535, TA1537</w:t>
            </w:r>
          </w:p>
        </w:tc>
        <w:tc>
          <w:tcPr>
            <w:tcW w:w="2029" w:type="dxa"/>
            <w:tcBorders>
              <w:top w:val="nil"/>
              <w:left w:val="nil"/>
              <w:bottom w:val="single" w:sz="4" w:space="0" w:color="auto"/>
              <w:right w:val="single" w:sz="4" w:space="0" w:color="auto"/>
            </w:tcBorders>
            <w:shd w:val="clear" w:color="auto" w:fill="auto"/>
            <w:vAlign w:val="center"/>
            <w:hideMark/>
          </w:tcPr>
          <w:p w14:paraId="73CF0A0D" w14:textId="320BF980" w:rsidR="005C6F87" w:rsidRPr="008B0B82" w:rsidRDefault="005C6F87" w:rsidP="008B0B82">
            <w:pPr>
              <w:jc w:val="center"/>
              <w:rPr>
                <w:rFonts w:eastAsia="Times New Roman"/>
                <w:color w:val="000000"/>
                <w:sz w:val="22"/>
                <w:szCs w:val="22"/>
                <w:lang w:eastAsia="ru-RU"/>
              </w:rPr>
            </w:pPr>
            <w:r w:rsidRPr="008B0B82">
              <w:rPr>
                <w:rFonts w:eastAsia="Times New Roman"/>
                <w:color w:val="000000"/>
                <w:sz w:val="22"/>
                <w:szCs w:val="22"/>
                <w:lang w:eastAsia="ru-RU"/>
              </w:rPr>
              <w:t>0 (</w:t>
            </w:r>
            <w:r w:rsidR="00AD78CD">
              <w:rPr>
                <w:rFonts w:eastAsia="Times New Roman"/>
                <w:color w:val="000000"/>
                <w:sz w:val="22"/>
                <w:szCs w:val="22"/>
                <w:lang w:eastAsia="ru-RU"/>
              </w:rPr>
              <w:t>носитель</w:t>
            </w:r>
            <w:r w:rsidRPr="008B0B82">
              <w:rPr>
                <w:rFonts w:eastAsia="Times New Roman"/>
                <w:color w:val="000000"/>
                <w:sz w:val="22"/>
                <w:szCs w:val="22"/>
                <w:lang w:eastAsia="ru-RU"/>
              </w:rPr>
              <w:t xml:space="preserve">), 5, 10, 25, 50, 100, 250, 500 </w:t>
            </w:r>
            <w:r w:rsidR="00FC7326">
              <w:rPr>
                <w:rFonts w:eastAsia="Times New Roman"/>
                <w:color w:val="000000"/>
                <w:sz w:val="22"/>
                <w:szCs w:val="22"/>
                <w:lang w:eastAsia="ru-RU"/>
              </w:rPr>
              <w:t>мкг</w:t>
            </w:r>
            <w:r w:rsidR="00FC7326" w:rsidRPr="008B0B82">
              <w:rPr>
                <w:rFonts w:eastAsia="Times New Roman"/>
                <w:color w:val="000000"/>
                <w:sz w:val="22"/>
                <w:szCs w:val="22"/>
                <w:lang w:eastAsia="ru-RU"/>
              </w:rPr>
              <w:t>/</w:t>
            </w:r>
            <w:r w:rsidR="00FC7326">
              <w:rPr>
                <w:rFonts w:eastAsia="Times New Roman"/>
                <w:color w:val="000000"/>
                <w:sz w:val="22"/>
                <w:szCs w:val="22"/>
                <w:lang w:eastAsia="ru-RU"/>
              </w:rPr>
              <w:t>чашка</w:t>
            </w:r>
            <w:r w:rsidR="00FC7326" w:rsidRPr="008B0B82">
              <w:rPr>
                <w:rFonts w:eastAsia="Times New Roman"/>
                <w:color w:val="000000"/>
                <w:sz w:val="22"/>
                <w:szCs w:val="22"/>
                <w:lang w:eastAsia="ru-RU"/>
              </w:rPr>
              <w:t xml:space="preserve"> </w:t>
            </w:r>
            <w:r w:rsidR="00FC7326">
              <w:rPr>
                <w:rFonts w:eastAsia="Times New Roman"/>
                <w:color w:val="000000"/>
                <w:sz w:val="22"/>
                <w:szCs w:val="22"/>
                <w:lang w:eastAsia="ru-RU"/>
              </w:rPr>
              <w:t>Петри</w:t>
            </w:r>
            <w:r w:rsidRPr="008B0B82">
              <w:rPr>
                <w:rFonts w:eastAsia="Times New Roman"/>
                <w:color w:val="000000"/>
                <w:sz w:val="22"/>
                <w:szCs w:val="22"/>
                <w:lang w:eastAsia="ru-RU"/>
              </w:rPr>
              <w:t xml:space="preserve"> </w:t>
            </w:r>
          </w:p>
        </w:tc>
        <w:tc>
          <w:tcPr>
            <w:tcW w:w="1702" w:type="dxa"/>
            <w:tcBorders>
              <w:top w:val="nil"/>
              <w:left w:val="nil"/>
              <w:bottom w:val="single" w:sz="4" w:space="0" w:color="auto"/>
              <w:right w:val="single" w:sz="4" w:space="0" w:color="auto"/>
            </w:tcBorders>
            <w:shd w:val="clear" w:color="auto" w:fill="auto"/>
            <w:vAlign w:val="center"/>
            <w:hideMark/>
          </w:tcPr>
          <w:p w14:paraId="68C19333" w14:textId="2F0E1E33"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Отрицательный</w:t>
            </w:r>
          </w:p>
        </w:tc>
        <w:tc>
          <w:tcPr>
            <w:tcW w:w="1577" w:type="dxa"/>
            <w:tcBorders>
              <w:top w:val="nil"/>
              <w:left w:val="nil"/>
              <w:bottom w:val="single" w:sz="4" w:space="0" w:color="auto"/>
              <w:right w:val="single" w:sz="4" w:space="0" w:color="auto"/>
            </w:tcBorders>
            <w:shd w:val="clear" w:color="auto" w:fill="auto"/>
            <w:vAlign w:val="center"/>
            <w:hideMark/>
          </w:tcPr>
          <w:p w14:paraId="6538FCBE" w14:textId="3ACFEF17"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Да</w:t>
            </w:r>
          </w:p>
        </w:tc>
      </w:tr>
      <w:tr w:rsidR="003E4A3E" w:rsidRPr="00AE725F" w14:paraId="6E7DC01F" w14:textId="77777777" w:rsidTr="00A97B7A">
        <w:trPr>
          <w:trHeight w:val="1156"/>
        </w:trPr>
        <w:tc>
          <w:tcPr>
            <w:tcW w:w="1954" w:type="dxa"/>
            <w:vMerge/>
            <w:tcBorders>
              <w:top w:val="nil"/>
              <w:left w:val="single" w:sz="4" w:space="0" w:color="auto"/>
              <w:bottom w:val="single" w:sz="4" w:space="0" w:color="auto"/>
              <w:right w:val="single" w:sz="4" w:space="0" w:color="auto"/>
            </w:tcBorders>
            <w:vAlign w:val="center"/>
            <w:hideMark/>
          </w:tcPr>
          <w:p w14:paraId="2DCA1791" w14:textId="77777777" w:rsidR="005C6F87" w:rsidRPr="00AE725F" w:rsidRDefault="005C6F87" w:rsidP="00AE725F">
            <w:pPr>
              <w:jc w:val="left"/>
              <w:rPr>
                <w:rFonts w:eastAsia="Times New Roman"/>
                <w:color w:val="000000"/>
                <w:sz w:val="22"/>
                <w:szCs w:val="22"/>
                <w:lang w:eastAsia="ru-RU"/>
              </w:rPr>
            </w:pPr>
          </w:p>
        </w:tc>
        <w:tc>
          <w:tcPr>
            <w:tcW w:w="2070" w:type="dxa"/>
            <w:tcBorders>
              <w:top w:val="nil"/>
              <w:left w:val="nil"/>
              <w:bottom w:val="single" w:sz="4" w:space="0" w:color="auto"/>
              <w:right w:val="single" w:sz="4" w:space="0" w:color="auto"/>
            </w:tcBorders>
            <w:shd w:val="clear" w:color="auto" w:fill="auto"/>
            <w:vAlign w:val="center"/>
            <w:hideMark/>
          </w:tcPr>
          <w:p w14:paraId="3CF6E5B3" w14:textId="77777777" w:rsidR="005C6F87" w:rsidRPr="00AE725F" w:rsidRDefault="005C6F87" w:rsidP="00AE725F">
            <w:pPr>
              <w:jc w:val="left"/>
              <w:rPr>
                <w:rFonts w:eastAsia="Times New Roman"/>
                <w:color w:val="000000"/>
                <w:sz w:val="22"/>
                <w:szCs w:val="22"/>
                <w:lang w:val="en-US" w:eastAsia="ru-RU"/>
              </w:rPr>
            </w:pPr>
            <w:r w:rsidRPr="008B0B82">
              <w:rPr>
                <w:rFonts w:eastAsia="Times New Roman"/>
                <w:i/>
                <w:color w:val="000000"/>
                <w:sz w:val="22"/>
                <w:szCs w:val="22"/>
                <w:lang w:val="en-US" w:eastAsia="ru-RU"/>
              </w:rPr>
              <w:t>Salmonella typhimurium</w:t>
            </w:r>
            <w:r w:rsidRPr="00AE725F">
              <w:rPr>
                <w:rFonts w:eastAsia="Times New Roman"/>
                <w:color w:val="000000"/>
                <w:sz w:val="22"/>
                <w:szCs w:val="22"/>
                <w:lang w:val="en-US" w:eastAsia="ru-RU"/>
              </w:rPr>
              <w:t xml:space="preserve"> TA98, TA100, TA1535, TA1537 Escherichia coli WP2uvrA</w:t>
            </w:r>
          </w:p>
        </w:tc>
        <w:tc>
          <w:tcPr>
            <w:tcW w:w="2029" w:type="dxa"/>
            <w:tcBorders>
              <w:top w:val="nil"/>
              <w:left w:val="nil"/>
              <w:bottom w:val="single" w:sz="4" w:space="0" w:color="auto"/>
              <w:right w:val="single" w:sz="4" w:space="0" w:color="auto"/>
            </w:tcBorders>
            <w:shd w:val="clear" w:color="auto" w:fill="auto"/>
            <w:vAlign w:val="center"/>
            <w:hideMark/>
          </w:tcPr>
          <w:p w14:paraId="66D6DD91" w14:textId="3FFE5FD4" w:rsidR="005C6F87" w:rsidRPr="008B0B82" w:rsidRDefault="005C6F87" w:rsidP="008B0B82">
            <w:pPr>
              <w:jc w:val="center"/>
              <w:rPr>
                <w:rFonts w:eastAsia="Times New Roman"/>
                <w:color w:val="000000"/>
                <w:sz w:val="22"/>
                <w:szCs w:val="22"/>
                <w:lang w:eastAsia="ru-RU"/>
              </w:rPr>
            </w:pPr>
            <w:r w:rsidRPr="008B0B82">
              <w:rPr>
                <w:rFonts w:eastAsia="Times New Roman"/>
                <w:color w:val="000000"/>
                <w:sz w:val="22"/>
                <w:szCs w:val="22"/>
                <w:lang w:eastAsia="ru-RU"/>
              </w:rPr>
              <w:t>0 (</w:t>
            </w:r>
            <w:r w:rsidR="00AD78CD">
              <w:rPr>
                <w:rFonts w:eastAsia="Times New Roman"/>
                <w:color w:val="000000"/>
                <w:sz w:val="22"/>
                <w:szCs w:val="22"/>
                <w:lang w:eastAsia="ru-RU"/>
              </w:rPr>
              <w:t>носитель</w:t>
            </w:r>
            <w:r w:rsidRPr="008B0B82">
              <w:rPr>
                <w:rFonts w:eastAsia="Times New Roman"/>
                <w:color w:val="000000"/>
                <w:sz w:val="22"/>
                <w:szCs w:val="22"/>
                <w:lang w:eastAsia="ru-RU"/>
              </w:rPr>
              <w:t xml:space="preserve">), 3, 10, 33, 100, </w:t>
            </w:r>
            <w:r w:rsidR="00FC7326">
              <w:rPr>
                <w:rFonts w:eastAsia="Times New Roman"/>
                <w:color w:val="000000"/>
                <w:sz w:val="22"/>
                <w:szCs w:val="22"/>
                <w:lang w:eastAsia="ru-RU"/>
              </w:rPr>
              <w:t>мкг</w:t>
            </w:r>
            <w:r w:rsidR="00FC7326" w:rsidRPr="008B0B82">
              <w:rPr>
                <w:rFonts w:eastAsia="Times New Roman"/>
                <w:color w:val="000000"/>
                <w:sz w:val="22"/>
                <w:szCs w:val="22"/>
                <w:lang w:eastAsia="ru-RU"/>
              </w:rPr>
              <w:t>/</w:t>
            </w:r>
            <w:r w:rsidR="00FC7326">
              <w:rPr>
                <w:rFonts w:eastAsia="Times New Roman"/>
                <w:color w:val="000000"/>
                <w:sz w:val="22"/>
                <w:szCs w:val="22"/>
                <w:lang w:eastAsia="ru-RU"/>
              </w:rPr>
              <w:t>чашка</w:t>
            </w:r>
            <w:r w:rsidR="00FC7326" w:rsidRPr="008B0B82">
              <w:rPr>
                <w:rFonts w:eastAsia="Times New Roman"/>
                <w:color w:val="000000"/>
                <w:sz w:val="22"/>
                <w:szCs w:val="22"/>
                <w:lang w:eastAsia="ru-RU"/>
              </w:rPr>
              <w:t xml:space="preserve"> </w:t>
            </w:r>
            <w:r w:rsidR="00FC7326">
              <w:rPr>
                <w:rFonts w:eastAsia="Times New Roman"/>
                <w:color w:val="000000"/>
                <w:sz w:val="22"/>
                <w:szCs w:val="22"/>
                <w:lang w:eastAsia="ru-RU"/>
              </w:rPr>
              <w:t>Петри</w:t>
            </w:r>
            <w:r w:rsidR="00FC7326" w:rsidRPr="008B0B82">
              <w:rPr>
                <w:rFonts w:eastAsia="Times New Roman"/>
                <w:color w:val="000000"/>
                <w:sz w:val="22"/>
                <w:szCs w:val="22"/>
                <w:lang w:eastAsia="ru-RU"/>
              </w:rPr>
              <w:t xml:space="preserve"> </w:t>
            </w:r>
          </w:p>
        </w:tc>
        <w:tc>
          <w:tcPr>
            <w:tcW w:w="1702" w:type="dxa"/>
            <w:tcBorders>
              <w:top w:val="nil"/>
              <w:left w:val="nil"/>
              <w:bottom w:val="single" w:sz="4" w:space="0" w:color="auto"/>
              <w:right w:val="single" w:sz="4" w:space="0" w:color="auto"/>
            </w:tcBorders>
            <w:shd w:val="clear" w:color="auto" w:fill="auto"/>
            <w:vAlign w:val="center"/>
            <w:hideMark/>
          </w:tcPr>
          <w:p w14:paraId="5BFEDFD6" w14:textId="795CE85C"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Отрицательный</w:t>
            </w:r>
          </w:p>
        </w:tc>
        <w:tc>
          <w:tcPr>
            <w:tcW w:w="1577" w:type="dxa"/>
            <w:tcBorders>
              <w:top w:val="nil"/>
              <w:left w:val="nil"/>
              <w:bottom w:val="single" w:sz="4" w:space="0" w:color="auto"/>
              <w:right w:val="single" w:sz="4" w:space="0" w:color="auto"/>
            </w:tcBorders>
            <w:shd w:val="clear" w:color="auto" w:fill="auto"/>
            <w:vAlign w:val="center"/>
            <w:hideMark/>
          </w:tcPr>
          <w:p w14:paraId="5BDDFE9D" w14:textId="64357839"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Да</w:t>
            </w:r>
          </w:p>
        </w:tc>
      </w:tr>
      <w:tr w:rsidR="003E4A3E" w:rsidRPr="00AE725F" w14:paraId="4D001F8B" w14:textId="77777777" w:rsidTr="00A97B7A">
        <w:trPr>
          <w:trHeight w:val="578"/>
        </w:trPr>
        <w:tc>
          <w:tcPr>
            <w:tcW w:w="1954" w:type="dxa"/>
            <w:tcBorders>
              <w:top w:val="nil"/>
              <w:left w:val="single" w:sz="4" w:space="0" w:color="auto"/>
              <w:bottom w:val="single" w:sz="4" w:space="0" w:color="auto"/>
              <w:right w:val="single" w:sz="4" w:space="0" w:color="auto"/>
            </w:tcBorders>
            <w:shd w:val="clear" w:color="auto" w:fill="auto"/>
            <w:vAlign w:val="center"/>
            <w:hideMark/>
          </w:tcPr>
          <w:p w14:paraId="69406576" w14:textId="61E5F5AF" w:rsidR="005C6F87" w:rsidRPr="00AE725F" w:rsidRDefault="005C6F87" w:rsidP="00AE725F">
            <w:pPr>
              <w:jc w:val="left"/>
              <w:rPr>
                <w:rFonts w:eastAsia="Times New Roman"/>
                <w:color w:val="000000"/>
                <w:sz w:val="22"/>
                <w:szCs w:val="22"/>
                <w:lang w:eastAsia="ru-RU"/>
              </w:rPr>
            </w:pPr>
            <w:r>
              <w:rPr>
                <w:sz w:val="22"/>
                <w:szCs w:val="22"/>
                <w:shd w:val="clear" w:color="auto" w:fill="FFFFFF"/>
              </w:rPr>
              <w:t>А</w:t>
            </w:r>
            <w:r w:rsidRPr="005C6F87">
              <w:rPr>
                <w:sz w:val="22"/>
                <w:szCs w:val="22"/>
                <w:shd w:val="clear" w:color="auto" w:fill="FFFFFF"/>
              </w:rPr>
              <w:t>нализ генных мутаций клеток лимфомы </w:t>
            </w:r>
            <w:r w:rsidRPr="005C6F87">
              <w:rPr>
                <w:rStyle w:val="aff8"/>
                <w:bCs/>
                <w:i w:val="0"/>
                <w:iCs w:val="0"/>
                <w:sz w:val="22"/>
                <w:szCs w:val="22"/>
                <w:shd w:val="clear" w:color="auto" w:fill="FFFFFF"/>
              </w:rPr>
              <w:t>мышей</w:t>
            </w:r>
          </w:p>
        </w:tc>
        <w:tc>
          <w:tcPr>
            <w:tcW w:w="2070" w:type="dxa"/>
            <w:tcBorders>
              <w:top w:val="nil"/>
              <w:left w:val="nil"/>
              <w:bottom w:val="single" w:sz="4" w:space="0" w:color="auto"/>
              <w:right w:val="single" w:sz="4" w:space="0" w:color="auto"/>
            </w:tcBorders>
            <w:shd w:val="clear" w:color="auto" w:fill="auto"/>
            <w:vAlign w:val="center"/>
            <w:hideMark/>
          </w:tcPr>
          <w:p w14:paraId="668157FA" w14:textId="77777777" w:rsidR="005C6F87" w:rsidRPr="00AE725F" w:rsidRDefault="005C6F87" w:rsidP="00AE725F">
            <w:pPr>
              <w:jc w:val="left"/>
              <w:rPr>
                <w:rFonts w:eastAsia="Times New Roman"/>
                <w:color w:val="000000"/>
                <w:sz w:val="22"/>
                <w:szCs w:val="22"/>
                <w:lang w:eastAsia="ru-RU"/>
              </w:rPr>
            </w:pPr>
            <w:r w:rsidRPr="00AE725F">
              <w:rPr>
                <w:rFonts w:eastAsia="Times New Roman"/>
                <w:color w:val="000000"/>
                <w:sz w:val="22"/>
                <w:szCs w:val="22"/>
                <w:lang w:eastAsia="ru-RU"/>
              </w:rPr>
              <w:t>L5178Y TK+/-</w:t>
            </w:r>
          </w:p>
        </w:tc>
        <w:tc>
          <w:tcPr>
            <w:tcW w:w="2029" w:type="dxa"/>
            <w:tcBorders>
              <w:top w:val="nil"/>
              <w:left w:val="nil"/>
              <w:bottom w:val="single" w:sz="4" w:space="0" w:color="auto"/>
              <w:right w:val="single" w:sz="4" w:space="0" w:color="auto"/>
            </w:tcBorders>
            <w:shd w:val="clear" w:color="auto" w:fill="auto"/>
            <w:vAlign w:val="center"/>
            <w:hideMark/>
          </w:tcPr>
          <w:p w14:paraId="0B18F22F" w14:textId="1CAF2E13" w:rsidR="005C6F87" w:rsidRPr="00AE725F" w:rsidRDefault="005C6F87" w:rsidP="008B0B82">
            <w:pPr>
              <w:jc w:val="center"/>
              <w:rPr>
                <w:rFonts w:eastAsia="Times New Roman"/>
                <w:color w:val="000000"/>
                <w:sz w:val="22"/>
                <w:szCs w:val="22"/>
                <w:lang w:val="en-US" w:eastAsia="ru-RU"/>
              </w:rPr>
            </w:pPr>
            <w:r>
              <w:rPr>
                <w:rFonts w:eastAsia="Times New Roman"/>
                <w:color w:val="000000"/>
                <w:sz w:val="22"/>
                <w:szCs w:val="22"/>
                <w:lang w:eastAsia="ru-RU"/>
              </w:rPr>
              <w:t>До</w:t>
            </w:r>
            <w:r>
              <w:rPr>
                <w:rFonts w:eastAsia="Times New Roman"/>
                <w:color w:val="000000"/>
                <w:sz w:val="22"/>
                <w:szCs w:val="22"/>
                <w:lang w:val="en-US" w:eastAsia="ru-RU"/>
              </w:rPr>
              <w:t xml:space="preserve"> 100 </w:t>
            </w:r>
            <w:r>
              <w:rPr>
                <w:rFonts w:eastAsia="Times New Roman"/>
                <w:color w:val="000000"/>
                <w:sz w:val="22"/>
                <w:szCs w:val="22"/>
                <w:lang w:eastAsia="ru-RU"/>
              </w:rPr>
              <w:t>мкг</w:t>
            </w:r>
            <w:r>
              <w:rPr>
                <w:rFonts w:eastAsia="Times New Roman"/>
                <w:color w:val="000000"/>
                <w:sz w:val="22"/>
                <w:szCs w:val="22"/>
                <w:lang w:val="en-US" w:eastAsia="ru-RU"/>
              </w:rPr>
              <w:t>/</w:t>
            </w:r>
            <w:r>
              <w:rPr>
                <w:rFonts w:eastAsia="Times New Roman"/>
                <w:color w:val="000000"/>
                <w:sz w:val="22"/>
                <w:szCs w:val="22"/>
                <w:lang w:eastAsia="ru-RU"/>
              </w:rPr>
              <w:t>мл</w:t>
            </w:r>
            <w:r w:rsidRPr="00AE725F">
              <w:rPr>
                <w:rFonts w:eastAsia="Times New Roman"/>
                <w:color w:val="000000"/>
                <w:sz w:val="22"/>
                <w:szCs w:val="22"/>
                <w:lang w:val="en-US" w:eastAsia="ru-RU"/>
              </w:rPr>
              <w:t xml:space="preserve"> </w:t>
            </w:r>
          </w:p>
        </w:tc>
        <w:tc>
          <w:tcPr>
            <w:tcW w:w="1702" w:type="dxa"/>
            <w:tcBorders>
              <w:top w:val="nil"/>
              <w:left w:val="nil"/>
              <w:bottom w:val="single" w:sz="4" w:space="0" w:color="auto"/>
              <w:right w:val="single" w:sz="4" w:space="0" w:color="auto"/>
            </w:tcBorders>
            <w:shd w:val="clear" w:color="auto" w:fill="auto"/>
            <w:vAlign w:val="center"/>
            <w:hideMark/>
          </w:tcPr>
          <w:p w14:paraId="570F98D0" w14:textId="496842EA"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Отрицательный</w:t>
            </w:r>
          </w:p>
        </w:tc>
        <w:tc>
          <w:tcPr>
            <w:tcW w:w="1577" w:type="dxa"/>
            <w:tcBorders>
              <w:top w:val="nil"/>
              <w:left w:val="nil"/>
              <w:bottom w:val="single" w:sz="4" w:space="0" w:color="auto"/>
              <w:right w:val="single" w:sz="4" w:space="0" w:color="auto"/>
            </w:tcBorders>
            <w:shd w:val="clear" w:color="auto" w:fill="auto"/>
            <w:vAlign w:val="center"/>
            <w:hideMark/>
          </w:tcPr>
          <w:p w14:paraId="0C66560E" w14:textId="725185B7"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Да</w:t>
            </w:r>
          </w:p>
        </w:tc>
      </w:tr>
      <w:tr w:rsidR="003E4A3E" w:rsidRPr="00AE725F" w14:paraId="14EE1B6E" w14:textId="77777777" w:rsidTr="00A97B7A">
        <w:trPr>
          <w:trHeight w:val="344"/>
        </w:trPr>
        <w:tc>
          <w:tcPr>
            <w:tcW w:w="1954" w:type="dxa"/>
            <w:tcBorders>
              <w:top w:val="nil"/>
              <w:left w:val="single" w:sz="4" w:space="0" w:color="auto"/>
              <w:bottom w:val="single" w:sz="4" w:space="0" w:color="auto"/>
              <w:right w:val="single" w:sz="4" w:space="0" w:color="auto"/>
            </w:tcBorders>
            <w:shd w:val="clear" w:color="auto" w:fill="auto"/>
            <w:vAlign w:val="center"/>
            <w:hideMark/>
          </w:tcPr>
          <w:p w14:paraId="18C6E3C7" w14:textId="78D1747E" w:rsidR="005C6F87" w:rsidRPr="00AE725F" w:rsidRDefault="005C6F87" w:rsidP="00AE725F">
            <w:pPr>
              <w:jc w:val="left"/>
              <w:rPr>
                <w:rFonts w:eastAsia="Times New Roman"/>
                <w:color w:val="000000"/>
                <w:sz w:val="22"/>
                <w:szCs w:val="22"/>
                <w:lang w:eastAsia="ru-RU"/>
              </w:rPr>
            </w:pPr>
            <w:r>
              <w:rPr>
                <w:rFonts w:eastAsia="Times New Roman"/>
                <w:color w:val="000000"/>
                <w:sz w:val="22"/>
                <w:szCs w:val="22"/>
                <w:lang w:eastAsia="ru-RU"/>
              </w:rPr>
              <w:t>Анализ хромосомных аберраций</w:t>
            </w:r>
            <w:r w:rsidRPr="00AE725F">
              <w:rPr>
                <w:rFonts w:eastAsia="Times New Roman"/>
                <w:color w:val="000000"/>
                <w:sz w:val="22"/>
                <w:szCs w:val="22"/>
                <w:lang w:eastAsia="ru-RU"/>
              </w:rPr>
              <w:t xml:space="preserve"> (S9mix +/-)</w:t>
            </w:r>
          </w:p>
        </w:tc>
        <w:tc>
          <w:tcPr>
            <w:tcW w:w="2070" w:type="dxa"/>
            <w:tcBorders>
              <w:top w:val="nil"/>
              <w:left w:val="nil"/>
              <w:bottom w:val="single" w:sz="4" w:space="0" w:color="auto"/>
              <w:right w:val="single" w:sz="4" w:space="0" w:color="auto"/>
            </w:tcBorders>
            <w:shd w:val="clear" w:color="auto" w:fill="auto"/>
            <w:vAlign w:val="center"/>
            <w:hideMark/>
          </w:tcPr>
          <w:p w14:paraId="211CF953" w14:textId="6D7DE0EF" w:rsidR="005C6F87" w:rsidRPr="00AE725F" w:rsidRDefault="005C6F87" w:rsidP="00AE725F">
            <w:pPr>
              <w:jc w:val="left"/>
              <w:rPr>
                <w:rFonts w:eastAsia="Times New Roman"/>
                <w:color w:val="000000"/>
                <w:sz w:val="22"/>
                <w:szCs w:val="22"/>
                <w:lang w:eastAsia="ru-RU"/>
              </w:rPr>
            </w:pPr>
            <w:r>
              <w:rPr>
                <w:rFonts w:eastAsia="Times New Roman"/>
                <w:color w:val="000000"/>
                <w:sz w:val="22"/>
                <w:szCs w:val="22"/>
                <w:lang w:eastAsia="ru-RU"/>
              </w:rPr>
              <w:t>Лимфоциты человека</w:t>
            </w:r>
          </w:p>
        </w:tc>
        <w:tc>
          <w:tcPr>
            <w:tcW w:w="2029" w:type="dxa"/>
            <w:tcBorders>
              <w:top w:val="nil"/>
              <w:left w:val="nil"/>
              <w:bottom w:val="single" w:sz="4" w:space="0" w:color="auto"/>
              <w:right w:val="single" w:sz="4" w:space="0" w:color="auto"/>
            </w:tcBorders>
            <w:shd w:val="clear" w:color="auto" w:fill="auto"/>
            <w:vAlign w:val="center"/>
            <w:hideMark/>
          </w:tcPr>
          <w:p w14:paraId="6F95A92F" w14:textId="07874228" w:rsidR="005C6F87" w:rsidRPr="00AE725F" w:rsidRDefault="00FC7326" w:rsidP="008B0B82">
            <w:pPr>
              <w:jc w:val="center"/>
              <w:rPr>
                <w:rFonts w:eastAsia="Times New Roman"/>
                <w:color w:val="000000"/>
                <w:sz w:val="22"/>
                <w:szCs w:val="22"/>
                <w:lang w:val="en-US" w:eastAsia="ru-RU"/>
              </w:rPr>
            </w:pPr>
            <w:r>
              <w:rPr>
                <w:rFonts w:eastAsia="Times New Roman"/>
                <w:color w:val="000000"/>
                <w:sz w:val="22"/>
                <w:szCs w:val="22"/>
                <w:lang w:eastAsia="ru-RU"/>
              </w:rPr>
              <w:t>До</w:t>
            </w:r>
            <w:r>
              <w:rPr>
                <w:rFonts w:eastAsia="Times New Roman"/>
                <w:color w:val="000000"/>
                <w:sz w:val="22"/>
                <w:szCs w:val="22"/>
                <w:lang w:val="en-US" w:eastAsia="ru-RU"/>
              </w:rPr>
              <w:t xml:space="preserve"> 100 </w:t>
            </w:r>
            <w:r>
              <w:rPr>
                <w:rFonts w:eastAsia="Times New Roman"/>
                <w:color w:val="000000"/>
                <w:sz w:val="22"/>
                <w:szCs w:val="22"/>
                <w:lang w:eastAsia="ru-RU"/>
              </w:rPr>
              <w:t>мкг</w:t>
            </w:r>
            <w:r>
              <w:rPr>
                <w:rFonts w:eastAsia="Times New Roman"/>
                <w:color w:val="000000"/>
                <w:sz w:val="22"/>
                <w:szCs w:val="22"/>
                <w:lang w:val="en-US" w:eastAsia="ru-RU"/>
              </w:rPr>
              <w:t>/</w:t>
            </w:r>
            <w:r>
              <w:rPr>
                <w:rFonts w:eastAsia="Times New Roman"/>
                <w:color w:val="000000"/>
                <w:sz w:val="22"/>
                <w:szCs w:val="22"/>
                <w:lang w:eastAsia="ru-RU"/>
              </w:rPr>
              <w:t>мл</w:t>
            </w:r>
            <w:r w:rsidRPr="00AE725F">
              <w:rPr>
                <w:rFonts w:eastAsia="Times New Roman"/>
                <w:color w:val="000000"/>
                <w:sz w:val="22"/>
                <w:szCs w:val="22"/>
                <w:lang w:val="en-US" w:eastAsia="ru-RU"/>
              </w:rPr>
              <w:t xml:space="preserve"> </w:t>
            </w:r>
          </w:p>
        </w:tc>
        <w:tc>
          <w:tcPr>
            <w:tcW w:w="1702" w:type="dxa"/>
            <w:tcBorders>
              <w:top w:val="nil"/>
              <w:left w:val="nil"/>
              <w:bottom w:val="single" w:sz="4" w:space="0" w:color="auto"/>
              <w:right w:val="single" w:sz="4" w:space="0" w:color="auto"/>
            </w:tcBorders>
            <w:shd w:val="clear" w:color="auto" w:fill="auto"/>
            <w:vAlign w:val="center"/>
            <w:hideMark/>
          </w:tcPr>
          <w:p w14:paraId="5B886D94" w14:textId="2BAC7787"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Отрицательный</w:t>
            </w:r>
          </w:p>
        </w:tc>
        <w:tc>
          <w:tcPr>
            <w:tcW w:w="1577" w:type="dxa"/>
            <w:tcBorders>
              <w:top w:val="nil"/>
              <w:left w:val="nil"/>
              <w:bottom w:val="single" w:sz="4" w:space="0" w:color="auto"/>
              <w:right w:val="single" w:sz="4" w:space="0" w:color="auto"/>
            </w:tcBorders>
            <w:shd w:val="clear" w:color="auto" w:fill="auto"/>
            <w:vAlign w:val="center"/>
            <w:hideMark/>
          </w:tcPr>
          <w:p w14:paraId="1BE0AA33" w14:textId="4555AF73" w:rsidR="005C6F87"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Да</w:t>
            </w:r>
          </w:p>
        </w:tc>
      </w:tr>
      <w:tr w:rsidR="009C450D" w:rsidRPr="00AE725F" w14:paraId="5D5E1912" w14:textId="77777777" w:rsidTr="00A97B7A">
        <w:trPr>
          <w:trHeight w:val="344"/>
        </w:trPr>
        <w:tc>
          <w:tcPr>
            <w:tcW w:w="933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E81AD6B" w14:textId="77777777" w:rsidR="009C450D" w:rsidRPr="00A97B7A" w:rsidRDefault="009C450D" w:rsidP="00A97B7A">
            <w:pPr>
              <w:rPr>
                <w:rFonts w:eastAsia="Times New Roman"/>
                <w:b/>
                <w:color w:val="000000"/>
                <w:sz w:val="20"/>
                <w:szCs w:val="20"/>
                <w:lang w:eastAsia="ru-RU"/>
              </w:rPr>
            </w:pPr>
            <w:r w:rsidRPr="00A97B7A">
              <w:rPr>
                <w:rFonts w:eastAsia="Times New Roman"/>
                <w:b/>
                <w:color w:val="000000"/>
                <w:sz w:val="20"/>
                <w:szCs w:val="20"/>
                <w:lang w:eastAsia="ru-RU"/>
              </w:rPr>
              <w:t>Примечание:</w:t>
            </w:r>
          </w:p>
          <w:p w14:paraId="2FEACA42" w14:textId="5296165E" w:rsidR="009C450D" w:rsidRPr="009C450D" w:rsidRDefault="009C450D" w:rsidP="00A97B7A">
            <w:pPr>
              <w:rPr>
                <w:rFonts w:eastAsia="Times New Roman"/>
                <w:color w:val="000000"/>
                <w:sz w:val="22"/>
                <w:szCs w:val="22"/>
                <w:lang w:eastAsia="ru-RU"/>
              </w:rPr>
            </w:pPr>
            <w:r w:rsidRPr="00A97B7A">
              <w:rPr>
                <w:rFonts w:eastAsia="Times New Roman"/>
                <w:color w:val="000000"/>
                <w:sz w:val="20"/>
                <w:szCs w:val="20"/>
                <w:lang w:val="en-US" w:eastAsia="ru-RU"/>
              </w:rPr>
              <w:t>GLP</w:t>
            </w:r>
            <w:r w:rsidRPr="00A97B7A">
              <w:rPr>
                <w:rFonts w:eastAsia="Times New Roman"/>
                <w:color w:val="000000"/>
                <w:sz w:val="20"/>
                <w:szCs w:val="20"/>
                <w:lang w:eastAsia="ru-RU"/>
              </w:rPr>
              <w:t xml:space="preserve"> – </w:t>
            </w:r>
            <w:r w:rsidRPr="00A97B7A">
              <w:rPr>
                <w:rFonts w:eastAsia="Times New Roman"/>
                <w:color w:val="000000"/>
                <w:sz w:val="20"/>
                <w:szCs w:val="20"/>
                <w:lang w:val="en-US" w:eastAsia="ru-RU"/>
              </w:rPr>
              <w:t>good</w:t>
            </w:r>
            <w:r w:rsidRPr="00A97B7A">
              <w:rPr>
                <w:rFonts w:eastAsia="Times New Roman"/>
                <w:color w:val="000000"/>
                <w:sz w:val="20"/>
                <w:szCs w:val="20"/>
                <w:lang w:eastAsia="ru-RU"/>
              </w:rPr>
              <w:t xml:space="preserve"> </w:t>
            </w:r>
            <w:r w:rsidRPr="00A97B7A">
              <w:rPr>
                <w:rFonts w:eastAsia="Times New Roman"/>
                <w:color w:val="000000"/>
                <w:sz w:val="20"/>
                <w:szCs w:val="20"/>
                <w:lang w:val="en-US" w:eastAsia="ru-RU"/>
              </w:rPr>
              <w:t>laboratory</w:t>
            </w:r>
            <w:r w:rsidRPr="00A97B7A">
              <w:rPr>
                <w:rFonts w:eastAsia="Times New Roman"/>
                <w:color w:val="000000"/>
                <w:sz w:val="20"/>
                <w:szCs w:val="20"/>
                <w:lang w:eastAsia="ru-RU"/>
              </w:rPr>
              <w:t xml:space="preserve"> </w:t>
            </w:r>
            <w:r w:rsidRPr="00A97B7A">
              <w:rPr>
                <w:rFonts w:eastAsia="Times New Roman"/>
                <w:color w:val="000000"/>
                <w:sz w:val="20"/>
                <w:szCs w:val="20"/>
                <w:lang w:val="en-US" w:eastAsia="ru-RU"/>
              </w:rPr>
              <w:t>practice</w:t>
            </w:r>
            <w:r w:rsidRPr="00A97B7A">
              <w:rPr>
                <w:rFonts w:eastAsia="Times New Roman"/>
                <w:color w:val="000000"/>
                <w:sz w:val="20"/>
                <w:szCs w:val="20"/>
                <w:lang w:eastAsia="ru-RU"/>
              </w:rPr>
              <w:t>, надлежащая лабораторная практика.</w:t>
            </w:r>
          </w:p>
        </w:tc>
      </w:tr>
    </w:tbl>
    <w:p w14:paraId="6BC6D61A" w14:textId="77777777" w:rsidR="00AE725F" w:rsidRDefault="00AE725F" w:rsidP="009435FB">
      <w:pPr>
        <w:ind w:firstLine="709"/>
      </w:pPr>
    </w:p>
    <w:p w14:paraId="6803FD4F" w14:textId="6B01B54C" w:rsidR="00AE725F" w:rsidRDefault="00AE725F" w:rsidP="009E2AAD">
      <w:r w:rsidRPr="00853ED4">
        <w:rPr>
          <w:b/>
        </w:rPr>
        <w:t>Таблица 3-2.</w:t>
      </w:r>
      <w:r>
        <w:t xml:space="preserve"> Исследования генотоксичности </w:t>
      </w:r>
      <w:r w:rsidR="00844145">
        <w:t xml:space="preserve">этравирина </w:t>
      </w:r>
      <w:r w:rsidRPr="008B0B82">
        <w:rPr>
          <w:i/>
          <w:lang w:val="en-US"/>
        </w:rPr>
        <w:t>in</w:t>
      </w:r>
      <w:r w:rsidRPr="008B0B82">
        <w:rPr>
          <w:i/>
        </w:rPr>
        <w:t xml:space="preserve"> </w:t>
      </w:r>
      <w:r w:rsidRPr="008B0B82">
        <w:rPr>
          <w:i/>
          <w:lang w:val="en-US"/>
        </w:rPr>
        <w:t>vivo</w:t>
      </w:r>
      <w:r>
        <w:t>.</w:t>
      </w:r>
    </w:p>
    <w:tbl>
      <w:tblPr>
        <w:tblW w:w="9356" w:type="dxa"/>
        <w:tblInd w:w="-5" w:type="dxa"/>
        <w:tblLayout w:type="fixed"/>
        <w:tblLook w:val="04A0" w:firstRow="1" w:lastRow="0" w:firstColumn="1" w:lastColumn="0" w:noHBand="0" w:noVBand="1"/>
      </w:tblPr>
      <w:tblGrid>
        <w:gridCol w:w="1713"/>
        <w:gridCol w:w="1311"/>
        <w:gridCol w:w="1445"/>
        <w:gridCol w:w="1699"/>
        <w:gridCol w:w="1846"/>
        <w:gridCol w:w="1342"/>
      </w:tblGrid>
      <w:tr w:rsidR="00844145" w:rsidRPr="00AE725F" w14:paraId="5C713E04" w14:textId="77777777" w:rsidTr="00A97B7A">
        <w:trPr>
          <w:trHeight w:val="615"/>
          <w:tblHeader/>
        </w:trPr>
        <w:tc>
          <w:tcPr>
            <w:tcW w:w="17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95DC8C" w14:textId="77777777" w:rsidR="00AE725F" w:rsidRPr="00AE725F" w:rsidRDefault="00AE725F" w:rsidP="008B0B82">
            <w:pPr>
              <w:jc w:val="center"/>
              <w:rPr>
                <w:rFonts w:eastAsia="Times New Roman"/>
                <w:b/>
                <w:color w:val="000000"/>
                <w:sz w:val="22"/>
                <w:szCs w:val="22"/>
                <w:lang w:eastAsia="ru-RU"/>
              </w:rPr>
            </w:pPr>
            <w:r w:rsidRPr="00AE725F">
              <w:rPr>
                <w:rFonts w:eastAsia="Times New Roman"/>
                <w:b/>
                <w:color w:val="000000"/>
                <w:sz w:val="22"/>
                <w:szCs w:val="22"/>
                <w:lang w:eastAsia="ru-RU"/>
              </w:rPr>
              <w:t>Анализ</w:t>
            </w:r>
          </w:p>
        </w:tc>
        <w:tc>
          <w:tcPr>
            <w:tcW w:w="131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F3ADA3F" w14:textId="3B950A5D" w:rsidR="00AE725F" w:rsidRPr="00AE725F" w:rsidRDefault="00844145" w:rsidP="008B0B82">
            <w:pPr>
              <w:jc w:val="center"/>
              <w:rPr>
                <w:rFonts w:eastAsia="Times New Roman"/>
                <w:b/>
                <w:color w:val="000000"/>
                <w:sz w:val="22"/>
                <w:szCs w:val="22"/>
                <w:lang w:eastAsia="ru-RU"/>
              </w:rPr>
            </w:pPr>
            <w:r>
              <w:rPr>
                <w:rFonts w:eastAsia="Times New Roman"/>
                <w:b/>
                <w:color w:val="000000"/>
                <w:sz w:val="22"/>
                <w:szCs w:val="22"/>
                <w:lang w:eastAsia="ru-RU"/>
              </w:rPr>
              <w:t>Линия клеток</w:t>
            </w:r>
          </w:p>
        </w:tc>
        <w:tc>
          <w:tcPr>
            <w:tcW w:w="144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FD39899" w14:textId="77777777" w:rsidR="00AE725F" w:rsidRPr="00AE725F" w:rsidRDefault="00AE725F" w:rsidP="008B0B82">
            <w:pPr>
              <w:jc w:val="center"/>
              <w:rPr>
                <w:rFonts w:eastAsia="Times New Roman"/>
                <w:b/>
                <w:color w:val="000000"/>
                <w:sz w:val="22"/>
                <w:szCs w:val="22"/>
                <w:lang w:val="en-US" w:eastAsia="ru-RU"/>
              </w:rPr>
            </w:pPr>
            <w:r w:rsidRPr="00AE725F">
              <w:rPr>
                <w:rFonts w:eastAsia="Times New Roman"/>
                <w:b/>
                <w:color w:val="000000"/>
                <w:sz w:val="22"/>
                <w:szCs w:val="22"/>
                <w:lang w:eastAsia="ru-RU"/>
              </w:rPr>
              <w:t>Путь введения</w:t>
            </w:r>
          </w:p>
        </w:tc>
        <w:tc>
          <w:tcPr>
            <w:tcW w:w="169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3920D35" w14:textId="77777777" w:rsidR="00AE725F" w:rsidRPr="00AE725F" w:rsidRDefault="00AE725F" w:rsidP="008B0B82">
            <w:pPr>
              <w:jc w:val="center"/>
              <w:rPr>
                <w:rFonts w:eastAsia="Times New Roman"/>
                <w:b/>
                <w:color w:val="000000"/>
                <w:sz w:val="22"/>
                <w:szCs w:val="22"/>
                <w:lang w:eastAsia="ru-RU"/>
              </w:rPr>
            </w:pPr>
            <w:r w:rsidRPr="00AE725F">
              <w:rPr>
                <w:rFonts w:eastAsia="Times New Roman"/>
                <w:b/>
                <w:color w:val="000000"/>
                <w:sz w:val="22"/>
                <w:szCs w:val="22"/>
                <w:lang w:eastAsia="ru-RU"/>
              </w:rPr>
              <w:t>Дозы (мг/кг)</w:t>
            </w:r>
          </w:p>
        </w:tc>
        <w:tc>
          <w:tcPr>
            <w:tcW w:w="184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118C1D" w14:textId="77777777" w:rsidR="00AE725F" w:rsidRPr="00AE725F" w:rsidRDefault="00AE725F" w:rsidP="008B0B82">
            <w:pPr>
              <w:jc w:val="center"/>
              <w:rPr>
                <w:rFonts w:eastAsia="Times New Roman"/>
                <w:b/>
                <w:color w:val="000000"/>
                <w:sz w:val="22"/>
                <w:szCs w:val="22"/>
                <w:lang w:eastAsia="ru-RU"/>
              </w:rPr>
            </w:pPr>
            <w:r w:rsidRPr="00AE725F">
              <w:rPr>
                <w:rFonts w:eastAsia="Times New Roman"/>
                <w:b/>
                <w:color w:val="000000"/>
                <w:sz w:val="22"/>
                <w:szCs w:val="22"/>
                <w:lang w:eastAsia="ru-RU"/>
              </w:rPr>
              <w:t>Результат</w:t>
            </w:r>
          </w:p>
        </w:tc>
        <w:tc>
          <w:tcPr>
            <w:tcW w:w="134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D38F08E" w14:textId="072CDF15" w:rsidR="00AE725F" w:rsidRPr="00AE725F" w:rsidRDefault="00844145" w:rsidP="008B0B82">
            <w:pPr>
              <w:jc w:val="center"/>
              <w:rPr>
                <w:rFonts w:eastAsia="Times New Roman"/>
                <w:b/>
                <w:color w:val="000000"/>
                <w:sz w:val="22"/>
                <w:szCs w:val="22"/>
                <w:lang w:eastAsia="ru-RU"/>
              </w:rPr>
            </w:pPr>
            <w:r>
              <w:rPr>
                <w:rFonts w:eastAsia="Times New Roman"/>
                <w:b/>
                <w:color w:val="000000"/>
                <w:sz w:val="22"/>
                <w:szCs w:val="22"/>
                <w:lang w:eastAsia="ru-RU"/>
              </w:rPr>
              <w:t xml:space="preserve">Соответствие </w:t>
            </w:r>
            <w:r w:rsidR="00AE725F" w:rsidRPr="00AE725F">
              <w:rPr>
                <w:rFonts w:eastAsia="Times New Roman"/>
                <w:b/>
                <w:color w:val="000000"/>
                <w:sz w:val="22"/>
                <w:szCs w:val="22"/>
                <w:lang w:eastAsia="ru-RU"/>
              </w:rPr>
              <w:t>GLP</w:t>
            </w:r>
          </w:p>
        </w:tc>
      </w:tr>
      <w:tr w:rsidR="00844145" w:rsidRPr="00AE725F" w14:paraId="22008B44" w14:textId="77777777" w:rsidTr="00A97B7A">
        <w:trPr>
          <w:trHeight w:val="924"/>
        </w:trPr>
        <w:tc>
          <w:tcPr>
            <w:tcW w:w="1713" w:type="dxa"/>
            <w:tcBorders>
              <w:top w:val="nil"/>
              <w:left w:val="single" w:sz="4" w:space="0" w:color="auto"/>
              <w:bottom w:val="single" w:sz="4" w:space="0" w:color="auto"/>
              <w:right w:val="single" w:sz="4" w:space="0" w:color="auto"/>
            </w:tcBorders>
            <w:shd w:val="clear" w:color="auto" w:fill="auto"/>
            <w:vAlign w:val="center"/>
            <w:hideMark/>
          </w:tcPr>
          <w:p w14:paraId="7F6515C3" w14:textId="250B19FC" w:rsidR="00AE725F" w:rsidRPr="00AE725F" w:rsidRDefault="00AE725F" w:rsidP="005C6F87">
            <w:pPr>
              <w:jc w:val="left"/>
              <w:rPr>
                <w:rFonts w:eastAsia="Times New Roman"/>
                <w:color w:val="000000"/>
                <w:sz w:val="22"/>
                <w:szCs w:val="22"/>
                <w:lang w:eastAsia="ru-RU"/>
              </w:rPr>
            </w:pPr>
            <w:r>
              <w:rPr>
                <w:rFonts w:eastAsia="Times New Roman"/>
                <w:color w:val="000000"/>
                <w:sz w:val="22"/>
                <w:szCs w:val="22"/>
                <w:lang w:eastAsia="ru-RU"/>
              </w:rPr>
              <w:t>М</w:t>
            </w:r>
            <w:r w:rsidR="005C6F87">
              <w:rPr>
                <w:rFonts w:eastAsia="Times New Roman"/>
                <w:color w:val="000000"/>
                <w:sz w:val="22"/>
                <w:szCs w:val="22"/>
                <w:lang w:eastAsia="ru-RU"/>
              </w:rPr>
              <w:t>икроядерный тест</w:t>
            </w:r>
          </w:p>
        </w:tc>
        <w:tc>
          <w:tcPr>
            <w:tcW w:w="1311" w:type="dxa"/>
            <w:tcBorders>
              <w:top w:val="nil"/>
              <w:left w:val="nil"/>
              <w:bottom w:val="single" w:sz="4" w:space="0" w:color="auto"/>
              <w:right w:val="single" w:sz="4" w:space="0" w:color="auto"/>
            </w:tcBorders>
            <w:shd w:val="clear" w:color="auto" w:fill="auto"/>
            <w:vAlign w:val="center"/>
            <w:hideMark/>
          </w:tcPr>
          <w:p w14:paraId="6400D2C6" w14:textId="5FBB5F09" w:rsidR="00AE725F" w:rsidRPr="00AE725F" w:rsidRDefault="00844145" w:rsidP="00AE725F">
            <w:pPr>
              <w:jc w:val="left"/>
              <w:rPr>
                <w:rFonts w:eastAsia="Times New Roman"/>
                <w:color w:val="000000"/>
                <w:sz w:val="22"/>
                <w:szCs w:val="22"/>
                <w:lang w:eastAsia="ru-RU"/>
              </w:rPr>
            </w:pPr>
            <w:r>
              <w:rPr>
                <w:rFonts w:eastAsia="Times New Roman"/>
                <w:color w:val="000000"/>
                <w:sz w:val="22"/>
                <w:szCs w:val="22"/>
                <w:lang w:eastAsia="ru-RU"/>
              </w:rPr>
              <w:t>Мыши</w:t>
            </w:r>
            <w:r w:rsidR="00AE725F" w:rsidRPr="00AE725F">
              <w:rPr>
                <w:rFonts w:eastAsia="Times New Roman"/>
                <w:color w:val="000000"/>
                <w:sz w:val="22"/>
                <w:szCs w:val="22"/>
                <w:lang w:eastAsia="ru-RU"/>
              </w:rPr>
              <w:t>/ NMRI BR</w:t>
            </w:r>
          </w:p>
        </w:tc>
        <w:tc>
          <w:tcPr>
            <w:tcW w:w="1445" w:type="dxa"/>
            <w:tcBorders>
              <w:top w:val="nil"/>
              <w:left w:val="nil"/>
              <w:bottom w:val="single" w:sz="4" w:space="0" w:color="auto"/>
              <w:right w:val="single" w:sz="4" w:space="0" w:color="auto"/>
            </w:tcBorders>
            <w:shd w:val="clear" w:color="auto" w:fill="auto"/>
            <w:vAlign w:val="center"/>
            <w:hideMark/>
          </w:tcPr>
          <w:p w14:paraId="0EA2D637" w14:textId="3BE32AB8" w:rsidR="00AE725F" w:rsidRPr="00AE725F" w:rsidRDefault="00AE725F" w:rsidP="00AE725F">
            <w:pPr>
              <w:jc w:val="left"/>
              <w:rPr>
                <w:rFonts w:eastAsia="Times New Roman"/>
                <w:color w:val="000000"/>
                <w:sz w:val="22"/>
                <w:szCs w:val="22"/>
                <w:lang w:eastAsia="ru-RU"/>
              </w:rPr>
            </w:pPr>
            <w:r>
              <w:rPr>
                <w:rFonts w:eastAsia="Times New Roman"/>
                <w:color w:val="000000"/>
                <w:sz w:val="22"/>
                <w:szCs w:val="22"/>
                <w:lang w:eastAsia="ru-RU"/>
              </w:rPr>
              <w:t>Внутрь/через желудочный зонд</w:t>
            </w:r>
            <w:r w:rsidRPr="00AE725F">
              <w:rPr>
                <w:rFonts w:eastAsia="Times New Roman"/>
                <w:color w:val="000000"/>
                <w:sz w:val="22"/>
                <w:szCs w:val="22"/>
                <w:lang w:eastAsia="ru-RU"/>
              </w:rPr>
              <w:t xml:space="preserve"> (</w:t>
            </w:r>
            <w:r>
              <w:rPr>
                <w:rFonts w:eastAsia="Times New Roman"/>
                <w:color w:val="000000"/>
                <w:sz w:val="22"/>
                <w:szCs w:val="22"/>
                <w:lang w:eastAsia="ru-RU"/>
              </w:rPr>
              <w:t>однократная доза</w:t>
            </w:r>
            <w:r w:rsidRPr="00AE725F">
              <w:rPr>
                <w:rFonts w:eastAsia="Times New Roman"/>
                <w:color w:val="000000"/>
                <w:sz w:val="22"/>
                <w:szCs w:val="22"/>
                <w:lang w:eastAsia="ru-RU"/>
              </w:rPr>
              <w:t>)</w:t>
            </w:r>
          </w:p>
        </w:tc>
        <w:tc>
          <w:tcPr>
            <w:tcW w:w="1699" w:type="dxa"/>
            <w:tcBorders>
              <w:top w:val="nil"/>
              <w:left w:val="nil"/>
              <w:bottom w:val="single" w:sz="4" w:space="0" w:color="auto"/>
              <w:right w:val="single" w:sz="4" w:space="0" w:color="auto"/>
            </w:tcBorders>
            <w:shd w:val="clear" w:color="auto" w:fill="auto"/>
            <w:vAlign w:val="center"/>
            <w:hideMark/>
          </w:tcPr>
          <w:p w14:paraId="1800BF1E" w14:textId="6C9BAFDD" w:rsidR="00AE725F" w:rsidRPr="00AE725F" w:rsidRDefault="00AE725F" w:rsidP="00EE1D8E">
            <w:pPr>
              <w:jc w:val="left"/>
              <w:rPr>
                <w:rFonts w:eastAsia="Times New Roman"/>
                <w:color w:val="000000"/>
                <w:sz w:val="22"/>
                <w:szCs w:val="22"/>
                <w:lang w:eastAsia="ru-RU"/>
              </w:rPr>
            </w:pPr>
            <w:r w:rsidRPr="00AE725F">
              <w:rPr>
                <w:rFonts w:eastAsia="Times New Roman"/>
                <w:color w:val="000000"/>
                <w:sz w:val="22"/>
                <w:szCs w:val="22"/>
                <w:lang w:eastAsia="ru-RU"/>
              </w:rPr>
              <w:t>0 (</w:t>
            </w:r>
            <w:r w:rsidR="00844145">
              <w:rPr>
                <w:rFonts w:eastAsia="Times New Roman"/>
                <w:color w:val="000000"/>
                <w:sz w:val="22"/>
                <w:szCs w:val="22"/>
                <w:lang w:eastAsia="ru-RU"/>
              </w:rPr>
              <w:t>носитель</w:t>
            </w:r>
            <w:r w:rsidRPr="00AE725F">
              <w:rPr>
                <w:rFonts w:eastAsia="Times New Roman"/>
                <w:color w:val="000000"/>
                <w:sz w:val="22"/>
                <w:szCs w:val="22"/>
                <w:lang w:eastAsia="ru-RU"/>
              </w:rPr>
              <w:t>), 2000</w:t>
            </w:r>
            <w:r w:rsidRPr="00AE725F">
              <w:rPr>
                <w:rFonts w:eastAsia="Times New Roman"/>
                <w:color w:val="000000"/>
                <w:sz w:val="22"/>
                <w:szCs w:val="22"/>
                <w:lang w:eastAsia="ru-RU"/>
              </w:rPr>
              <w:br/>
              <w:t>(</w:t>
            </w:r>
            <w:r w:rsidR="00844145">
              <w:rPr>
                <w:rFonts w:eastAsia="Times New Roman"/>
                <w:color w:val="000000"/>
                <w:sz w:val="22"/>
                <w:szCs w:val="22"/>
                <w:lang w:eastAsia="ru-RU"/>
              </w:rPr>
              <w:t xml:space="preserve">соль </w:t>
            </w:r>
            <w:r w:rsidRPr="00AE725F">
              <w:rPr>
                <w:rFonts w:eastAsia="Times New Roman"/>
                <w:color w:val="000000"/>
                <w:sz w:val="22"/>
                <w:szCs w:val="22"/>
                <w:lang w:eastAsia="ru-RU"/>
              </w:rPr>
              <w:t xml:space="preserve">HBr) </w:t>
            </w:r>
          </w:p>
        </w:tc>
        <w:tc>
          <w:tcPr>
            <w:tcW w:w="1846" w:type="dxa"/>
            <w:tcBorders>
              <w:top w:val="nil"/>
              <w:left w:val="nil"/>
              <w:bottom w:val="single" w:sz="4" w:space="0" w:color="auto"/>
              <w:right w:val="single" w:sz="4" w:space="0" w:color="auto"/>
            </w:tcBorders>
            <w:shd w:val="clear" w:color="auto" w:fill="auto"/>
            <w:vAlign w:val="center"/>
            <w:hideMark/>
          </w:tcPr>
          <w:p w14:paraId="6FB0B225" w14:textId="249B4E82" w:rsidR="00AE725F"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Отрицательный</w:t>
            </w:r>
          </w:p>
        </w:tc>
        <w:tc>
          <w:tcPr>
            <w:tcW w:w="1342" w:type="dxa"/>
            <w:tcBorders>
              <w:top w:val="nil"/>
              <w:left w:val="nil"/>
              <w:bottom w:val="single" w:sz="4" w:space="0" w:color="auto"/>
              <w:right w:val="single" w:sz="4" w:space="0" w:color="auto"/>
            </w:tcBorders>
            <w:shd w:val="clear" w:color="auto" w:fill="auto"/>
            <w:vAlign w:val="center"/>
            <w:hideMark/>
          </w:tcPr>
          <w:p w14:paraId="68AF23E2" w14:textId="60FEFF5C" w:rsidR="00AE725F" w:rsidRPr="00AE725F" w:rsidRDefault="005C6F87" w:rsidP="008B0B82">
            <w:pPr>
              <w:jc w:val="center"/>
              <w:rPr>
                <w:rFonts w:eastAsia="Times New Roman"/>
                <w:color w:val="000000"/>
                <w:sz w:val="22"/>
                <w:szCs w:val="22"/>
                <w:lang w:eastAsia="ru-RU"/>
              </w:rPr>
            </w:pPr>
            <w:r>
              <w:rPr>
                <w:rFonts w:eastAsia="Times New Roman"/>
                <w:color w:val="000000"/>
                <w:sz w:val="22"/>
                <w:szCs w:val="22"/>
                <w:lang w:eastAsia="ru-RU"/>
              </w:rPr>
              <w:t>Да</w:t>
            </w:r>
          </w:p>
        </w:tc>
      </w:tr>
      <w:tr w:rsidR="009C450D" w:rsidRPr="00AE725F" w14:paraId="733BE3D2" w14:textId="77777777" w:rsidTr="00A97B7A">
        <w:trPr>
          <w:trHeight w:val="297"/>
        </w:trPr>
        <w:tc>
          <w:tcPr>
            <w:tcW w:w="935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9300CDD" w14:textId="77777777" w:rsidR="009C450D" w:rsidRPr="00E841CE" w:rsidRDefault="009C450D" w:rsidP="009C450D">
            <w:pPr>
              <w:rPr>
                <w:rFonts w:eastAsia="Times New Roman"/>
                <w:b/>
                <w:color w:val="000000"/>
                <w:sz w:val="20"/>
                <w:szCs w:val="20"/>
                <w:lang w:eastAsia="ru-RU"/>
              </w:rPr>
            </w:pPr>
            <w:r w:rsidRPr="00E841CE">
              <w:rPr>
                <w:rFonts w:eastAsia="Times New Roman"/>
                <w:b/>
                <w:color w:val="000000"/>
                <w:sz w:val="20"/>
                <w:szCs w:val="20"/>
                <w:lang w:eastAsia="ru-RU"/>
              </w:rPr>
              <w:t>Примечание:</w:t>
            </w:r>
          </w:p>
          <w:p w14:paraId="44866776" w14:textId="336A5506" w:rsidR="009C450D" w:rsidRDefault="009C450D" w:rsidP="00A97B7A">
            <w:pPr>
              <w:rPr>
                <w:rFonts w:eastAsia="Times New Roman"/>
                <w:color w:val="000000"/>
                <w:sz w:val="22"/>
                <w:szCs w:val="22"/>
                <w:lang w:eastAsia="ru-RU"/>
              </w:rPr>
            </w:pPr>
            <w:r w:rsidRPr="00E841CE">
              <w:rPr>
                <w:rFonts w:eastAsia="Times New Roman"/>
                <w:color w:val="000000"/>
                <w:sz w:val="20"/>
                <w:szCs w:val="20"/>
                <w:lang w:val="en-US" w:eastAsia="ru-RU"/>
              </w:rPr>
              <w:t>GLP</w:t>
            </w:r>
            <w:r w:rsidRPr="00E841CE">
              <w:rPr>
                <w:rFonts w:eastAsia="Times New Roman"/>
                <w:color w:val="000000"/>
                <w:sz w:val="20"/>
                <w:szCs w:val="20"/>
                <w:lang w:eastAsia="ru-RU"/>
              </w:rPr>
              <w:t xml:space="preserve"> – </w:t>
            </w:r>
            <w:r w:rsidRPr="00E841CE">
              <w:rPr>
                <w:rFonts w:eastAsia="Times New Roman"/>
                <w:color w:val="000000"/>
                <w:sz w:val="20"/>
                <w:szCs w:val="20"/>
                <w:lang w:val="en-US" w:eastAsia="ru-RU"/>
              </w:rPr>
              <w:t>good</w:t>
            </w:r>
            <w:r w:rsidRPr="00E841CE">
              <w:rPr>
                <w:rFonts w:eastAsia="Times New Roman"/>
                <w:color w:val="000000"/>
                <w:sz w:val="20"/>
                <w:szCs w:val="20"/>
                <w:lang w:eastAsia="ru-RU"/>
              </w:rPr>
              <w:t xml:space="preserve"> </w:t>
            </w:r>
            <w:r w:rsidRPr="00E841CE">
              <w:rPr>
                <w:rFonts w:eastAsia="Times New Roman"/>
                <w:color w:val="000000"/>
                <w:sz w:val="20"/>
                <w:szCs w:val="20"/>
                <w:lang w:val="en-US" w:eastAsia="ru-RU"/>
              </w:rPr>
              <w:t>laboratory</w:t>
            </w:r>
            <w:r w:rsidRPr="00E841CE">
              <w:rPr>
                <w:rFonts w:eastAsia="Times New Roman"/>
                <w:color w:val="000000"/>
                <w:sz w:val="20"/>
                <w:szCs w:val="20"/>
                <w:lang w:eastAsia="ru-RU"/>
              </w:rPr>
              <w:t xml:space="preserve"> </w:t>
            </w:r>
            <w:r w:rsidRPr="00E841CE">
              <w:rPr>
                <w:rFonts w:eastAsia="Times New Roman"/>
                <w:color w:val="000000"/>
                <w:sz w:val="20"/>
                <w:szCs w:val="20"/>
                <w:lang w:val="en-US" w:eastAsia="ru-RU"/>
              </w:rPr>
              <w:t>practice</w:t>
            </w:r>
            <w:r w:rsidRPr="00E841CE">
              <w:rPr>
                <w:rFonts w:eastAsia="Times New Roman"/>
                <w:color w:val="000000"/>
                <w:sz w:val="20"/>
                <w:szCs w:val="20"/>
                <w:lang w:eastAsia="ru-RU"/>
              </w:rPr>
              <w:t>, надлежащая лабораторная практика.</w:t>
            </w:r>
          </w:p>
        </w:tc>
      </w:tr>
    </w:tbl>
    <w:p w14:paraId="248DD03F" w14:textId="201B4C3B" w:rsidR="00AE725F" w:rsidRPr="00AE725F" w:rsidRDefault="00AE725F" w:rsidP="008B0B82"/>
    <w:p w14:paraId="37AC4612" w14:textId="76C38523" w:rsidR="00295007" w:rsidRDefault="00295007" w:rsidP="008B0B82">
      <w:pPr>
        <w:pStyle w:val="3"/>
        <w:spacing w:before="0" w:after="240"/>
        <w:rPr>
          <w:rFonts w:ascii="Times New Roman" w:hAnsi="Times New Roman"/>
          <w:color w:val="000000" w:themeColor="text1"/>
          <w:szCs w:val="24"/>
        </w:rPr>
      </w:pPr>
      <w:bookmarkStart w:id="112" w:name="_Toc477355752"/>
      <w:bookmarkStart w:id="113" w:name="_Toc117179203"/>
      <w:r w:rsidRPr="005E6358">
        <w:rPr>
          <w:rFonts w:ascii="Times New Roman" w:hAnsi="Times New Roman"/>
          <w:color w:val="000000" w:themeColor="text1"/>
          <w:szCs w:val="24"/>
        </w:rPr>
        <w:t>3.3.4.</w:t>
      </w:r>
      <w:r>
        <w:rPr>
          <w:rFonts w:ascii="Times New Roman" w:hAnsi="Times New Roman"/>
          <w:color w:val="000000" w:themeColor="text1"/>
          <w:szCs w:val="24"/>
        </w:rPr>
        <w:t xml:space="preserve"> </w:t>
      </w:r>
      <w:r w:rsidRPr="005E6358">
        <w:rPr>
          <w:rFonts w:ascii="Times New Roman" w:hAnsi="Times New Roman"/>
          <w:color w:val="000000" w:themeColor="text1"/>
          <w:szCs w:val="24"/>
        </w:rPr>
        <w:t>Канцерогенность</w:t>
      </w:r>
      <w:bookmarkEnd w:id="112"/>
      <w:bookmarkEnd w:id="113"/>
    </w:p>
    <w:p w14:paraId="6708F954" w14:textId="35418E97" w:rsidR="00295007" w:rsidRDefault="00295007" w:rsidP="00EE1D8E">
      <w:pPr>
        <w:ind w:firstLine="709"/>
      </w:pPr>
      <w:r w:rsidRPr="00175414">
        <w:t xml:space="preserve">Для оценки канцерогенности </w:t>
      </w:r>
      <w:r>
        <w:rPr>
          <w:rFonts w:eastAsia="TimesNewRomanPSMT"/>
        </w:rPr>
        <w:t xml:space="preserve">этраверина </w:t>
      </w:r>
      <w:r w:rsidRPr="00175414">
        <w:t xml:space="preserve">было проведено долгосрочное доклиническое исследование на мышах и крысах в течение 104 недель. </w:t>
      </w:r>
      <w:r>
        <w:t xml:space="preserve">Этраверин </w:t>
      </w:r>
      <w:r w:rsidRPr="00175414">
        <w:t xml:space="preserve">вводили </w:t>
      </w:r>
      <w:r>
        <w:t xml:space="preserve">перорально </w:t>
      </w:r>
      <w:r w:rsidRPr="00175414">
        <w:t xml:space="preserve">при помощи желудочного зонда. Показано, что </w:t>
      </w:r>
      <w:r>
        <w:t xml:space="preserve">этраверин </w:t>
      </w:r>
      <w:r w:rsidRPr="00175414">
        <w:t xml:space="preserve">не проявлял канцерогенных свойств у крыс или самцов мышей, однако, у самок мышей наблюдалось увеличение случаев гепатоцеллюлярных аденом и карцином. Введение </w:t>
      </w:r>
      <w:r>
        <w:rPr>
          <w:rFonts w:eastAsia="TimesNewRomanPSMT"/>
        </w:rPr>
        <w:t xml:space="preserve">этраверина </w:t>
      </w:r>
      <w:r w:rsidRPr="00175414">
        <w:t xml:space="preserve">не вызывало статистически значимого увеличения частоты любых других доброкачественных или злокачественных новообразований у мышей или крыс. В самых высоких вводимых дозах системная экспозиция </w:t>
      </w:r>
      <w:r>
        <w:rPr>
          <w:rFonts w:eastAsia="TimesNewRomanPSMT"/>
        </w:rPr>
        <w:t xml:space="preserve">этраверина </w:t>
      </w:r>
      <w:r w:rsidRPr="00175414">
        <w:t xml:space="preserve">у животных (на основании AUC) была ниже, чем таковая у людей при применении клинической терапевтической дозы (200 мг дважды в сутки), соотношение AUC животных и человека составляло 0,6 (мыши) и 0,2 - 0,7 (крысы) </w:t>
      </w:r>
      <w:r>
        <w:fldChar w:fldCharType="begin"/>
      </w:r>
      <w:r>
        <w:instrText xml:space="preserve"> ADDIN ZOTERO_ITEM CSL_CITATION {"citationID":"OHUsX6Vr","properties":{"formattedCitation":"(1,49,50)","plainCitation":"(1,49,50)","noteIndex":0},"citationItems":[{"id":2460,"uris":["http://zotero.org/users/5483459/items/AZ4GNHE7"],"itemData":{"id":2460,"type":"document","title":"Product Monograph INTELENCE® etravirine tablets 25 mg, 100 mg, 200 mg. Janssen Inc.  Date of Revision: May 17, 2017."},"label":"page"},{"id":2541,"uris":["http://zotero.org/users/5483459/items/HG644SK6"],"itemData":{"id":2541,"type":"document","title":"European Medicines Agency INTELENCE®Summary of Product Characteristic. 2008.Doc.Ref.: EMEA/CHMP/43952/2008"},"label":"page"},{"id":2542,"uris":["http://zotero.org/users/5483459/items/4VXAIIWQ"],"itemData":{"id":2542,"type":"article-journal","abstract":"Carcinogenicity data of medicinal products for human use that have been authorised via the European centralised procedure (CP) between 1995 and 2009 were evaluated. Carcinogenicity data, either from long-term rodent carcinogenicity studies, transgenic mouse studies or repeat-dose toxicity studies were available for 144 active substances contained in 159 medicinal products. Out of these compounds, 94 (65%) were positive in at least one long-term carcinogenicity study or in repeat-dose toxicity studies. Fifty compounds (35%) showed no evidence of a carcinogenic potential. Out of the 94 compounds with positive findings in either carcinogenicity or repeat-dose toxicity studies, 33 were positive in both mice and rats, 40 were positive in rats only, and 21 were positive exclusively in mice. Long-term carcinogenicity studies in two rodent species were available for 116 compounds. Data from one long-term carcinogenicity study in rats and a transgenic mouse model were available for eight compounds. For 13 compounds, carcinogenicity data were generated in only one rodent species. One compound was exclusively tested in a transgenic mouse model. Six compounds were tumourigenic in repeat-dose toxicity studies in rats. The majority of tumour findings observed in rodent carcinogenicity studies were considered not to be relevant for humans, either due to a rodent-specific mechanism of carcinogenicity, a high safety margin between exposures at the NOAEL (No Observed Adverse Effect Level) in rodents and recommended therapeutic doses in humans, or based on historical control data, a small effect size and lack of dose-response relationship and tumours typically observed in rodent strains used, or were considered not to be relevant for humans based on literature and clinical data or likely differences in metabolism/local concentrations between rodents and humans. Due to the high number of rodent tumour findings with unlikely relevance for humans, the value of the currently used testing strategy for carcinogenicity appears questionable. A revision of the carcinogenicity testing paradigm is warranted.","container-title":"Regulatory toxicology and pharmacology: RTP","DOI":"10.1016/j.yrtph.2011.04.001","ISSN":"1096-0295","issue":"2","journalAbbreviation":"Regul Toxicol Pharmacol","language":"eng","note":"PMID: 21513764","page":"225-248","source":"PubMed","title":"Evaluation of carcinogenicity studies of medicinal products for human use authorised via the European centralised procedure (1995-2009)","volume":"60","author":[{"family":"Friedrich","given":"Anita"},{"family":"Olejniczak","given":"Klaus"}],"issued":{"date-parts":[["2011",7]]}},"label":"page"}],"schema":"https://github.com/citation-style-language/schema/raw/master/csl-citation.json"} </w:instrText>
      </w:r>
      <w:r>
        <w:fldChar w:fldCharType="separate"/>
      </w:r>
      <w:r w:rsidR="00B50985" w:rsidRPr="00B66676">
        <w:t>[</w:t>
      </w:r>
      <w:r w:rsidRPr="008749F9">
        <w:t>1,</w:t>
      </w:r>
      <w:r w:rsidR="00844145">
        <w:t xml:space="preserve"> </w:t>
      </w:r>
      <w:r w:rsidRPr="008749F9">
        <w:t>49,</w:t>
      </w:r>
      <w:r w:rsidR="00844145">
        <w:t xml:space="preserve"> </w:t>
      </w:r>
      <w:r w:rsidRPr="008749F9">
        <w:t>50</w:t>
      </w:r>
      <w:r w:rsidR="00B50985" w:rsidRPr="00B66676">
        <w:t>]</w:t>
      </w:r>
      <w:r>
        <w:fldChar w:fldCharType="end"/>
      </w:r>
      <w:r>
        <w:t>.</w:t>
      </w:r>
    </w:p>
    <w:p w14:paraId="5E51EEB8" w14:textId="77777777" w:rsidR="00295007" w:rsidRDefault="00295007" w:rsidP="00295007">
      <w:pPr>
        <w:pStyle w:val="3"/>
        <w:spacing w:after="240"/>
        <w:rPr>
          <w:rFonts w:ascii="Times New Roman" w:hAnsi="Times New Roman"/>
          <w:color w:val="000000" w:themeColor="text1"/>
          <w:szCs w:val="24"/>
        </w:rPr>
      </w:pPr>
      <w:bookmarkStart w:id="114" w:name="_Toc477355753"/>
      <w:bookmarkStart w:id="115" w:name="_Toc117179204"/>
      <w:r w:rsidRPr="005E6358">
        <w:rPr>
          <w:rFonts w:ascii="Times New Roman" w:hAnsi="Times New Roman"/>
          <w:color w:val="000000" w:themeColor="text1"/>
          <w:szCs w:val="24"/>
        </w:rPr>
        <w:t>3.3.5. Репродуктивная и онтогенетическая токсичность</w:t>
      </w:r>
      <w:bookmarkEnd w:id="114"/>
      <w:bookmarkEnd w:id="115"/>
    </w:p>
    <w:p w14:paraId="083FF592" w14:textId="30F47FC3" w:rsidR="00295007" w:rsidRDefault="00295007" w:rsidP="009435FB">
      <w:pPr>
        <w:ind w:firstLine="709"/>
      </w:pPr>
      <w:r w:rsidRPr="00B63F88">
        <w:t xml:space="preserve">Исследования репродуктивной и онтогенетической токсичности </w:t>
      </w:r>
      <w:r>
        <w:rPr>
          <w:rFonts w:eastAsia="TimesNewRomanPSMT"/>
        </w:rPr>
        <w:t xml:space="preserve">этраверина </w:t>
      </w:r>
      <w:r w:rsidRPr="00B63F88">
        <w:t xml:space="preserve">проводились на крысах и кроликах. В данных исследованиях дозы </w:t>
      </w:r>
      <w:r>
        <w:rPr>
          <w:rFonts w:eastAsia="TimesNewRomanPSMT"/>
        </w:rPr>
        <w:t>этраверина</w:t>
      </w:r>
      <w:r w:rsidRPr="00B63F88">
        <w:t>, эквивалентные клинически рекомендованным дозам для человека, не оказывали значимого влияния на репродуктивную и онтогенетическую токсичность у животных</w:t>
      </w:r>
      <w:r>
        <w:t xml:space="preserve"> </w:t>
      </w:r>
      <w:r>
        <w:fldChar w:fldCharType="begin"/>
      </w:r>
      <w:r>
        <w:instrText xml:space="preserve"> ADDIN ZOTERO_ITEM CSL_CITATION {"citationID":"kaYKrYGi","properties":{"formattedCitation":"(1,36,37,49)","plainCitation":"(1,36,37,49)","noteIndex":0},"citationItems":[{"id":2460,"uris":["http://zotero.org/users/5483459/items/AZ4GNHE7"],"itemData":{"id":2460,"type":"document","title":"Product Monograph INTELENCE® etravirine tablets 25 mg, 100 mg, 200 mg. Janssen Inc.  Date of Revision: May 17, 2017."},"label":"page"},{"id":2512,"uris":["http://zotero.org/users/5483459/items/D5YAPSNZ"],"itemData":{"id":2512,"type":"document","title":"Drug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fldChar w:fldCharType="separate"/>
      </w:r>
      <w:r w:rsidR="00B50985" w:rsidRPr="00B50985">
        <w:t>[</w:t>
      </w:r>
      <w:r w:rsidRPr="008749F9">
        <w:t>1,</w:t>
      </w:r>
      <w:r w:rsidR="00844145">
        <w:t xml:space="preserve"> </w:t>
      </w:r>
      <w:r w:rsidRPr="008749F9">
        <w:t>36,</w:t>
      </w:r>
      <w:r w:rsidR="00844145">
        <w:t xml:space="preserve"> </w:t>
      </w:r>
      <w:r w:rsidRPr="008749F9">
        <w:t>37,</w:t>
      </w:r>
      <w:r w:rsidR="00844145">
        <w:t xml:space="preserve"> </w:t>
      </w:r>
      <w:r w:rsidRPr="008749F9">
        <w:t>49</w:t>
      </w:r>
      <w:r w:rsidR="00B50985" w:rsidRPr="00B50985">
        <w:t>]</w:t>
      </w:r>
      <w:r>
        <w:fldChar w:fldCharType="end"/>
      </w:r>
      <w:r>
        <w:t>.</w:t>
      </w:r>
    </w:p>
    <w:p w14:paraId="1339F7BA" w14:textId="77777777" w:rsidR="00295007" w:rsidRPr="004634EA" w:rsidRDefault="00295007" w:rsidP="00295007">
      <w:pPr>
        <w:pStyle w:val="4"/>
        <w:spacing w:after="240"/>
        <w:rPr>
          <w:color w:val="000000" w:themeColor="text1"/>
        </w:rPr>
      </w:pPr>
      <w:bookmarkStart w:id="116" w:name="_Toc117179205"/>
      <w:r>
        <w:rPr>
          <w:rFonts w:ascii="Times New Roman" w:hAnsi="Times New Roman"/>
          <w:color w:val="000000" w:themeColor="text1"/>
          <w:sz w:val="24"/>
          <w:szCs w:val="24"/>
        </w:rPr>
        <w:lastRenderedPageBreak/>
        <w:t>3.3.5.1. Влияние на фертильность и ранняя эмбриональная токсичность</w:t>
      </w:r>
      <w:bookmarkEnd w:id="116"/>
    </w:p>
    <w:p w14:paraId="31E1541E" w14:textId="77777777" w:rsidR="00295007" w:rsidRDefault="00295007" w:rsidP="00295007">
      <w:pPr>
        <w:pStyle w:val="4"/>
        <w:spacing w:after="240"/>
        <w:rPr>
          <w:rFonts w:ascii="Times New Roman" w:hAnsi="Times New Roman"/>
          <w:color w:val="000000" w:themeColor="text1"/>
          <w:sz w:val="24"/>
          <w:szCs w:val="24"/>
        </w:rPr>
      </w:pPr>
      <w:bookmarkStart w:id="117" w:name="_Toc117179206"/>
      <w:r>
        <w:rPr>
          <w:rFonts w:ascii="Times New Roman" w:hAnsi="Times New Roman"/>
          <w:color w:val="000000" w:themeColor="text1"/>
          <w:sz w:val="24"/>
          <w:szCs w:val="24"/>
        </w:rPr>
        <w:t>3.3.5.2. Эмбрио-фетальная токсичность</w:t>
      </w:r>
      <w:bookmarkEnd w:id="117"/>
    </w:p>
    <w:p w14:paraId="2C64C98F" w14:textId="7932029B" w:rsidR="00295007" w:rsidRDefault="00295007" w:rsidP="009435FB">
      <w:pPr>
        <w:ind w:firstLine="709"/>
      </w:pPr>
      <w:r>
        <w:t xml:space="preserve">Исследования влияния </w:t>
      </w:r>
      <w:r>
        <w:rPr>
          <w:rFonts w:eastAsia="TimesNewRomanPSMT"/>
        </w:rPr>
        <w:t xml:space="preserve">этраверина </w:t>
      </w:r>
      <w:r>
        <w:t>на эмбриофетальное развитие, проводимые на беременных</w:t>
      </w:r>
      <w:r w:rsidR="00257196">
        <w:t xml:space="preserve"> </w:t>
      </w:r>
      <w:r>
        <w:t>самках крыс,</w:t>
      </w:r>
      <w:r w:rsidR="00257196">
        <w:t xml:space="preserve"> </w:t>
      </w:r>
      <w:r>
        <w:t>при системной экспозиции 8,3 мкг</w:t>
      </w:r>
      <w:r w:rsidR="00844145" w:rsidRPr="008B0B82">
        <w:t>*</w:t>
      </w:r>
      <w:r>
        <w:t>ч/мл показали, что этраверин не влия</w:t>
      </w:r>
      <w:r w:rsidR="00257196">
        <w:t>л</w:t>
      </w:r>
      <w:r>
        <w:t xml:space="preserve"> на массу</w:t>
      </w:r>
      <w:r w:rsidR="00257196">
        <w:t xml:space="preserve"> </w:t>
      </w:r>
      <w:r>
        <w:t xml:space="preserve">беременной матки, частоту наступления беременностей, </w:t>
      </w:r>
      <w:r w:rsidR="00257196">
        <w:t xml:space="preserve">число </w:t>
      </w:r>
      <w:r>
        <w:t xml:space="preserve">желтых тел, степень предимплантационной потери, вес плода, соотношение полов и органогенез </w:t>
      </w:r>
      <w:r w:rsidR="00844145">
        <w:fldChar w:fldCharType="begin"/>
      </w:r>
      <w:r w:rsidR="00844145">
        <w:instrText xml:space="preserve"> ADDIN ZOTERO_ITEM CSL_CITATION {"citationID":"jyxxsctg","properties":{"formattedCitation":"(36,37)","plainCitation":"(36,37)","noteIndex":0},"citationItems":[{"id":2512,"uris":["http://zotero.org/users/5483459/items/D5YAPSNZ"],"itemData":{"id":2512,"type":"document","title":"Drug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rsidR="00844145">
        <w:fldChar w:fldCharType="separate"/>
      </w:r>
      <w:r w:rsidR="00844145" w:rsidRPr="008B0B82">
        <w:t>[</w:t>
      </w:r>
      <w:r w:rsidR="00844145" w:rsidRPr="008749F9">
        <w:t>36,</w:t>
      </w:r>
      <w:r w:rsidR="00844145" w:rsidRPr="008B0B82">
        <w:t xml:space="preserve"> </w:t>
      </w:r>
      <w:r w:rsidR="00844145" w:rsidRPr="008749F9">
        <w:t>37</w:t>
      </w:r>
      <w:r w:rsidR="00844145" w:rsidRPr="008B0B82">
        <w:t>]</w:t>
      </w:r>
      <w:r w:rsidR="00844145">
        <w:fldChar w:fldCharType="end"/>
      </w:r>
      <w:r>
        <w:t xml:space="preserve">. При пероральном введении беременным крысам </w:t>
      </w:r>
      <w:r>
        <w:rPr>
          <w:rFonts w:eastAsia="TimesNewRomanPSMT"/>
        </w:rPr>
        <w:t xml:space="preserve">этраверина </w:t>
      </w:r>
      <w:r>
        <w:t>в ПЭГ400, в дозе 1000 мг/кг/</w:t>
      </w:r>
      <w:r w:rsidR="00257196">
        <w:t xml:space="preserve">день </w:t>
      </w:r>
      <w:r>
        <w:t>не наблюдалось токсичности для материнского организма и плода.</w:t>
      </w:r>
      <w:r w:rsidR="00257196">
        <w:t xml:space="preserve"> </w:t>
      </w:r>
      <w:r>
        <w:t xml:space="preserve">NOAEL на фетальное развитие, составила 1000 мг/кг/сутки, таким образом, этраверин  не оказывал тератогенного эффекта у крыс </w:t>
      </w:r>
      <w:r>
        <w:fldChar w:fldCharType="begin"/>
      </w:r>
      <w:r>
        <w:instrText xml:space="preserve"> ADDIN ZOTERO_ITEM CSL_CITATION {"citationID":"fvqJH4Oq","properties":{"formattedCitation":"(1,37,49)","plainCitation":"(1,37,49)","noteIndex":0},"citationItems":[{"id":2460,"uris":["http://zotero.org/users/5483459/items/AZ4GNHE7"],"itemData":{"id":2460,"type":"document","title":"Product Monograph INTELENCE® etravirine tablets 25 mg, 100 mg, 200 mg. Janssen Inc.  Date of Revision: May 17, 2017."},"label":"page"},{"id":2513,"uris":["http://zotero.org/users/5483459/items/IGNR669U"],"itemData":{"id":2513,"type":"document","title":"Drug Approval Package: Intelence (Etravirine) NDA #02218. Pharmacology Review(s) Drug Approval Package: Etravirine. NDA 22-187. Part II."},"label":"page"},{"id":2541,"uris":["http://zotero.org/users/5483459/items/HG644SK6"],"itemData":{"id":2541,"type":"document","title":"European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fldChar w:fldCharType="separate"/>
      </w:r>
      <w:r w:rsidR="00B50985" w:rsidRPr="00B50985">
        <w:t>[</w:t>
      </w:r>
      <w:r w:rsidRPr="008749F9">
        <w:t>1,</w:t>
      </w:r>
      <w:r w:rsidR="00844145" w:rsidRPr="008B0B82">
        <w:t xml:space="preserve"> </w:t>
      </w:r>
      <w:r w:rsidRPr="008749F9">
        <w:t>37,</w:t>
      </w:r>
      <w:r w:rsidR="00844145" w:rsidRPr="008B0B82">
        <w:t xml:space="preserve"> </w:t>
      </w:r>
      <w:r w:rsidRPr="008749F9">
        <w:t>49</w:t>
      </w:r>
      <w:r w:rsidR="00B50985" w:rsidRPr="00B50985">
        <w:t>]</w:t>
      </w:r>
      <w:r>
        <w:fldChar w:fldCharType="end"/>
      </w:r>
      <w:r>
        <w:t>.</w:t>
      </w:r>
    </w:p>
    <w:p w14:paraId="31953171" w14:textId="6A720E06" w:rsidR="00295007" w:rsidRPr="00E44F27" w:rsidRDefault="00295007" w:rsidP="009435FB">
      <w:pPr>
        <w:ind w:firstLine="709"/>
      </w:pPr>
      <w:r>
        <w:t xml:space="preserve">В одном из исследований у кроликов </w:t>
      </w:r>
      <w:r>
        <w:rPr>
          <w:rFonts w:eastAsia="TimesNewRomanPSMT"/>
        </w:rPr>
        <w:t xml:space="preserve">этраверина </w:t>
      </w:r>
      <w:r>
        <w:t>гидробромид в α</w:t>
      </w:r>
      <w:r w:rsidR="00BE3C32">
        <w:t>-</w:t>
      </w:r>
      <w:r>
        <w:t xml:space="preserve"> </w:t>
      </w:r>
      <w:bookmarkStart w:id="118" w:name="_Hlk112231951"/>
      <w:r>
        <w:t>токоферилполиэтиленгликольсукцинате (TPGS)</w:t>
      </w:r>
      <w:bookmarkEnd w:id="118"/>
      <w:r>
        <w:t xml:space="preserve"> вводили перорально беременным самкам в дозе до 750 мг/кг/сутки, при этом не было установлено тератогенного потенциала </w:t>
      </w:r>
      <w:r>
        <w:rPr>
          <w:rFonts w:eastAsia="TimesNewRomanPSMT"/>
        </w:rPr>
        <w:t>этраверина</w:t>
      </w:r>
      <w:r>
        <w:t>. Дополнительное исследование на кроликах с применением водной суспензии высушенного распылением этраверин</w:t>
      </w:r>
      <w:r w:rsidR="00BE3C32">
        <w:t>а</w:t>
      </w:r>
      <w:r>
        <w:t xml:space="preserve"> перорально в дозе до 375 мг/кг/сутки показало, что </w:t>
      </w:r>
      <w:r w:rsidR="00844145">
        <w:t>этраверин проявлял</w:t>
      </w:r>
      <w:r>
        <w:t xml:space="preserve"> токсическое действие на материнский организм, вызывая снижение набора массы тела и потребления корма (NOAEL составила 125 мг/кг, AUC 6,1 – 7,6 мкг</w:t>
      </w:r>
      <w:r w:rsidR="00257196">
        <w:t>*</w:t>
      </w:r>
      <w:r>
        <w:t>ч/мл). При этом не сообщалось о тератогенных эффектах в максимально возможных и токсичных для материнского организма дозах (NOAEL 375 мг/кг, AUC 9,7 – 12,3 мкг</w:t>
      </w:r>
      <w:r w:rsidR="00257196">
        <w:t>*</w:t>
      </w:r>
      <w:r>
        <w:t xml:space="preserve">ч/мл) </w:t>
      </w:r>
      <w:r>
        <w:fldChar w:fldCharType="begin"/>
      </w:r>
      <w:r>
        <w:instrText xml:space="preserve"> ADDIN ZOTERO_ITEM CSL_CITATION {"citationID":"eOStLq4t","properties":{"formattedCitation":"(1,37,49)","plainCitation":"(1,37,49)","noteIndex":0},"citationItems":[{"id":2460,"uris":["http://zotero.org/users/5483459/items/AZ4GNHE7"],"itemData":{"id":2460,"type":"document","title":"Product Monograph INTELENCE® etravirine tablets 25 mg, 100 mg, 200 mg. Janssen Inc.  Date of Revision: May 17, 2017."},"label":"page"},{"id":2513,"uris":["http://zotero.org/users/5483459/items/IGNR669U"],"itemData":{"id":2513,"type":"document","title":"Drug Approval Package: Intelence (Etravirine) NDA #02218. Pharmacology Review(s) Drug Approval Package: Etravirine. NDA 22-187. Part II."},"label":"page"},{"id":2541,"uris":["http://zotero.org/users/5483459/items/HG644SK6"],"itemData":{"id":2541,"type":"document","title":"European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fldChar w:fldCharType="separate"/>
      </w:r>
      <w:r w:rsidR="00B50985" w:rsidRPr="00B50985">
        <w:t>[</w:t>
      </w:r>
      <w:r w:rsidRPr="008749F9">
        <w:t>1,</w:t>
      </w:r>
      <w:r w:rsidR="00844145" w:rsidRPr="008B0B82">
        <w:t xml:space="preserve"> </w:t>
      </w:r>
      <w:r w:rsidRPr="008749F9">
        <w:t>37,</w:t>
      </w:r>
      <w:r w:rsidR="00844145" w:rsidRPr="008B0B82">
        <w:t xml:space="preserve"> </w:t>
      </w:r>
      <w:r w:rsidRPr="008749F9">
        <w:t>49</w:t>
      </w:r>
      <w:r w:rsidR="00B50985" w:rsidRPr="00B50985">
        <w:t>]</w:t>
      </w:r>
      <w:r>
        <w:fldChar w:fldCharType="end"/>
      </w:r>
      <w:r>
        <w:t>.</w:t>
      </w:r>
    </w:p>
    <w:p w14:paraId="43968242" w14:textId="644CFC25" w:rsidR="00295007" w:rsidRPr="00BE3C32" w:rsidRDefault="00295007" w:rsidP="009435FB">
      <w:pPr>
        <w:pStyle w:val="OT"/>
        <w:spacing w:after="0"/>
        <w:ind w:firstLine="709"/>
        <w:rPr>
          <w:rFonts w:eastAsia="MS Mincho"/>
          <w:sz w:val="24"/>
          <w:szCs w:val="24"/>
        </w:rPr>
      </w:pPr>
      <w:r w:rsidRPr="00BE3C32">
        <w:rPr>
          <w:rFonts w:eastAsia="MS Mincho"/>
          <w:sz w:val="24"/>
          <w:szCs w:val="24"/>
        </w:rPr>
        <w:t xml:space="preserve">При исследовании влияния </w:t>
      </w:r>
      <w:r w:rsidRPr="00BE3C32">
        <w:rPr>
          <w:rFonts w:eastAsia="TimesNewRomanPSMT"/>
          <w:sz w:val="24"/>
          <w:szCs w:val="24"/>
        </w:rPr>
        <w:t xml:space="preserve">этраверина </w:t>
      </w:r>
      <w:r w:rsidRPr="00BE3C32">
        <w:rPr>
          <w:rFonts w:eastAsia="MS Mincho"/>
          <w:sz w:val="24"/>
          <w:szCs w:val="24"/>
        </w:rPr>
        <w:t>на фертильность крыс уровни системной экспозиции составляли до 5 мкг</w:t>
      </w:r>
      <w:r w:rsidR="005E15BB" w:rsidRPr="005E15BB">
        <w:rPr>
          <w:rFonts w:eastAsia="MS Mincho"/>
          <w:sz w:val="24"/>
          <w:szCs w:val="24"/>
          <w:vertAlign w:val="subscript"/>
        </w:rPr>
        <w:t>*</w:t>
      </w:r>
      <w:r w:rsidRPr="00BE3C32">
        <w:rPr>
          <w:rFonts w:eastAsia="MS Mincho"/>
          <w:sz w:val="24"/>
          <w:szCs w:val="24"/>
        </w:rPr>
        <w:t>ч/мл у самцов и до 9 мкг</w:t>
      </w:r>
      <w:r w:rsidR="005E15BB" w:rsidRPr="005E15BB">
        <w:rPr>
          <w:rFonts w:eastAsia="MS Mincho"/>
          <w:sz w:val="24"/>
          <w:szCs w:val="24"/>
          <w:vertAlign w:val="subscript"/>
        </w:rPr>
        <w:t>*</w:t>
      </w:r>
      <w:r w:rsidRPr="00BE3C32">
        <w:rPr>
          <w:rFonts w:eastAsia="MS Mincho"/>
          <w:sz w:val="24"/>
          <w:szCs w:val="24"/>
        </w:rPr>
        <w:t xml:space="preserve">·ч/мл у самок (500 мг/кг). Было показано отсутствие значимого влияния </w:t>
      </w:r>
      <w:r w:rsidRPr="00BE3C32">
        <w:rPr>
          <w:rFonts w:eastAsia="TimesNewRomanPSMT"/>
          <w:sz w:val="24"/>
          <w:szCs w:val="24"/>
        </w:rPr>
        <w:t xml:space="preserve">этраверина </w:t>
      </w:r>
      <w:r w:rsidRPr="00BE3C32">
        <w:rPr>
          <w:rFonts w:eastAsia="MS Mincho"/>
          <w:sz w:val="24"/>
          <w:szCs w:val="24"/>
        </w:rPr>
        <w:t xml:space="preserve">на эстральный цикл, частоту спариваний и беременностей, количество желтых тел, имплантаций и живых эмбрионов </w:t>
      </w:r>
      <w:r w:rsidRPr="00BE3C32">
        <w:rPr>
          <w:rFonts w:eastAsia="MS Mincho"/>
          <w:sz w:val="24"/>
          <w:szCs w:val="24"/>
        </w:rPr>
        <w:fldChar w:fldCharType="begin"/>
      </w:r>
      <w:r w:rsidRPr="00BE3C32">
        <w:rPr>
          <w:rFonts w:eastAsia="MS Mincho"/>
          <w:sz w:val="24"/>
          <w:szCs w:val="24"/>
        </w:rPr>
        <w:instrText xml:space="preserve"> ADDIN ZOTERO_ITEM CSL_CITATION {"citationID":"mJE6XMUd","properties":{"formattedCitation":"(36,37,49)","plainCitation":"(36,37,49)","noteIndex":0},"citationItems":[{"id":2512,"uris":["http://zotero.org/users/5483459/items/D5YAPSNZ"],"itemData":{"id":2512,"type":"document","title":"Drug Approval Package: Intelence (Etravirine) NDA #02218. Pharmacology Review(s) Drug Approval Package: Etravirine. NDA 22-187. Part I."},"label":"page"},{"id":2513,"uris":["http://zotero.org/users/5483459/items/IGNR669U"],"itemData":{"id":2513,"type":"document","title":"Drug Approval Package: Intelence (Etravirine) NDA #02218. Pharmacology Review(s) Drug Approval Package: Etravirine. NDA 22-187. Part II."},"label":"page"},{"id":2541,"uris":["http://zotero.org/users/5483459/items/HG644SK6"],"itemData":{"id":2541,"type":"document","title":"European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rsidRPr="00BE3C32">
        <w:rPr>
          <w:rFonts w:eastAsia="MS Mincho"/>
          <w:sz w:val="24"/>
          <w:szCs w:val="24"/>
        </w:rPr>
        <w:fldChar w:fldCharType="separate"/>
      </w:r>
      <w:r w:rsidR="00B50985" w:rsidRPr="00B50985">
        <w:rPr>
          <w:rFonts w:eastAsia="MS Mincho"/>
          <w:sz w:val="24"/>
          <w:szCs w:val="24"/>
        </w:rPr>
        <w:t>[</w:t>
      </w:r>
      <w:r w:rsidRPr="00BE3C32">
        <w:rPr>
          <w:rFonts w:eastAsia="MS Mincho"/>
          <w:sz w:val="24"/>
          <w:szCs w:val="24"/>
        </w:rPr>
        <w:t>36,</w:t>
      </w:r>
      <w:r w:rsidR="00844145" w:rsidRPr="008B0B82">
        <w:rPr>
          <w:rFonts w:eastAsia="MS Mincho"/>
          <w:sz w:val="24"/>
          <w:szCs w:val="24"/>
        </w:rPr>
        <w:t xml:space="preserve"> </w:t>
      </w:r>
      <w:r w:rsidRPr="00BE3C32">
        <w:rPr>
          <w:rFonts w:eastAsia="MS Mincho"/>
          <w:sz w:val="24"/>
          <w:szCs w:val="24"/>
        </w:rPr>
        <w:t>37,</w:t>
      </w:r>
      <w:r w:rsidR="00844145" w:rsidRPr="008B0B82">
        <w:rPr>
          <w:rFonts w:eastAsia="MS Mincho"/>
          <w:sz w:val="24"/>
          <w:szCs w:val="24"/>
        </w:rPr>
        <w:t xml:space="preserve"> </w:t>
      </w:r>
      <w:r w:rsidRPr="00BE3C32">
        <w:rPr>
          <w:rFonts w:eastAsia="MS Mincho"/>
          <w:sz w:val="24"/>
          <w:szCs w:val="24"/>
        </w:rPr>
        <w:t>49</w:t>
      </w:r>
      <w:r w:rsidR="00B50985" w:rsidRPr="00B50985">
        <w:rPr>
          <w:rFonts w:eastAsia="MS Mincho"/>
          <w:sz w:val="24"/>
          <w:szCs w:val="24"/>
        </w:rPr>
        <w:t>]</w:t>
      </w:r>
      <w:r w:rsidRPr="00BE3C32">
        <w:rPr>
          <w:rFonts w:eastAsia="MS Mincho"/>
          <w:sz w:val="24"/>
          <w:szCs w:val="24"/>
        </w:rPr>
        <w:fldChar w:fldCharType="end"/>
      </w:r>
      <w:r w:rsidRPr="00BE3C32">
        <w:rPr>
          <w:rFonts w:eastAsia="MS Mincho"/>
          <w:sz w:val="24"/>
          <w:szCs w:val="24"/>
        </w:rPr>
        <w:t>.</w:t>
      </w:r>
    </w:p>
    <w:p w14:paraId="000FFF63" w14:textId="0430D692" w:rsidR="00295007" w:rsidRPr="000236FF" w:rsidRDefault="00295007" w:rsidP="009435FB">
      <w:pPr>
        <w:pStyle w:val="OT"/>
        <w:spacing w:after="0"/>
        <w:ind w:firstLine="709"/>
        <w:rPr>
          <w:rFonts w:eastAsia="MS Mincho"/>
          <w:b/>
          <w:bCs/>
          <w:sz w:val="24"/>
          <w:szCs w:val="24"/>
        </w:rPr>
      </w:pPr>
      <w:r w:rsidRPr="000236FF">
        <w:rPr>
          <w:rFonts w:eastAsia="MS Mincho"/>
          <w:sz w:val="24"/>
          <w:szCs w:val="24"/>
        </w:rPr>
        <w:t xml:space="preserve">В дополнительном исследовании, проведенном с целью оценки влияния на репродуктивную функцию самцов крыс, </w:t>
      </w:r>
      <w:r w:rsidRPr="000236FF">
        <w:rPr>
          <w:sz w:val="24"/>
          <w:szCs w:val="24"/>
        </w:rPr>
        <w:t xml:space="preserve">этраверин </w:t>
      </w:r>
      <w:r w:rsidRPr="000236FF">
        <w:rPr>
          <w:rFonts w:eastAsia="MS Mincho"/>
          <w:sz w:val="24"/>
          <w:szCs w:val="24"/>
        </w:rPr>
        <w:t xml:space="preserve">вводили перорально в дозе 40 мг/кг/сутки в течение 16 недель. Было установлено, что </w:t>
      </w:r>
      <w:r w:rsidRPr="000236FF">
        <w:rPr>
          <w:sz w:val="24"/>
          <w:szCs w:val="24"/>
        </w:rPr>
        <w:t xml:space="preserve">этраверин </w:t>
      </w:r>
      <w:r w:rsidRPr="000236FF">
        <w:rPr>
          <w:rFonts w:eastAsia="MS Mincho"/>
          <w:sz w:val="24"/>
          <w:szCs w:val="24"/>
        </w:rPr>
        <w:t xml:space="preserve">не влиял на общее количество сперматозоидов, их концентрацию и морфологию. Несмотря на то, что проточная цитометрия спермы самцов, получавших </w:t>
      </w:r>
      <w:r w:rsidRPr="000236FF">
        <w:rPr>
          <w:sz w:val="24"/>
          <w:szCs w:val="24"/>
        </w:rPr>
        <w:t>этраверин</w:t>
      </w:r>
      <w:r w:rsidRPr="000236FF">
        <w:rPr>
          <w:rFonts w:eastAsia="MS Mincho"/>
          <w:sz w:val="24"/>
          <w:szCs w:val="24"/>
        </w:rPr>
        <w:t xml:space="preserve">, показала повышенное количество сперматозоидов с денатурированной ДНК, по сравнению с контрольной группой, каких-либо значимых изменений в тканях яичек у самцов крыс, получавших </w:t>
      </w:r>
      <w:r w:rsidRPr="000236FF">
        <w:rPr>
          <w:sz w:val="24"/>
          <w:szCs w:val="24"/>
        </w:rPr>
        <w:t>этраверин</w:t>
      </w:r>
      <w:r w:rsidRPr="000236FF">
        <w:rPr>
          <w:rFonts w:eastAsia="MS Mincho"/>
          <w:sz w:val="24"/>
          <w:szCs w:val="24"/>
        </w:rPr>
        <w:t xml:space="preserve">, обнаружено не было </w:t>
      </w:r>
      <w:r w:rsidRPr="000236FF">
        <w:rPr>
          <w:rFonts w:eastAsia="MS Mincho"/>
          <w:sz w:val="24"/>
          <w:szCs w:val="24"/>
        </w:rPr>
        <w:fldChar w:fldCharType="begin"/>
      </w:r>
      <w:r w:rsidRPr="000236FF">
        <w:rPr>
          <w:rFonts w:eastAsia="MS Mincho"/>
          <w:sz w:val="24"/>
          <w:szCs w:val="24"/>
        </w:rPr>
        <w:instrText xml:space="preserve"> ADDIN ZOTERO_ITEM CSL_CITATION {"citationID":"RDxIEnbc","properties":{"formattedCitation":"(51)","plainCitation":"(51)","noteIndex":0},"citationItems":[{"id":2544,"uris":["http://zotero.org/users/5483459/items/QR2ZEQTE"],"itemData":{"id":2544,"type":"article-journal","abstract":"Highly active antiretroviral therapy (HAART) is used in HIV-infected patients. Alongside the prolongation of patients' life, adverse side effects associated with long-term therapy are becoming an increasing problem. Therefore, optimizing of HAART is extremely important. The study is aimed at evaluating the toxicity of abacavir and etravirine in monotherapy on the reproductive system, liver, kidneys, and bones in young, sexually mature, male rats. Thirty-six 8-week-old male Wistar rats randomized into three 12-animal groups received either normal saline (control), abacavir 60 mg/kg (AB group), or etravirine 40 mg/kg (ET group) once daily for 16 weeks. Semen morphology, oxide-redox state parameters (MDA, SOD, catalase, GPx, glutathione, GSH/GSSG ratio) in tissue homogenates (testes, liver, kidneys), and serum samples were studied. In bones, microcomputed tomography and a four-point bending test were performed. Total sperm count, sperm concentration, motility, and sperm morphology did not differ significantly in AB or ET groups compared to the control. In the flow cytometry of semen, an increased percentage of cells with denatured DNA was noticed for both tested drugs. However, no significant changes of oxide-redox state in testicular homogenates were found, except of increased SOD activity in the AB-receiving group. Additionally, ET significantly altered catalase and GPx in the liver and SOD activity in kidneys. Abacavir decreased catalase in the liver and GSH levels in kidneys. AB caused significant changes to bone microarchitecture (bone volume fraction, trabecular number, connectivity density, total porosity) and increased Young's modulus. Etravirine had a greater impact on macrometric parameters of bones (tibial index, mid-tibial diameter, femur length). After 4 weeks in the ET group, a lower 1,25-dihydroxyvitamin D3 serum concentration was found. The results showed that abacavir and etravirine disturb oxidative stress. An increase in the percentage of sperms with chromatin damage suggests decreased fertility in rats receiving the studied drugs. Both drugs affected bone formation in growing rats. Additionally, etravirine disturbed vitamin D metabolism.","container-title":"Oxidative Medicine and Cellular Longevity","DOI":"10.1155/2021/5596090","ISSN":"1942-0994","journalAbbreviation":"Oxid Med Cell Longev","language":"eng","note":"PMID: 34373766\nPMCID: PMC8349296","page":"5596090","source":"PubMed","title":"Long-Term Administration of Abacavir and Etravirine Impairs Semen Quality and Alters Redox System and Bone Metabolism in Growing Male Wistar Rats","volume":"2021","author":[{"family":"Matuszewska","given":"Agnieszka"},{"family":"Nowak","given":"Beata"},{"family":"Niżański","given":"Wojciech"},{"family":"Eberhardt","given":"Maria"},{"family":"Domrazek","given":"Kinga"},{"family":"Nikodem","given":"Anna"},{"family":"Wiatrak","given":"Benita"},{"family":"Zduniak","given":"Krzysztof"},{"family":"Olejnik","given":"Kamil"},{"family":"Merwid-Ląd","given":"Anna"},{"family":"Tomkalski","given":"Tomasz"},{"family":"Jędrzejuk","given":"Diana"},{"family":"Szeląg","given":"Ewa"},{"family":"Podhorska-Okołów","given":"Marzenna"},{"family":"Piotrowska","given":"Aleksandra"},{"family":"Jęśkowiak","given":"Izabela"},{"family":"Heinrich","given":"Agata"},{"family":"Rutkowska","given":"Maria"},{"family":"Dziewiszek","given":"Wojciech"},{"family":"Sozański","given":"Tomasz"},{"family":"Kwiatkowska","given":"Joanna"},{"family":"Jawień","given":"Paulina"},{"family":"Bolanowski","given":"Marek"},{"family":"Szeląg","given":"Adam"}],"issued":{"date-parts":[["2021"]]}}}],"schema":"https://github.com/citation-style-language/schema/raw/master/csl-citation.json"} </w:instrText>
      </w:r>
      <w:r w:rsidRPr="000236FF">
        <w:rPr>
          <w:rFonts w:eastAsia="MS Mincho"/>
          <w:sz w:val="24"/>
          <w:szCs w:val="24"/>
        </w:rPr>
        <w:fldChar w:fldCharType="separate"/>
      </w:r>
      <w:r w:rsidR="00B50985" w:rsidRPr="00B66676">
        <w:rPr>
          <w:rFonts w:eastAsia="MS Mincho"/>
          <w:sz w:val="24"/>
          <w:szCs w:val="24"/>
        </w:rPr>
        <w:t>[</w:t>
      </w:r>
      <w:r w:rsidRPr="000236FF">
        <w:rPr>
          <w:rFonts w:eastAsia="MS Mincho"/>
          <w:sz w:val="24"/>
          <w:szCs w:val="24"/>
        </w:rPr>
        <w:t>51</w:t>
      </w:r>
      <w:r w:rsidR="00B50985" w:rsidRPr="00B66676">
        <w:rPr>
          <w:rFonts w:eastAsia="MS Mincho"/>
          <w:sz w:val="24"/>
          <w:szCs w:val="24"/>
        </w:rPr>
        <w:t>]</w:t>
      </w:r>
      <w:r w:rsidRPr="000236FF">
        <w:rPr>
          <w:rFonts w:eastAsia="MS Mincho"/>
          <w:sz w:val="24"/>
          <w:szCs w:val="24"/>
        </w:rPr>
        <w:fldChar w:fldCharType="end"/>
      </w:r>
      <w:r w:rsidRPr="000236FF">
        <w:rPr>
          <w:rFonts w:eastAsia="MS Mincho"/>
          <w:sz w:val="24"/>
          <w:szCs w:val="24"/>
        </w:rPr>
        <w:t>.</w:t>
      </w:r>
    </w:p>
    <w:p w14:paraId="00C5318A" w14:textId="77777777" w:rsidR="00295007" w:rsidRDefault="00295007" w:rsidP="00295007">
      <w:pPr>
        <w:pStyle w:val="4"/>
        <w:spacing w:after="240"/>
        <w:rPr>
          <w:rFonts w:ascii="Times New Roman" w:hAnsi="Times New Roman"/>
          <w:color w:val="000000" w:themeColor="text1"/>
          <w:sz w:val="24"/>
          <w:szCs w:val="24"/>
        </w:rPr>
      </w:pPr>
      <w:bookmarkStart w:id="119" w:name="_Toc117179207"/>
      <w:r w:rsidRPr="00584662">
        <w:rPr>
          <w:rFonts w:ascii="Times New Roman" w:eastAsia="MS Mincho" w:hAnsi="Times New Roman"/>
          <w:b w:val="0"/>
          <w:bCs w:val="0"/>
          <w:sz w:val="24"/>
          <w:szCs w:val="24"/>
        </w:rPr>
        <w:t>.</w:t>
      </w:r>
      <w:r>
        <w:rPr>
          <w:rFonts w:ascii="Times New Roman" w:hAnsi="Times New Roman"/>
          <w:color w:val="000000" w:themeColor="text1"/>
          <w:sz w:val="24"/>
          <w:szCs w:val="24"/>
        </w:rPr>
        <w:t>3.3.5.3. Влияние на п</w:t>
      </w:r>
      <w:r w:rsidRPr="002211BA">
        <w:rPr>
          <w:rFonts w:ascii="Times New Roman" w:hAnsi="Times New Roman"/>
          <w:color w:val="000000" w:themeColor="text1"/>
          <w:sz w:val="24"/>
          <w:szCs w:val="24"/>
        </w:rPr>
        <w:t>рената</w:t>
      </w:r>
      <w:r>
        <w:rPr>
          <w:rFonts w:ascii="Times New Roman" w:hAnsi="Times New Roman"/>
          <w:color w:val="000000" w:themeColor="text1"/>
          <w:sz w:val="24"/>
          <w:szCs w:val="24"/>
        </w:rPr>
        <w:t>льное и постнатальное развитие</w:t>
      </w:r>
      <w:bookmarkEnd w:id="119"/>
    </w:p>
    <w:p w14:paraId="280A33EE" w14:textId="7C3980D6" w:rsidR="00295007" w:rsidRDefault="00295007" w:rsidP="009435FB">
      <w:pPr>
        <w:ind w:firstLine="709"/>
      </w:pPr>
      <w:r w:rsidRPr="00597351">
        <w:t xml:space="preserve">В исследовании влияния </w:t>
      </w:r>
      <w:r w:rsidR="00844145">
        <w:rPr>
          <w:rFonts w:eastAsia="TimesNewRomanPSMT"/>
        </w:rPr>
        <w:t xml:space="preserve">этраверина </w:t>
      </w:r>
      <w:r w:rsidR="00844145" w:rsidRPr="00597351">
        <w:t>на</w:t>
      </w:r>
      <w:r w:rsidRPr="00597351">
        <w:t xml:space="preserve"> пренатальное и постнатальное развитие крыс не было обнаружено какого-либо значимого влияния на гестацию, родоразрешение, количество детенышей в помете, их выживаемость, а также соотношение полов в потомстве. Масса тела детенышей и степень их развития была выше в группах, получавших </w:t>
      </w:r>
      <w:r>
        <w:t>этраверин</w:t>
      </w:r>
      <w:r w:rsidRPr="00597351">
        <w:t>, по сравнению с контролем. Клиническое состояние, сенсорное восприятие, рефлексы, поведенческие реак</w:t>
      </w:r>
      <w:r w:rsidRPr="00597351">
        <w:lastRenderedPageBreak/>
        <w:t xml:space="preserve">ции и репродуктивность потомков первого поколения не имели </w:t>
      </w:r>
      <w:r w:rsidR="00844145" w:rsidRPr="00597351">
        <w:t>каких-либо</w:t>
      </w:r>
      <w:r w:rsidRPr="00597351">
        <w:t xml:space="preserve"> отличий по сравнению с контрольной группой. NOAEL составила 500 мг/кг, AUC – от 3,6 до 12,1 мкг</w:t>
      </w:r>
      <w:r w:rsidR="00844145" w:rsidRPr="008B0B82">
        <w:t>*</w:t>
      </w:r>
      <w:r w:rsidRPr="00597351">
        <w:t xml:space="preserve">ч/мл </w:t>
      </w:r>
      <w:r>
        <w:fldChar w:fldCharType="begin"/>
      </w:r>
      <w:r>
        <w:instrText xml:space="preserve"> ADDIN ZOTERO_ITEM CSL_CITATION {"citationID":"u2U0GStd","properties":{"formattedCitation":"(36)","plainCitation":"(36)","noteIndex":0},"citationItems":[{"id":2512,"uris":["http://zotero.org/users/5483459/items/D5YAPSNZ"],"itemData":{"id":2512,"type":"document","title":"Drug Approval Package: Intelence (Etravirine) NDA #02218. Pharmacology Review(s) Drug Approval Package: Etravirine. NDA 22-187. Part I."}}],"schema":"https://github.com/citation-style-language/schema/raw/master/csl-citation.json"} </w:instrText>
      </w:r>
      <w:r>
        <w:fldChar w:fldCharType="separate"/>
      </w:r>
      <w:r w:rsidR="00B50985" w:rsidRPr="00B50985">
        <w:t>[</w:t>
      </w:r>
      <w:r w:rsidRPr="008749F9">
        <w:t>36</w:t>
      </w:r>
      <w:r w:rsidR="00B50985" w:rsidRPr="00B50985">
        <w:t>]</w:t>
      </w:r>
      <w:r>
        <w:fldChar w:fldCharType="end"/>
      </w:r>
      <w:r>
        <w:t>.</w:t>
      </w:r>
    </w:p>
    <w:p w14:paraId="2A770CD1" w14:textId="77777777" w:rsidR="00295007" w:rsidRPr="002211BA" w:rsidRDefault="00295007" w:rsidP="00295007">
      <w:pPr>
        <w:pStyle w:val="4"/>
        <w:spacing w:after="240"/>
        <w:rPr>
          <w:rFonts w:ascii="Times New Roman" w:hAnsi="Times New Roman"/>
          <w:color w:val="000000" w:themeColor="text1"/>
          <w:sz w:val="24"/>
          <w:szCs w:val="24"/>
        </w:rPr>
      </w:pPr>
      <w:bookmarkStart w:id="120" w:name="_Toc117179208"/>
      <w:r w:rsidRPr="002211BA">
        <w:rPr>
          <w:rFonts w:ascii="Times New Roman" w:hAnsi="Times New Roman"/>
          <w:color w:val="000000" w:themeColor="text1"/>
          <w:sz w:val="24"/>
          <w:szCs w:val="24"/>
        </w:rPr>
        <w:t>3.</w:t>
      </w:r>
      <w:r>
        <w:rPr>
          <w:rFonts w:ascii="Times New Roman" w:hAnsi="Times New Roman"/>
          <w:color w:val="000000" w:themeColor="text1"/>
          <w:sz w:val="24"/>
          <w:szCs w:val="24"/>
        </w:rPr>
        <w:t>3.5.4</w:t>
      </w:r>
      <w:r w:rsidRPr="002211BA">
        <w:rPr>
          <w:rFonts w:ascii="Times New Roman" w:hAnsi="Times New Roman"/>
          <w:color w:val="000000" w:themeColor="text1"/>
          <w:sz w:val="24"/>
          <w:szCs w:val="24"/>
        </w:rPr>
        <w:t>. Ювенильная токсичность</w:t>
      </w:r>
      <w:bookmarkEnd w:id="120"/>
    </w:p>
    <w:p w14:paraId="34338A47" w14:textId="77777777" w:rsidR="00295007" w:rsidRDefault="00295007" w:rsidP="00295007">
      <w:pPr>
        <w:ind w:firstLine="709"/>
        <w:rPr>
          <w:bCs/>
          <w:iCs/>
          <w:lang w:eastAsia="en-US"/>
        </w:rPr>
      </w:pPr>
      <w:r>
        <w:rPr>
          <w:bCs/>
          <w:iCs/>
          <w:lang w:eastAsia="en-US"/>
        </w:rPr>
        <w:t>Нет данных.</w:t>
      </w:r>
    </w:p>
    <w:p w14:paraId="384C878B" w14:textId="77777777" w:rsidR="00295007" w:rsidRDefault="00295007" w:rsidP="00295007">
      <w:pPr>
        <w:pStyle w:val="3"/>
        <w:spacing w:after="240"/>
        <w:rPr>
          <w:rFonts w:ascii="Times New Roman" w:hAnsi="Times New Roman"/>
          <w:color w:val="000000" w:themeColor="text1"/>
          <w:szCs w:val="24"/>
        </w:rPr>
      </w:pPr>
      <w:bookmarkStart w:id="121" w:name="_Toc117179209"/>
      <w:r>
        <w:rPr>
          <w:rFonts w:ascii="Times New Roman" w:hAnsi="Times New Roman"/>
          <w:color w:val="000000" w:themeColor="text1"/>
          <w:szCs w:val="24"/>
        </w:rPr>
        <w:t>3.3.6</w:t>
      </w:r>
      <w:r w:rsidRPr="005E6358">
        <w:rPr>
          <w:rFonts w:ascii="Times New Roman" w:hAnsi="Times New Roman"/>
          <w:color w:val="000000" w:themeColor="text1"/>
          <w:szCs w:val="24"/>
        </w:rPr>
        <w:t xml:space="preserve">. </w:t>
      </w:r>
      <w:r w:rsidRPr="00781AE0">
        <w:rPr>
          <w:rFonts w:ascii="Times New Roman" w:hAnsi="Times New Roman"/>
          <w:color w:val="000000" w:themeColor="text1"/>
          <w:szCs w:val="24"/>
        </w:rPr>
        <w:t>Местная переносимость</w:t>
      </w:r>
      <w:bookmarkEnd w:id="121"/>
    </w:p>
    <w:p w14:paraId="6AF8B519" w14:textId="24A54627" w:rsidR="00295007" w:rsidRDefault="00295007" w:rsidP="009435FB">
      <w:pPr>
        <w:ind w:firstLine="709"/>
      </w:pPr>
      <w:r>
        <w:t xml:space="preserve">С целью исследования местной переносимости </w:t>
      </w:r>
      <w:r>
        <w:rPr>
          <w:rFonts w:eastAsia="TimesNewRomanPSMT"/>
        </w:rPr>
        <w:t xml:space="preserve">этраверина </w:t>
      </w:r>
      <w:r>
        <w:t xml:space="preserve">и </w:t>
      </w:r>
      <w:r w:rsidR="00844145">
        <w:rPr>
          <w:rFonts w:eastAsia="TimesNewRomanPSMT"/>
        </w:rPr>
        <w:t xml:space="preserve">этраверина </w:t>
      </w:r>
      <w:r w:rsidR="00844145">
        <w:t>гидробромида</w:t>
      </w:r>
      <w:r>
        <w:t xml:space="preserve"> был проведен ряд тестов. Кожно-сенсибилизирующее и кожно-раздражающее действие оценивались при помощи </w:t>
      </w:r>
      <w:r w:rsidRPr="001B457A">
        <w:rPr>
          <w:i/>
          <w:iCs/>
        </w:rPr>
        <w:t>in vivo</w:t>
      </w:r>
      <w:r>
        <w:t xml:space="preserve"> тестов, в то время как раздражающее действие на слизистые оболочки глаза и фототоксичность оценивались с применением </w:t>
      </w:r>
      <w:r w:rsidRPr="001B457A">
        <w:rPr>
          <w:i/>
          <w:iCs/>
        </w:rPr>
        <w:t>in vitro</w:t>
      </w:r>
      <w:r>
        <w:t xml:space="preserve"> моделей </w:t>
      </w:r>
      <w:r>
        <w:fldChar w:fldCharType="begin"/>
      </w:r>
      <w:r>
        <w:instrText xml:space="preserve"> ADDIN ZOTERO_ITEM CSL_CITATION {"citationID":"hfSduYBJ","properties":{"formattedCitation":"(1,37,49)","plainCitation":"(1,37,49)","noteIndex":0},"citationItems":[{"id":2460,"uris":["http://zotero.org/users/5483459/items/AZ4GNHE7"],"itemData":{"id":2460,"type":"document","title":"Product Monograph INTELENCE® etravirine tablets 25 mg, 100 mg, 200 mg. Janssen Inc.  Date of Revision: May 17, 2017."},"label":"page"},{"id":2513,"uris":["http://zotero.org/users/5483459/items/IGNR669U"],"itemData":{"id":2513,"type":"document","title":"Drug Approval Package: Intelence (Etravirine) NDA #02218. Pharmacology Review(s) Drug Approval Package: Etravirine. NDA 22-187. Part II."},"label":"page"},{"id":2541,"uris":["http://zotero.org/users/5483459/items/HG644SK6"],"itemData":{"id":2541,"type":"document","title":"European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fldChar w:fldCharType="separate"/>
      </w:r>
      <w:r w:rsidR="00B50985" w:rsidRPr="00B50985">
        <w:t>[</w:t>
      </w:r>
      <w:r w:rsidRPr="008749F9">
        <w:t>1,</w:t>
      </w:r>
      <w:r w:rsidR="00844145" w:rsidRPr="008B0B82">
        <w:t xml:space="preserve"> </w:t>
      </w:r>
      <w:r w:rsidRPr="008749F9">
        <w:t>37,</w:t>
      </w:r>
      <w:r w:rsidR="00844145" w:rsidRPr="008B0B82">
        <w:t xml:space="preserve"> </w:t>
      </w:r>
      <w:r w:rsidRPr="008749F9">
        <w:t>49</w:t>
      </w:r>
      <w:r w:rsidR="00B50985" w:rsidRPr="00B50985">
        <w:t>]</w:t>
      </w:r>
      <w:r>
        <w:fldChar w:fldCharType="end"/>
      </w:r>
      <w:r>
        <w:t>.</w:t>
      </w:r>
    </w:p>
    <w:p w14:paraId="62488142" w14:textId="1D9F1B24" w:rsidR="00295007" w:rsidRDefault="00295007" w:rsidP="009435FB">
      <w:pPr>
        <w:ind w:firstLine="709"/>
      </w:pPr>
      <w:r>
        <w:t xml:space="preserve">При исследовании раздражающего действия на слизистые оболочки глаза применялся </w:t>
      </w:r>
      <w:r w:rsidRPr="001B457A">
        <w:rPr>
          <w:i/>
          <w:iCs/>
        </w:rPr>
        <w:t>in vitro</w:t>
      </w:r>
      <w:r>
        <w:t xml:space="preserve"> тест непрозрачности-проницаемости роговицы </w:t>
      </w:r>
      <w:bookmarkStart w:id="122" w:name="_Hlk111905042"/>
      <w:r>
        <w:t>крупного рогатого скота</w:t>
      </w:r>
      <w:bookmarkEnd w:id="122"/>
      <w:r>
        <w:t xml:space="preserve">. На изолированную роговицу </w:t>
      </w:r>
      <w:r w:rsidRPr="001B457A">
        <w:t>крупного рогатого скота</w:t>
      </w:r>
      <w:r>
        <w:t xml:space="preserve"> наносили исследуемое вещество в виде 20% суспензии в физиологическом растворе и затем, после четырёхчасового воздействия на эпителий роговицы, оценивали изменение ее непрозрачности и проницаемости. Так как этраверин вызывал незначительное изменение непрозрачности и не увеличивал проницаемость, был классифицирован как вещество, обладающее легкой степенью раздражающего действия на слизистые оболочки глаза. При этом </w:t>
      </w:r>
      <w:r>
        <w:rPr>
          <w:rFonts w:eastAsia="TimesNewRomanPSMT"/>
        </w:rPr>
        <w:t>этраверина</w:t>
      </w:r>
      <w:r>
        <w:t xml:space="preserve"> гидробромид вызывал очень сильное увеличение непрозрачности и незначительное увеличение проницаемости, поэтому был отнесен к веществам, обладающим высоким раздражающим действием на слизистые оболочки глаза </w:t>
      </w:r>
      <w:r>
        <w:fldChar w:fldCharType="begin"/>
      </w:r>
      <w:r>
        <w:instrText xml:space="preserve"> ADDIN ZOTERO_ITEM CSL_CITATION {"citationID":"izd5jfOh","properties":{"formattedCitation":"(37)","plainCitation":"(37)","noteIndex":0},"citationItems":[{"id":2513,"uris":["http://zotero.org/users/5483459/items/IGNR669U"],"itemData":{"id":2513,"type":"document","title":"Drug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1293A083" w14:textId="2726F355" w:rsidR="00295007" w:rsidRDefault="00295007" w:rsidP="009435FB">
      <w:pPr>
        <w:ind w:firstLine="709"/>
      </w:pPr>
      <w:r>
        <w:t xml:space="preserve">Исследование фототоксического эффекта проводилось при помощи стандартного </w:t>
      </w:r>
      <w:r w:rsidRPr="00DB5B78">
        <w:rPr>
          <w:i/>
          <w:iCs/>
        </w:rPr>
        <w:t>in vitro</w:t>
      </w:r>
      <w:r>
        <w:t xml:space="preserve"> теста с использованием фибробластов мышей линии </w:t>
      </w:r>
      <w:r w:rsidRPr="001B457A">
        <w:rPr>
          <w:i/>
          <w:iCs/>
        </w:rPr>
        <w:t>BALB/c</w:t>
      </w:r>
      <w:r>
        <w:t>, жизнеспособность клеток после воздействия исследуемого вещества определяли по поглощению красителя нейтрального красного, после предварительного воздействия ультрафиолетовых лучей спектра А</w:t>
      </w:r>
      <w:r w:rsidR="00D165BF" w:rsidRPr="00D165BF">
        <w:t xml:space="preserve"> (</w:t>
      </w:r>
      <w:r w:rsidR="00D165BF">
        <w:t>УФА)</w:t>
      </w:r>
      <w:r>
        <w:t xml:space="preserve"> и без такового. Влияние этраверин на клетки фибробластов было изучено в концентрациях от 0,002 до 6,42 мг/л (в натрий-фосфатном буферном растворе Дульбекко (DPBS) / ДМСО). Как в присутствии, так и в отсутствии УФА, снижения поглощения нейтрального красного не наблюдалось, поэтому был сделан вывод об отсутствии фототоксического эффекта </w:t>
      </w:r>
      <w:r>
        <w:rPr>
          <w:rFonts w:eastAsia="TimesNewRomanPSMT"/>
        </w:rPr>
        <w:t>этраверина</w:t>
      </w:r>
      <w:r>
        <w:t xml:space="preserve"> </w:t>
      </w:r>
      <w:r>
        <w:fldChar w:fldCharType="begin"/>
      </w:r>
      <w:r>
        <w:instrText xml:space="preserve"> ADDIN ZOTERO_ITEM CSL_CITATION {"citationID":"zDblX23Z","properties":{"formattedCitation":"(37)","plainCitation":"(37)","noteIndex":0},"citationItems":[{"id":2513,"uris":["http://zotero.org/users/5483459/items/IGNR669U"],"itemData":{"id":2513,"type":"document","title":"Drug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44818BC5" w14:textId="3900FD91" w:rsidR="00295007" w:rsidRDefault="00295007" w:rsidP="009435FB">
      <w:pPr>
        <w:ind w:firstLine="709"/>
      </w:pPr>
      <w:r>
        <w:t xml:space="preserve">Кожно-сенсибилизирующее действие </w:t>
      </w:r>
      <w:r w:rsidR="00844145">
        <w:rPr>
          <w:rFonts w:eastAsia="TimesNewRomanPSMT"/>
        </w:rPr>
        <w:t xml:space="preserve">этраверина </w:t>
      </w:r>
      <w:r w:rsidR="00844145">
        <w:t>оценивалось</w:t>
      </w:r>
      <w:r>
        <w:t xml:space="preserve"> методом изучения реакции регионарных лимфатических узлов на мышах. Клеточную пролиферацию измеряли по включению меченного радиоактивного метилтимидина в делящиеся клетки лимфатического узла. Результаты данного исследования позволили сделать вывод, что этраверин  не оказывает сенсибилизирующего действия на кожу, а также не способствует развитию гиперчувствительности замедленного типа </w:t>
      </w:r>
      <w:r>
        <w:fldChar w:fldCharType="begin"/>
      </w:r>
      <w:r>
        <w:instrText xml:space="preserve"> ADDIN ZOTERO_ITEM CSL_CITATION {"citationID":"Iax7P3f8","properties":{"formattedCitation":"(37)","plainCitation":"(37)","noteIndex":0},"citationItems":[{"id":2513,"uris":["http://zotero.org/users/5483459/items/IGNR669U"],"itemData":{"id":2513,"type":"document","title":"Drug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38DBD7AA" w14:textId="5F9E4E83" w:rsidR="00295007" w:rsidRDefault="00295007" w:rsidP="009435FB">
      <w:pPr>
        <w:ind w:firstLine="709"/>
      </w:pPr>
      <w:r>
        <w:t xml:space="preserve">В дополнительном исследовании способность </w:t>
      </w:r>
      <w:r>
        <w:rPr>
          <w:rFonts w:eastAsia="TimesNewRomanPSMT"/>
        </w:rPr>
        <w:t xml:space="preserve">этраверина </w:t>
      </w:r>
      <w:r>
        <w:t>вызывать гиперчувствительность замедленного типа у морских свинок оценивали с помо</w:t>
      </w:r>
      <w:r>
        <w:lastRenderedPageBreak/>
        <w:t xml:space="preserve">щью теста максимизации Магнуссона и Клигмана. По результатам данного теста этраверин  был отнесен к веществам, не оказывающим кожно-сенсибилизирующее действие </w:t>
      </w:r>
      <w:r>
        <w:fldChar w:fldCharType="begin"/>
      </w:r>
      <w:r>
        <w:instrText xml:space="preserve"> ADDIN ZOTERO_ITEM CSL_CITATION {"citationID":"ESuJIUXl","properties":{"formattedCitation":"(37)","plainCitation":"(37)","noteIndex":0},"citationItems":[{"id":2513,"uris":["http://zotero.org/users/5483459/items/IGNR669U"],"itemData":{"id":2513,"type":"document","title":"Drug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64ED5917" w14:textId="5785CAA4" w:rsidR="00295007" w:rsidRDefault="00295007" w:rsidP="009435FB">
      <w:pPr>
        <w:ind w:firstLine="709"/>
      </w:pPr>
      <w:r>
        <w:t xml:space="preserve">Кожно-раздражающее действие </w:t>
      </w:r>
      <w:r w:rsidR="00844145">
        <w:rPr>
          <w:rFonts w:eastAsia="TimesNewRomanPSMT"/>
        </w:rPr>
        <w:t xml:space="preserve">этраверина </w:t>
      </w:r>
      <w:r w:rsidR="00844145">
        <w:t>исследовали</w:t>
      </w:r>
      <w:r>
        <w:t xml:space="preserve"> на новозеландских белых кроликах. Каких-либо кожных реакций, в том числе покраснения кожи или изъязвляющего действия не наблюдалось, поэтому этраверин  был отнесен к веществам, не оказывающим кожно-раздражающего действия </w:t>
      </w:r>
      <w:r>
        <w:fldChar w:fldCharType="begin"/>
      </w:r>
      <w:r>
        <w:instrText xml:space="preserve"> ADDIN ZOTERO_ITEM CSL_CITATION {"citationID":"V8hZ9nU6","properties":{"formattedCitation":"(37)","plainCitation":"(37)","noteIndex":0},"citationItems":[{"id":2513,"uris":["http://zotero.org/users/5483459/items/IGNR669U"],"itemData":{"id":2513,"type":"document","title":"Drug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007FBA60" w14:textId="22FE7B0B" w:rsidR="00295007" w:rsidRDefault="00295007" w:rsidP="009435FB">
      <w:pPr>
        <w:ind w:firstLine="709"/>
      </w:pPr>
      <w:r>
        <w:t xml:space="preserve">Таким образом, в экспериментах </w:t>
      </w:r>
      <w:r>
        <w:rPr>
          <w:rFonts w:eastAsia="TimesNewRomanPSMT"/>
        </w:rPr>
        <w:t xml:space="preserve">этраверина </w:t>
      </w:r>
      <w:r>
        <w:t xml:space="preserve"> гидробромид обладал высоким раздражающим действием на слизистые оболочки глаза, а </w:t>
      </w:r>
      <w:r>
        <w:rPr>
          <w:rFonts w:eastAsia="TimesNewRomanPSMT"/>
        </w:rPr>
        <w:t xml:space="preserve">этраверин </w:t>
      </w:r>
      <w:r>
        <w:t xml:space="preserve"> оказывал легкое раздражающее действие на слизистые оболочки глаза и не проявлял кожно-сенсибилизирующего, кожно</w:t>
      </w:r>
      <w:r w:rsidR="000227F4">
        <w:t>-</w:t>
      </w:r>
      <w:r>
        <w:t xml:space="preserve"> раздражающего или фототоксического действия </w:t>
      </w:r>
      <w:r>
        <w:fldChar w:fldCharType="begin"/>
      </w:r>
      <w:r>
        <w:instrText xml:space="preserve"> ADDIN ZOTERO_ITEM CSL_CITATION {"citationID":"dAAsalkq","properties":{"formattedCitation":"(1,37,49)","plainCitation":"(1,37,49)","noteIndex":0},"citationItems":[{"id":2460,"uris":["http://zotero.org/users/5483459/items/AZ4GNHE7"],"itemData":{"id":2460,"type":"document","title":"Product Monograph INTELENCE® etravirine tablets 25 mg, 100 mg, 200 mg. Janssen Inc.  Date of Revision: May 17, 2017."},"label":"page"},{"id":2513,"uris":["http://zotero.org/users/5483459/items/IGNR669U"],"itemData":{"id":2513,"type":"document","title":"Drug Approval Package: Intelence (Etravirine) NDA #02218. Pharmacology Review(s) Drug Approval Package: Etravirine. NDA 22-187. Part II."},"label":"page"},{"id":2541,"uris":["http://zotero.org/users/5483459/items/HG644SK6"],"itemData":{"id":2541,"type":"document","title":"European Medicines Agency INTELENCE®Summary of Product Characteristic. 2008.Doc.Ref.: EMEA/CHMP/43952/2008"},"label":"page"}],"schema":"https://github.com/citation-style-language/schema/raw/master/csl-citation.json"} </w:instrText>
      </w:r>
      <w:r>
        <w:fldChar w:fldCharType="separate"/>
      </w:r>
      <w:r w:rsidR="00B50985" w:rsidRPr="00B50985">
        <w:t>[</w:t>
      </w:r>
      <w:r w:rsidRPr="008749F9">
        <w:t>1,</w:t>
      </w:r>
      <w:r w:rsidR="00844145" w:rsidRPr="008B0B82">
        <w:t xml:space="preserve"> </w:t>
      </w:r>
      <w:r w:rsidRPr="008749F9">
        <w:t>37,</w:t>
      </w:r>
      <w:r w:rsidR="00844145" w:rsidRPr="008B0B82">
        <w:t xml:space="preserve"> </w:t>
      </w:r>
      <w:r w:rsidRPr="008749F9">
        <w:t>49</w:t>
      </w:r>
      <w:r w:rsidR="00B50985" w:rsidRPr="00B50985">
        <w:t>]</w:t>
      </w:r>
      <w:r>
        <w:fldChar w:fldCharType="end"/>
      </w:r>
      <w:r>
        <w:t>.</w:t>
      </w:r>
    </w:p>
    <w:p w14:paraId="3F1DA162" w14:textId="7F018060" w:rsidR="00295007" w:rsidRDefault="00295007" w:rsidP="00295007">
      <w:pPr>
        <w:pStyle w:val="3"/>
        <w:spacing w:after="240"/>
        <w:rPr>
          <w:rFonts w:ascii="Times New Roman" w:hAnsi="Times New Roman"/>
          <w:color w:val="000000" w:themeColor="text1"/>
          <w:szCs w:val="24"/>
        </w:rPr>
      </w:pPr>
      <w:bookmarkStart w:id="123" w:name="_Toc117179210"/>
      <w:r>
        <w:rPr>
          <w:rFonts w:ascii="Times New Roman" w:hAnsi="Times New Roman"/>
          <w:color w:val="000000" w:themeColor="text1"/>
          <w:szCs w:val="24"/>
        </w:rPr>
        <w:t>3.3.7</w:t>
      </w:r>
      <w:r w:rsidRPr="005E6358">
        <w:rPr>
          <w:rFonts w:ascii="Times New Roman" w:hAnsi="Times New Roman"/>
          <w:color w:val="000000" w:themeColor="text1"/>
          <w:szCs w:val="24"/>
        </w:rPr>
        <w:t xml:space="preserve">. </w:t>
      </w:r>
      <w:r>
        <w:rPr>
          <w:rFonts w:ascii="Times New Roman" w:hAnsi="Times New Roman"/>
          <w:color w:val="000000" w:themeColor="text1"/>
          <w:szCs w:val="24"/>
        </w:rPr>
        <w:t>Токсикокинетика</w:t>
      </w:r>
      <w:bookmarkEnd w:id="123"/>
    </w:p>
    <w:p w14:paraId="6EC50265" w14:textId="3E92BA96" w:rsidR="00295007" w:rsidRDefault="00295007" w:rsidP="009435FB">
      <w:pPr>
        <w:ind w:firstLine="709"/>
      </w:pPr>
      <w:r>
        <w:rPr>
          <w:rFonts w:eastAsia="TimesNewRomanPSMT"/>
        </w:rPr>
        <w:t>При оценке токсикокинетических параметров у крыс выяснено, что этраверин</w:t>
      </w:r>
      <w:r>
        <w:t xml:space="preserve"> быстро всасывается у всех животных при различных уровнях дозы, при этом </w:t>
      </w:r>
      <w:bookmarkStart w:id="124" w:name="_Hlk112761261"/>
      <w:r>
        <w:t>T</w:t>
      </w:r>
      <w:r w:rsidRPr="00E4382A">
        <w:rPr>
          <w:vertAlign w:val="subscript"/>
        </w:rPr>
        <w:t>max</w:t>
      </w:r>
      <w:r>
        <w:t xml:space="preserve"> </w:t>
      </w:r>
      <w:r w:rsidR="0065091C">
        <w:t xml:space="preserve">(время достижения максимальной концентрации) </w:t>
      </w:r>
      <w:bookmarkEnd w:id="124"/>
      <w:r>
        <w:t xml:space="preserve">наступал через 0,5-2 часа после дозирования. После пика концентрация </w:t>
      </w:r>
      <w:r>
        <w:rPr>
          <w:rFonts w:eastAsia="TimesNewRomanPSMT"/>
        </w:rPr>
        <w:t>этраверина</w:t>
      </w:r>
      <w:r>
        <w:t xml:space="preserve"> в плазме быстро снижалась с расчетным периодом полувыведения от 2,1 до 5,8 ч. Значения C</w:t>
      </w:r>
      <w:r w:rsidRPr="003E2C2E">
        <w:rPr>
          <w:vertAlign w:val="subscript"/>
        </w:rPr>
        <w:t>max</w:t>
      </w:r>
      <w:r>
        <w:t xml:space="preserve"> составили 92,5, 150 и 25 нг/мл у крыс-самцов и 1, 26, 205 и 580 нг/мл у крыс-самок при дозах 70, 200 и 600 мг кг/день, соответственно. Общая экспозиция (AUC </w:t>
      </w:r>
      <w:r>
        <w:rPr>
          <w:vertAlign w:val="subscript"/>
        </w:rPr>
        <w:t>0</w:t>
      </w:r>
      <w:r w:rsidRPr="003E2C2E">
        <w:rPr>
          <w:vertAlign w:val="subscript"/>
        </w:rPr>
        <w:t>-24</w:t>
      </w:r>
      <w:r>
        <w:rPr>
          <w:vertAlign w:val="subscript"/>
        </w:rPr>
        <w:t>ч</w:t>
      </w:r>
      <w:r>
        <w:t xml:space="preserve">) составила 574, 845 и 1535 нг ч/мл у крыс-самцов и 586 (AUC </w:t>
      </w:r>
      <w:r>
        <w:rPr>
          <w:vertAlign w:val="subscript"/>
        </w:rPr>
        <w:t>0</w:t>
      </w:r>
      <w:r w:rsidRPr="003E2C2E">
        <w:rPr>
          <w:vertAlign w:val="subscript"/>
        </w:rPr>
        <w:t>-8</w:t>
      </w:r>
      <w:r>
        <w:rPr>
          <w:vertAlign w:val="subscript"/>
        </w:rPr>
        <w:t>ч</w:t>
      </w:r>
      <w:r>
        <w:t xml:space="preserve">), 1323 (AUC </w:t>
      </w:r>
      <w:r>
        <w:rPr>
          <w:vertAlign w:val="subscript"/>
        </w:rPr>
        <w:t>0</w:t>
      </w:r>
      <w:r w:rsidRPr="003E2C2E">
        <w:rPr>
          <w:vertAlign w:val="subscript"/>
        </w:rPr>
        <w:t>-24</w:t>
      </w:r>
      <w:r>
        <w:rPr>
          <w:vertAlign w:val="subscript"/>
        </w:rPr>
        <w:t>ч</w:t>
      </w:r>
      <w:r>
        <w:t xml:space="preserve">) и 5444 нг ч/мл (AUC </w:t>
      </w:r>
      <w:r>
        <w:rPr>
          <w:vertAlign w:val="subscript"/>
        </w:rPr>
        <w:t>0</w:t>
      </w:r>
      <w:r w:rsidRPr="003E2C2E">
        <w:rPr>
          <w:vertAlign w:val="subscript"/>
        </w:rPr>
        <w:t>-24h</w:t>
      </w:r>
      <w:r>
        <w:t>) у крыс-самок при дозе 70, 200 и 600 мг кг/день, соответственно. Как C</w:t>
      </w:r>
      <w:r w:rsidRPr="00AF1AFD">
        <w:rPr>
          <w:vertAlign w:val="subscript"/>
        </w:rPr>
        <w:t>max</w:t>
      </w:r>
      <w:r>
        <w:t>-, так и AUC-значения были ниже у крыс-самцов по сравнению с крысами-самками, особенно при дозе 600 мг кг/день. При дозах 70 и 200 мг кг/день значения C</w:t>
      </w:r>
      <w:r w:rsidRPr="003B6481">
        <w:rPr>
          <w:vertAlign w:val="subscript"/>
        </w:rPr>
        <w:t>max</w:t>
      </w:r>
      <w:r>
        <w:t xml:space="preserve">- и AUC- у самцов крыс составляли от 64 до 75% от значений самок. При дозе 600 мг кг/день они составляли только от 28% (AUC </w:t>
      </w:r>
      <w:r>
        <w:rPr>
          <w:vertAlign w:val="subscript"/>
        </w:rPr>
        <w:t>0</w:t>
      </w:r>
      <w:r w:rsidRPr="003E2C2E">
        <w:rPr>
          <w:vertAlign w:val="subscript"/>
        </w:rPr>
        <w:t>-24</w:t>
      </w:r>
      <w:r>
        <w:rPr>
          <w:vertAlign w:val="subscript"/>
        </w:rPr>
        <w:t>ч</w:t>
      </w:r>
      <w:r>
        <w:t>) до 43% (C</w:t>
      </w:r>
      <w:r w:rsidRPr="003B6481">
        <w:rPr>
          <w:vertAlign w:val="subscript"/>
        </w:rPr>
        <w:t>max</w:t>
      </w:r>
      <w:r>
        <w:t>) от значений самок. При увеличении дозы с 70 мг кг/сут до 200 мг кг/сут значения C</w:t>
      </w:r>
      <w:r w:rsidRPr="003B6481">
        <w:rPr>
          <w:vertAlign w:val="subscript"/>
        </w:rPr>
        <w:t>max</w:t>
      </w:r>
      <w:r>
        <w:t xml:space="preserve"> и AUC увеличивались не дозопропорционально у самцов и самок (увеличение в 5 раз). При увеличении дозы с 200 мг кг/день до 600 мг кг/день, C</w:t>
      </w:r>
      <w:r w:rsidRPr="00421929">
        <w:rPr>
          <w:vertAlign w:val="subscript"/>
        </w:rPr>
        <w:t>max</w:t>
      </w:r>
      <w:r>
        <w:t>- и AUC-значения увеличились не дозопропорционально у самцов крыс, т.е. приблизительно в 1.7 раза. У крыс-самок значения C</w:t>
      </w:r>
      <w:r w:rsidRPr="003B6481">
        <w:rPr>
          <w:vertAlign w:val="subscript"/>
        </w:rPr>
        <w:t>max</w:t>
      </w:r>
      <w:r>
        <w:t xml:space="preserve"> увеличились почти пропорционально дозе (2,8-кратное увеличение), а значения AUC</w:t>
      </w:r>
      <w:r>
        <w:rPr>
          <w:vertAlign w:val="subscript"/>
        </w:rPr>
        <w:t>0</w:t>
      </w:r>
      <w:r w:rsidRPr="003E2C2E">
        <w:rPr>
          <w:vertAlign w:val="subscript"/>
        </w:rPr>
        <w:t>-24</w:t>
      </w:r>
      <w:r>
        <w:rPr>
          <w:vertAlign w:val="subscript"/>
        </w:rPr>
        <w:t>ч</w:t>
      </w:r>
      <w:r>
        <w:t xml:space="preserve">  увеличилось немного больше, чем пропорционально дозе (4,1-кратное увеличение) </w:t>
      </w:r>
      <w:r>
        <w:fldChar w:fldCharType="begin"/>
      </w:r>
      <w:r>
        <w:instrText xml:space="preserve"> ADDIN ZOTERO_ITEM CSL_CITATION {"citationID":"0duJvLhB","properties":{"formattedCitation":"(24,30)","plainCitation":"(24,30)","noteIndex":0},"citationItems":[{"id":2559,"uris":["http://zotero.org/users/5483459/items/U7QDK554"],"itemData":{"id":2559,"type":"document","title":"Drug Approval Package: Intelence (Etravirine) NDA #02218. Pharmacology Review(s) Drug Approval Package: Etravirine. NDA 22-187. Part I."},"label":"page"},{"id":2560,"uris":["http://zotero.org/users/5483459/items/55ZEJIY5"],"itemData":{"id":2560,"type":"document","title":"Drug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24,</w:t>
      </w:r>
      <w:r w:rsidR="00844145" w:rsidRPr="008B0B82">
        <w:t xml:space="preserve"> </w:t>
      </w:r>
      <w:r w:rsidRPr="008749F9">
        <w:t>30</w:t>
      </w:r>
      <w:r w:rsidR="00B50985" w:rsidRPr="00B50985">
        <w:t>]</w:t>
      </w:r>
      <w:r>
        <w:fldChar w:fldCharType="end"/>
      </w:r>
      <w:r>
        <w:t>.</w:t>
      </w:r>
    </w:p>
    <w:p w14:paraId="15717880" w14:textId="5C3E52FF" w:rsidR="000227F4" w:rsidRDefault="000227F4" w:rsidP="009435FB">
      <w:pPr>
        <w:ind w:firstLine="709"/>
      </w:pPr>
      <w:r>
        <w:t xml:space="preserve">При проведении токсико-кинетических исследований у мышей было выяснено, что </w:t>
      </w:r>
      <w:r w:rsidRPr="00527306">
        <w:t>в 3-месячном исследовании при пероральном введении через желудочный зонд (NOAEL) составила 10 мг/кг при AUC от 1,1 до 1,4 мкг·ч/мл</w:t>
      </w:r>
      <w:r>
        <w:t>.</w:t>
      </w:r>
      <w:r w:rsidRPr="00527306">
        <w:t xml:space="preserve"> </w:t>
      </w:r>
      <w:r>
        <w:t>В</w:t>
      </w:r>
      <w:r w:rsidRPr="00527306">
        <w:t xml:space="preserve"> 1-месячном исследовании на трансгенных мышах NOAEL составила 50 мг/кг при AUC 1,2 мкг·ч/мл</w:t>
      </w:r>
      <w:r>
        <w:t xml:space="preserve"> </w:t>
      </w:r>
      <w:r>
        <w:fldChar w:fldCharType="begin"/>
      </w:r>
      <w:r>
        <w:instrText xml:space="preserve"> ADDIN ZOTERO_ITEM CSL_CITATION {"citationID":"0duJvLhB","properties":{"formattedCitation":"(24,30)","plainCitation":"(24,30)","noteIndex":0},"citationItems":[{"id":2559,"uris":["http://zotero.org/users/5483459/items/U7QDK554"],"itemData":{"id":2559,"type":"document","title":"Drug Approval Package: Intelence (Etravirine) NDA #02218. Pharmacology Review(s) Drug Approval Package: Etravirine. NDA 22-187. Part I."},"label":"page"},{"id":2560,"uris":["http://zotero.org/users/5483459/items/55ZEJIY5"],"itemData":{"id":2560,"type":"document","title":"Drug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24,</w:t>
      </w:r>
      <w:r w:rsidR="00844145" w:rsidRPr="008B0B82">
        <w:t xml:space="preserve"> </w:t>
      </w:r>
      <w:r w:rsidRPr="008749F9">
        <w:t>30</w:t>
      </w:r>
      <w:r w:rsidR="00B50985" w:rsidRPr="00B50985">
        <w:t>]</w:t>
      </w:r>
      <w:r>
        <w:fldChar w:fldCharType="end"/>
      </w:r>
      <w:r>
        <w:t>.</w:t>
      </w:r>
    </w:p>
    <w:p w14:paraId="3D287F5F" w14:textId="46D0E623" w:rsidR="000227F4" w:rsidRPr="000E2517" w:rsidRDefault="000227F4" w:rsidP="009435FB">
      <w:pPr>
        <w:ind w:firstLine="709"/>
      </w:pPr>
      <w:r>
        <w:t>В</w:t>
      </w:r>
      <w:r w:rsidRPr="00527306">
        <w:t xml:space="preserve"> 3-месячном исследование при пероральном введении крысам через желудочный зонд NOAEL составила 70 мг/кг при AUC от 0,8 до 1,1 мкг·ч/мл; в 6-месячном исследовании при пероральном введении крысам через желудочный зонд NOAEL составила 200 мг/кг при AUC 1,6 мкг·ч/мл</w:t>
      </w:r>
      <w:r>
        <w:t xml:space="preserve"> </w:t>
      </w:r>
      <w:r>
        <w:fldChar w:fldCharType="begin"/>
      </w:r>
      <w:r>
        <w:instrText xml:space="preserve"> ADDIN ZOTERO_ITEM CSL_CITATION {"citationID":"0duJvLhB","properties":{"formattedCitation":"(24,30)","plainCitation":"(24,30)","noteIndex":0},"citationItems":[{"id":2559,"uris":["http://zotero.org/users/5483459/items/U7QDK554"],"itemData":{"id":2559,"type":"document","title":"Drug Approval Package: Intelence (Etravirine) NDA #02218. Pharmacology Review(s) Drug Approval Package: Etravirine. NDA 22-187. Part I."},"label":"page"},{"id":2560,"uris":["http://zotero.org/users/5483459/items/55ZEJIY5"],"itemData":{"id":2560,"type":"document","title":"Drug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24,</w:t>
      </w:r>
      <w:r w:rsidR="00844145" w:rsidRPr="008B0B82">
        <w:t xml:space="preserve"> </w:t>
      </w:r>
      <w:r w:rsidRPr="008749F9">
        <w:t>30</w:t>
      </w:r>
      <w:r w:rsidR="00B50985" w:rsidRPr="00B50985">
        <w:t>]</w:t>
      </w:r>
      <w:r>
        <w:fldChar w:fldCharType="end"/>
      </w:r>
      <w:r>
        <w:t>.</w:t>
      </w:r>
    </w:p>
    <w:p w14:paraId="1A6C8FFE" w14:textId="7C0FA084" w:rsidR="00641163" w:rsidRDefault="000E2517" w:rsidP="009435FB">
      <w:pPr>
        <w:ind w:firstLine="709"/>
      </w:pPr>
      <w:r w:rsidRPr="00527306">
        <w:t>В 1-месячном исследовании на собаках NOAEL составила 160 мг/кг при AUC 54 мкг·ч/мл</w:t>
      </w:r>
      <w:r>
        <w:t>.</w:t>
      </w:r>
      <w:r w:rsidRPr="00527306">
        <w:t xml:space="preserve"> </w:t>
      </w:r>
      <w:r>
        <w:t>В</w:t>
      </w:r>
      <w:r w:rsidRPr="00527306">
        <w:t xml:space="preserve"> 6-месячном </w:t>
      </w:r>
      <w:r>
        <w:t xml:space="preserve">исследовании </w:t>
      </w:r>
      <w:r w:rsidRPr="00527306">
        <w:t xml:space="preserve">NOAEL составила 160 мг/кг при </w:t>
      </w:r>
      <w:r w:rsidRPr="00527306">
        <w:lastRenderedPageBreak/>
        <w:t xml:space="preserve">AUC 50 мкг·ч/мл. Токсичность для печени у собак проявлялась при гораздо более высоких дозах этравирина по сравнению с мышами и крысами. </w:t>
      </w:r>
      <w:r>
        <w:t>Таким образом, при проведении токсико -кинетических исследований было выяснено, что при пероральном введении этравирина в широком диапазоне доз у мышей, крыс, собак отмечались явления гепатотоксичности</w:t>
      </w:r>
      <w:r w:rsidR="00641163">
        <w:t xml:space="preserve"> </w:t>
      </w:r>
      <w:r w:rsidR="00641163">
        <w:fldChar w:fldCharType="begin"/>
      </w:r>
      <w:r w:rsidR="00641163">
        <w:instrText xml:space="preserve"> ADDIN ZOTERO_ITEM CSL_CITATION {"citationID":"0duJvLhB","properties":{"formattedCitation":"(24,30)","plainCitation":"(24,30)","noteIndex":0},"citationItems":[{"id":2559,"uris":["http://zotero.org/users/5483459/items/U7QDK554"],"itemData":{"id":2559,"type":"document","title":"Drug Approval Package: Intelence (Etravirine) NDA #02218. Pharmacology Review(s) Drug Approval Package: Etravirine. NDA 22-187. Part I."},"label":"page"},{"id":2560,"uris":["http://zotero.org/users/5483459/items/55ZEJIY5"],"itemData":{"id":2560,"type":"document","title":"Drug Approval Package: Intelence (Etravirine) NDA #02218. Pharmacology Review(s) Drug Approval Package: Etravirine. NDA 22-187. Part II."},"label":"page"}],"schema":"https://github.com/citation-style-language/schema/raw/master/csl-citation.json"} </w:instrText>
      </w:r>
      <w:r w:rsidR="00641163">
        <w:fldChar w:fldCharType="separate"/>
      </w:r>
      <w:r w:rsidR="00B50985" w:rsidRPr="00B50985">
        <w:t>[</w:t>
      </w:r>
      <w:r w:rsidR="00641163" w:rsidRPr="008749F9">
        <w:t>24,</w:t>
      </w:r>
      <w:r w:rsidR="00844145" w:rsidRPr="008B0B82">
        <w:t xml:space="preserve"> </w:t>
      </w:r>
      <w:r w:rsidR="00641163" w:rsidRPr="008749F9">
        <w:t>30</w:t>
      </w:r>
      <w:r w:rsidR="00B50985" w:rsidRPr="00B50985">
        <w:t>]</w:t>
      </w:r>
      <w:r w:rsidR="00641163">
        <w:fldChar w:fldCharType="end"/>
      </w:r>
      <w:r w:rsidR="00641163">
        <w:t>.</w:t>
      </w:r>
    </w:p>
    <w:p w14:paraId="16F9C12C" w14:textId="77777777" w:rsidR="00295007" w:rsidRPr="005E6358" w:rsidRDefault="00295007" w:rsidP="00295007">
      <w:pPr>
        <w:pStyle w:val="3"/>
        <w:spacing w:after="240"/>
        <w:rPr>
          <w:rFonts w:ascii="Times New Roman" w:hAnsi="Times New Roman"/>
          <w:color w:val="000000" w:themeColor="text1"/>
          <w:szCs w:val="24"/>
        </w:rPr>
      </w:pPr>
      <w:bookmarkStart w:id="125" w:name="_Toc117179211"/>
      <w:r w:rsidRPr="00C0012D">
        <w:rPr>
          <w:rFonts w:ascii="Times New Roman" w:hAnsi="Times New Roman"/>
          <w:color w:val="000000" w:themeColor="text1"/>
          <w:szCs w:val="24"/>
        </w:rPr>
        <w:t xml:space="preserve">3.3.8. </w:t>
      </w:r>
      <w:r w:rsidRPr="00781AE0">
        <w:rPr>
          <w:rFonts w:ascii="Times New Roman" w:hAnsi="Times New Roman"/>
          <w:color w:val="000000" w:themeColor="text1"/>
          <w:szCs w:val="24"/>
        </w:rPr>
        <w:t>Прочие исследования</w:t>
      </w:r>
      <w:bookmarkEnd w:id="125"/>
    </w:p>
    <w:p w14:paraId="06747ECB" w14:textId="77777777" w:rsidR="00295007" w:rsidRDefault="00295007" w:rsidP="00295007">
      <w:pPr>
        <w:pStyle w:val="4"/>
        <w:spacing w:after="240"/>
        <w:rPr>
          <w:rFonts w:ascii="Times New Roman" w:hAnsi="Times New Roman"/>
          <w:color w:val="000000" w:themeColor="text1"/>
          <w:sz w:val="24"/>
          <w:szCs w:val="24"/>
        </w:rPr>
      </w:pPr>
      <w:bookmarkStart w:id="126" w:name="_Toc117179212"/>
      <w:r>
        <w:rPr>
          <w:rFonts w:ascii="Times New Roman" w:hAnsi="Times New Roman"/>
          <w:color w:val="000000" w:themeColor="text1"/>
          <w:sz w:val="24"/>
          <w:szCs w:val="24"/>
        </w:rPr>
        <w:t>3.3.8</w:t>
      </w:r>
      <w:r w:rsidRPr="002E7351">
        <w:rPr>
          <w:rFonts w:ascii="Times New Roman" w:hAnsi="Times New Roman"/>
          <w:color w:val="000000" w:themeColor="text1"/>
          <w:sz w:val="24"/>
          <w:szCs w:val="24"/>
        </w:rPr>
        <w:t>.</w:t>
      </w:r>
      <w:r>
        <w:rPr>
          <w:rFonts w:ascii="Times New Roman" w:hAnsi="Times New Roman"/>
          <w:color w:val="000000" w:themeColor="text1"/>
          <w:sz w:val="24"/>
          <w:szCs w:val="24"/>
        </w:rPr>
        <w:t xml:space="preserve">1. </w:t>
      </w:r>
      <w:r w:rsidRPr="002E7351">
        <w:rPr>
          <w:rFonts w:ascii="Times New Roman" w:hAnsi="Times New Roman"/>
          <w:color w:val="000000" w:themeColor="text1"/>
          <w:sz w:val="24"/>
          <w:szCs w:val="24"/>
        </w:rPr>
        <w:t>Фототоксичность</w:t>
      </w:r>
      <w:bookmarkEnd w:id="126"/>
    </w:p>
    <w:p w14:paraId="3E30E200" w14:textId="1BE65401" w:rsidR="00295007" w:rsidRDefault="00295007" w:rsidP="009435FB">
      <w:pPr>
        <w:ind w:firstLine="709"/>
      </w:pPr>
      <w:r w:rsidRPr="009F146D">
        <w:t xml:space="preserve">Исследование фототоксического эффекта проводилось при помощи стандартного </w:t>
      </w:r>
      <w:r w:rsidRPr="009F146D">
        <w:rPr>
          <w:i/>
          <w:iCs/>
        </w:rPr>
        <w:t>in vitro</w:t>
      </w:r>
      <w:r w:rsidRPr="009F146D">
        <w:t xml:space="preserve"> теста с использованием фибробластов мышей линии </w:t>
      </w:r>
      <w:r w:rsidRPr="000E2263">
        <w:rPr>
          <w:i/>
          <w:iCs/>
        </w:rPr>
        <w:t>BALB/c</w:t>
      </w:r>
      <w:r w:rsidRPr="009F146D">
        <w:t xml:space="preserve">, жизнеспособность клеток после воздействия исследуемого вещества определяли по поглощению красителя нейтрального красного, после предварительного воздействия УФА и без такового. Влияние </w:t>
      </w:r>
      <w:r w:rsidR="00844145">
        <w:rPr>
          <w:rFonts w:eastAsia="TimesNewRomanPSMT"/>
        </w:rPr>
        <w:t xml:space="preserve">этраверина </w:t>
      </w:r>
      <w:r w:rsidR="00844145">
        <w:t>на</w:t>
      </w:r>
      <w:r w:rsidRPr="009F146D">
        <w:t xml:space="preserve"> клетки фибробластов было изучено в концентрациях от 0,002 до 6,42 мг/л (в натрий-фосфатном буферном растворе DPBS) / ДМСО. Как в присутствии, так и в отсутствии УФА, снижения поглощения нейтрального красного не наблюдалось, поэтому был сделан вывод об отсутствии фототоксического эффекта </w:t>
      </w:r>
      <w:r>
        <w:rPr>
          <w:rFonts w:eastAsia="TimesNewRomanPSMT"/>
        </w:rPr>
        <w:t xml:space="preserve">этраверина </w:t>
      </w:r>
      <w:r>
        <w:rPr>
          <w:rFonts w:eastAsia="TimesNewRomanPSMT"/>
        </w:rPr>
        <w:fldChar w:fldCharType="begin"/>
      </w:r>
      <w:r>
        <w:rPr>
          <w:rFonts w:eastAsia="TimesNewRomanPSMT"/>
        </w:rPr>
        <w:instrText xml:space="preserve"> ADDIN ZOTERO_ITEM CSL_CITATION {"citationID":"SG1zMJVl","properties":{"formattedCitation":"(30)","plainCitation":"(30)","noteIndex":0},"citationItems":[{"id":2560,"uris":["http://zotero.org/users/5483459/items/55ZEJIY5"],"itemData":{"id":2560,"type":"document","title":"Drug Approval Package: Intelence (Etravirine) NDA #02218. Pharmacology Review(s) Drug Approval Package: Etravirine. NDA 22-187. Part II."}}],"schema":"https://github.com/citation-style-language/schema/raw/master/csl-citation.json"} </w:instrText>
      </w:r>
      <w:r>
        <w:rPr>
          <w:rFonts w:eastAsia="TimesNewRomanPSMT"/>
        </w:rPr>
        <w:fldChar w:fldCharType="separate"/>
      </w:r>
      <w:r w:rsidR="00B50985" w:rsidRPr="00B50985">
        <w:t>[</w:t>
      </w:r>
      <w:r w:rsidRPr="008749F9">
        <w:t>30</w:t>
      </w:r>
      <w:r w:rsidR="00B50985" w:rsidRPr="00B50985">
        <w:t>]</w:t>
      </w:r>
      <w:r>
        <w:rPr>
          <w:rFonts w:eastAsia="TimesNewRomanPSMT"/>
        </w:rPr>
        <w:fldChar w:fldCharType="end"/>
      </w:r>
      <w:r>
        <w:rPr>
          <w:rFonts w:eastAsia="TimesNewRomanPSMT"/>
        </w:rPr>
        <w:t>.</w:t>
      </w:r>
    </w:p>
    <w:p w14:paraId="745AF2F0" w14:textId="77777777" w:rsidR="00295007" w:rsidRDefault="00295007" w:rsidP="00295007">
      <w:pPr>
        <w:pStyle w:val="4"/>
        <w:spacing w:after="240"/>
        <w:rPr>
          <w:rFonts w:ascii="Times New Roman" w:hAnsi="Times New Roman"/>
          <w:color w:val="000000" w:themeColor="text1"/>
          <w:sz w:val="24"/>
          <w:szCs w:val="24"/>
        </w:rPr>
      </w:pPr>
      <w:bookmarkStart w:id="127" w:name="_Toc117179213"/>
      <w:r w:rsidRPr="002E7351">
        <w:rPr>
          <w:rFonts w:ascii="Times New Roman" w:hAnsi="Times New Roman"/>
          <w:color w:val="000000" w:themeColor="text1"/>
          <w:sz w:val="24"/>
          <w:szCs w:val="24"/>
        </w:rPr>
        <w:t>3</w:t>
      </w:r>
      <w:r>
        <w:rPr>
          <w:rFonts w:ascii="Times New Roman" w:hAnsi="Times New Roman"/>
          <w:color w:val="000000" w:themeColor="text1"/>
          <w:sz w:val="24"/>
          <w:szCs w:val="24"/>
        </w:rPr>
        <w:t>.3.8.2</w:t>
      </w:r>
      <w:r w:rsidRPr="002E7351">
        <w:rPr>
          <w:rFonts w:ascii="Times New Roman" w:hAnsi="Times New Roman"/>
          <w:color w:val="000000" w:themeColor="text1"/>
          <w:sz w:val="24"/>
          <w:szCs w:val="24"/>
        </w:rPr>
        <w:t>. Иммунотоксичность</w:t>
      </w:r>
      <w:bookmarkEnd w:id="127"/>
    </w:p>
    <w:p w14:paraId="4C5FC525" w14:textId="01E49B92" w:rsidR="00295007" w:rsidRDefault="00295007">
      <w:pPr>
        <w:ind w:firstLine="709"/>
      </w:pPr>
      <w:r>
        <w:t xml:space="preserve">Иммунотоксичность </w:t>
      </w:r>
      <w:r>
        <w:rPr>
          <w:rFonts w:eastAsia="TimesNewRomanPSMT"/>
        </w:rPr>
        <w:t xml:space="preserve">этраверина </w:t>
      </w:r>
      <w:r>
        <w:t xml:space="preserve">была исследована на крысах линии </w:t>
      </w:r>
      <w:r w:rsidRPr="00133217">
        <w:rPr>
          <w:i/>
          <w:iCs/>
        </w:rPr>
        <w:t>Sprague-Dawley</w:t>
      </w:r>
      <w:r>
        <w:t xml:space="preserve">, которым в течение четырех недель вводили препарат перорально с помощью желудочного зонда. Животные были разделены на 3 группы, в зависимости от получаемой дозы </w:t>
      </w:r>
      <w:r>
        <w:rPr>
          <w:rFonts w:eastAsia="TimesNewRomanPSMT"/>
        </w:rPr>
        <w:t>этраверина</w:t>
      </w:r>
      <w:r>
        <w:t xml:space="preserve">: 70, 200 и 600 мг/кг/сутки, в ПЭГ400. Каждая из групп, так же, как и контрольная группа, состояла из 8 самцов и 8 самок. Животным контрольной группы </w:t>
      </w:r>
      <w:r w:rsidR="0039394A">
        <w:rPr>
          <w:rFonts w:eastAsia="TimesNewRomanPSMT"/>
        </w:rPr>
        <w:t xml:space="preserve">этраверин </w:t>
      </w:r>
      <w:r>
        <w:t xml:space="preserve">вводили перорально с помощью желудочного зонда ПЭГ400. Кроме того, группы животных, получавших этраверин, включали 6 сателлитных животных каждого пола, используемых для фармакокинетической оценки уровней исследуемого вещества в плазме крови. Забор крови производился на 26 день, через 0,5, 1, 2, 4, 8 и 24 часа после введения </w:t>
      </w:r>
      <w:r>
        <w:rPr>
          <w:rFonts w:eastAsia="TimesNewRomanPSMT"/>
        </w:rPr>
        <w:t>этраверина</w:t>
      </w:r>
      <w:r>
        <w:t xml:space="preserve">. В ходе исследования у экспериментальных животных не было зафиксировано летальных исходов. В некоторых случаях почти у всех животных наблюдалось усиленное слюноотделение. У нескольких животных из группы, получавшей дозу </w:t>
      </w:r>
      <w:r>
        <w:rPr>
          <w:rFonts w:eastAsia="TimesNewRomanPSMT"/>
        </w:rPr>
        <w:t xml:space="preserve">этраверина </w:t>
      </w:r>
      <w:r>
        <w:t xml:space="preserve">600 мг/кг/сутки, временно наблюдались диафрагмальное или шумное дыхание, хроморинорея и / или одышка. Гематологические характеристики контрольных животных и животных, получавших этраверин, не отличались. Также </w:t>
      </w:r>
      <w:r w:rsidR="00844145">
        <w:t>этраверин не</w:t>
      </w:r>
      <w:r>
        <w:t xml:space="preserve"> влиял на иммунный ответ, что оценивалось по </w:t>
      </w:r>
      <w:bookmarkStart w:id="128" w:name="_Hlk112761607"/>
      <w:r>
        <w:t xml:space="preserve">продукции иммуноглобулинов M (IgM), </w:t>
      </w:r>
      <w:bookmarkEnd w:id="128"/>
      <w:r>
        <w:t xml:space="preserve">с помощью иммуноферментного анализа (ИФА). Под влиянием </w:t>
      </w:r>
      <w:r>
        <w:rPr>
          <w:rFonts w:eastAsia="TimesNewRomanPSMT"/>
        </w:rPr>
        <w:t xml:space="preserve">этраверина </w:t>
      </w:r>
      <w:r>
        <w:t xml:space="preserve">не изменялся вес лимфоидных органов, не возникало патологических макро- и микроскопических изменений в строении лимфатических узлов, селезенки, тимуса и пейеровых бляшках подвздошной кишки. Гистопатологические исследования грудинной и бедренной кости не выявили каких-либо значимых изменений клеточности костного мозга у животных, получавших этраверин  </w:t>
      </w:r>
      <w:r>
        <w:fldChar w:fldCharType="begin"/>
      </w:r>
      <w:r>
        <w:instrText xml:space="preserve"> ADDIN ZOTERO_ITEM CSL_CITATION {"citationID":"YBDeMFIo","properties":{"formattedCitation":"(37)","plainCitation":"(37)","noteIndex":0},"citationItems":[{"id":2513,"uris":["http://zotero.org/users/5483459/items/IGNR669U"],"itemData":{"id":2513,"type":"document","title":"Drug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r w:rsidR="00257196">
        <w:t xml:space="preserve"> </w:t>
      </w:r>
      <w:r>
        <w:lastRenderedPageBreak/>
        <w:t xml:space="preserve">Таким образом, этраверин не проявлял иммунотоксических свойств, о чем свидетельствовали результаты иммунологических, гематологических исследований и исследований основных лимфоидных органов </w:t>
      </w:r>
      <w:r>
        <w:fldChar w:fldCharType="begin"/>
      </w:r>
      <w:r>
        <w:instrText xml:space="preserve"> ADDIN ZOTERO_ITEM CSL_CITATION {"citationID":"eX1wZuEG","properties":{"formattedCitation":"(1,37)","plainCitation":"(1,37)","noteIndex":0},"citationItems":[{"id":2460,"uris":["http://zotero.org/users/5483459/items/AZ4GNHE7"],"itemData":{"id":2460,"type":"document","title":"Product Monograph INTELENCE® etravirine tablets 25 mg, 100 mg, 200 mg. Janssen Inc.  Date of Revision: May 17, 2017."},"label":"page"},{"id":2513,"uris":["http://zotero.org/users/5483459/items/IGNR669U"],"itemData":{"id":2513,"type":"document","title":"Drug Approval Package: Intelence (Etravirine) NDA #02218. Pharmacology Review(s) Drug Approval Package: Etravirine. NDA 22-187. Part II."},"label":"page"}],"schema":"https://github.com/citation-style-language/schema/raw/master/csl-citation.json"} </w:instrText>
      </w:r>
      <w:r>
        <w:fldChar w:fldCharType="separate"/>
      </w:r>
      <w:r w:rsidR="00B50985" w:rsidRPr="00B50985">
        <w:t>[</w:t>
      </w:r>
      <w:r w:rsidRPr="008749F9">
        <w:t>1,</w:t>
      </w:r>
      <w:r w:rsidR="00844145" w:rsidRPr="008B0B82">
        <w:t xml:space="preserve"> </w:t>
      </w:r>
      <w:r w:rsidRPr="008749F9">
        <w:t>37</w:t>
      </w:r>
      <w:r w:rsidR="00B50985" w:rsidRPr="00B50985">
        <w:t>]</w:t>
      </w:r>
      <w:r>
        <w:fldChar w:fldCharType="end"/>
      </w:r>
      <w:r>
        <w:t>.</w:t>
      </w:r>
    </w:p>
    <w:p w14:paraId="111AF41C" w14:textId="77777777" w:rsidR="00295007" w:rsidRDefault="00295007" w:rsidP="00295007">
      <w:pPr>
        <w:pStyle w:val="4"/>
        <w:spacing w:after="240"/>
        <w:rPr>
          <w:rFonts w:ascii="Times New Roman" w:hAnsi="Times New Roman"/>
          <w:color w:val="000000" w:themeColor="text1"/>
          <w:sz w:val="24"/>
          <w:szCs w:val="24"/>
        </w:rPr>
      </w:pPr>
      <w:bookmarkStart w:id="129" w:name="_Toc117179214"/>
      <w:r w:rsidRPr="002E7351">
        <w:rPr>
          <w:rFonts w:ascii="Times New Roman" w:hAnsi="Times New Roman"/>
          <w:color w:val="000000" w:themeColor="text1"/>
          <w:sz w:val="24"/>
          <w:szCs w:val="24"/>
        </w:rPr>
        <w:t>3</w:t>
      </w:r>
      <w:r>
        <w:rPr>
          <w:rFonts w:ascii="Times New Roman" w:hAnsi="Times New Roman"/>
          <w:color w:val="000000" w:themeColor="text1"/>
          <w:sz w:val="24"/>
          <w:szCs w:val="24"/>
        </w:rPr>
        <w:t>.3.8.3</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Токсичность метаболитов</w:t>
      </w:r>
      <w:bookmarkEnd w:id="129"/>
    </w:p>
    <w:p w14:paraId="52139D94" w14:textId="1B9C99B1" w:rsidR="00295007" w:rsidRDefault="00295007" w:rsidP="00295007">
      <w:pPr>
        <w:ind w:firstLine="709"/>
      </w:pPr>
      <w:r w:rsidRPr="009A7F0C">
        <w:t xml:space="preserve">В результате исследования роли метаболитов </w:t>
      </w:r>
      <w:r>
        <w:rPr>
          <w:rFonts w:eastAsia="TimesNewRomanPSMT"/>
        </w:rPr>
        <w:t xml:space="preserve">этраверина </w:t>
      </w:r>
      <w:r w:rsidRPr="009A7F0C">
        <w:t xml:space="preserve">в проявлении его токсикологических свойств было показано, что вклад метаболитов в общий профиль токсичности </w:t>
      </w:r>
      <w:r>
        <w:rPr>
          <w:rFonts w:eastAsia="TimesNewRomanPSMT"/>
        </w:rPr>
        <w:t xml:space="preserve">этраверина </w:t>
      </w:r>
      <w:r w:rsidRPr="009A7F0C">
        <w:t xml:space="preserve">сравнительно невелик и эквивалентен у животных разных видов </w:t>
      </w:r>
      <w:r w:rsidR="00844145">
        <w:fldChar w:fldCharType="begin"/>
      </w:r>
      <w:r w:rsidR="00844145">
        <w:instrText xml:space="preserve"> ADDIN ZOTERO_ITEM CSL_CITATION {"citationID":"WCjM8Gq0","properties":{"formattedCitation":"(37)","plainCitation":"(37)","noteIndex":0},"citationItems":[{"id":2513,"uris":["http://zotero.org/users/5483459/items/IGNR669U"],"itemData":{"id":2513,"type":"document","title":"Drug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rsidR="00844145">
        <w:fldChar w:fldCharType="separate"/>
      </w:r>
      <w:r w:rsidR="00844145" w:rsidRPr="00B50985">
        <w:t>[</w:t>
      </w:r>
      <w:r w:rsidR="00844145" w:rsidRPr="008749F9">
        <w:t>37</w:t>
      </w:r>
      <w:r w:rsidR="00844145" w:rsidRPr="00B50985">
        <w:t>]</w:t>
      </w:r>
      <w:r w:rsidR="00844145">
        <w:fldChar w:fldCharType="end"/>
      </w:r>
      <w:r w:rsidR="00844145">
        <w:t>.</w:t>
      </w:r>
      <w:r w:rsidR="00844145" w:rsidRPr="008B0B82">
        <w:t xml:space="preserve"> </w:t>
      </w:r>
      <w:r w:rsidRPr="009A7F0C">
        <w:t xml:space="preserve">У мышей, крыс и собак </w:t>
      </w:r>
      <w:r>
        <w:t xml:space="preserve">этраверин </w:t>
      </w:r>
      <w:r w:rsidRPr="009A7F0C">
        <w:t xml:space="preserve">практически полностью выводился с фекалиями, при этом в неизменном виде выводилось около 80% у крыс и собак, и 60% у мышей. Выделение почками было ограничено, менее 1% выводилось с мочой и у всех трех видов животных, в неизменном виде </w:t>
      </w:r>
      <w:r w:rsidR="00844145" w:rsidRPr="0088406B">
        <w:t xml:space="preserve">этраверин </w:t>
      </w:r>
      <w:r w:rsidR="00844145" w:rsidRPr="009A7F0C">
        <w:t>в</w:t>
      </w:r>
      <w:r w:rsidRPr="009A7F0C">
        <w:t xml:space="preserve"> моче не обнаруживался. Спектр метаболитов </w:t>
      </w:r>
      <w:r>
        <w:rPr>
          <w:rFonts w:eastAsia="TimesNewRomanPSMT"/>
        </w:rPr>
        <w:t xml:space="preserve">этраверина </w:t>
      </w:r>
      <w:r w:rsidRPr="009A7F0C">
        <w:t xml:space="preserve"> у человека сходен со спектром метаболитов у животных, за исключением того, что фаза II метаболизма </w:t>
      </w:r>
      <w:r>
        <w:rPr>
          <w:rFonts w:eastAsia="TimesNewRomanPSMT"/>
        </w:rPr>
        <w:t xml:space="preserve">этраверина </w:t>
      </w:r>
      <w:r w:rsidRPr="009A7F0C">
        <w:t xml:space="preserve"> у человека по сравнению с животными отсутствует, вследствие чего метаболиты М4, М5 и М6 не обнаруживаются </w:t>
      </w:r>
      <w:r>
        <w:fldChar w:fldCharType="begin"/>
      </w:r>
      <w:r>
        <w:instrText xml:space="preserve"> ADDIN ZOTERO_ITEM CSL_CITATION {"citationID":"WCjM8Gq0","properties":{"formattedCitation":"(37)","plainCitation":"(37)","noteIndex":0},"citationItems":[{"id":2513,"uris":["http://zotero.org/users/5483459/items/IGNR669U"],"itemData":{"id":2513,"type":"document","title":"Drug Approval Package: Intelence (Etravirine) NDA #02218. Pharmacology Review(s) Drug Approval Package: Etravirine. NDA 22-187. Part II."}}],"schema":"https://github.com/citation-style-language/schema/raw/master/csl-citation.json"} </w:instrText>
      </w:r>
      <w:r>
        <w:fldChar w:fldCharType="separate"/>
      </w:r>
      <w:r w:rsidR="00B50985" w:rsidRPr="00B50985">
        <w:t>[</w:t>
      </w:r>
      <w:r w:rsidRPr="008749F9">
        <w:t>37</w:t>
      </w:r>
      <w:r w:rsidR="00B50985" w:rsidRPr="00B50985">
        <w:t>]</w:t>
      </w:r>
      <w:r>
        <w:fldChar w:fldCharType="end"/>
      </w:r>
      <w:r>
        <w:t>.</w:t>
      </w:r>
    </w:p>
    <w:p w14:paraId="55911493" w14:textId="77777777" w:rsidR="00295007" w:rsidRDefault="00295007" w:rsidP="00295007">
      <w:pPr>
        <w:pStyle w:val="4"/>
        <w:spacing w:after="240"/>
        <w:rPr>
          <w:rFonts w:ascii="Times New Roman" w:hAnsi="Times New Roman"/>
          <w:color w:val="000000" w:themeColor="text1"/>
          <w:sz w:val="24"/>
          <w:szCs w:val="24"/>
        </w:rPr>
      </w:pPr>
      <w:bookmarkStart w:id="130" w:name="_Toc117179215"/>
      <w:r w:rsidRPr="002E7351">
        <w:rPr>
          <w:rFonts w:ascii="Times New Roman" w:hAnsi="Times New Roman"/>
          <w:color w:val="000000" w:themeColor="text1"/>
          <w:sz w:val="24"/>
          <w:szCs w:val="24"/>
        </w:rPr>
        <w:t>3</w:t>
      </w:r>
      <w:r>
        <w:rPr>
          <w:rFonts w:ascii="Times New Roman" w:hAnsi="Times New Roman"/>
          <w:color w:val="000000" w:themeColor="text1"/>
          <w:sz w:val="24"/>
          <w:szCs w:val="24"/>
        </w:rPr>
        <w:t>.3.8.4</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Токсичность примесей</w:t>
      </w:r>
      <w:bookmarkEnd w:id="130"/>
    </w:p>
    <w:p w14:paraId="39CF3520" w14:textId="625D6289" w:rsidR="00295007" w:rsidRPr="00D84661" w:rsidRDefault="00295007">
      <w:pPr>
        <w:ind w:firstLine="709"/>
      </w:pPr>
      <w:r>
        <w:t xml:space="preserve">Согласно данным производителя субстанции </w:t>
      </w:r>
      <w:r>
        <w:rPr>
          <w:rFonts w:eastAsia="TimesNewRomanPSMT"/>
        </w:rPr>
        <w:t xml:space="preserve">этраверина </w:t>
      </w:r>
      <w:r>
        <w:t xml:space="preserve">компании MSN Life Sciences Private Limited, в субстанции </w:t>
      </w:r>
      <w:r w:rsidR="00844145">
        <w:rPr>
          <w:rFonts w:eastAsia="TimesNewRomanPSMT"/>
        </w:rPr>
        <w:t xml:space="preserve">этраверина </w:t>
      </w:r>
      <w:r w:rsidR="00844145" w:rsidRPr="009A7F0C">
        <w:t>регламентируется</w:t>
      </w:r>
      <w:r>
        <w:t xml:space="preserve"> наличие 6 примесей, которые являются промежуточными продуктами в процессе производства субстанции Данные примеси подлежат удалению на различных стадиях химического синтеза путем отмывки органическими растворителями. Допустимое процентное содержание каждой из возможных примесей составляет не более 0,15%, при этом общее содержание всех примесей в конечной субстанции не должно превышать 1% </w:t>
      </w:r>
      <w:r>
        <w:fldChar w:fldCharType="begin"/>
      </w:r>
      <w:r>
        <w:instrText xml:space="preserve"> ADDIN ZOTERO_ITEM CSL_CITATION {"citationID":"dVgfazxq","properties":{"formattedCitation":"(21)","plainCitation":"(21)","noteIndex":0},"citationItems":[{"id":2593,"uris":["http://zotero.org/users/5483459/items/6ZC4AEB4"],"itemData":{"id":2593,"type":"document","title":"ETRAVIRINE. Characterisation of impurities. MSN LIFE SCIENCES PRIVATE LIMITED. Impurity Discussion – Drug Substance"}}],"schema":"https://github.com/citation-style-language/schema/raw/master/csl-citation.json"} </w:instrText>
      </w:r>
      <w:r>
        <w:fldChar w:fldCharType="separate"/>
      </w:r>
      <w:r w:rsidR="00B50985" w:rsidRPr="00B50985">
        <w:t>[</w:t>
      </w:r>
      <w:r w:rsidRPr="00122975">
        <w:t>21</w:t>
      </w:r>
      <w:r w:rsidR="00B50985" w:rsidRPr="00B50985">
        <w:t>]</w:t>
      </w:r>
      <w:r>
        <w:fldChar w:fldCharType="end"/>
      </w:r>
      <w:r>
        <w:t>.</w:t>
      </w:r>
    </w:p>
    <w:p w14:paraId="5D35F1C7" w14:textId="51BBD096" w:rsidR="00295007" w:rsidRDefault="00295007">
      <w:pPr>
        <w:ind w:firstLine="709"/>
      </w:pPr>
      <w:r>
        <w:t>Анализ субстанции, проведенный производителем методом высокоэффективной жидкостной хроматографии (ВЭЖХ), показал отсутствие следующих примесей:</w:t>
      </w:r>
    </w:p>
    <w:p w14:paraId="7989415F" w14:textId="77777777" w:rsidR="00295007" w:rsidRDefault="00295007" w:rsidP="00A76175">
      <w:pPr>
        <w:pStyle w:val="af3"/>
        <w:numPr>
          <w:ilvl w:val="0"/>
          <w:numId w:val="17"/>
        </w:numPr>
        <w:spacing w:after="200"/>
      </w:pPr>
      <w:r>
        <w:t>4 (6 амино -2-(4 - цианофениламино) пиримидин - 4 - илокси) - 3,5-диметилбензонитрил;</w:t>
      </w:r>
    </w:p>
    <w:p w14:paraId="219DD0CD" w14:textId="77777777" w:rsidR="00295007" w:rsidRDefault="00295007" w:rsidP="00A76175">
      <w:pPr>
        <w:pStyle w:val="af3"/>
        <w:numPr>
          <w:ilvl w:val="0"/>
          <w:numId w:val="17"/>
        </w:numPr>
        <w:spacing w:after="200"/>
      </w:pPr>
      <w:r>
        <w:t>4 [[6 амино -5- бромо -2- [(4 - цианофенил) амино]- 4 - пиримидинил] окси]-3,5   диметилбензонитрил N-оксид;</w:t>
      </w:r>
    </w:p>
    <w:p w14:paraId="044E5F93" w14:textId="6D59483F" w:rsidR="00295007" w:rsidRDefault="00295007" w:rsidP="00A76175">
      <w:pPr>
        <w:pStyle w:val="af3"/>
        <w:numPr>
          <w:ilvl w:val="0"/>
          <w:numId w:val="17"/>
        </w:numPr>
        <w:spacing w:after="200"/>
      </w:pPr>
      <w:r>
        <w:t>4, 4'- ((5 - бромо - 2 - ((4-цианофенил) амино) пиримидин - 4,6-диил) бис (окси)) бис (3,5-диметилбензонитрил).</w:t>
      </w:r>
      <w:r w:rsidR="0039394A">
        <w:t xml:space="preserve"> </w:t>
      </w:r>
      <w:r>
        <w:t xml:space="preserve">В пределах допустимых концентраций, не более 0,1%, методом ВЭЖХ были обнаружены примеси </w:t>
      </w:r>
      <w:r>
        <w:fldChar w:fldCharType="begin"/>
      </w:r>
      <w:r>
        <w:instrText xml:space="preserve"> ADDIN ZOTERO_ITEM CSL_CITATION {"citationID":"T40eVP2B","properties":{"formattedCitation":"(21)","plainCitation":"(21)","noteIndex":0},"citationItems":[{"id":2593,"uris":["http://zotero.org/users/5483459/items/6ZC4AEB4"],"itemData":{"id":2593,"type":"document","title":"ETRAVIRINE. Characterisation of impurities. MSN LIFE SCIENCES PRIVATE LIMITED. Impurity Discussion – Drug Substance"}}],"schema":"https://github.com/citation-style-language/schema/raw/master/csl-citation.json"} </w:instrText>
      </w:r>
      <w:r>
        <w:fldChar w:fldCharType="separate"/>
      </w:r>
      <w:r w:rsidRPr="00122975">
        <w:t>(21)</w:t>
      </w:r>
      <w:r>
        <w:fldChar w:fldCharType="end"/>
      </w:r>
      <w:r>
        <w:t>.]:</w:t>
      </w:r>
    </w:p>
    <w:p w14:paraId="4DB52C0B" w14:textId="77777777" w:rsidR="00295007" w:rsidRDefault="00295007" w:rsidP="00A76175">
      <w:pPr>
        <w:pStyle w:val="af3"/>
        <w:numPr>
          <w:ilvl w:val="0"/>
          <w:numId w:val="17"/>
        </w:numPr>
        <w:spacing w:after="200"/>
      </w:pPr>
      <w:r>
        <w:t>4- ((4-амино-5-бромо-6-хлоропиримидин-2-ил) амино) бензонитрил;</w:t>
      </w:r>
    </w:p>
    <w:p w14:paraId="3A679131" w14:textId="77777777" w:rsidR="00295007" w:rsidRDefault="00295007" w:rsidP="00A76175">
      <w:pPr>
        <w:pStyle w:val="af3"/>
        <w:numPr>
          <w:ilvl w:val="0"/>
          <w:numId w:val="17"/>
        </w:numPr>
        <w:spacing w:after="200"/>
      </w:pPr>
      <w:r>
        <w:t>4-(6-амино-5-хлоро -2- (4-цианофениламино) пиримидин-4-илокси) -3,5-диметилбензонитрил;</w:t>
      </w:r>
    </w:p>
    <w:p w14:paraId="3239CD8F" w14:textId="77777777" w:rsidR="00295007" w:rsidRDefault="00295007" w:rsidP="00A76175">
      <w:pPr>
        <w:pStyle w:val="af3"/>
        <w:numPr>
          <w:ilvl w:val="0"/>
          <w:numId w:val="17"/>
        </w:numPr>
        <w:spacing w:after="200"/>
      </w:pPr>
      <w:r>
        <w:t>4-((5-бромо-2 - ((4-цианофенил) амино) пиримидин-4-ил) окси) -3,5-диметилбензонитрил.</w:t>
      </w:r>
    </w:p>
    <w:p w14:paraId="6E8FA8BC" w14:textId="15358769" w:rsidR="00295007" w:rsidRDefault="00295007" w:rsidP="00295007">
      <w:pPr>
        <w:ind w:firstLine="709"/>
      </w:pPr>
      <w:r>
        <w:lastRenderedPageBreak/>
        <w:t xml:space="preserve">Данных относительно токсичности примесей, которые являются промежуточными продуктами при производстве </w:t>
      </w:r>
      <w:r>
        <w:rPr>
          <w:rFonts w:eastAsia="TimesNewRomanPSMT"/>
        </w:rPr>
        <w:t>этраверина</w:t>
      </w:r>
      <w:r w:rsidRPr="009A7F0C">
        <w:t xml:space="preserve"> </w:t>
      </w:r>
      <w:r>
        <w:t>и обнаруживаются в субстанции в допустимых пределах, в доступных литературных публикациях не найдено.</w:t>
      </w:r>
    </w:p>
    <w:p w14:paraId="32136CE4" w14:textId="35F052A6" w:rsidR="00A344C9" w:rsidRDefault="00295007">
      <w:pPr>
        <w:ind w:firstLine="709"/>
        <w:rPr>
          <w:color w:val="000000" w:themeColor="text1"/>
        </w:rPr>
      </w:pPr>
      <w:r>
        <w:t xml:space="preserve">Содержание в субстанции растворителей, используемых в процессе производства </w:t>
      </w:r>
      <w:r>
        <w:rPr>
          <w:rFonts w:eastAsia="TimesNewRomanPSMT"/>
        </w:rPr>
        <w:t>этраверина</w:t>
      </w:r>
      <w:r>
        <w:t xml:space="preserve">, также регламентируется и подлежит контролю. Согласно данным </w:t>
      </w:r>
      <w:r w:rsidRPr="00376B06">
        <w:rPr>
          <w:i/>
          <w:iCs/>
        </w:rPr>
        <w:t>MSN Life Sciences Private Limited</w:t>
      </w:r>
      <w:r>
        <w:t xml:space="preserve">, методом газовой хроматографии (ГХ) в конечном продукте не были обнаружены: метанол, изопропиловый спирт, дихлорметан, 2-бутанол, тетрагидрофуран, толуол, N-метил-2-пирролидон, бензол. Циклогексан был обнаружен в следовых количествах, ниже предела обнаружения. Количественное содержание ацетона в анализируемых партиях </w:t>
      </w:r>
      <w:r>
        <w:rPr>
          <w:rFonts w:eastAsia="TimesNewRomanPSMT"/>
        </w:rPr>
        <w:t xml:space="preserve">этраверина </w:t>
      </w:r>
      <w:r>
        <w:t xml:space="preserve">составило менее 1953 ppm, в то время как регламентируется не более 5000 ppm. ГХ анализ количественного содержания N,N-диметилформамида, также используемого в процессе производства </w:t>
      </w:r>
      <w:r>
        <w:rPr>
          <w:rFonts w:eastAsia="TimesNewRomanPSMT"/>
        </w:rPr>
        <w:t>этраверина</w:t>
      </w:r>
      <w:r>
        <w:t xml:space="preserve">, показал его присутствие на различных этапах производства субстанции в диапазоне от 0 до 15 ppm, тогда как предел допустимой концентрации N,N-диметилформамида не должен превышать 880 ppm </w:t>
      </w:r>
      <w:r>
        <w:fldChar w:fldCharType="begin"/>
      </w:r>
      <w:r>
        <w:instrText xml:space="preserve"> ADDIN ZOTERO_ITEM CSL_CITATION {"citationID":"U2T1qk0R","properties":{"formattedCitation":"(21,27)","plainCitation":"(21,27)","noteIndex":0},"citationItems":[{"id":2588,"uris":["http://zotero.org/users/5483459/items/XZWGXXTF"],"itemData":{"id":2588,"type":"document","title":"European Medicines Agency INTELENCE®Summary of Product Characteristic. 2008.Doc.Ref.: EMEA/CHMP/43952/2008"},"label":"page"},{"id":2593,"uris":["http://zotero.org/users/5483459/items/6ZC4AEB4"],"itemData":{"id":2593,"type":"document","title":"ETRAVIRINE. Characterisation of impurities. MSN LIFE SCIENCES PRIVATE LIMITED. Impurity Discussion – Drug Substance"},"label":"page"}],"schema":"https://github.com/citation-style-language/schema/raw/master/csl-citation.json"} </w:instrText>
      </w:r>
      <w:r>
        <w:fldChar w:fldCharType="separate"/>
      </w:r>
      <w:r w:rsidR="00B50985" w:rsidRPr="00B50985">
        <w:t>[</w:t>
      </w:r>
      <w:r w:rsidRPr="000B2DDC">
        <w:t>21,</w:t>
      </w:r>
      <w:r w:rsidR="00844145" w:rsidRPr="008B0B82">
        <w:t xml:space="preserve"> </w:t>
      </w:r>
      <w:r w:rsidRPr="000B2DDC">
        <w:t>27</w:t>
      </w:r>
      <w:r w:rsidR="00B50985" w:rsidRPr="00B50985">
        <w:t>]</w:t>
      </w:r>
      <w:r>
        <w:fldChar w:fldCharType="end"/>
      </w:r>
      <w:r>
        <w:t>.</w:t>
      </w:r>
      <w:r w:rsidR="00257196">
        <w:t xml:space="preserve"> </w:t>
      </w:r>
      <w:r>
        <w:t xml:space="preserve">Таким образом, содержание в субстанции </w:t>
      </w:r>
      <w:r>
        <w:rPr>
          <w:rFonts w:eastAsia="TimesNewRomanPSMT"/>
        </w:rPr>
        <w:t xml:space="preserve">этраверина </w:t>
      </w:r>
      <w:r w:rsidRPr="009A7F0C">
        <w:t xml:space="preserve"> </w:t>
      </w:r>
      <w:r>
        <w:t xml:space="preserve">примесей и остаточных растворителей соответствует регламентируемым нормам </w:t>
      </w:r>
      <w:r>
        <w:fldChar w:fldCharType="begin"/>
      </w:r>
      <w:r>
        <w:instrText xml:space="preserve"> ADDIN ZOTERO_ITEM CSL_CITATION {"citationID":"leiitjjw","properties":{"formattedCitation":"(21,27)","plainCitation":"(21,27)","noteIndex":0},"citationItems":[{"id":2588,"uris":["http://zotero.org/users/5483459/items/XZWGXXTF"],"itemData":{"id":2588,"type":"document","title":"European Medicines Agency INTELENCE®Summary of Product Characteristic. 2008.Doc.Ref.: EMEA/CHMP/43952/2008"},"label":"page"},{"id":2593,"uris":["http://zotero.org/users/5483459/items/6ZC4AEB4"],"itemData":{"id":2593,"type":"document","title":"ETRAVIRINE. Characterisation of impurities. MSN LIFE SCIENCES PRIVATE LIMITED. Impurity Discussion – Drug Substance"},"label":"page"}],"schema":"https://github.com/citation-style-language/schema/raw/master/csl-citation.json"} </w:instrText>
      </w:r>
      <w:r>
        <w:fldChar w:fldCharType="separate"/>
      </w:r>
      <w:r w:rsidR="00B50985" w:rsidRPr="00B50985">
        <w:t>[</w:t>
      </w:r>
      <w:r w:rsidRPr="000B2DDC">
        <w:t>21,</w:t>
      </w:r>
      <w:r w:rsidR="00844145" w:rsidRPr="008B0B82">
        <w:t xml:space="preserve"> </w:t>
      </w:r>
      <w:r w:rsidRPr="000B2DDC">
        <w:t>27</w:t>
      </w:r>
      <w:r w:rsidR="00B50985" w:rsidRPr="00B50985">
        <w:t>]</w:t>
      </w:r>
      <w:r>
        <w:fldChar w:fldCharType="end"/>
      </w:r>
      <w:r>
        <w:t>.</w:t>
      </w:r>
      <w:bookmarkStart w:id="131" w:name="_Toc90401105"/>
      <w:r w:rsidR="00C52D57" w:rsidRPr="00C829E3">
        <w:rPr>
          <w:color w:val="000000" w:themeColor="text1"/>
        </w:rPr>
        <w:t xml:space="preserve"> </w:t>
      </w:r>
    </w:p>
    <w:p w14:paraId="72D85FCB" w14:textId="39045FC7" w:rsidR="009E2AAD" w:rsidRDefault="009E2AAD" w:rsidP="009E2AAD">
      <w:pPr>
        <w:pStyle w:val="4"/>
        <w:spacing w:after="240"/>
        <w:rPr>
          <w:rFonts w:ascii="Times New Roman" w:hAnsi="Times New Roman"/>
          <w:color w:val="000000" w:themeColor="text1"/>
          <w:sz w:val="24"/>
          <w:szCs w:val="24"/>
        </w:rPr>
      </w:pPr>
      <w:bookmarkStart w:id="132" w:name="_Toc117179216"/>
      <w:r w:rsidRPr="002E7351">
        <w:rPr>
          <w:rFonts w:ascii="Times New Roman" w:hAnsi="Times New Roman"/>
          <w:color w:val="000000" w:themeColor="text1"/>
          <w:sz w:val="24"/>
          <w:szCs w:val="24"/>
        </w:rPr>
        <w:t>3</w:t>
      </w:r>
      <w:r>
        <w:rPr>
          <w:rFonts w:ascii="Times New Roman" w:hAnsi="Times New Roman"/>
          <w:color w:val="000000" w:themeColor="text1"/>
          <w:sz w:val="24"/>
          <w:szCs w:val="24"/>
        </w:rPr>
        <w:t>.3.8.5</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Механистические исследования</w:t>
      </w:r>
      <w:bookmarkEnd w:id="132"/>
    </w:p>
    <w:p w14:paraId="2C80BEF1" w14:textId="05CE2EEB" w:rsidR="009E2AAD" w:rsidRPr="00610435" w:rsidRDefault="009E2AAD">
      <w:pPr>
        <w:ind w:firstLine="709"/>
      </w:pPr>
      <w:r w:rsidRPr="007D3C73">
        <w:t>Исследования на ювенильных животных не проводились. Эмбриофетальные исследования у крыс выявили некоторые варианты более медленного развития скелета. Поскольку этравирин мог влиять на функцию щитовидной железы</w:t>
      </w:r>
      <w:r w:rsidR="00B333DC">
        <w:t>, как и на активность</w:t>
      </w:r>
      <w:r w:rsidRPr="007D3C73">
        <w:t xml:space="preserve"> ферментов печени</w:t>
      </w:r>
      <w:r w:rsidR="00B333DC">
        <w:t xml:space="preserve"> путем их индукции</w:t>
      </w:r>
      <w:r w:rsidRPr="007D3C73">
        <w:t>, следует рассмотреть возможность механистического объяснения эффекта задержки роста сниженной функцией материнской щитовидной железы.</w:t>
      </w:r>
      <w:r w:rsidR="00257196">
        <w:t xml:space="preserve"> </w:t>
      </w:r>
      <w:r w:rsidRPr="007D3C73">
        <w:t xml:space="preserve">Касаемо аспектов иммунотоксичности, не было </w:t>
      </w:r>
      <w:r w:rsidR="00B333DC">
        <w:t xml:space="preserve">выявлено </w:t>
      </w:r>
      <w:r w:rsidRPr="007D3C73">
        <w:t xml:space="preserve">соответствующих эффектов </w:t>
      </w:r>
      <w:r w:rsidR="00B333DC">
        <w:t>применения</w:t>
      </w:r>
      <w:r w:rsidR="00B333DC" w:rsidRPr="007D3C73">
        <w:t xml:space="preserve"> этравирин</w:t>
      </w:r>
      <w:r w:rsidR="00B333DC">
        <w:t>а</w:t>
      </w:r>
      <w:r w:rsidR="00B333DC" w:rsidRPr="007D3C73">
        <w:t xml:space="preserve"> </w:t>
      </w:r>
      <w:r w:rsidRPr="007D3C73">
        <w:t>HBr, приготовленн</w:t>
      </w:r>
      <w:r w:rsidR="00B333DC">
        <w:t>ого</w:t>
      </w:r>
      <w:r w:rsidRPr="007D3C73">
        <w:t xml:space="preserve"> в ПЭГ 400, и </w:t>
      </w:r>
      <w:r w:rsidR="00B333DC">
        <w:t>применение препарата</w:t>
      </w:r>
      <w:r w:rsidR="00B333DC" w:rsidRPr="007D3C73">
        <w:t xml:space="preserve"> </w:t>
      </w:r>
      <w:r w:rsidRPr="007D3C73">
        <w:t>не влияло на иммунный отве</w:t>
      </w:r>
      <w:r>
        <w:t>т, измеряемый по продукции IgM.</w:t>
      </w:r>
    </w:p>
    <w:p w14:paraId="7C3BE16A" w14:textId="32180BC5" w:rsidR="009E2AAD" w:rsidRPr="00A76175" w:rsidRDefault="009E2AAD" w:rsidP="00EE1D8E">
      <w:pPr>
        <w:ind w:firstLine="709"/>
      </w:pPr>
      <w:r w:rsidRPr="007D3C73">
        <w:t>Механистические исследования, проведенные с этравирином, показали, что влияние этравирина на время свертывания крови и факторы свертывания крови у мышей опос</w:t>
      </w:r>
      <w:r>
        <w:t>редуется витамин</w:t>
      </w:r>
      <w:r w:rsidR="00B333DC">
        <w:t>ом</w:t>
      </w:r>
      <w:r>
        <w:t xml:space="preserve"> К </w:t>
      </w:r>
      <w:r w:rsidRPr="009E2AAD">
        <w:t>(таблица 3-3).</w:t>
      </w:r>
      <w:r w:rsidR="00B333DC">
        <w:t xml:space="preserve"> </w:t>
      </w:r>
      <w:r w:rsidRPr="00610435">
        <w:t>Механизм, лежащий в основе сердечных поражений, можно объяснить серьезным нарушением коагуляции, приводящим к интерстициальному геморрагическому диатезу в миокарде и последующей мышечной дегенерации и воспалению. Считается, что мыши более чувствительны к развитию геморрагической кардиомиопатии из-за более высокой частоты сердечных сокращений и более тонких стенок желудочков и предсердий по сравнению с другими видами. Точный механизм воздействия этравирина на метаболизм витамина К неизвестен. Однако результаты, полученные в клинических исследованиях, по-видимому, показывают, что этравирин не влияет на параметры свертывания крови у пациентов</w:t>
      </w:r>
      <w:r w:rsidR="00257196">
        <w:t xml:space="preserve"> </w:t>
      </w:r>
      <w:r w:rsidRPr="009E2AAD">
        <w:t>[</w:t>
      </w:r>
      <w:r w:rsidRPr="00A76175">
        <w:t>49].</w:t>
      </w:r>
    </w:p>
    <w:p w14:paraId="73D976A1" w14:textId="77777777" w:rsidR="009E2AAD" w:rsidRPr="00610435" w:rsidRDefault="009E2AAD" w:rsidP="009E2AAD">
      <w:pPr>
        <w:ind w:firstLine="709"/>
      </w:pPr>
    </w:p>
    <w:p w14:paraId="2043A841" w14:textId="23DBB4D8" w:rsidR="009E2AAD" w:rsidRPr="007D3C73" w:rsidRDefault="009E2AAD" w:rsidP="009E2AAD">
      <w:r w:rsidRPr="009E2AAD">
        <w:rPr>
          <w:b/>
        </w:rPr>
        <w:t>Таблица 3-3.</w:t>
      </w:r>
      <w:r w:rsidRPr="009E2AAD">
        <w:t xml:space="preserve"> </w:t>
      </w:r>
      <w:r w:rsidRPr="007D3C73">
        <w:t>Механистические исследования этравирина на мышах.</w:t>
      </w:r>
    </w:p>
    <w:tbl>
      <w:tblPr>
        <w:tblW w:w="9371" w:type="dxa"/>
        <w:tblInd w:w="-5" w:type="dxa"/>
        <w:tblLayout w:type="fixed"/>
        <w:tblLook w:val="04A0" w:firstRow="1" w:lastRow="0" w:firstColumn="1" w:lastColumn="0" w:noHBand="0" w:noVBand="1"/>
      </w:tblPr>
      <w:tblGrid>
        <w:gridCol w:w="1541"/>
        <w:gridCol w:w="1372"/>
        <w:gridCol w:w="930"/>
        <w:gridCol w:w="1984"/>
        <w:gridCol w:w="3544"/>
      </w:tblGrid>
      <w:tr w:rsidR="009E2AAD" w:rsidRPr="007D3C73" w14:paraId="5D635588" w14:textId="77777777" w:rsidTr="00A97B7A">
        <w:trPr>
          <w:trHeight w:val="841"/>
          <w:tblHeader/>
        </w:trPr>
        <w:tc>
          <w:tcPr>
            <w:tcW w:w="154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E9A8C1F" w14:textId="77777777" w:rsidR="009E2AAD" w:rsidRPr="00A76175" w:rsidRDefault="009E2AAD" w:rsidP="00A76175">
            <w:pPr>
              <w:jc w:val="center"/>
              <w:rPr>
                <w:rFonts w:eastAsia="Times New Roman"/>
                <w:b/>
                <w:bCs/>
                <w:color w:val="202124"/>
                <w:sz w:val="22"/>
                <w:szCs w:val="22"/>
                <w:lang w:eastAsia="ru-RU"/>
              </w:rPr>
            </w:pPr>
            <w:r w:rsidRPr="00A76175">
              <w:rPr>
                <w:rFonts w:eastAsia="Times New Roman"/>
                <w:b/>
                <w:bCs/>
                <w:color w:val="202124"/>
                <w:sz w:val="22"/>
                <w:szCs w:val="22"/>
                <w:lang w:eastAsia="ru-RU"/>
              </w:rPr>
              <w:lastRenderedPageBreak/>
              <w:t>Вид/штамм № и пол/группа</w:t>
            </w:r>
          </w:p>
        </w:tc>
        <w:tc>
          <w:tcPr>
            <w:tcW w:w="1372" w:type="dxa"/>
            <w:tcBorders>
              <w:top w:val="single" w:sz="4" w:space="0" w:color="auto"/>
              <w:left w:val="nil"/>
              <w:bottom w:val="single" w:sz="4" w:space="0" w:color="auto"/>
              <w:right w:val="single" w:sz="4" w:space="0" w:color="auto"/>
            </w:tcBorders>
            <w:shd w:val="clear" w:color="000000" w:fill="D9D9D9"/>
            <w:vAlign w:val="center"/>
            <w:hideMark/>
          </w:tcPr>
          <w:p w14:paraId="69FE582D" w14:textId="77777777" w:rsidR="009E2AAD" w:rsidRPr="00A76175" w:rsidRDefault="009E2AAD" w:rsidP="00A76175">
            <w:pPr>
              <w:jc w:val="center"/>
              <w:rPr>
                <w:rFonts w:eastAsia="Times New Roman"/>
                <w:b/>
                <w:bCs/>
                <w:color w:val="000000"/>
                <w:sz w:val="22"/>
                <w:szCs w:val="22"/>
                <w:lang w:eastAsia="ru-RU"/>
              </w:rPr>
            </w:pPr>
            <w:r w:rsidRPr="00A76175">
              <w:rPr>
                <w:rFonts w:eastAsia="Times New Roman"/>
                <w:b/>
                <w:bCs/>
                <w:color w:val="000000"/>
                <w:sz w:val="22"/>
                <w:szCs w:val="22"/>
                <w:lang w:eastAsia="ru-RU"/>
              </w:rPr>
              <w:t>Путь введения</w:t>
            </w:r>
          </w:p>
        </w:tc>
        <w:tc>
          <w:tcPr>
            <w:tcW w:w="930" w:type="dxa"/>
            <w:tcBorders>
              <w:top w:val="single" w:sz="4" w:space="0" w:color="auto"/>
              <w:left w:val="nil"/>
              <w:bottom w:val="single" w:sz="4" w:space="0" w:color="auto"/>
              <w:right w:val="single" w:sz="4" w:space="0" w:color="auto"/>
            </w:tcBorders>
            <w:shd w:val="clear" w:color="000000" w:fill="D9D9D9"/>
            <w:vAlign w:val="center"/>
            <w:hideMark/>
          </w:tcPr>
          <w:p w14:paraId="5D89AB29" w14:textId="77777777" w:rsidR="009E2AAD" w:rsidRPr="00A76175" w:rsidRDefault="009E2AAD" w:rsidP="00A76175">
            <w:pPr>
              <w:jc w:val="center"/>
              <w:rPr>
                <w:rFonts w:eastAsia="Times New Roman"/>
                <w:b/>
                <w:bCs/>
                <w:color w:val="000000"/>
                <w:sz w:val="22"/>
                <w:szCs w:val="22"/>
                <w:lang w:eastAsia="ru-RU"/>
              </w:rPr>
            </w:pPr>
            <w:r w:rsidRPr="00A76175">
              <w:rPr>
                <w:rFonts w:eastAsia="Times New Roman"/>
                <w:b/>
                <w:bCs/>
                <w:color w:val="000000"/>
                <w:sz w:val="22"/>
                <w:szCs w:val="22"/>
                <w:lang w:eastAsia="ru-RU"/>
              </w:rPr>
              <w:t>Длительность дозирования</w:t>
            </w:r>
          </w:p>
        </w:tc>
        <w:tc>
          <w:tcPr>
            <w:tcW w:w="1984" w:type="dxa"/>
            <w:tcBorders>
              <w:top w:val="single" w:sz="4" w:space="0" w:color="auto"/>
              <w:left w:val="nil"/>
              <w:bottom w:val="single" w:sz="4" w:space="0" w:color="auto"/>
              <w:right w:val="single" w:sz="4" w:space="0" w:color="auto"/>
            </w:tcBorders>
            <w:shd w:val="clear" w:color="000000" w:fill="D9D9D9"/>
            <w:vAlign w:val="center"/>
            <w:hideMark/>
          </w:tcPr>
          <w:p w14:paraId="0578248E" w14:textId="77777777" w:rsidR="009E2AAD" w:rsidRPr="00A76175" w:rsidRDefault="009E2AAD" w:rsidP="00A76175">
            <w:pPr>
              <w:jc w:val="center"/>
              <w:rPr>
                <w:rFonts w:eastAsia="Times New Roman"/>
                <w:b/>
                <w:bCs/>
                <w:color w:val="000000"/>
                <w:sz w:val="22"/>
                <w:szCs w:val="22"/>
                <w:lang w:eastAsia="ru-RU"/>
              </w:rPr>
            </w:pPr>
            <w:r w:rsidRPr="00A76175">
              <w:rPr>
                <w:rFonts w:eastAsia="Times New Roman"/>
                <w:b/>
                <w:bCs/>
                <w:color w:val="000000"/>
                <w:sz w:val="22"/>
                <w:szCs w:val="22"/>
                <w:lang w:eastAsia="ru-RU"/>
              </w:rPr>
              <w:t>Дозы (мг основы эквивалент/кг/день)</w:t>
            </w:r>
          </w:p>
        </w:tc>
        <w:tc>
          <w:tcPr>
            <w:tcW w:w="3544" w:type="dxa"/>
            <w:tcBorders>
              <w:top w:val="single" w:sz="4" w:space="0" w:color="auto"/>
              <w:left w:val="nil"/>
              <w:bottom w:val="single" w:sz="4" w:space="0" w:color="auto"/>
              <w:right w:val="single" w:sz="4" w:space="0" w:color="auto"/>
            </w:tcBorders>
            <w:shd w:val="clear" w:color="000000" w:fill="D9D9D9"/>
            <w:vAlign w:val="center"/>
            <w:hideMark/>
          </w:tcPr>
          <w:p w14:paraId="6D1F1B33" w14:textId="77777777" w:rsidR="009E2AAD" w:rsidRPr="00A76175" w:rsidRDefault="009E2AAD" w:rsidP="00A76175">
            <w:pPr>
              <w:jc w:val="center"/>
              <w:rPr>
                <w:rFonts w:eastAsia="Times New Roman"/>
                <w:b/>
                <w:bCs/>
                <w:color w:val="000000"/>
                <w:sz w:val="22"/>
                <w:szCs w:val="22"/>
                <w:lang w:eastAsia="ru-RU"/>
              </w:rPr>
            </w:pPr>
            <w:r w:rsidRPr="00A76175">
              <w:rPr>
                <w:rFonts w:eastAsia="Times New Roman"/>
                <w:b/>
                <w:bCs/>
                <w:color w:val="000000"/>
                <w:sz w:val="22"/>
                <w:szCs w:val="22"/>
                <w:lang w:eastAsia="ru-RU"/>
              </w:rPr>
              <w:t>Значимые результаты</w:t>
            </w:r>
          </w:p>
        </w:tc>
      </w:tr>
      <w:tr w:rsidR="009E2AAD" w:rsidRPr="00610435" w14:paraId="69543126" w14:textId="77777777" w:rsidTr="00A97B7A">
        <w:tc>
          <w:tcPr>
            <w:tcW w:w="1541" w:type="dxa"/>
            <w:tcBorders>
              <w:top w:val="nil"/>
              <w:left w:val="single" w:sz="4" w:space="0" w:color="auto"/>
              <w:bottom w:val="single" w:sz="4" w:space="0" w:color="auto"/>
              <w:right w:val="single" w:sz="4" w:space="0" w:color="auto"/>
            </w:tcBorders>
            <w:shd w:val="clear" w:color="auto" w:fill="auto"/>
            <w:vAlign w:val="center"/>
            <w:hideMark/>
          </w:tcPr>
          <w:p w14:paraId="2803223C" w14:textId="0A1AB89A" w:rsidR="00B333DC" w:rsidRPr="00A76175" w:rsidRDefault="009E2AAD" w:rsidP="00EE1D8E">
            <w:pPr>
              <w:rPr>
                <w:rFonts w:eastAsia="Times New Roman"/>
                <w:color w:val="202124"/>
                <w:sz w:val="22"/>
                <w:szCs w:val="22"/>
                <w:lang w:eastAsia="ru-RU"/>
              </w:rPr>
            </w:pPr>
            <w:r w:rsidRPr="00A76175">
              <w:rPr>
                <w:rFonts w:eastAsia="Times New Roman"/>
                <w:color w:val="202124"/>
                <w:sz w:val="22"/>
                <w:szCs w:val="22"/>
                <w:lang w:eastAsia="ru-RU"/>
              </w:rPr>
              <w:t>Мышь/</w:t>
            </w:r>
            <w:r w:rsidRPr="00A76175">
              <w:rPr>
                <w:rFonts w:eastAsia="Times New Roman"/>
                <w:color w:val="202124"/>
                <w:sz w:val="22"/>
                <w:szCs w:val="22"/>
                <w:lang w:val="en-US" w:eastAsia="ru-RU"/>
              </w:rPr>
              <w:t>CD</w:t>
            </w:r>
            <w:r w:rsidRPr="00A76175">
              <w:rPr>
                <w:rFonts w:eastAsia="Times New Roman"/>
                <w:color w:val="202124"/>
                <w:sz w:val="22"/>
                <w:szCs w:val="22"/>
                <w:lang w:eastAsia="ru-RU"/>
              </w:rPr>
              <w:t>1 20</w:t>
            </w:r>
            <w:r w:rsidRPr="00A76175">
              <w:rPr>
                <w:rFonts w:eastAsia="Times New Roman"/>
                <w:color w:val="202124"/>
                <w:sz w:val="22"/>
                <w:szCs w:val="22"/>
                <w:lang w:val="en-US" w:eastAsia="ru-RU"/>
              </w:rPr>
              <w:t>M</w:t>
            </w:r>
            <w:r w:rsidRPr="00A76175">
              <w:rPr>
                <w:rFonts w:eastAsia="Times New Roman"/>
                <w:color w:val="202124"/>
                <w:sz w:val="22"/>
                <w:szCs w:val="22"/>
                <w:lang w:eastAsia="ru-RU"/>
              </w:rPr>
              <w:t xml:space="preserve"> + 20</w:t>
            </w:r>
            <w:r w:rsidRPr="00A76175">
              <w:rPr>
                <w:rFonts w:eastAsia="Times New Roman"/>
                <w:color w:val="202124"/>
                <w:sz w:val="22"/>
                <w:szCs w:val="22"/>
                <w:lang w:val="en-US" w:eastAsia="ru-RU"/>
              </w:rPr>
              <w:t>F</w:t>
            </w:r>
            <w:r w:rsidRPr="00A76175">
              <w:rPr>
                <w:rFonts w:eastAsia="Times New Roman"/>
                <w:color w:val="202124"/>
                <w:sz w:val="22"/>
                <w:szCs w:val="22"/>
                <w:lang w:eastAsia="ru-RU"/>
              </w:rPr>
              <w:t xml:space="preserve"> (</w:t>
            </w:r>
            <w:r w:rsidR="00B333DC" w:rsidRPr="00A76175">
              <w:rPr>
                <w:rFonts w:eastAsia="Times New Roman"/>
                <w:color w:val="202124"/>
                <w:sz w:val="22"/>
                <w:szCs w:val="22"/>
                <w:lang w:eastAsia="ru-RU"/>
              </w:rPr>
              <w:t>основаная группа</w:t>
            </w:r>
            <w:r w:rsidRPr="00A76175">
              <w:rPr>
                <w:rFonts w:eastAsia="Times New Roman"/>
                <w:color w:val="202124"/>
                <w:sz w:val="22"/>
                <w:szCs w:val="22"/>
                <w:lang w:eastAsia="ru-RU"/>
              </w:rPr>
              <w:t xml:space="preserve">) </w:t>
            </w:r>
          </w:p>
          <w:p w14:paraId="46D532B9" w14:textId="3E289981" w:rsidR="009E2AAD" w:rsidRPr="00A76175" w:rsidRDefault="009E2AAD">
            <w:pPr>
              <w:rPr>
                <w:rFonts w:eastAsia="Times New Roman"/>
                <w:color w:val="202124"/>
                <w:sz w:val="22"/>
                <w:szCs w:val="22"/>
                <w:lang w:val="en-US" w:eastAsia="ru-RU"/>
              </w:rPr>
            </w:pPr>
            <w:r w:rsidRPr="00A76175">
              <w:rPr>
                <w:rFonts w:eastAsia="Times New Roman"/>
                <w:color w:val="202124"/>
                <w:sz w:val="22"/>
                <w:szCs w:val="22"/>
                <w:lang w:val="en-US" w:eastAsia="ru-RU"/>
              </w:rPr>
              <w:t>8M + 8F (</w:t>
            </w:r>
            <w:r w:rsidR="00B333DC" w:rsidRPr="00A76175">
              <w:rPr>
                <w:rFonts w:eastAsia="Times New Roman"/>
                <w:color w:val="202124"/>
                <w:sz w:val="22"/>
                <w:szCs w:val="22"/>
                <w:lang w:eastAsia="ru-RU"/>
              </w:rPr>
              <w:t>дополнительная группа</w:t>
            </w:r>
            <w:r w:rsidRPr="00A76175">
              <w:rPr>
                <w:rFonts w:eastAsia="Times New Roman"/>
                <w:color w:val="202124"/>
                <w:sz w:val="22"/>
                <w:szCs w:val="22"/>
                <w:lang w:val="en-US" w:eastAsia="ru-RU"/>
              </w:rPr>
              <w:t>)</w:t>
            </w:r>
          </w:p>
        </w:tc>
        <w:tc>
          <w:tcPr>
            <w:tcW w:w="1372" w:type="dxa"/>
            <w:tcBorders>
              <w:top w:val="nil"/>
              <w:left w:val="nil"/>
              <w:bottom w:val="single" w:sz="4" w:space="0" w:color="auto"/>
              <w:right w:val="single" w:sz="4" w:space="0" w:color="auto"/>
            </w:tcBorders>
            <w:shd w:val="clear" w:color="auto" w:fill="auto"/>
            <w:vAlign w:val="center"/>
            <w:hideMark/>
          </w:tcPr>
          <w:p w14:paraId="7C07C7C2" w14:textId="3695AE20" w:rsidR="009E2AAD" w:rsidRPr="00A76175" w:rsidRDefault="009E2AAD">
            <w:pPr>
              <w:rPr>
                <w:rFonts w:eastAsia="Times New Roman"/>
                <w:color w:val="000000"/>
                <w:sz w:val="22"/>
                <w:szCs w:val="22"/>
                <w:lang w:eastAsia="ru-RU"/>
              </w:rPr>
            </w:pPr>
            <w:r w:rsidRPr="00A76175">
              <w:rPr>
                <w:rFonts w:eastAsia="Times New Roman"/>
                <w:color w:val="000000"/>
                <w:sz w:val="22"/>
                <w:szCs w:val="22"/>
                <w:lang w:eastAsia="ru-RU"/>
              </w:rPr>
              <w:t>Внутрь / пищевая добавка (</w:t>
            </w:r>
            <w:r w:rsidR="00B333DC" w:rsidRPr="00A76175">
              <w:rPr>
                <w:rFonts w:eastAsia="Times New Roman"/>
                <w:color w:val="000000"/>
                <w:sz w:val="22"/>
                <w:szCs w:val="22"/>
                <w:lang w:eastAsia="ru-RU"/>
              </w:rPr>
              <w:t>с едой</w:t>
            </w:r>
            <w:r w:rsidRPr="00A76175">
              <w:rPr>
                <w:rFonts w:eastAsia="Times New Roman"/>
                <w:color w:val="000000"/>
                <w:sz w:val="22"/>
                <w:szCs w:val="22"/>
                <w:lang w:eastAsia="ru-RU"/>
              </w:rPr>
              <w:t>)</w:t>
            </w:r>
          </w:p>
        </w:tc>
        <w:tc>
          <w:tcPr>
            <w:tcW w:w="930" w:type="dxa"/>
            <w:tcBorders>
              <w:top w:val="nil"/>
              <w:left w:val="nil"/>
              <w:bottom w:val="single" w:sz="4" w:space="0" w:color="auto"/>
              <w:right w:val="single" w:sz="4" w:space="0" w:color="auto"/>
            </w:tcBorders>
            <w:shd w:val="clear" w:color="auto" w:fill="auto"/>
            <w:vAlign w:val="center"/>
            <w:hideMark/>
          </w:tcPr>
          <w:p w14:paraId="51875489" w14:textId="77777777" w:rsidR="009E2AAD" w:rsidRPr="00A76175" w:rsidRDefault="009E2AAD" w:rsidP="008B0B82">
            <w:pPr>
              <w:jc w:val="center"/>
              <w:rPr>
                <w:rFonts w:eastAsia="Times New Roman"/>
                <w:color w:val="000000"/>
                <w:sz w:val="22"/>
                <w:szCs w:val="22"/>
                <w:lang w:eastAsia="ru-RU"/>
              </w:rPr>
            </w:pPr>
            <w:r w:rsidRPr="00A76175">
              <w:rPr>
                <w:rFonts w:eastAsia="Times New Roman"/>
                <w:color w:val="000000"/>
                <w:sz w:val="22"/>
                <w:szCs w:val="22"/>
                <w:lang w:eastAsia="ru-RU"/>
              </w:rPr>
              <w:t>6 недель</w:t>
            </w:r>
          </w:p>
        </w:tc>
        <w:tc>
          <w:tcPr>
            <w:tcW w:w="1984" w:type="dxa"/>
            <w:tcBorders>
              <w:top w:val="nil"/>
              <w:left w:val="nil"/>
              <w:bottom w:val="single" w:sz="4" w:space="0" w:color="auto"/>
              <w:right w:val="single" w:sz="4" w:space="0" w:color="auto"/>
            </w:tcBorders>
            <w:shd w:val="clear" w:color="auto" w:fill="auto"/>
            <w:vAlign w:val="center"/>
            <w:hideMark/>
          </w:tcPr>
          <w:p w14:paraId="4FC2FDBC" w14:textId="3AFBF8B1" w:rsidR="009E2AAD" w:rsidRPr="00A76175" w:rsidRDefault="009E2AAD" w:rsidP="00EE1D8E">
            <w:pPr>
              <w:jc w:val="left"/>
              <w:rPr>
                <w:rFonts w:eastAsia="Times New Roman"/>
                <w:color w:val="000000"/>
                <w:sz w:val="22"/>
                <w:szCs w:val="22"/>
                <w:lang w:eastAsia="ru-RU"/>
              </w:rPr>
            </w:pPr>
            <w:r w:rsidRPr="00A76175">
              <w:rPr>
                <w:rFonts w:eastAsia="Times New Roman"/>
                <w:color w:val="000000"/>
                <w:sz w:val="22"/>
                <w:szCs w:val="22"/>
                <w:lang w:eastAsia="ru-RU"/>
              </w:rPr>
              <w:t>0 (</w:t>
            </w:r>
            <w:r w:rsidR="00B333DC" w:rsidRPr="00A76175">
              <w:rPr>
                <w:rFonts w:eastAsia="Times New Roman"/>
                <w:color w:val="000000"/>
                <w:sz w:val="22"/>
                <w:szCs w:val="22"/>
                <w:lang w:eastAsia="ru-RU"/>
              </w:rPr>
              <w:t>стандартная еда</w:t>
            </w:r>
            <w:r w:rsidRPr="00A76175">
              <w:rPr>
                <w:rFonts w:eastAsia="Times New Roman"/>
                <w:color w:val="000000"/>
                <w:sz w:val="22"/>
                <w:szCs w:val="22"/>
                <w:lang w:eastAsia="ru-RU"/>
              </w:rPr>
              <w:t>), 0 (</w:t>
            </w:r>
            <w:r w:rsidR="00B333DC" w:rsidRPr="00A76175">
              <w:rPr>
                <w:rFonts w:eastAsia="Times New Roman"/>
                <w:color w:val="000000"/>
                <w:sz w:val="22"/>
                <w:szCs w:val="22"/>
                <w:lang w:eastAsia="ru-RU"/>
              </w:rPr>
              <w:t xml:space="preserve">стандартная еда </w:t>
            </w:r>
            <w:r w:rsidRPr="00A76175">
              <w:rPr>
                <w:rFonts w:eastAsia="Times New Roman"/>
                <w:color w:val="000000"/>
                <w:sz w:val="22"/>
                <w:szCs w:val="22"/>
                <w:lang w:eastAsia="ru-RU"/>
              </w:rPr>
              <w:t>+ Витамин K1 п/к), 2320, 2320 (+ Витамин K1 п/к) в виде высушенного распылением этравирина (соотношение активного вещества и полимера 1:2:0,5)</w:t>
            </w:r>
          </w:p>
        </w:tc>
        <w:tc>
          <w:tcPr>
            <w:tcW w:w="3544" w:type="dxa"/>
            <w:tcBorders>
              <w:top w:val="nil"/>
              <w:left w:val="nil"/>
              <w:bottom w:val="single" w:sz="4" w:space="0" w:color="auto"/>
              <w:right w:val="single" w:sz="4" w:space="0" w:color="auto"/>
            </w:tcBorders>
            <w:shd w:val="clear" w:color="auto" w:fill="auto"/>
            <w:vAlign w:val="center"/>
            <w:hideMark/>
          </w:tcPr>
          <w:p w14:paraId="068CF9B4" w14:textId="6F8073B7" w:rsidR="009E2AAD" w:rsidRPr="00A76175" w:rsidRDefault="009E2AAD">
            <w:pPr>
              <w:jc w:val="left"/>
              <w:rPr>
                <w:rFonts w:eastAsia="Times New Roman"/>
                <w:color w:val="000000"/>
                <w:sz w:val="22"/>
                <w:szCs w:val="22"/>
                <w:lang w:eastAsia="ru-RU"/>
              </w:rPr>
            </w:pPr>
            <w:r w:rsidRPr="00A76175">
              <w:rPr>
                <w:rFonts w:eastAsia="Times New Roman"/>
                <w:color w:val="000000"/>
                <w:sz w:val="22"/>
                <w:szCs w:val="22"/>
                <w:lang w:eastAsia="ru-RU"/>
              </w:rPr>
              <w:t xml:space="preserve">Этравирин: </w:t>
            </w:r>
            <w:r w:rsidR="00B333DC" w:rsidRPr="00A76175">
              <w:rPr>
                <w:rFonts w:eastAsia="Times New Roman"/>
                <w:color w:val="000000"/>
                <w:sz w:val="22"/>
                <w:szCs w:val="22"/>
                <w:lang w:eastAsia="ru-RU"/>
              </w:rPr>
              <w:t xml:space="preserve">1 </w:t>
            </w:r>
            <w:r w:rsidRPr="00A76175">
              <w:rPr>
                <w:rFonts w:eastAsia="Times New Roman"/>
                <w:color w:val="000000"/>
                <w:sz w:val="22"/>
                <w:szCs w:val="22"/>
                <w:lang w:eastAsia="ru-RU"/>
              </w:rPr>
              <w:t xml:space="preserve">М – геморрагическая кардиомиопатия, без кровоизлияний в другие органы. ↑ АЧТВ + ПВ и ↓ витамин </w:t>
            </w:r>
            <w:r w:rsidRPr="00A76175">
              <w:rPr>
                <w:rFonts w:eastAsia="Times New Roman"/>
                <w:color w:val="000000"/>
                <w:sz w:val="22"/>
                <w:szCs w:val="22"/>
                <w:lang w:val="en-US" w:eastAsia="ru-RU"/>
              </w:rPr>
              <w:t>K</w:t>
            </w:r>
            <w:r w:rsidRPr="00A76175">
              <w:rPr>
                <w:rFonts w:eastAsia="Times New Roman"/>
                <w:color w:val="000000"/>
                <w:sz w:val="22"/>
                <w:szCs w:val="22"/>
                <w:lang w:eastAsia="ru-RU"/>
              </w:rPr>
              <w:t xml:space="preserve"> – зависимых факторов свертывания крови </w:t>
            </w:r>
            <w:r w:rsidRPr="00A76175">
              <w:rPr>
                <w:rFonts w:eastAsia="Times New Roman"/>
                <w:color w:val="000000"/>
                <w:sz w:val="22"/>
                <w:szCs w:val="22"/>
                <w:lang w:val="en-US" w:eastAsia="ru-RU"/>
              </w:rPr>
              <w:t>II</w:t>
            </w:r>
            <w:r w:rsidRPr="00A76175">
              <w:rPr>
                <w:rFonts w:eastAsia="Times New Roman"/>
                <w:color w:val="000000"/>
                <w:sz w:val="22"/>
                <w:szCs w:val="22"/>
                <w:lang w:eastAsia="ru-RU"/>
              </w:rPr>
              <w:t xml:space="preserve"> и </w:t>
            </w:r>
            <w:r w:rsidRPr="00A76175">
              <w:rPr>
                <w:rFonts w:eastAsia="Times New Roman"/>
                <w:color w:val="000000"/>
                <w:sz w:val="22"/>
                <w:szCs w:val="22"/>
                <w:lang w:val="en-US" w:eastAsia="ru-RU"/>
              </w:rPr>
              <w:t>VII</w:t>
            </w:r>
            <w:r w:rsidRPr="00A76175">
              <w:rPr>
                <w:rFonts w:eastAsia="Times New Roman"/>
                <w:color w:val="000000"/>
                <w:sz w:val="22"/>
                <w:szCs w:val="22"/>
                <w:lang w:eastAsia="ru-RU"/>
              </w:rPr>
              <w:t>. Эффекты были более выражены у М.</w:t>
            </w:r>
            <w:r w:rsidRPr="00A76175">
              <w:rPr>
                <w:rFonts w:eastAsia="Times New Roman"/>
                <w:color w:val="000000"/>
                <w:sz w:val="22"/>
                <w:szCs w:val="22"/>
                <w:lang w:eastAsia="ru-RU"/>
              </w:rPr>
              <w:br/>
              <w:t xml:space="preserve">Этравирин с Витамином К: нормализация времени коагуляции и факторов свертывания крови </w:t>
            </w:r>
            <w:r w:rsidRPr="00A76175">
              <w:rPr>
                <w:rFonts w:eastAsia="Times New Roman"/>
                <w:color w:val="000000"/>
                <w:sz w:val="22"/>
                <w:szCs w:val="22"/>
                <w:lang w:val="en-US" w:eastAsia="ru-RU"/>
              </w:rPr>
              <w:t>II</w:t>
            </w:r>
            <w:r w:rsidRPr="00A76175">
              <w:rPr>
                <w:rFonts w:eastAsia="Times New Roman"/>
                <w:color w:val="000000"/>
                <w:sz w:val="22"/>
                <w:szCs w:val="22"/>
                <w:lang w:eastAsia="ru-RU"/>
              </w:rPr>
              <w:t xml:space="preserve"> и </w:t>
            </w:r>
            <w:r w:rsidRPr="00A76175">
              <w:rPr>
                <w:rFonts w:eastAsia="Times New Roman"/>
                <w:color w:val="000000"/>
                <w:sz w:val="22"/>
                <w:szCs w:val="22"/>
                <w:lang w:val="en-US" w:eastAsia="ru-RU"/>
              </w:rPr>
              <w:t>VII</w:t>
            </w:r>
            <w:r w:rsidRPr="00A76175">
              <w:rPr>
                <w:rFonts w:eastAsia="Times New Roman"/>
                <w:color w:val="000000"/>
                <w:sz w:val="22"/>
                <w:szCs w:val="22"/>
                <w:lang w:eastAsia="ru-RU"/>
              </w:rPr>
              <w:t>. Уменьшение геморрагического некроза печени.</w:t>
            </w:r>
          </w:p>
        </w:tc>
      </w:tr>
      <w:tr w:rsidR="009E2AAD" w:rsidRPr="00D419E8" w14:paraId="656DD66F" w14:textId="77777777" w:rsidTr="00A97B7A">
        <w:trPr>
          <w:trHeight w:val="4612"/>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041778D7" w14:textId="2DE43662" w:rsidR="00B333DC" w:rsidRPr="00A76175" w:rsidRDefault="009E2AAD" w:rsidP="00EE1D8E">
            <w:pPr>
              <w:rPr>
                <w:rFonts w:eastAsia="Times New Roman"/>
                <w:color w:val="202124"/>
                <w:sz w:val="22"/>
                <w:szCs w:val="22"/>
                <w:lang w:eastAsia="ru-RU"/>
              </w:rPr>
            </w:pPr>
            <w:r w:rsidRPr="00A76175">
              <w:rPr>
                <w:rFonts w:eastAsia="Times New Roman"/>
                <w:color w:val="202124"/>
                <w:sz w:val="22"/>
                <w:szCs w:val="22"/>
                <w:lang w:eastAsia="ru-RU"/>
              </w:rPr>
              <w:t>Мышь/</w:t>
            </w:r>
            <w:r w:rsidRPr="00A76175">
              <w:rPr>
                <w:rFonts w:eastAsia="Times New Roman"/>
                <w:color w:val="202124"/>
                <w:sz w:val="22"/>
                <w:szCs w:val="22"/>
                <w:lang w:val="en-US" w:eastAsia="ru-RU"/>
              </w:rPr>
              <w:t>CD</w:t>
            </w:r>
            <w:r w:rsidRPr="00A76175">
              <w:rPr>
                <w:rFonts w:eastAsia="Times New Roman"/>
                <w:color w:val="202124"/>
                <w:sz w:val="22"/>
                <w:szCs w:val="22"/>
                <w:lang w:eastAsia="ru-RU"/>
              </w:rPr>
              <w:t>1 20</w:t>
            </w:r>
            <w:r w:rsidRPr="00A76175">
              <w:rPr>
                <w:rFonts w:eastAsia="Times New Roman"/>
                <w:color w:val="202124"/>
                <w:sz w:val="22"/>
                <w:szCs w:val="22"/>
                <w:lang w:val="en-US" w:eastAsia="ru-RU"/>
              </w:rPr>
              <w:t>M</w:t>
            </w:r>
            <w:r w:rsidRPr="00A76175">
              <w:rPr>
                <w:rFonts w:eastAsia="Times New Roman"/>
                <w:color w:val="202124"/>
                <w:sz w:val="22"/>
                <w:szCs w:val="22"/>
                <w:lang w:eastAsia="ru-RU"/>
              </w:rPr>
              <w:t xml:space="preserve"> + 20</w:t>
            </w:r>
            <w:r w:rsidRPr="00A76175">
              <w:rPr>
                <w:rFonts w:eastAsia="Times New Roman"/>
                <w:color w:val="202124"/>
                <w:sz w:val="22"/>
                <w:szCs w:val="22"/>
                <w:lang w:val="en-US" w:eastAsia="ru-RU"/>
              </w:rPr>
              <w:t>F</w:t>
            </w:r>
            <w:r w:rsidRPr="00A76175">
              <w:rPr>
                <w:rFonts w:eastAsia="Times New Roman"/>
                <w:color w:val="202124"/>
                <w:sz w:val="22"/>
                <w:szCs w:val="22"/>
                <w:lang w:eastAsia="ru-RU"/>
              </w:rPr>
              <w:t xml:space="preserve"> (</w:t>
            </w:r>
            <w:r w:rsidR="00B333DC" w:rsidRPr="00A76175">
              <w:rPr>
                <w:rFonts w:eastAsia="Times New Roman"/>
                <w:color w:val="202124"/>
                <w:sz w:val="22"/>
                <w:szCs w:val="22"/>
                <w:lang w:eastAsia="ru-RU"/>
              </w:rPr>
              <w:t>основная группа</w:t>
            </w:r>
            <w:r w:rsidRPr="00A76175">
              <w:rPr>
                <w:rFonts w:eastAsia="Times New Roman"/>
                <w:color w:val="202124"/>
                <w:sz w:val="22"/>
                <w:szCs w:val="22"/>
                <w:lang w:eastAsia="ru-RU"/>
              </w:rPr>
              <w:t xml:space="preserve">) </w:t>
            </w:r>
          </w:p>
          <w:p w14:paraId="5DEE78F0" w14:textId="27070DAB" w:rsidR="009E2AAD" w:rsidRPr="00A76175" w:rsidRDefault="009E2AAD">
            <w:pPr>
              <w:rPr>
                <w:rFonts w:eastAsia="Times New Roman"/>
                <w:color w:val="202124"/>
                <w:sz w:val="22"/>
                <w:szCs w:val="22"/>
                <w:lang w:val="en-US" w:eastAsia="ru-RU"/>
              </w:rPr>
            </w:pPr>
            <w:r w:rsidRPr="00A76175">
              <w:rPr>
                <w:rFonts w:eastAsia="Times New Roman"/>
                <w:color w:val="202124"/>
                <w:sz w:val="22"/>
                <w:szCs w:val="22"/>
                <w:lang w:val="en-US" w:eastAsia="ru-RU"/>
              </w:rPr>
              <w:t>8M + 8F (</w:t>
            </w:r>
            <w:r w:rsidR="00B333DC" w:rsidRPr="00A76175">
              <w:rPr>
                <w:rFonts w:eastAsia="Times New Roman"/>
                <w:color w:val="202124"/>
                <w:sz w:val="22"/>
                <w:szCs w:val="22"/>
                <w:lang w:eastAsia="ru-RU"/>
              </w:rPr>
              <w:t>дополнительная группа</w:t>
            </w:r>
            <w:r w:rsidRPr="00A76175">
              <w:rPr>
                <w:rFonts w:eastAsia="Times New Roman"/>
                <w:color w:val="202124"/>
                <w:sz w:val="22"/>
                <w:szCs w:val="22"/>
                <w:lang w:val="en-US" w:eastAsia="ru-RU"/>
              </w:rPr>
              <w:t>)</w:t>
            </w:r>
          </w:p>
        </w:tc>
        <w:tc>
          <w:tcPr>
            <w:tcW w:w="1372" w:type="dxa"/>
            <w:tcBorders>
              <w:top w:val="nil"/>
              <w:left w:val="nil"/>
              <w:bottom w:val="single" w:sz="4" w:space="0" w:color="auto"/>
              <w:right w:val="single" w:sz="4" w:space="0" w:color="auto"/>
            </w:tcBorders>
            <w:shd w:val="clear" w:color="auto" w:fill="auto"/>
            <w:vAlign w:val="center"/>
            <w:hideMark/>
          </w:tcPr>
          <w:p w14:paraId="20A26BE0" w14:textId="0054DC50" w:rsidR="009E2AAD" w:rsidRPr="00A76175" w:rsidRDefault="009E2AAD" w:rsidP="009E2AAD">
            <w:pPr>
              <w:rPr>
                <w:rFonts w:eastAsia="Times New Roman"/>
                <w:color w:val="000000"/>
                <w:sz w:val="22"/>
                <w:szCs w:val="22"/>
                <w:lang w:eastAsia="ru-RU"/>
              </w:rPr>
            </w:pPr>
            <w:r w:rsidRPr="00A76175">
              <w:rPr>
                <w:rFonts w:eastAsia="Times New Roman"/>
                <w:color w:val="000000"/>
                <w:sz w:val="22"/>
                <w:szCs w:val="22"/>
                <w:lang w:eastAsia="ru-RU"/>
              </w:rPr>
              <w:t>Внутрь / через желудочный зонд (PEG 400)</w:t>
            </w:r>
          </w:p>
        </w:tc>
        <w:tc>
          <w:tcPr>
            <w:tcW w:w="930" w:type="dxa"/>
            <w:tcBorders>
              <w:top w:val="nil"/>
              <w:left w:val="nil"/>
              <w:bottom w:val="single" w:sz="4" w:space="0" w:color="auto"/>
              <w:right w:val="single" w:sz="4" w:space="0" w:color="auto"/>
            </w:tcBorders>
            <w:shd w:val="clear" w:color="auto" w:fill="auto"/>
            <w:vAlign w:val="center"/>
            <w:hideMark/>
          </w:tcPr>
          <w:p w14:paraId="12113E4E" w14:textId="77777777" w:rsidR="009E2AAD" w:rsidRPr="00A76175" w:rsidRDefault="009E2AAD" w:rsidP="008B0B82">
            <w:pPr>
              <w:jc w:val="center"/>
              <w:rPr>
                <w:rFonts w:eastAsia="Times New Roman"/>
                <w:color w:val="000000"/>
                <w:sz w:val="22"/>
                <w:szCs w:val="22"/>
                <w:lang w:eastAsia="ru-RU"/>
              </w:rPr>
            </w:pPr>
            <w:r w:rsidRPr="00A76175">
              <w:rPr>
                <w:rFonts w:eastAsia="Times New Roman"/>
                <w:color w:val="000000"/>
                <w:sz w:val="22"/>
                <w:szCs w:val="22"/>
                <w:lang w:eastAsia="ru-RU"/>
              </w:rPr>
              <w:t>4 недели</w:t>
            </w:r>
          </w:p>
        </w:tc>
        <w:tc>
          <w:tcPr>
            <w:tcW w:w="1984" w:type="dxa"/>
            <w:tcBorders>
              <w:top w:val="nil"/>
              <w:left w:val="nil"/>
              <w:bottom w:val="single" w:sz="4" w:space="0" w:color="auto"/>
              <w:right w:val="single" w:sz="4" w:space="0" w:color="auto"/>
            </w:tcBorders>
            <w:shd w:val="clear" w:color="auto" w:fill="auto"/>
            <w:vAlign w:val="center"/>
            <w:hideMark/>
          </w:tcPr>
          <w:p w14:paraId="3A8FE637" w14:textId="54A41836" w:rsidR="009E2AAD" w:rsidRPr="00A76175" w:rsidRDefault="009E2AAD" w:rsidP="00EE1D8E">
            <w:pPr>
              <w:jc w:val="left"/>
              <w:rPr>
                <w:rFonts w:eastAsia="Times New Roman"/>
                <w:color w:val="000000"/>
                <w:sz w:val="22"/>
                <w:szCs w:val="22"/>
                <w:lang w:eastAsia="ru-RU"/>
              </w:rPr>
            </w:pPr>
            <w:r w:rsidRPr="00A76175">
              <w:rPr>
                <w:rFonts w:eastAsia="Times New Roman"/>
                <w:color w:val="000000"/>
                <w:sz w:val="22"/>
                <w:szCs w:val="22"/>
                <w:lang w:eastAsia="ru-RU"/>
              </w:rPr>
              <w:t>0 (растворитель), 0 (растворитель + Витамин К1 п/к), 1000, 1000 (+ Витамин K1 п/к)</w:t>
            </w:r>
            <w:r w:rsidR="00CB2579" w:rsidRPr="00A76175">
              <w:rPr>
                <w:rFonts w:eastAsia="Times New Roman"/>
                <w:color w:val="000000"/>
                <w:sz w:val="22"/>
                <w:szCs w:val="22"/>
                <w:lang w:eastAsia="ru-RU"/>
              </w:rPr>
              <w:t>,</w:t>
            </w:r>
            <w:r w:rsidRPr="00A76175">
              <w:rPr>
                <w:rFonts w:eastAsia="Times New Roman"/>
                <w:color w:val="000000"/>
                <w:sz w:val="22"/>
                <w:szCs w:val="22"/>
                <w:lang w:eastAsia="ru-RU"/>
              </w:rPr>
              <w:t xml:space="preserve"> </w:t>
            </w:r>
            <w:r w:rsidR="00B333DC" w:rsidRPr="00A76175">
              <w:rPr>
                <w:rFonts w:eastAsia="Times New Roman"/>
                <w:color w:val="000000"/>
                <w:sz w:val="22"/>
                <w:szCs w:val="22"/>
                <w:lang w:eastAsia="ru-RU"/>
              </w:rPr>
              <w:t xml:space="preserve"> этравирина</w:t>
            </w:r>
            <w:r w:rsidRPr="00A76175">
              <w:rPr>
                <w:rFonts w:eastAsia="Times New Roman"/>
                <w:color w:val="000000"/>
                <w:sz w:val="22"/>
                <w:szCs w:val="22"/>
                <w:lang w:eastAsia="ru-RU"/>
              </w:rPr>
              <w:t xml:space="preserve"> HBr </w:t>
            </w:r>
          </w:p>
        </w:tc>
        <w:tc>
          <w:tcPr>
            <w:tcW w:w="3544" w:type="dxa"/>
            <w:tcBorders>
              <w:top w:val="nil"/>
              <w:left w:val="nil"/>
              <w:bottom w:val="single" w:sz="4" w:space="0" w:color="auto"/>
              <w:right w:val="single" w:sz="4" w:space="0" w:color="auto"/>
            </w:tcBorders>
            <w:shd w:val="clear" w:color="auto" w:fill="auto"/>
            <w:vAlign w:val="center"/>
            <w:hideMark/>
          </w:tcPr>
          <w:p w14:paraId="3D7FA871" w14:textId="3641A736" w:rsidR="009E2AAD" w:rsidRPr="00A76175" w:rsidRDefault="009E2AAD">
            <w:pPr>
              <w:jc w:val="left"/>
              <w:rPr>
                <w:rFonts w:eastAsia="Times New Roman"/>
                <w:color w:val="000000"/>
                <w:sz w:val="22"/>
                <w:szCs w:val="22"/>
                <w:lang w:eastAsia="ru-RU"/>
              </w:rPr>
            </w:pPr>
            <w:r w:rsidRPr="00A76175">
              <w:rPr>
                <w:rFonts w:eastAsia="Times New Roman"/>
                <w:color w:val="000000"/>
                <w:sz w:val="22"/>
                <w:szCs w:val="22"/>
                <w:lang w:eastAsia="ru-RU"/>
              </w:rPr>
              <w:t>Нет случаев геморрагической кардиомиопатии и кровоизлияний в другие органы.</w:t>
            </w:r>
            <w:r w:rsidRPr="00A76175">
              <w:rPr>
                <w:rFonts w:eastAsia="Times New Roman"/>
                <w:color w:val="000000"/>
                <w:sz w:val="22"/>
                <w:szCs w:val="22"/>
                <w:lang w:eastAsia="ru-RU"/>
              </w:rPr>
              <w:br/>
              <w:t xml:space="preserve">Этравирин: ↑ </w:t>
            </w:r>
            <w:r w:rsidRPr="00A76175">
              <w:rPr>
                <w:rFonts w:eastAsia="Times New Roman"/>
                <w:color w:val="000000"/>
                <w:sz w:val="22"/>
                <w:szCs w:val="22"/>
                <w:lang w:val="en-US" w:eastAsia="ru-RU"/>
              </w:rPr>
              <w:t>A</w:t>
            </w:r>
            <w:r w:rsidRPr="00A76175">
              <w:rPr>
                <w:rFonts w:eastAsia="Times New Roman"/>
                <w:color w:val="000000"/>
                <w:sz w:val="22"/>
                <w:szCs w:val="22"/>
                <w:lang w:eastAsia="ru-RU"/>
              </w:rPr>
              <w:t xml:space="preserve">ЧТВ + ПВ и ↓ витамин </w:t>
            </w:r>
            <w:r w:rsidRPr="00A76175">
              <w:rPr>
                <w:rFonts w:eastAsia="Times New Roman"/>
                <w:color w:val="000000"/>
                <w:sz w:val="22"/>
                <w:szCs w:val="22"/>
                <w:lang w:val="en-US" w:eastAsia="ru-RU"/>
              </w:rPr>
              <w:t>K</w:t>
            </w:r>
            <w:r w:rsidRPr="00A76175">
              <w:rPr>
                <w:rFonts w:eastAsia="Times New Roman"/>
                <w:color w:val="000000"/>
                <w:sz w:val="22"/>
                <w:szCs w:val="22"/>
                <w:lang w:eastAsia="ru-RU"/>
              </w:rPr>
              <w:t xml:space="preserve"> – зависимых факторов свертывания крови </w:t>
            </w:r>
            <w:r w:rsidRPr="00A76175">
              <w:rPr>
                <w:rFonts w:eastAsia="Times New Roman"/>
                <w:color w:val="000000"/>
                <w:sz w:val="22"/>
                <w:szCs w:val="22"/>
                <w:lang w:val="en-US" w:eastAsia="ru-RU"/>
              </w:rPr>
              <w:t>II</w:t>
            </w:r>
            <w:r w:rsidRPr="00A76175">
              <w:rPr>
                <w:rFonts w:eastAsia="Times New Roman"/>
                <w:color w:val="000000"/>
                <w:sz w:val="22"/>
                <w:szCs w:val="22"/>
                <w:lang w:eastAsia="ru-RU"/>
              </w:rPr>
              <w:t xml:space="preserve"> и </w:t>
            </w:r>
            <w:r w:rsidRPr="00A76175">
              <w:rPr>
                <w:rFonts w:eastAsia="Times New Roman"/>
                <w:color w:val="000000"/>
                <w:sz w:val="22"/>
                <w:szCs w:val="22"/>
                <w:lang w:val="en-US" w:eastAsia="ru-RU"/>
              </w:rPr>
              <w:t>VII</w:t>
            </w:r>
            <w:r w:rsidRPr="00A76175">
              <w:rPr>
                <w:rFonts w:eastAsia="Times New Roman"/>
                <w:color w:val="000000"/>
                <w:sz w:val="22"/>
                <w:szCs w:val="22"/>
                <w:lang w:eastAsia="ru-RU"/>
              </w:rPr>
              <w:t>. Эффекты были более выражены у М.</w:t>
            </w:r>
            <w:r w:rsidRPr="00A76175">
              <w:rPr>
                <w:rFonts w:eastAsia="Times New Roman"/>
                <w:color w:val="000000"/>
                <w:sz w:val="22"/>
                <w:szCs w:val="22"/>
                <w:lang w:eastAsia="ru-RU"/>
              </w:rPr>
              <w:br/>
              <w:t xml:space="preserve">Нет влияния на факторы свертывания крови </w:t>
            </w:r>
            <w:r w:rsidRPr="00A76175">
              <w:rPr>
                <w:rFonts w:eastAsia="Times New Roman"/>
                <w:color w:val="000000"/>
                <w:sz w:val="22"/>
                <w:szCs w:val="22"/>
                <w:lang w:val="en-US" w:eastAsia="ru-RU"/>
              </w:rPr>
              <w:t>II</w:t>
            </w:r>
            <w:r w:rsidRPr="00A76175">
              <w:rPr>
                <w:rFonts w:eastAsia="Times New Roman"/>
                <w:color w:val="000000"/>
                <w:sz w:val="22"/>
                <w:szCs w:val="22"/>
                <w:lang w:eastAsia="ru-RU"/>
              </w:rPr>
              <w:t xml:space="preserve"> и </w:t>
            </w:r>
            <w:r w:rsidRPr="00A76175">
              <w:rPr>
                <w:rFonts w:eastAsia="Times New Roman"/>
                <w:color w:val="000000"/>
                <w:sz w:val="22"/>
                <w:szCs w:val="22"/>
                <w:lang w:val="en-US" w:eastAsia="ru-RU"/>
              </w:rPr>
              <w:t>VII</w:t>
            </w:r>
            <w:r w:rsidRPr="00A76175">
              <w:rPr>
                <w:rFonts w:eastAsia="Times New Roman"/>
                <w:color w:val="000000"/>
                <w:sz w:val="22"/>
                <w:szCs w:val="22"/>
                <w:lang w:eastAsia="ru-RU"/>
              </w:rPr>
              <w:t xml:space="preserve"> у </w:t>
            </w:r>
            <w:r w:rsidRPr="00A76175">
              <w:rPr>
                <w:rFonts w:eastAsia="Times New Roman"/>
                <w:color w:val="000000"/>
                <w:sz w:val="22"/>
                <w:szCs w:val="22"/>
                <w:lang w:val="en-US" w:eastAsia="ru-RU"/>
              </w:rPr>
              <w:t>F</w:t>
            </w:r>
            <w:r w:rsidRPr="00A76175">
              <w:rPr>
                <w:rFonts w:eastAsia="Times New Roman"/>
                <w:color w:val="000000"/>
                <w:sz w:val="22"/>
                <w:szCs w:val="22"/>
                <w:lang w:eastAsia="ru-RU"/>
              </w:rPr>
              <w:t>.</w:t>
            </w:r>
            <w:r w:rsidRPr="00A76175">
              <w:rPr>
                <w:rFonts w:eastAsia="Times New Roman"/>
                <w:color w:val="000000"/>
                <w:sz w:val="22"/>
                <w:szCs w:val="22"/>
                <w:lang w:eastAsia="ru-RU"/>
              </w:rPr>
              <w:br/>
              <w:t xml:space="preserve">Этравирин с Витамином К: нормализация времени коагуляции и факторов свертывания крови </w:t>
            </w:r>
            <w:r w:rsidRPr="00A76175">
              <w:rPr>
                <w:rFonts w:eastAsia="Times New Roman"/>
                <w:color w:val="000000"/>
                <w:sz w:val="22"/>
                <w:szCs w:val="22"/>
                <w:lang w:val="en-US" w:eastAsia="ru-RU"/>
              </w:rPr>
              <w:t>II</w:t>
            </w:r>
            <w:r w:rsidRPr="00A76175">
              <w:rPr>
                <w:rFonts w:eastAsia="Times New Roman"/>
                <w:color w:val="000000"/>
                <w:sz w:val="22"/>
                <w:szCs w:val="22"/>
                <w:lang w:eastAsia="ru-RU"/>
              </w:rPr>
              <w:t xml:space="preserve"> и </w:t>
            </w:r>
            <w:r w:rsidRPr="00A76175">
              <w:rPr>
                <w:rFonts w:eastAsia="Times New Roman"/>
                <w:color w:val="000000"/>
                <w:sz w:val="22"/>
                <w:szCs w:val="22"/>
                <w:lang w:val="en-US" w:eastAsia="ru-RU"/>
              </w:rPr>
              <w:t>VII</w:t>
            </w:r>
            <w:r w:rsidRPr="00A76175">
              <w:rPr>
                <w:rFonts w:eastAsia="Times New Roman"/>
                <w:color w:val="000000"/>
                <w:sz w:val="22"/>
                <w:szCs w:val="22"/>
                <w:lang w:eastAsia="ru-RU"/>
              </w:rPr>
              <w:t xml:space="preserve">. Введение через зонд этравирина </w:t>
            </w:r>
            <w:r w:rsidRPr="00A76175">
              <w:rPr>
                <w:rFonts w:eastAsia="Times New Roman"/>
                <w:color w:val="000000"/>
                <w:sz w:val="22"/>
                <w:szCs w:val="22"/>
                <w:lang w:val="en-US" w:eastAsia="ru-RU"/>
              </w:rPr>
              <w:t>HBr</w:t>
            </w:r>
            <w:r w:rsidRPr="00A76175">
              <w:rPr>
                <w:rFonts w:eastAsia="Times New Roman"/>
                <w:color w:val="000000"/>
                <w:sz w:val="22"/>
                <w:szCs w:val="22"/>
                <w:lang w:eastAsia="ru-RU"/>
              </w:rPr>
              <w:t xml:space="preserve"> оказывало меньшее влияние на время свертывания крови по сравнению с </w:t>
            </w:r>
            <w:r w:rsidR="00CB2579" w:rsidRPr="00A76175">
              <w:rPr>
                <w:rFonts w:eastAsia="Times New Roman"/>
                <w:color w:val="000000"/>
                <w:sz w:val="22"/>
                <w:szCs w:val="22"/>
                <w:lang w:eastAsia="ru-RU"/>
              </w:rPr>
              <w:t>его добавлением к пище</w:t>
            </w:r>
            <w:r w:rsidRPr="00A76175">
              <w:rPr>
                <w:rFonts w:eastAsia="Times New Roman"/>
                <w:color w:val="000000"/>
                <w:sz w:val="22"/>
                <w:szCs w:val="22"/>
                <w:lang w:eastAsia="ru-RU"/>
              </w:rPr>
              <w:t>.</w:t>
            </w:r>
          </w:p>
        </w:tc>
      </w:tr>
      <w:tr w:rsidR="009E2AAD" w:rsidRPr="007D3C73" w14:paraId="17BC19E4" w14:textId="77777777" w:rsidTr="00A97B7A">
        <w:trPr>
          <w:trHeight w:val="290"/>
        </w:trPr>
        <w:tc>
          <w:tcPr>
            <w:tcW w:w="1541" w:type="dxa"/>
            <w:tcBorders>
              <w:top w:val="nil"/>
              <w:left w:val="single" w:sz="4" w:space="0" w:color="auto"/>
              <w:bottom w:val="nil"/>
              <w:right w:val="nil"/>
            </w:tcBorders>
            <w:shd w:val="clear" w:color="auto" w:fill="auto"/>
            <w:hideMark/>
          </w:tcPr>
          <w:p w14:paraId="41C842EE" w14:textId="1976D8B7" w:rsidR="009E2AAD" w:rsidRPr="007D3C73" w:rsidRDefault="009E2AAD" w:rsidP="009E2AAD">
            <w:pPr>
              <w:rPr>
                <w:rFonts w:eastAsia="Times New Roman"/>
                <w:b/>
                <w:bCs/>
                <w:color w:val="000000"/>
                <w:sz w:val="20"/>
                <w:lang w:eastAsia="ru-RU"/>
              </w:rPr>
            </w:pPr>
            <w:r w:rsidRPr="007D3C73">
              <w:rPr>
                <w:rFonts w:eastAsia="Times New Roman"/>
                <w:b/>
                <w:bCs/>
                <w:color w:val="000000"/>
                <w:sz w:val="20"/>
                <w:lang w:eastAsia="ru-RU"/>
              </w:rPr>
              <w:t>Примечан</w:t>
            </w:r>
            <w:r w:rsidR="003D1BF7">
              <w:rPr>
                <w:rFonts w:eastAsia="Times New Roman"/>
                <w:b/>
                <w:bCs/>
                <w:color w:val="000000"/>
                <w:sz w:val="20"/>
                <w:lang w:eastAsia="ru-RU"/>
              </w:rPr>
              <w:t>и</w:t>
            </w:r>
            <w:r w:rsidRPr="007D3C73">
              <w:rPr>
                <w:rFonts w:eastAsia="Times New Roman"/>
                <w:b/>
                <w:bCs/>
                <w:color w:val="000000"/>
                <w:sz w:val="20"/>
                <w:lang w:eastAsia="ru-RU"/>
              </w:rPr>
              <w:t xml:space="preserve">е: </w:t>
            </w:r>
          </w:p>
        </w:tc>
        <w:tc>
          <w:tcPr>
            <w:tcW w:w="1372" w:type="dxa"/>
            <w:tcBorders>
              <w:top w:val="nil"/>
              <w:left w:val="nil"/>
              <w:bottom w:val="nil"/>
              <w:right w:val="nil"/>
            </w:tcBorders>
            <w:shd w:val="clear" w:color="auto" w:fill="auto"/>
            <w:hideMark/>
          </w:tcPr>
          <w:p w14:paraId="3ABC7FCD" w14:textId="77777777" w:rsidR="009E2AAD" w:rsidRPr="007D3C73" w:rsidRDefault="009E2AAD" w:rsidP="009E2AAD">
            <w:pPr>
              <w:rPr>
                <w:rFonts w:eastAsia="Times New Roman"/>
                <w:color w:val="000000"/>
                <w:lang w:eastAsia="ru-RU"/>
              </w:rPr>
            </w:pPr>
            <w:r w:rsidRPr="007D3C73">
              <w:rPr>
                <w:rFonts w:eastAsia="Times New Roman"/>
                <w:color w:val="000000"/>
                <w:lang w:eastAsia="ru-RU"/>
              </w:rPr>
              <w:t> </w:t>
            </w:r>
          </w:p>
        </w:tc>
        <w:tc>
          <w:tcPr>
            <w:tcW w:w="930" w:type="dxa"/>
            <w:tcBorders>
              <w:top w:val="nil"/>
              <w:left w:val="nil"/>
              <w:bottom w:val="nil"/>
              <w:right w:val="nil"/>
            </w:tcBorders>
            <w:shd w:val="clear" w:color="auto" w:fill="auto"/>
            <w:hideMark/>
          </w:tcPr>
          <w:p w14:paraId="6C7F9F0E" w14:textId="77777777" w:rsidR="009E2AAD" w:rsidRPr="007D3C73" w:rsidRDefault="009E2AAD" w:rsidP="009E2AAD">
            <w:pPr>
              <w:rPr>
                <w:rFonts w:eastAsia="Times New Roman"/>
                <w:color w:val="000000"/>
                <w:lang w:eastAsia="ru-RU"/>
              </w:rPr>
            </w:pPr>
            <w:r w:rsidRPr="007D3C73">
              <w:rPr>
                <w:rFonts w:eastAsia="Times New Roman"/>
                <w:color w:val="000000"/>
                <w:lang w:eastAsia="ru-RU"/>
              </w:rPr>
              <w:t> </w:t>
            </w:r>
          </w:p>
        </w:tc>
        <w:tc>
          <w:tcPr>
            <w:tcW w:w="1984" w:type="dxa"/>
            <w:tcBorders>
              <w:top w:val="nil"/>
              <w:left w:val="nil"/>
              <w:bottom w:val="nil"/>
              <w:right w:val="nil"/>
            </w:tcBorders>
            <w:shd w:val="clear" w:color="auto" w:fill="auto"/>
            <w:hideMark/>
          </w:tcPr>
          <w:p w14:paraId="7705D624" w14:textId="77777777" w:rsidR="009E2AAD" w:rsidRPr="007D3C73" w:rsidRDefault="009E2AAD" w:rsidP="009E2AAD">
            <w:pPr>
              <w:rPr>
                <w:rFonts w:eastAsia="Times New Roman"/>
                <w:color w:val="000000"/>
                <w:lang w:eastAsia="ru-RU"/>
              </w:rPr>
            </w:pPr>
            <w:r w:rsidRPr="007D3C73">
              <w:rPr>
                <w:rFonts w:eastAsia="Times New Roman"/>
                <w:color w:val="000000"/>
                <w:lang w:eastAsia="ru-RU"/>
              </w:rPr>
              <w:t> </w:t>
            </w:r>
          </w:p>
        </w:tc>
        <w:tc>
          <w:tcPr>
            <w:tcW w:w="3544" w:type="dxa"/>
            <w:tcBorders>
              <w:top w:val="nil"/>
              <w:left w:val="nil"/>
              <w:bottom w:val="nil"/>
              <w:right w:val="single" w:sz="4" w:space="0" w:color="auto"/>
            </w:tcBorders>
            <w:shd w:val="clear" w:color="auto" w:fill="auto"/>
            <w:hideMark/>
          </w:tcPr>
          <w:p w14:paraId="35F51F3C" w14:textId="77777777" w:rsidR="009E2AAD" w:rsidRPr="007D3C73" w:rsidRDefault="009E2AAD" w:rsidP="009E2AAD">
            <w:pPr>
              <w:rPr>
                <w:rFonts w:eastAsia="Times New Roman"/>
                <w:color w:val="000000"/>
                <w:lang w:eastAsia="ru-RU"/>
              </w:rPr>
            </w:pPr>
            <w:r w:rsidRPr="007D3C73">
              <w:rPr>
                <w:rFonts w:eastAsia="Times New Roman"/>
                <w:color w:val="000000"/>
                <w:lang w:eastAsia="ru-RU"/>
              </w:rPr>
              <w:t> </w:t>
            </w:r>
          </w:p>
        </w:tc>
      </w:tr>
      <w:tr w:rsidR="009E2AAD" w:rsidRPr="007D3C73" w14:paraId="180CAAF3" w14:textId="77777777" w:rsidTr="00A97B7A">
        <w:trPr>
          <w:trHeight w:val="253"/>
        </w:trPr>
        <w:tc>
          <w:tcPr>
            <w:tcW w:w="9371" w:type="dxa"/>
            <w:gridSpan w:val="5"/>
            <w:tcBorders>
              <w:top w:val="nil"/>
              <w:left w:val="single" w:sz="4" w:space="0" w:color="auto"/>
              <w:bottom w:val="single" w:sz="4" w:space="0" w:color="auto"/>
              <w:right w:val="single" w:sz="4" w:space="0" w:color="000000"/>
            </w:tcBorders>
            <w:shd w:val="clear" w:color="auto" w:fill="auto"/>
            <w:hideMark/>
          </w:tcPr>
          <w:p w14:paraId="2639F22F" w14:textId="0E04E8AC" w:rsidR="009E2AAD" w:rsidRPr="007D3C73" w:rsidRDefault="009E2AAD">
            <w:pPr>
              <w:rPr>
                <w:rFonts w:eastAsia="Times New Roman"/>
                <w:color w:val="000000"/>
                <w:sz w:val="20"/>
                <w:lang w:eastAsia="ru-RU"/>
              </w:rPr>
            </w:pPr>
            <w:r w:rsidRPr="007D3C73">
              <w:rPr>
                <w:rFonts w:eastAsia="Times New Roman"/>
                <w:color w:val="000000"/>
                <w:sz w:val="20"/>
                <w:lang w:eastAsia="ru-RU"/>
              </w:rPr>
              <w:t xml:space="preserve">АЧТВ: активированное частичное тромбопластиновое время; F: </w:t>
            </w:r>
            <w:r w:rsidR="00B333DC">
              <w:rPr>
                <w:rFonts w:eastAsia="Times New Roman"/>
                <w:color w:val="000000"/>
                <w:sz w:val="20"/>
                <w:lang w:eastAsia="ru-RU"/>
              </w:rPr>
              <w:t>самки</w:t>
            </w:r>
            <w:r w:rsidRPr="007D3C73">
              <w:rPr>
                <w:rFonts w:eastAsia="Times New Roman"/>
                <w:color w:val="000000"/>
                <w:sz w:val="20"/>
                <w:lang w:eastAsia="ru-RU"/>
              </w:rPr>
              <w:t xml:space="preserve">; М: </w:t>
            </w:r>
            <w:r w:rsidR="00B333DC">
              <w:rPr>
                <w:rFonts w:eastAsia="Times New Roman"/>
                <w:color w:val="000000"/>
                <w:sz w:val="20"/>
                <w:lang w:eastAsia="ru-RU"/>
              </w:rPr>
              <w:t>самцы</w:t>
            </w:r>
            <w:r w:rsidRPr="007D3C73">
              <w:rPr>
                <w:rFonts w:eastAsia="Times New Roman"/>
                <w:color w:val="000000"/>
                <w:sz w:val="20"/>
                <w:lang w:eastAsia="ru-RU"/>
              </w:rPr>
              <w:t>; P</w:t>
            </w:r>
            <w:r>
              <w:rPr>
                <w:rFonts w:eastAsia="Times New Roman"/>
                <w:color w:val="000000"/>
                <w:sz w:val="20"/>
                <w:lang w:eastAsia="ru-RU"/>
              </w:rPr>
              <w:t>EG400: полиэтиленгликоль 400; ПВ</w:t>
            </w:r>
            <w:r w:rsidRPr="007D3C73">
              <w:rPr>
                <w:rFonts w:eastAsia="Times New Roman"/>
                <w:color w:val="000000"/>
                <w:sz w:val="20"/>
                <w:lang w:eastAsia="ru-RU"/>
              </w:rPr>
              <w:t xml:space="preserve">: протромбиновое время; п/к: подкожно; ↑: </w:t>
            </w:r>
            <w:r w:rsidR="003D1BF7">
              <w:rPr>
                <w:rFonts w:eastAsia="Times New Roman"/>
                <w:color w:val="000000"/>
                <w:sz w:val="20"/>
                <w:lang w:eastAsia="ru-RU"/>
              </w:rPr>
              <w:t>повышение</w:t>
            </w:r>
            <w:r w:rsidRPr="007D3C73">
              <w:rPr>
                <w:rFonts w:eastAsia="Times New Roman"/>
                <w:color w:val="000000"/>
                <w:sz w:val="20"/>
                <w:lang w:eastAsia="ru-RU"/>
              </w:rPr>
              <w:t xml:space="preserve">; ↓: </w:t>
            </w:r>
            <w:r w:rsidR="003D1BF7">
              <w:rPr>
                <w:rFonts w:eastAsia="Times New Roman"/>
                <w:color w:val="000000"/>
                <w:sz w:val="20"/>
                <w:lang w:eastAsia="ru-RU"/>
              </w:rPr>
              <w:t>снижение</w:t>
            </w:r>
            <w:r w:rsidRPr="007D3C73">
              <w:rPr>
                <w:rFonts w:eastAsia="Times New Roman"/>
                <w:color w:val="000000"/>
                <w:sz w:val="20"/>
                <w:lang w:eastAsia="ru-RU"/>
              </w:rPr>
              <w:t>.</w:t>
            </w:r>
          </w:p>
        </w:tc>
      </w:tr>
    </w:tbl>
    <w:p w14:paraId="096A1E55" w14:textId="139AFE0B" w:rsidR="00295007" w:rsidRDefault="00295007" w:rsidP="00295007">
      <w:pPr>
        <w:pStyle w:val="2"/>
        <w:spacing w:line="240" w:lineRule="auto"/>
        <w:rPr>
          <w:color w:val="000000" w:themeColor="text1"/>
          <w:szCs w:val="24"/>
        </w:rPr>
      </w:pPr>
      <w:bookmarkStart w:id="133" w:name="_Toc117179217"/>
      <w:bookmarkEnd w:id="131"/>
      <w:r>
        <w:rPr>
          <w:color w:val="000000" w:themeColor="text1"/>
          <w:szCs w:val="24"/>
        </w:rPr>
        <w:t>Список</w:t>
      </w:r>
      <w:r w:rsidRPr="00E4382A">
        <w:rPr>
          <w:color w:val="000000" w:themeColor="text1"/>
          <w:szCs w:val="24"/>
          <w:lang w:val="en-US"/>
        </w:rPr>
        <w:t xml:space="preserve"> </w:t>
      </w:r>
      <w:r>
        <w:rPr>
          <w:color w:val="000000" w:themeColor="text1"/>
          <w:szCs w:val="24"/>
        </w:rPr>
        <w:t>литературы</w:t>
      </w:r>
      <w:bookmarkEnd w:id="133"/>
    </w:p>
    <w:p w14:paraId="67F5F1C5" w14:textId="77777777" w:rsidR="00FE6689" w:rsidRPr="004E4056" w:rsidRDefault="00FE6689" w:rsidP="00CB2579">
      <w:pPr>
        <w:pStyle w:val="afff2"/>
        <w:numPr>
          <w:ilvl w:val="0"/>
          <w:numId w:val="22"/>
        </w:numPr>
        <w:ind w:left="851" w:hanging="425"/>
        <w:rPr>
          <w:lang w:val="en-US"/>
        </w:rPr>
      </w:pPr>
      <w:r w:rsidRPr="004E4056">
        <w:rPr>
          <w:lang w:val="en-US"/>
        </w:rPr>
        <w:t xml:space="preserve">Product Monograph INTELENCE® etravirine tablets 25 mg, 100 mg, 200 mg. Janssen Inc.  Date of Revision: May 17, 2017. </w:t>
      </w:r>
    </w:p>
    <w:p w14:paraId="6148FAB7" w14:textId="6ED2ABE0" w:rsidR="00FE6689" w:rsidRPr="00566E56" w:rsidRDefault="00FE6689" w:rsidP="00CB2579">
      <w:pPr>
        <w:pStyle w:val="afff2"/>
        <w:ind w:left="851" w:hanging="425"/>
      </w:pPr>
      <w:r w:rsidRPr="00566E56">
        <w:t>2.</w:t>
      </w:r>
      <w:r w:rsidRPr="00566E56">
        <w:tab/>
      </w:r>
      <w:r>
        <w:t>Инструкция</w:t>
      </w:r>
      <w:r w:rsidRPr="00566E56">
        <w:t xml:space="preserve"> </w:t>
      </w:r>
      <w:r>
        <w:t>по</w:t>
      </w:r>
      <w:r w:rsidRPr="00566E56">
        <w:t xml:space="preserve"> </w:t>
      </w:r>
      <w:r>
        <w:t>медицинскому</w:t>
      </w:r>
      <w:r w:rsidRPr="00566E56">
        <w:t xml:space="preserve"> </w:t>
      </w:r>
      <w:r>
        <w:t>применению</w:t>
      </w:r>
      <w:r w:rsidRPr="00566E56">
        <w:t xml:space="preserve"> </w:t>
      </w:r>
      <w:r>
        <w:t>препарата</w:t>
      </w:r>
      <w:r w:rsidRPr="00566E56">
        <w:t xml:space="preserve"> </w:t>
      </w:r>
      <w:r>
        <w:t>Интеленс</w:t>
      </w:r>
      <w:r w:rsidRPr="00566E56">
        <w:t xml:space="preserve">®, </w:t>
      </w:r>
      <w:r>
        <w:t>таблетки</w:t>
      </w:r>
      <w:r w:rsidRPr="00566E56">
        <w:t xml:space="preserve"> 25 </w:t>
      </w:r>
      <w:r>
        <w:t>мг</w:t>
      </w:r>
      <w:r w:rsidRPr="00566E56">
        <w:t xml:space="preserve">, 100 </w:t>
      </w:r>
      <w:r>
        <w:t>мг</w:t>
      </w:r>
      <w:r w:rsidRPr="00566E56">
        <w:t xml:space="preserve"> (</w:t>
      </w:r>
      <w:r>
        <w:t>Янссен</w:t>
      </w:r>
      <w:r w:rsidRPr="00566E56">
        <w:t>-</w:t>
      </w:r>
      <w:r>
        <w:t>Силаг</w:t>
      </w:r>
      <w:r w:rsidRPr="00566E56">
        <w:t xml:space="preserve"> </w:t>
      </w:r>
      <w:r>
        <w:t>С</w:t>
      </w:r>
      <w:r w:rsidRPr="00566E56">
        <w:t>.</w:t>
      </w:r>
      <w:r>
        <w:t>п</w:t>
      </w:r>
      <w:r w:rsidRPr="00566E56">
        <w:t>.</w:t>
      </w:r>
      <w:r>
        <w:t>А</w:t>
      </w:r>
      <w:r w:rsidRPr="00566E56">
        <w:t xml:space="preserve">, </w:t>
      </w:r>
      <w:r w:rsidR="00CB2579">
        <w:t>Италия</w:t>
      </w:r>
      <w:r w:rsidR="00CB2579" w:rsidRPr="00566E56">
        <w:t>) владелец</w:t>
      </w:r>
      <w:r w:rsidRPr="00566E56">
        <w:t xml:space="preserve"> </w:t>
      </w:r>
      <w:r>
        <w:t>РУ</w:t>
      </w:r>
      <w:r w:rsidRPr="00566E56">
        <w:t xml:space="preserve">: </w:t>
      </w:r>
      <w:r>
        <w:t>Мерк</w:t>
      </w:r>
      <w:r w:rsidRPr="00566E56">
        <w:t xml:space="preserve"> </w:t>
      </w:r>
      <w:r>
        <w:t>Шарп</w:t>
      </w:r>
      <w:r w:rsidRPr="00566E56">
        <w:t xml:space="preserve"> </w:t>
      </w:r>
      <w:r>
        <w:t>и</w:t>
      </w:r>
      <w:r w:rsidRPr="00566E56">
        <w:t xml:space="preserve"> </w:t>
      </w:r>
      <w:r>
        <w:t>Доум</w:t>
      </w:r>
      <w:r w:rsidRPr="00566E56">
        <w:t xml:space="preserve"> </w:t>
      </w:r>
      <w:r>
        <w:t>Б</w:t>
      </w:r>
      <w:r w:rsidRPr="00566E56">
        <w:t>.</w:t>
      </w:r>
      <w:r>
        <w:t>В</w:t>
      </w:r>
      <w:r w:rsidRPr="00566E56">
        <w:t xml:space="preserve">., </w:t>
      </w:r>
      <w:r>
        <w:t>Нидерланды</w:t>
      </w:r>
      <w:r w:rsidRPr="00566E56">
        <w:t xml:space="preserve">). </w:t>
      </w:r>
    </w:p>
    <w:p w14:paraId="47C72AC0" w14:textId="2318ADA8" w:rsidR="00FE6689" w:rsidRDefault="00FE6689" w:rsidP="00CB2579">
      <w:pPr>
        <w:pStyle w:val="afff2"/>
        <w:ind w:left="851" w:hanging="425"/>
      </w:pPr>
      <w:r>
        <w:t>3.</w:t>
      </w:r>
      <w:r>
        <w:tab/>
        <w:t xml:space="preserve">Инструкция по медицинскому применению препарата Интеленс®, таблетки 200 мг (Янссен-Силаг С.п.А, </w:t>
      </w:r>
      <w:r w:rsidR="00CB2579">
        <w:t>Италия) владелец</w:t>
      </w:r>
      <w:r>
        <w:t xml:space="preserve"> РУ: Мерк Шарп и Доум Б.В., Нидерланды). </w:t>
      </w:r>
    </w:p>
    <w:p w14:paraId="3EBFF3A6" w14:textId="77777777" w:rsidR="00FE6689" w:rsidRPr="004E4056" w:rsidRDefault="00FE6689" w:rsidP="00CB2579">
      <w:pPr>
        <w:pStyle w:val="afff2"/>
        <w:ind w:left="851" w:hanging="425"/>
        <w:rPr>
          <w:lang w:val="en-US"/>
        </w:rPr>
      </w:pPr>
      <w:r>
        <w:t>4.</w:t>
      </w:r>
      <w:r>
        <w:tab/>
        <w:t xml:space="preserve">Министерство здравоохранения Российской Федерации. Клинические рекомендации ВИЧ-инфекция у взрослых. </w:t>
      </w:r>
      <w:r w:rsidRPr="004E4056">
        <w:rPr>
          <w:lang w:val="en-US"/>
        </w:rPr>
        <w:t xml:space="preserve">2020. </w:t>
      </w:r>
    </w:p>
    <w:p w14:paraId="64F2F05C" w14:textId="77777777" w:rsidR="00FE6689" w:rsidRPr="004E4056" w:rsidRDefault="00FE6689" w:rsidP="00CB2579">
      <w:pPr>
        <w:pStyle w:val="afff2"/>
        <w:ind w:left="851" w:hanging="425"/>
        <w:rPr>
          <w:lang w:val="en-US"/>
        </w:rPr>
      </w:pPr>
      <w:r w:rsidRPr="004E4056">
        <w:rPr>
          <w:lang w:val="en-US"/>
        </w:rPr>
        <w:t>5.</w:t>
      </w:r>
      <w:r w:rsidRPr="004E4056">
        <w:rPr>
          <w:lang w:val="en-US"/>
        </w:rPr>
        <w:tab/>
        <w:t xml:space="preserve">British HIV Association (BHIVA) guidelines on antiretroviral treatment for adults living with HIV-1. 2022. </w:t>
      </w:r>
    </w:p>
    <w:p w14:paraId="56FBD715" w14:textId="77777777" w:rsidR="00FE6689" w:rsidRPr="004E4056" w:rsidRDefault="00FE6689" w:rsidP="00CB2579">
      <w:pPr>
        <w:pStyle w:val="afff2"/>
        <w:ind w:left="851" w:hanging="425"/>
        <w:rPr>
          <w:lang w:val="en-US"/>
        </w:rPr>
      </w:pPr>
      <w:r w:rsidRPr="004E4056">
        <w:rPr>
          <w:lang w:val="en-US"/>
        </w:rPr>
        <w:t>6.</w:t>
      </w:r>
      <w:r w:rsidRPr="004E4056">
        <w:rPr>
          <w:lang w:val="en-US"/>
        </w:rPr>
        <w:tab/>
        <w:t xml:space="preserve">Kim J, Vasan S, Kim JH, Ake JA. Current approaches to HIV vaccine development: a narrative review. J Int AIDS Soc. </w:t>
      </w:r>
      <w:r>
        <w:t>ноябрь</w:t>
      </w:r>
      <w:r w:rsidRPr="004E4056">
        <w:rPr>
          <w:lang w:val="en-US"/>
        </w:rPr>
        <w:t xml:space="preserve"> 2021 </w:t>
      </w:r>
      <w:r>
        <w:t>г</w:t>
      </w:r>
      <w:r w:rsidRPr="004E4056">
        <w:rPr>
          <w:lang w:val="en-US"/>
        </w:rPr>
        <w:t xml:space="preserve">.;24 Suppl 7:e25793. </w:t>
      </w:r>
    </w:p>
    <w:p w14:paraId="16771C6B" w14:textId="77777777" w:rsidR="00FE6689" w:rsidRPr="004E4056" w:rsidRDefault="00FE6689" w:rsidP="00CB2579">
      <w:pPr>
        <w:pStyle w:val="afff2"/>
        <w:ind w:left="851" w:hanging="425"/>
        <w:rPr>
          <w:lang w:val="en-US"/>
        </w:rPr>
      </w:pPr>
      <w:r w:rsidRPr="004E4056">
        <w:rPr>
          <w:lang w:val="en-US"/>
        </w:rPr>
        <w:t>7.</w:t>
      </w:r>
      <w:r w:rsidRPr="004E4056">
        <w:rPr>
          <w:lang w:val="en-US"/>
        </w:rPr>
        <w:tab/>
        <w:t xml:space="preserve">World Health Organization. Factsheet. 27 July 2022. https://www.who.int/news-room/fact-sheets/detail/hiv-aids. </w:t>
      </w:r>
    </w:p>
    <w:p w14:paraId="7289FBE6" w14:textId="77777777" w:rsidR="00FE6689" w:rsidRPr="004E4056" w:rsidRDefault="00FE6689" w:rsidP="00CB2579">
      <w:pPr>
        <w:pStyle w:val="afff2"/>
        <w:ind w:left="851" w:hanging="425"/>
        <w:rPr>
          <w:lang w:val="en-US"/>
        </w:rPr>
      </w:pPr>
      <w:r w:rsidRPr="004E4056">
        <w:rPr>
          <w:lang w:val="en-US"/>
        </w:rPr>
        <w:t>8.</w:t>
      </w:r>
      <w:r w:rsidRPr="004E4056">
        <w:rPr>
          <w:lang w:val="en-US"/>
        </w:rPr>
        <w:tab/>
        <w:t xml:space="preserve">Govender RD, Hashim MJ, Khan MA, Mustafa H, Khan G. Global Epidemiology of HIV/AIDS: A Resurgence in North America and Europe. J Epidemiol Glob Health. </w:t>
      </w:r>
      <w:r>
        <w:t>сентябрь</w:t>
      </w:r>
      <w:r w:rsidRPr="004E4056">
        <w:rPr>
          <w:lang w:val="en-US"/>
        </w:rPr>
        <w:t xml:space="preserve"> 2021 </w:t>
      </w:r>
      <w:r>
        <w:t>г</w:t>
      </w:r>
      <w:r w:rsidRPr="004E4056">
        <w:rPr>
          <w:lang w:val="en-US"/>
        </w:rPr>
        <w:t xml:space="preserve">.;11(3):296–301. </w:t>
      </w:r>
    </w:p>
    <w:p w14:paraId="3291AE40" w14:textId="77777777" w:rsidR="00FE6689" w:rsidRDefault="00FE6689" w:rsidP="00CB2579">
      <w:pPr>
        <w:pStyle w:val="afff2"/>
        <w:ind w:left="851" w:hanging="425"/>
      </w:pPr>
      <w:r w:rsidRPr="004E4056">
        <w:rPr>
          <w:lang w:val="en-US"/>
        </w:rPr>
        <w:lastRenderedPageBreak/>
        <w:t>9.</w:t>
      </w:r>
      <w:r w:rsidRPr="004E4056">
        <w:rPr>
          <w:lang w:val="en-US"/>
        </w:rPr>
        <w:tab/>
        <w:t xml:space="preserve">Naif HM. Pathogenesis of HIV Infection. </w:t>
      </w:r>
      <w:r w:rsidRPr="00FB4494">
        <w:rPr>
          <w:lang w:val="en-US"/>
        </w:rPr>
        <w:t>Infectious</w:t>
      </w:r>
      <w:r w:rsidRPr="00447C82">
        <w:t xml:space="preserve"> </w:t>
      </w:r>
      <w:r w:rsidRPr="00FB4494">
        <w:rPr>
          <w:lang w:val="en-US"/>
        </w:rPr>
        <w:t>Disease</w:t>
      </w:r>
      <w:r w:rsidRPr="00447C82">
        <w:t xml:space="preserve"> </w:t>
      </w:r>
      <w:r w:rsidRPr="00FB4494">
        <w:rPr>
          <w:lang w:val="en-US"/>
        </w:rPr>
        <w:t>Reports</w:t>
      </w:r>
      <w:r w:rsidRPr="00447C82">
        <w:t xml:space="preserve"> [</w:t>
      </w:r>
      <w:r>
        <w:t>Интернет</w:t>
      </w:r>
      <w:r w:rsidRPr="00447C82">
        <w:t xml:space="preserve">]. </w:t>
      </w:r>
      <w:r>
        <w:t>6 июнь 2013 г. [цитируется по 13 август 2022 г.];5(Suppl 1). Доступно на: https://www.ncbi.nlm.nih.gov/pmc/articles/PMC3892619/</w:t>
      </w:r>
    </w:p>
    <w:p w14:paraId="19D6A54B" w14:textId="77777777" w:rsidR="00FE6689" w:rsidRPr="004E4056" w:rsidRDefault="00FE6689" w:rsidP="00CB2579">
      <w:pPr>
        <w:pStyle w:val="afff2"/>
        <w:ind w:left="851" w:hanging="425"/>
        <w:rPr>
          <w:lang w:val="en-US"/>
        </w:rPr>
      </w:pPr>
      <w:r w:rsidRPr="004E4056">
        <w:rPr>
          <w:lang w:val="en-US"/>
        </w:rPr>
        <w:t>10.</w:t>
      </w:r>
      <w:r w:rsidRPr="004E4056">
        <w:rPr>
          <w:lang w:val="en-US"/>
        </w:rPr>
        <w:tab/>
        <w:t xml:space="preserve">Cunha RF, Simões S, Carvalheiro M, Pereira JMA, Costa Q, Ascenso A. Novel Antiretroviral Therapeutic Strategies for HIV. Molecules. 31 </w:t>
      </w:r>
      <w:r>
        <w:t>август</w:t>
      </w:r>
      <w:r w:rsidRPr="004E4056">
        <w:rPr>
          <w:lang w:val="en-US"/>
        </w:rPr>
        <w:t xml:space="preserve"> 2021 </w:t>
      </w:r>
      <w:r>
        <w:t>г</w:t>
      </w:r>
      <w:r w:rsidRPr="004E4056">
        <w:rPr>
          <w:lang w:val="en-US"/>
        </w:rPr>
        <w:t xml:space="preserve">.;26(17):5305. </w:t>
      </w:r>
    </w:p>
    <w:p w14:paraId="5A8FF221" w14:textId="77777777" w:rsidR="00FE6689" w:rsidRDefault="00FE6689" w:rsidP="00CB2579">
      <w:pPr>
        <w:pStyle w:val="afff2"/>
        <w:ind w:left="851" w:hanging="425"/>
      </w:pPr>
      <w:r w:rsidRPr="004E4056">
        <w:rPr>
          <w:lang w:val="en-US"/>
        </w:rPr>
        <w:t>11.</w:t>
      </w:r>
      <w:r w:rsidRPr="004E4056">
        <w:rPr>
          <w:lang w:val="en-US"/>
        </w:rPr>
        <w:tab/>
        <w:t xml:space="preserve">Deeks SG, Archin N, Cannon P, Collins S, Jones RB, de Jong MAWP, </w:t>
      </w:r>
      <w:r>
        <w:t>и</w:t>
      </w:r>
      <w:r w:rsidRPr="004E4056">
        <w:rPr>
          <w:lang w:val="en-US"/>
        </w:rPr>
        <w:t xml:space="preserve"> </w:t>
      </w:r>
      <w:r>
        <w:t>др</w:t>
      </w:r>
      <w:r w:rsidRPr="004E4056">
        <w:rPr>
          <w:lang w:val="en-US"/>
        </w:rPr>
        <w:t xml:space="preserve">. Research priorities for an HIV cure: International AIDS Society Global Scientific Strategy 2021. </w:t>
      </w:r>
      <w:r>
        <w:t xml:space="preserve">Nat Med. декабрь 2021 г.;27(12):2085–98. </w:t>
      </w:r>
    </w:p>
    <w:p w14:paraId="5F48CB8E" w14:textId="77777777" w:rsidR="00FE6689" w:rsidRDefault="00FE6689" w:rsidP="00CB2579">
      <w:pPr>
        <w:pStyle w:val="afff2"/>
        <w:ind w:left="851" w:hanging="425"/>
      </w:pPr>
      <w:r>
        <w:t>12.</w:t>
      </w:r>
      <w:r>
        <w:tab/>
        <w:t xml:space="preserve">Министерство здравоохранения Российской Федерации. Клинические рекомендации ВИЧ-инфекция у детей. 2020. </w:t>
      </w:r>
    </w:p>
    <w:p w14:paraId="06B5F230" w14:textId="77777777" w:rsidR="00FE6689" w:rsidRDefault="00FE6689" w:rsidP="00CB2579">
      <w:pPr>
        <w:pStyle w:val="afff2"/>
        <w:ind w:left="851" w:hanging="425"/>
      </w:pPr>
      <w:r>
        <w:t>13.</w:t>
      </w:r>
      <w:r>
        <w:tab/>
        <w:t xml:space="preserve">Клиническая классификация ВИЧ-инфекции. Приложение к Инструкции по заполнению годовой формы государственного федерального статистического наблюдения № 61 «Сведения о контингентах больных ВИЧ-инфекцией», утвержденной Приказом Минздравсоцразвития России от 17.03.2006 г. № 166. </w:t>
      </w:r>
    </w:p>
    <w:p w14:paraId="0D18C89F" w14:textId="04CAD47C" w:rsidR="00FE6689" w:rsidRPr="004E4056" w:rsidRDefault="00FE6689" w:rsidP="00CB2579">
      <w:pPr>
        <w:pStyle w:val="afff2"/>
        <w:ind w:left="851" w:hanging="425"/>
        <w:rPr>
          <w:lang w:val="en-US"/>
        </w:rPr>
      </w:pPr>
      <w:r w:rsidRPr="004E4056">
        <w:rPr>
          <w:lang w:val="en-US"/>
        </w:rPr>
        <w:t>14.</w:t>
      </w:r>
      <w:r w:rsidRPr="004E4056">
        <w:rPr>
          <w:lang w:val="en-US"/>
        </w:rPr>
        <w:tab/>
        <w:t>European AIDS Clinical Society (</w:t>
      </w:r>
      <w:r w:rsidR="00CB2579" w:rsidRPr="004E4056">
        <w:rPr>
          <w:lang w:val="en-US"/>
        </w:rPr>
        <w:t>EACS) Guidelines</w:t>
      </w:r>
      <w:r w:rsidRPr="004E4056">
        <w:rPr>
          <w:lang w:val="en-US"/>
        </w:rPr>
        <w:t xml:space="preserve">. 2021. </w:t>
      </w:r>
    </w:p>
    <w:p w14:paraId="0AD5438C" w14:textId="77777777" w:rsidR="00FE6689" w:rsidRPr="004E4056" w:rsidRDefault="00FE6689" w:rsidP="00CB2579">
      <w:pPr>
        <w:pStyle w:val="afff2"/>
        <w:ind w:left="851" w:hanging="425"/>
        <w:rPr>
          <w:lang w:val="en-US"/>
        </w:rPr>
      </w:pPr>
      <w:r w:rsidRPr="004E4056">
        <w:rPr>
          <w:lang w:val="en-US"/>
        </w:rPr>
        <w:t>15.</w:t>
      </w:r>
      <w:r w:rsidRPr="004E4056">
        <w:rPr>
          <w:lang w:val="en-US"/>
        </w:rPr>
        <w:tab/>
        <w:t xml:space="preserve">Menéndez-Arias L, Delgado R. Update and latest advances in antiretroviral therapy. Trends Pharmacol Sci. </w:t>
      </w:r>
      <w:r>
        <w:t>январь</w:t>
      </w:r>
      <w:r w:rsidRPr="004E4056">
        <w:rPr>
          <w:lang w:val="en-US"/>
        </w:rPr>
        <w:t xml:space="preserve"> 2022 </w:t>
      </w:r>
      <w:r>
        <w:t>г</w:t>
      </w:r>
      <w:r w:rsidRPr="004E4056">
        <w:rPr>
          <w:lang w:val="en-US"/>
        </w:rPr>
        <w:t xml:space="preserve">.;43(1):16–29. </w:t>
      </w:r>
    </w:p>
    <w:p w14:paraId="328D05C9" w14:textId="77777777" w:rsidR="00FE6689" w:rsidRPr="004E4056" w:rsidRDefault="00FE6689" w:rsidP="00CB2579">
      <w:pPr>
        <w:pStyle w:val="afff2"/>
        <w:ind w:left="851" w:hanging="425"/>
        <w:rPr>
          <w:lang w:val="en-US"/>
        </w:rPr>
      </w:pPr>
      <w:r w:rsidRPr="004E4056">
        <w:rPr>
          <w:lang w:val="en-US"/>
        </w:rPr>
        <w:t>16.</w:t>
      </w:r>
      <w:r w:rsidRPr="004E4056">
        <w:rPr>
          <w:lang w:val="en-US"/>
        </w:rPr>
        <w:tab/>
        <w:t xml:space="preserve">Caplan MR, Daar ES, Corado KC. Next generation fixed dose combination pharmacotherapies for treating HIV. Expert Opin Pharmacother. </w:t>
      </w:r>
      <w:r>
        <w:t>апрель</w:t>
      </w:r>
      <w:r w:rsidRPr="004E4056">
        <w:rPr>
          <w:lang w:val="en-US"/>
        </w:rPr>
        <w:t xml:space="preserve"> 2018 </w:t>
      </w:r>
      <w:r>
        <w:t>г</w:t>
      </w:r>
      <w:r w:rsidRPr="004E4056">
        <w:rPr>
          <w:lang w:val="en-US"/>
        </w:rPr>
        <w:t xml:space="preserve">.;19(6):589–96. </w:t>
      </w:r>
    </w:p>
    <w:p w14:paraId="6723C523" w14:textId="39BDFB10" w:rsidR="00FE6689" w:rsidRPr="004E4056" w:rsidRDefault="00FE6689" w:rsidP="00CB2579">
      <w:pPr>
        <w:pStyle w:val="afff2"/>
        <w:ind w:left="851" w:hanging="425"/>
        <w:rPr>
          <w:lang w:val="en-US"/>
        </w:rPr>
      </w:pPr>
      <w:r w:rsidRPr="004E4056">
        <w:rPr>
          <w:lang w:val="en-US"/>
        </w:rPr>
        <w:t>17.</w:t>
      </w:r>
      <w:r w:rsidRPr="004E4056">
        <w:rPr>
          <w:lang w:val="en-US"/>
        </w:rPr>
        <w:tab/>
        <w:t xml:space="preserve">Tao X, Lu Y, Zhou Y, Zhang L, Chen Y. Efficacy and safety of the regimens containing tenofovir alafenamide versus tenofovir disoproxil fumarate in fixed-dose single-tablet regimens for initial treatment of HIV-1 infection: A meta-analysis of randomized controlled trials. Int J Infect Dis. </w:t>
      </w:r>
      <w:r>
        <w:t>апрель</w:t>
      </w:r>
      <w:r w:rsidRPr="004E4056">
        <w:rPr>
          <w:lang w:val="en-US"/>
        </w:rPr>
        <w:t xml:space="preserve"> 2020 </w:t>
      </w:r>
      <w:r>
        <w:t>г</w:t>
      </w:r>
      <w:r w:rsidRPr="004E4056">
        <w:rPr>
          <w:lang w:val="en-US"/>
        </w:rPr>
        <w:t>.;</w:t>
      </w:r>
      <w:r w:rsidR="00CB2579" w:rsidRPr="008B0B82">
        <w:rPr>
          <w:lang w:val="en-US"/>
        </w:rPr>
        <w:t xml:space="preserve"> </w:t>
      </w:r>
      <w:r w:rsidRPr="004E4056">
        <w:rPr>
          <w:lang w:val="en-US"/>
        </w:rPr>
        <w:t xml:space="preserve">93:108–17. </w:t>
      </w:r>
    </w:p>
    <w:p w14:paraId="624EB6BD" w14:textId="77777777" w:rsidR="00FE6689" w:rsidRPr="004E4056" w:rsidRDefault="00FE6689" w:rsidP="00CB2579">
      <w:pPr>
        <w:pStyle w:val="afff2"/>
        <w:ind w:left="851" w:hanging="425"/>
        <w:rPr>
          <w:lang w:val="en-US"/>
        </w:rPr>
      </w:pPr>
      <w:r w:rsidRPr="004E4056">
        <w:rPr>
          <w:lang w:val="en-US"/>
        </w:rPr>
        <w:t>18.</w:t>
      </w:r>
      <w:r w:rsidRPr="004E4056">
        <w:rPr>
          <w:lang w:val="en-US"/>
        </w:rPr>
        <w:tab/>
        <w:t xml:space="preserve">World Health Organization publishes new Consolidated HIV guidelines for prevention, treatment, service delivery &amp; monitoring - news release. 2021. </w:t>
      </w:r>
    </w:p>
    <w:p w14:paraId="00C56780" w14:textId="77777777" w:rsidR="00FE6689" w:rsidRDefault="00FE6689" w:rsidP="00CB2579">
      <w:pPr>
        <w:pStyle w:val="afff2"/>
        <w:ind w:left="851" w:hanging="425"/>
      </w:pPr>
      <w:r w:rsidRPr="004E4056">
        <w:rPr>
          <w:lang w:val="en-US"/>
        </w:rPr>
        <w:t>19.</w:t>
      </w:r>
      <w:r w:rsidRPr="004E4056">
        <w:rPr>
          <w:lang w:val="en-US"/>
        </w:rPr>
        <w:tab/>
        <w:t xml:space="preserve">Drug Approval Package: Intelence (Etravirine) NDA #02218. Microbiology Review(s). NDA 22-187. </w:t>
      </w:r>
      <w:r w:rsidRPr="008B0B82">
        <w:t>[</w:t>
      </w:r>
      <w:r>
        <w:t>Интернет</w:t>
      </w:r>
      <w:r w:rsidRPr="008B0B82">
        <w:t xml:space="preserve">]. </w:t>
      </w:r>
      <w:r>
        <w:t>2022 [цитируется по 18 август 2022 г.]. Доступно на: https://www.accessdata.fda.gov/drugsatfda_docs/nda/2008/022187TOC.cfm</w:t>
      </w:r>
    </w:p>
    <w:p w14:paraId="30205020" w14:textId="77777777" w:rsidR="00FE6689" w:rsidRPr="004E4056" w:rsidRDefault="00FE6689" w:rsidP="00CB2579">
      <w:pPr>
        <w:pStyle w:val="afff2"/>
        <w:ind w:left="851" w:hanging="425"/>
        <w:rPr>
          <w:lang w:val="en-US"/>
        </w:rPr>
      </w:pPr>
      <w:r w:rsidRPr="004E4056">
        <w:rPr>
          <w:lang w:val="en-US"/>
        </w:rPr>
        <w:t>20.</w:t>
      </w:r>
      <w:r w:rsidRPr="004E4056">
        <w:rPr>
          <w:lang w:val="en-US"/>
        </w:rPr>
        <w:tab/>
        <w:t xml:space="preserve">Vingerhoets J, Azijn H, Fransen E, De Baere I, Smeulders L, Jochmans D, </w:t>
      </w:r>
      <w:r>
        <w:t>и</w:t>
      </w:r>
      <w:r w:rsidRPr="004E4056">
        <w:rPr>
          <w:lang w:val="en-US"/>
        </w:rPr>
        <w:t xml:space="preserve"> </w:t>
      </w:r>
      <w:r>
        <w:t>др</w:t>
      </w:r>
      <w:r w:rsidRPr="004E4056">
        <w:rPr>
          <w:lang w:val="en-US"/>
        </w:rPr>
        <w:t xml:space="preserve">. TMC125 Displays a High Genetic Barrier to the Development of Resistance: Evidence from In Vitro Selection Experiments. J Virol. </w:t>
      </w:r>
      <w:r>
        <w:t>октябрь</w:t>
      </w:r>
      <w:r w:rsidRPr="004E4056">
        <w:rPr>
          <w:lang w:val="en-US"/>
        </w:rPr>
        <w:t xml:space="preserve"> 2005 </w:t>
      </w:r>
      <w:r>
        <w:t>г</w:t>
      </w:r>
      <w:r w:rsidRPr="004E4056">
        <w:rPr>
          <w:lang w:val="en-US"/>
        </w:rPr>
        <w:t xml:space="preserve">.;79(20):12773–82. </w:t>
      </w:r>
    </w:p>
    <w:p w14:paraId="62AE9F0F" w14:textId="77777777" w:rsidR="00FE6689" w:rsidRPr="004E4056" w:rsidRDefault="00FE6689" w:rsidP="00CB2579">
      <w:pPr>
        <w:pStyle w:val="afff2"/>
        <w:ind w:left="851" w:hanging="425"/>
        <w:rPr>
          <w:lang w:val="en-US"/>
        </w:rPr>
      </w:pPr>
      <w:r w:rsidRPr="004E4056">
        <w:rPr>
          <w:lang w:val="en-US"/>
        </w:rPr>
        <w:t>21.</w:t>
      </w:r>
      <w:r w:rsidRPr="004E4056">
        <w:rPr>
          <w:lang w:val="en-US"/>
        </w:rPr>
        <w:tab/>
        <w:t xml:space="preserve">ETRAVIRINE. Characterisation of impurities. MSN LIFE SCIENCES PRIVATE LIMITED. Impurity Discussion – Drug Substance. </w:t>
      </w:r>
    </w:p>
    <w:p w14:paraId="6018FA12" w14:textId="77777777" w:rsidR="00FE6689" w:rsidRPr="004E4056" w:rsidRDefault="00FE6689" w:rsidP="00CB2579">
      <w:pPr>
        <w:pStyle w:val="afff2"/>
        <w:ind w:left="851" w:hanging="425"/>
        <w:rPr>
          <w:lang w:val="en-US"/>
        </w:rPr>
      </w:pPr>
      <w:r w:rsidRPr="004E4056">
        <w:rPr>
          <w:lang w:val="en-US"/>
        </w:rPr>
        <w:t>22.</w:t>
      </w:r>
      <w:r w:rsidRPr="004E4056">
        <w:rPr>
          <w:lang w:val="en-US"/>
        </w:rPr>
        <w:tab/>
        <w:t xml:space="preserve">Das K, Clark AD, Lewi PJ, Heeres J, De Jonge MR, Koymans LMH, </w:t>
      </w:r>
      <w:r>
        <w:t>и</w:t>
      </w:r>
      <w:r w:rsidRPr="004E4056">
        <w:rPr>
          <w:lang w:val="en-US"/>
        </w:rPr>
        <w:t xml:space="preserve"> </w:t>
      </w:r>
      <w:r>
        <w:t>др</w:t>
      </w:r>
      <w:r w:rsidRPr="004E4056">
        <w:rPr>
          <w:lang w:val="en-US"/>
        </w:rPr>
        <w:t xml:space="preserve">. Roles of conformational and positional adaptability in structure-based design of TMC125-R165335 (etravirine) and related non-nucleoside reverse transcriptase inhibitors that are highly potent and effective against wild-type and drug-resistant HIV-1 variants. J Med Chem. 6 </w:t>
      </w:r>
      <w:r>
        <w:t>май</w:t>
      </w:r>
      <w:r w:rsidRPr="004E4056">
        <w:rPr>
          <w:lang w:val="en-US"/>
        </w:rPr>
        <w:t xml:space="preserve"> 2004 </w:t>
      </w:r>
      <w:r>
        <w:t>г</w:t>
      </w:r>
      <w:r w:rsidRPr="004E4056">
        <w:rPr>
          <w:lang w:val="en-US"/>
        </w:rPr>
        <w:t xml:space="preserve">.;47(10):2550–60. </w:t>
      </w:r>
    </w:p>
    <w:p w14:paraId="393E7130" w14:textId="77777777" w:rsidR="00FE6689" w:rsidRPr="004E4056" w:rsidRDefault="00FE6689" w:rsidP="00CB2579">
      <w:pPr>
        <w:pStyle w:val="afff2"/>
        <w:ind w:left="851" w:hanging="425"/>
        <w:rPr>
          <w:lang w:val="en-US"/>
        </w:rPr>
      </w:pPr>
      <w:r w:rsidRPr="004E4056">
        <w:rPr>
          <w:lang w:val="en-US"/>
        </w:rPr>
        <w:lastRenderedPageBreak/>
        <w:t>23.</w:t>
      </w:r>
      <w:r w:rsidRPr="004E4056">
        <w:rPr>
          <w:lang w:val="en-US"/>
        </w:rPr>
        <w:tab/>
        <w:t xml:space="preserve">John J, John M, Wu L, Hsiao C, Abobo CV, Liang D. Effects of etravirine on the pharmacokinetics and pharmacodynamics of warfarin in rats. Br J Pharmacol. </w:t>
      </w:r>
      <w:r>
        <w:t>апрель</w:t>
      </w:r>
      <w:r w:rsidRPr="004E4056">
        <w:rPr>
          <w:lang w:val="en-US"/>
        </w:rPr>
        <w:t xml:space="preserve"> 2013 </w:t>
      </w:r>
      <w:r>
        <w:t>г</w:t>
      </w:r>
      <w:r w:rsidRPr="004E4056">
        <w:rPr>
          <w:lang w:val="en-US"/>
        </w:rPr>
        <w:t xml:space="preserve">.;168(8):1851–8. </w:t>
      </w:r>
    </w:p>
    <w:p w14:paraId="2B890073" w14:textId="77777777" w:rsidR="00FE6689" w:rsidRPr="004E4056" w:rsidRDefault="00FE6689" w:rsidP="00CB2579">
      <w:pPr>
        <w:pStyle w:val="afff2"/>
        <w:ind w:left="851" w:hanging="425"/>
        <w:rPr>
          <w:lang w:val="en-US"/>
        </w:rPr>
      </w:pPr>
      <w:r w:rsidRPr="004E4056">
        <w:rPr>
          <w:lang w:val="en-US"/>
        </w:rPr>
        <w:t>24.</w:t>
      </w:r>
      <w:r w:rsidRPr="004E4056">
        <w:rPr>
          <w:lang w:val="en-US"/>
        </w:rPr>
        <w:tab/>
        <w:t xml:space="preserve">Drug Approval Package: Intelence (Etravirine) NDA #02218. Pharmacology Review(s) Drug Approval Package: Etravirine. NDA 22-187. Part I. </w:t>
      </w:r>
    </w:p>
    <w:p w14:paraId="41E31697" w14:textId="77777777" w:rsidR="00FE6689" w:rsidRPr="004E4056" w:rsidRDefault="00FE6689" w:rsidP="00CB2579">
      <w:pPr>
        <w:pStyle w:val="afff2"/>
        <w:ind w:left="851" w:hanging="425"/>
        <w:rPr>
          <w:lang w:val="en-US"/>
        </w:rPr>
      </w:pPr>
      <w:r w:rsidRPr="004E4056">
        <w:rPr>
          <w:lang w:val="en-US"/>
        </w:rPr>
        <w:t>25.</w:t>
      </w:r>
      <w:r w:rsidRPr="004E4056">
        <w:rPr>
          <w:lang w:val="en-US"/>
        </w:rPr>
        <w:tab/>
        <w:t xml:space="preserve">Fulco PP, McNicholl IR. Etravirine and rilpivirine: nonnucleoside reverse transcriptase inhibitors with activity against human immunodeficiency virus type 1 strains resistant to previous nonnucleoside agents. Pharmacotherapy. </w:t>
      </w:r>
      <w:r>
        <w:t>март</w:t>
      </w:r>
      <w:r w:rsidRPr="004E4056">
        <w:rPr>
          <w:lang w:val="en-US"/>
        </w:rPr>
        <w:t xml:space="preserve"> 2009 </w:t>
      </w:r>
      <w:r>
        <w:t>г</w:t>
      </w:r>
      <w:r w:rsidRPr="004E4056">
        <w:rPr>
          <w:lang w:val="en-US"/>
        </w:rPr>
        <w:t xml:space="preserve">.;29(3):281–94. </w:t>
      </w:r>
    </w:p>
    <w:p w14:paraId="3FE67E64" w14:textId="77777777" w:rsidR="00FE6689" w:rsidRPr="004E4056" w:rsidRDefault="00FE6689" w:rsidP="00CB2579">
      <w:pPr>
        <w:pStyle w:val="afff2"/>
        <w:ind w:left="851" w:hanging="425"/>
        <w:rPr>
          <w:lang w:val="en-US"/>
        </w:rPr>
      </w:pPr>
      <w:r w:rsidRPr="004E4056">
        <w:rPr>
          <w:lang w:val="en-US"/>
        </w:rPr>
        <w:t>26.</w:t>
      </w:r>
      <w:r w:rsidRPr="004E4056">
        <w:rPr>
          <w:lang w:val="en-US"/>
        </w:rPr>
        <w:tab/>
        <w:t xml:space="preserve">Product Monograph INTELENCE® etravirine tablets 25 mg, 100 mg, 200 mg. Janssen Inc.  Date of Revision: May 17, 2017. </w:t>
      </w:r>
    </w:p>
    <w:p w14:paraId="088B8C83" w14:textId="6A4B77F6" w:rsidR="00FE6689" w:rsidRPr="004E4056" w:rsidRDefault="00FE6689" w:rsidP="00CB2579">
      <w:pPr>
        <w:pStyle w:val="afff2"/>
        <w:ind w:left="851" w:hanging="425"/>
        <w:rPr>
          <w:lang w:val="en-US"/>
        </w:rPr>
      </w:pPr>
      <w:r w:rsidRPr="004E4056">
        <w:rPr>
          <w:lang w:val="en-US"/>
        </w:rPr>
        <w:t>27.</w:t>
      </w:r>
      <w:r w:rsidRPr="004E4056">
        <w:rPr>
          <w:lang w:val="en-US"/>
        </w:rPr>
        <w:tab/>
        <w:t>European Medicines Agency INTELENCE®Summary of Product Characteristic. 2008.</w:t>
      </w:r>
      <w:r w:rsidR="00CB2579" w:rsidRPr="008A297D">
        <w:rPr>
          <w:lang w:val="en-US"/>
        </w:rPr>
        <w:t xml:space="preserve"> </w:t>
      </w:r>
      <w:r w:rsidRPr="004E4056">
        <w:rPr>
          <w:lang w:val="en-US"/>
        </w:rPr>
        <w:t xml:space="preserve">Doc.Ref.: EMEA/CHMP/43952/2008. </w:t>
      </w:r>
    </w:p>
    <w:p w14:paraId="6C9A2A52" w14:textId="77777777" w:rsidR="00FE6689" w:rsidRPr="004E4056" w:rsidRDefault="00FE6689" w:rsidP="00CB2579">
      <w:pPr>
        <w:pStyle w:val="afff2"/>
        <w:ind w:left="851" w:hanging="425"/>
        <w:rPr>
          <w:lang w:val="en-US"/>
        </w:rPr>
      </w:pPr>
      <w:r w:rsidRPr="004E4056">
        <w:rPr>
          <w:lang w:val="en-US"/>
        </w:rPr>
        <w:t>28.</w:t>
      </w:r>
      <w:r w:rsidRPr="004E4056">
        <w:rPr>
          <w:lang w:val="en-US"/>
        </w:rPr>
        <w:tab/>
        <w:t xml:space="preserve">European Medicines Agency. ICH guideline Q3C (R8) on impurities: guideline for residual solvents Step 5.2021. </w:t>
      </w:r>
    </w:p>
    <w:p w14:paraId="7156767C" w14:textId="77777777" w:rsidR="00FE6689" w:rsidRPr="004E4056" w:rsidRDefault="00FE6689" w:rsidP="00CB2579">
      <w:pPr>
        <w:pStyle w:val="afff2"/>
        <w:ind w:left="851" w:hanging="425"/>
        <w:rPr>
          <w:lang w:val="en-US"/>
        </w:rPr>
      </w:pPr>
      <w:r w:rsidRPr="004E4056">
        <w:rPr>
          <w:lang w:val="en-US"/>
        </w:rPr>
        <w:t>29.</w:t>
      </w:r>
      <w:r w:rsidRPr="004E4056">
        <w:rPr>
          <w:lang w:val="en-US"/>
        </w:rPr>
        <w:tab/>
        <w:t xml:space="preserve">Friedrich A, Olejniczak K. Evaluation of carcinogenicity studies of medicinal products for human use authorised via the European centralised procedure (1995-2009). Regul Toxicol Pharmacol. </w:t>
      </w:r>
      <w:r>
        <w:t>июль</w:t>
      </w:r>
      <w:r w:rsidRPr="004E4056">
        <w:rPr>
          <w:lang w:val="en-US"/>
        </w:rPr>
        <w:t xml:space="preserve"> 2011 </w:t>
      </w:r>
      <w:r>
        <w:t>г</w:t>
      </w:r>
      <w:r w:rsidRPr="004E4056">
        <w:rPr>
          <w:lang w:val="en-US"/>
        </w:rPr>
        <w:t xml:space="preserve">.;60(2):225–48. </w:t>
      </w:r>
    </w:p>
    <w:p w14:paraId="1D0C6610" w14:textId="77777777" w:rsidR="00FE6689" w:rsidRPr="004E4056" w:rsidRDefault="00FE6689" w:rsidP="00CB2579">
      <w:pPr>
        <w:pStyle w:val="afff2"/>
        <w:ind w:left="851" w:hanging="425"/>
        <w:rPr>
          <w:lang w:val="en-US"/>
        </w:rPr>
      </w:pPr>
      <w:r w:rsidRPr="004E4056">
        <w:rPr>
          <w:lang w:val="en-US"/>
        </w:rPr>
        <w:t>30.</w:t>
      </w:r>
      <w:r w:rsidRPr="004E4056">
        <w:rPr>
          <w:lang w:val="en-US"/>
        </w:rPr>
        <w:tab/>
        <w:t xml:space="preserve">Drug Approval Package: Intelence (Etravirine) NDA #02218. Pharmacology Review(s) Drug Approval Package: Etravirine. NDA 22-187. Part II. </w:t>
      </w:r>
    </w:p>
    <w:p w14:paraId="7FB446C1" w14:textId="77777777" w:rsidR="00FE6689" w:rsidRPr="004E4056" w:rsidRDefault="00FE6689" w:rsidP="00CB2579">
      <w:pPr>
        <w:pStyle w:val="afff2"/>
        <w:ind w:left="851" w:hanging="425"/>
        <w:rPr>
          <w:lang w:val="en-US"/>
        </w:rPr>
      </w:pPr>
      <w:r w:rsidRPr="004E4056">
        <w:rPr>
          <w:lang w:val="en-US"/>
        </w:rPr>
        <w:t>31.</w:t>
      </w:r>
      <w:r w:rsidRPr="004E4056">
        <w:rPr>
          <w:lang w:val="en-US"/>
        </w:rPr>
        <w:tab/>
        <w:t xml:space="preserve">Jayaweera DT, Espinoza L, Castro J. Etravirine: the renaissance of non-nucleoside reverse transcriptase inhibitors. Expert Opin Pharmacother. </w:t>
      </w:r>
      <w:r>
        <w:t>декабрь</w:t>
      </w:r>
      <w:r w:rsidRPr="004E4056">
        <w:rPr>
          <w:lang w:val="en-US"/>
        </w:rPr>
        <w:t xml:space="preserve"> 2008 </w:t>
      </w:r>
      <w:r>
        <w:t>г</w:t>
      </w:r>
      <w:r w:rsidRPr="004E4056">
        <w:rPr>
          <w:lang w:val="en-US"/>
        </w:rPr>
        <w:t xml:space="preserve">.;9(17):3083–94. </w:t>
      </w:r>
    </w:p>
    <w:p w14:paraId="420B5D3D" w14:textId="77777777" w:rsidR="00FE6689" w:rsidRDefault="00FE6689" w:rsidP="00CB2579">
      <w:pPr>
        <w:pStyle w:val="afff2"/>
        <w:ind w:left="851" w:hanging="425"/>
      </w:pPr>
      <w:r w:rsidRPr="004E4056">
        <w:rPr>
          <w:lang w:val="en-US"/>
        </w:rPr>
        <w:t>32.</w:t>
      </w:r>
      <w:r w:rsidRPr="004E4056">
        <w:rPr>
          <w:lang w:val="en-US"/>
        </w:rPr>
        <w:tab/>
        <w:t>Drug Approval Package: Intelence (Etravirine) NDA #02218. Microbiology Review(s). NDA 22-187. [</w:t>
      </w:r>
      <w:r>
        <w:t>Интернет</w:t>
      </w:r>
      <w:r w:rsidRPr="004E4056">
        <w:rPr>
          <w:lang w:val="en-US"/>
        </w:rPr>
        <w:t xml:space="preserve">]. </w:t>
      </w:r>
      <w:r>
        <w:t>[цитируется по 18 август 2022 г.]. Доступно на: https://www.accessdata.fda.gov/drugsatfda_docs/nda/2008/022187TOC.cfm</w:t>
      </w:r>
    </w:p>
    <w:p w14:paraId="4904C234" w14:textId="77777777" w:rsidR="00FE6689" w:rsidRPr="004E4056" w:rsidRDefault="00FE6689" w:rsidP="00CB2579">
      <w:pPr>
        <w:pStyle w:val="afff2"/>
        <w:ind w:left="851" w:hanging="425"/>
        <w:rPr>
          <w:lang w:val="en-US"/>
        </w:rPr>
      </w:pPr>
      <w:r w:rsidRPr="004E4056">
        <w:rPr>
          <w:lang w:val="en-US"/>
        </w:rPr>
        <w:t>33.</w:t>
      </w:r>
      <w:r w:rsidRPr="004E4056">
        <w:rPr>
          <w:lang w:val="en-US"/>
        </w:rPr>
        <w:tab/>
        <w:t xml:space="preserve">Das K, Clark AD, Lewi PJ, Heeres J, De Jonge MR, Koymans LMH, </w:t>
      </w:r>
      <w:r>
        <w:t>и</w:t>
      </w:r>
      <w:r w:rsidRPr="004E4056">
        <w:rPr>
          <w:lang w:val="en-US"/>
        </w:rPr>
        <w:t xml:space="preserve"> </w:t>
      </w:r>
      <w:r>
        <w:t>др</w:t>
      </w:r>
      <w:r w:rsidRPr="004E4056">
        <w:rPr>
          <w:lang w:val="en-US"/>
        </w:rPr>
        <w:t xml:space="preserve">. Roles of conformational and positional adaptability in structure-based design of TMC125-R165335 (etravirine) and related non-nucleoside reverse transcriptase inhibitors that are highly potent and effective against wild-type and drug-resistant HIV-1 variants. J Med Chem. 6 </w:t>
      </w:r>
      <w:r>
        <w:t>май</w:t>
      </w:r>
      <w:r w:rsidRPr="004E4056">
        <w:rPr>
          <w:lang w:val="en-US"/>
        </w:rPr>
        <w:t xml:space="preserve"> 2004 </w:t>
      </w:r>
      <w:r>
        <w:t>г</w:t>
      </w:r>
      <w:r w:rsidRPr="004E4056">
        <w:rPr>
          <w:lang w:val="en-US"/>
        </w:rPr>
        <w:t xml:space="preserve">.;47(10):2550–60. </w:t>
      </w:r>
    </w:p>
    <w:p w14:paraId="569B24F3" w14:textId="77777777" w:rsidR="00FE6689" w:rsidRPr="004E4056" w:rsidRDefault="00FE6689" w:rsidP="00CB2579">
      <w:pPr>
        <w:pStyle w:val="afff2"/>
        <w:ind w:left="851" w:hanging="425"/>
        <w:rPr>
          <w:lang w:val="en-US"/>
        </w:rPr>
      </w:pPr>
      <w:r w:rsidRPr="004E4056">
        <w:rPr>
          <w:lang w:val="en-US"/>
        </w:rPr>
        <w:t>34.</w:t>
      </w:r>
      <w:r w:rsidRPr="004E4056">
        <w:rPr>
          <w:lang w:val="en-US"/>
        </w:rPr>
        <w:tab/>
        <w:t xml:space="preserve">Andries K, Azijn H, Thielemans T, Ludovici D, Kukla M, Heeres J, </w:t>
      </w:r>
      <w:r>
        <w:t>и</w:t>
      </w:r>
      <w:r w:rsidRPr="004E4056">
        <w:rPr>
          <w:lang w:val="en-US"/>
        </w:rPr>
        <w:t xml:space="preserve"> </w:t>
      </w:r>
      <w:r>
        <w:t>др</w:t>
      </w:r>
      <w:r w:rsidRPr="004E4056">
        <w:rPr>
          <w:lang w:val="en-US"/>
        </w:rPr>
        <w:t xml:space="preserve">. TMC125, a Novel Next-Generation Nonnucleoside Reverse Transcriptase Inhibitor Active against Nonnucleoside Reverse Transcriptase Inhibitor-Resistant Human Immunodeficiency Virus Type 1. Antimicrob Agents Chemother. </w:t>
      </w:r>
      <w:r>
        <w:t>декабрь</w:t>
      </w:r>
      <w:r w:rsidRPr="004E4056">
        <w:rPr>
          <w:lang w:val="en-US"/>
        </w:rPr>
        <w:t xml:space="preserve"> 2004 </w:t>
      </w:r>
      <w:r>
        <w:t>г</w:t>
      </w:r>
      <w:r w:rsidRPr="004E4056">
        <w:rPr>
          <w:lang w:val="en-US"/>
        </w:rPr>
        <w:t xml:space="preserve">.;48(12):4680–6. </w:t>
      </w:r>
    </w:p>
    <w:p w14:paraId="18E552E0" w14:textId="77777777" w:rsidR="00FE6689" w:rsidRPr="004E4056" w:rsidRDefault="00FE6689" w:rsidP="00CB2579">
      <w:pPr>
        <w:pStyle w:val="afff2"/>
        <w:ind w:left="851" w:hanging="425"/>
        <w:rPr>
          <w:lang w:val="en-US"/>
        </w:rPr>
      </w:pPr>
      <w:r w:rsidRPr="004E4056">
        <w:rPr>
          <w:lang w:val="en-US"/>
        </w:rPr>
        <w:t>35.</w:t>
      </w:r>
      <w:r w:rsidRPr="004E4056">
        <w:rPr>
          <w:lang w:val="en-US"/>
        </w:rPr>
        <w:tab/>
        <w:t xml:space="preserve">Vingerhoets J, Azijn H, Fransen E, De Baere I, Smeulders L, Jochmans D, </w:t>
      </w:r>
      <w:r>
        <w:t>и</w:t>
      </w:r>
      <w:r w:rsidRPr="004E4056">
        <w:rPr>
          <w:lang w:val="en-US"/>
        </w:rPr>
        <w:t xml:space="preserve"> </w:t>
      </w:r>
      <w:r>
        <w:t>др</w:t>
      </w:r>
      <w:r w:rsidRPr="004E4056">
        <w:rPr>
          <w:lang w:val="en-US"/>
        </w:rPr>
        <w:t xml:space="preserve">. TMC125 Displays a High Genetic Barrier to the Development of Resistance: Evidence from In Vitro Selection Experiments. J Virol. </w:t>
      </w:r>
      <w:r>
        <w:t>октябрь</w:t>
      </w:r>
      <w:r w:rsidRPr="004E4056">
        <w:rPr>
          <w:lang w:val="en-US"/>
        </w:rPr>
        <w:t xml:space="preserve"> 2005 </w:t>
      </w:r>
      <w:r>
        <w:t>г</w:t>
      </w:r>
      <w:r w:rsidRPr="004E4056">
        <w:rPr>
          <w:lang w:val="en-US"/>
        </w:rPr>
        <w:t xml:space="preserve">.;79(20):12773–82. </w:t>
      </w:r>
    </w:p>
    <w:p w14:paraId="30A911A0" w14:textId="77777777" w:rsidR="00FE6689" w:rsidRPr="004E4056" w:rsidRDefault="00FE6689" w:rsidP="00CB2579">
      <w:pPr>
        <w:pStyle w:val="afff2"/>
        <w:ind w:left="851" w:hanging="425"/>
        <w:rPr>
          <w:lang w:val="en-US"/>
        </w:rPr>
      </w:pPr>
      <w:r w:rsidRPr="004E4056">
        <w:rPr>
          <w:lang w:val="en-US"/>
        </w:rPr>
        <w:t>36.</w:t>
      </w:r>
      <w:r w:rsidRPr="004E4056">
        <w:rPr>
          <w:lang w:val="en-US"/>
        </w:rPr>
        <w:tab/>
        <w:t xml:space="preserve">Drug Approval Package: Intelence (Etravirine) NDA #02218. Pharmacology Review(s) Drug Approval Package: Etravirine. NDA 22-187. Part I. </w:t>
      </w:r>
    </w:p>
    <w:p w14:paraId="6115EE15" w14:textId="77777777" w:rsidR="00FE6689" w:rsidRPr="004E4056" w:rsidRDefault="00FE6689" w:rsidP="00CB2579">
      <w:pPr>
        <w:pStyle w:val="afff2"/>
        <w:ind w:left="851" w:hanging="425"/>
        <w:rPr>
          <w:lang w:val="en-US"/>
        </w:rPr>
      </w:pPr>
      <w:r w:rsidRPr="004E4056">
        <w:rPr>
          <w:lang w:val="en-US"/>
        </w:rPr>
        <w:t>37.</w:t>
      </w:r>
      <w:r w:rsidRPr="004E4056">
        <w:rPr>
          <w:lang w:val="en-US"/>
        </w:rPr>
        <w:tab/>
        <w:t xml:space="preserve">Drug Approval Package: Intelence (Etravirine) NDA #02218. Pharmacology Review(s) Drug Approval Package: Etravirine. NDA 22-187. Part II. </w:t>
      </w:r>
    </w:p>
    <w:p w14:paraId="215B75FF" w14:textId="77777777" w:rsidR="00FE6689" w:rsidRPr="004E4056" w:rsidRDefault="00FE6689" w:rsidP="00CB2579">
      <w:pPr>
        <w:pStyle w:val="afff2"/>
        <w:ind w:left="851" w:hanging="425"/>
        <w:rPr>
          <w:lang w:val="en-US"/>
        </w:rPr>
      </w:pPr>
      <w:r w:rsidRPr="004E4056">
        <w:rPr>
          <w:lang w:val="en-US"/>
        </w:rPr>
        <w:lastRenderedPageBreak/>
        <w:t>38.</w:t>
      </w:r>
      <w:r w:rsidRPr="004E4056">
        <w:rPr>
          <w:lang w:val="en-US"/>
        </w:rPr>
        <w:tab/>
        <w:t xml:space="preserve">Nsanzabana C, Rosenthal PJ. In vitro activity of antiretroviral drugs against Plasmodium falciparum. Antimicrob Agents Chemother. </w:t>
      </w:r>
      <w:r>
        <w:t>ноябрь</w:t>
      </w:r>
      <w:r w:rsidRPr="004E4056">
        <w:rPr>
          <w:lang w:val="en-US"/>
        </w:rPr>
        <w:t xml:space="preserve"> 2011 </w:t>
      </w:r>
      <w:r>
        <w:t>г</w:t>
      </w:r>
      <w:r w:rsidRPr="004E4056">
        <w:rPr>
          <w:lang w:val="en-US"/>
        </w:rPr>
        <w:t xml:space="preserve">.;55(11):5073–7. </w:t>
      </w:r>
    </w:p>
    <w:p w14:paraId="4CCA6D5C" w14:textId="77777777" w:rsidR="00FE6689" w:rsidRPr="004E4056" w:rsidRDefault="00FE6689" w:rsidP="00CB2579">
      <w:pPr>
        <w:pStyle w:val="afff2"/>
        <w:ind w:left="851" w:hanging="425"/>
        <w:rPr>
          <w:lang w:val="en-US"/>
        </w:rPr>
      </w:pPr>
      <w:r w:rsidRPr="004E4056">
        <w:rPr>
          <w:lang w:val="en-US"/>
        </w:rPr>
        <w:t>39.</w:t>
      </w:r>
      <w:r w:rsidRPr="004E4056">
        <w:rPr>
          <w:lang w:val="en-US"/>
        </w:rPr>
        <w:tab/>
        <w:t xml:space="preserve">Machado M, Sanches-Vaz M, Cruz JP, Mendes AM, Prudêncio M. Inhibition of Plasmodium Hepatic Infection by Antiretroviral Compounds. Front Cell Infect Microbiol. 2017 </w:t>
      </w:r>
      <w:r>
        <w:t>г</w:t>
      </w:r>
      <w:r w:rsidRPr="004E4056">
        <w:rPr>
          <w:lang w:val="en-US"/>
        </w:rPr>
        <w:t xml:space="preserve">.;7:329. </w:t>
      </w:r>
    </w:p>
    <w:p w14:paraId="0CD24555" w14:textId="77777777" w:rsidR="00FE6689" w:rsidRPr="004E4056" w:rsidRDefault="00FE6689" w:rsidP="00CB2579">
      <w:pPr>
        <w:pStyle w:val="afff2"/>
        <w:ind w:left="851" w:hanging="425"/>
        <w:rPr>
          <w:lang w:val="en-US"/>
        </w:rPr>
      </w:pPr>
      <w:r w:rsidRPr="004E4056">
        <w:rPr>
          <w:lang w:val="en-US"/>
        </w:rPr>
        <w:t>40.</w:t>
      </w:r>
      <w:r w:rsidRPr="004E4056">
        <w:rPr>
          <w:lang w:val="en-US"/>
        </w:rPr>
        <w:tab/>
        <w:t xml:space="preserve">Indu P, Rameshkumar MR, Arunagirinathan N, Al-Dhabi NA, Valan Arasu M, Ignacimuthu S. Raltegravir, Indinavir, Tipranavir, Dolutegravir, and Etravirine against main protease and RNA-dependent RNA polymerase of SARS-CoV-2: A molecular docking and drug repurposing approach. J Infect Public Health. </w:t>
      </w:r>
      <w:r>
        <w:t>декабрь</w:t>
      </w:r>
      <w:r w:rsidRPr="004E4056">
        <w:rPr>
          <w:lang w:val="en-US"/>
        </w:rPr>
        <w:t xml:space="preserve"> 2020 </w:t>
      </w:r>
      <w:r>
        <w:t>г</w:t>
      </w:r>
      <w:r w:rsidRPr="004E4056">
        <w:rPr>
          <w:lang w:val="en-US"/>
        </w:rPr>
        <w:t xml:space="preserve">.;13(12):1856–61. </w:t>
      </w:r>
    </w:p>
    <w:p w14:paraId="79BA785C" w14:textId="77777777" w:rsidR="00FE6689" w:rsidRPr="004E4056" w:rsidRDefault="00FE6689" w:rsidP="00CB2579">
      <w:pPr>
        <w:pStyle w:val="afff2"/>
        <w:ind w:left="851" w:hanging="425"/>
        <w:rPr>
          <w:lang w:val="en-US"/>
        </w:rPr>
      </w:pPr>
      <w:r w:rsidRPr="004E4056">
        <w:rPr>
          <w:lang w:val="en-US"/>
        </w:rPr>
        <w:t>41.</w:t>
      </w:r>
      <w:r w:rsidRPr="004E4056">
        <w:rPr>
          <w:lang w:val="en-US"/>
        </w:rPr>
        <w:tab/>
        <w:t xml:space="preserve">Sariyer IK, Gordon J, Burdo TH, Wollebo HS, Gianti E, Donadoni M, </w:t>
      </w:r>
      <w:r>
        <w:t>и</w:t>
      </w:r>
      <w:r w:rsidRPr="004E4056">
        <w:rPr>
          <w:lang w:val="en-US"/>
        </w:rPr>
        <w:t xml:space="preserve"> </w:t>
      </w:r>
      <w:r>
        <w:t>др</w:t>
      </w:r>
      <w:r w:rsidRPr="004E4056">
        <w:rPr>
          <w:lang w:val="en-US"/>
        </w:rPr>
        <w:t xml:space="preserve">. Suppression of Zika Virus Infection in the Brain by the Antiretroviral Drug Rilpivirine. Mol Ther. 4 </w:t>
      </w:r>
      <w:r>
        <w:t>декабрь</w:t>
      </w:r>
      <w:r w:rsidRPr="004E4056">
        <w:rPr>
          <w:lang w:val="en-US"/>
        </w:rPr>
        <w:t xml:space="preserve"> 2019 </w:t>
      </w:r>
      <w:r>
        <w:t>г</w:t>
      </w:r>
      <w:r w:rsidRPr="004E4056">
        <w:rPr>
          <w:lang w:val="en-US"/>
        </w:rPr>
        <w:t xml:space="preserve">.;27(12):2067–79. </w:t>
      </w:r>
    </w:p>
    <w:p w14:paraId="01A86141" w14:textId="77777777" w:rsidR="00FE6689" w:rsidRDefault="00FE6689" w:rsidP="00CB2579">
      <w:pPr>
        <w:pStyle w:val="afff2"/>
        <w:ind w:left="851" w:hanging="425"/>
      </w:pPr>
      <w:r w:rsidRPr="004E4056">
        <w:rPr>
          <w:lang w:val="en-US"/>
        </w:rPr>
        <w:t>42.</w:t>
      </w:r>
      <w:r w:rsidRPr="004E4056">
        <w:rPr>
          <w:lang w:val="en-US"/>
        </w:rPr>
        <w:tab/>
        <w:t>Bergin H. Cardiovascular side effects of the antiretroviral agents rilpivirine, efavirenz, etravirine and abacavir: possible underlying mechanisms. undefined [</w:t>
      </w:r>
      <w:r>
        <w:t>Интернет</w:t>
      </w:r>
      <w:r w:rsidRPr="004E4056">
        <w:rPr>
          <w:lang w:val="en-US"/>
        </w:rPr>
        <w:t xml:space="preserve">]. </w:t>
      </w:r>
      <w:r>
        <w:t>2014 г. [цитируется по 18 август 2022 г.]; Доступно на: https://www.semanticscholar.org/paper/Cardiovascular-side-effects-of-the-antiretroviral-Bergin/b2e17496ef64de0fbefb8d5285cdfb4a00cbe4ec</w:t>
      </w:r>
    </w:p>
    <w:p w14:paraId="33A7A998" w14:textId="77777777" w:rsidR="00FE6689" w:rsidRPr="004E4056" w:rsidRDefault="00FE6689" w:rsidP="00CB2579">
      <w:pPr>
        <w:pStyle w:val="afff2"/>
        <w:ind w:left="851" w:hanging="425"/>
        <w:rPr>
          <w:lang w:val="en-US"/>
        </w:rPr>
      </w:pPr>
      <w:r w:rsidRPr="004E4056">
        <w:rPr>
          <w:lang w:val="en-US"/>
        </w:rPr>
        <w:t>43.</w:t>
      </w:r>
      <w:r w:rsidRPr="004E4056">
        <w:rPr>
          <w:lang w:val="en-US"/>
        </w:rPr>
        <w:tab/>
        <w:t xml:space="preserve">Bertrand L, Dygert L, Toborek M. Antiretroviral Treatment with Efavirenz Disrupts the Blood-Brain Barrier Integrity and Increases Stroke Severity. Sci Rep. 23 </w:t>
      </w:r>
      <w:r>
        <w:t>декабрь</w:t>
      </w:r>
      <w:r w:rsidRPr="004E4056">
        <w:rPr>
          <w:lang w:val="en-US"/>
        </w:rPr>
        <w:t xml:space="preserve"> 2016 </w:t>
      </w:r>
      <w:r>
        <w:t>г</w:t>
      </w:r>
      <w:r w:rsidRPr="004E4056">
        <w:rPr>
          <w:lang w:val="en-US"/>
        </w:rPr>
        <w:t xml:space="preserve">.;6:39738. </w:t>
      </w:r>
    </w:p>
    <w:p w14:paraId="422201CA" w14:textId="77777777" w:rsidR="00FE6689" w:rsidRPr="004E4056" w:rsidRDefault="00FE6689" w:rsidP="00CB2579">
      <w:pPr>
        <w:pStyle w:val="afff2"/>
        <w:ind w:left="851" w:hanging="425"/>
        <w:rPr>
          <w:lang w:val="en-US"/>
        </w:rPr>
      </w:pPr>
      <w:r w:rsidRPr="004E4056">
        <w:rPr>
          <w:lang w:val="en-US"/>
        </w:rPr>
        <w:t>44.</w:t>
      </w:r>
      <w:r w:rsidRPr="004E4056">
        <w:rPr>
          <w:lang w:val="en-US"/>
        </w:rPr>
        <w:tab/>
        <w:t xml:space="preserve">John J, John M, Wu L, Hsiao C, Abobo CV, Liang D. Effects of etravirine on the pharmacokinetics and pharmacodynamics of warfarin in rats. Br J Pharmacol. </w:t>
      </w:r>
      <w:r>
        <w:t>апрель</w:t>
      </w:r>
      <w:r w:rsidRPr="004E4056">
        <w:rPr>
          <w:lang w:val="en-US"/>
        </w:rPr>
        <w:t xml:space="preserve"> 2013 </w:t>
      </w:r>
      <w:r>
        <w:t>г</w:t>
      </w:r>
      <w:r w:rsidRPr="004E4056">
        <w:rPr>
          <w:lang w:val="en-US"/>
        </w:rPr>
        <w:t xml:space="preserve">.;168(8):1851–8. </w:t>
      </w:r>
    </w:p>
    <w:p w14:paraId="2DAB71FF" w14:textId="77777777" w:rsidR="00FE6689" w:rsidRPr="004E4056" w:rsidRDefault="00FE6689" w:rsidP="00CB2579">
      <w:pPr>
        <w:pStyle w:val="afff2"/>
        <w:ind w:left="851" w:hanging="425"/>
        <w:rPr>
          <w:lang w:val="en-US"/>
        </w:rPr>
      </w:pPr>
      <w:r w:rsidRPr="004E4056">
        <w:rPr>
          <w:lang w:val="en-US"/>
        </w:rPr>
        <w:t>45.</w:t>
      </w:r>
      <w:r w:rsidRPr="004E4056">
        <w:rPr>
          <w:lang w:val="en-US"/>
        </w:rPr>
        <w:tab/>
        <w:t xml:space="preserve">Abobo CV, Wu L, John J, Joseph MK, Bates TR, Liang D. LC-MS/MS determination of etravirine in rat plasma and its application in pharmacokinetic studies. J Chromatogr B Analyt Technol Biomed Life Sci. 15 </w:t>
      </w:r>
      <w:r>
        <w:t>ноябрь</w:t>
      </w:r>
      <w:r w:rsidRPr="004E4056">
        <w:rPr>
          <w:lang w:val="en-US"/>
        </w:rPr>
        <w:t xml:space="preserve"> 2010 </w:t>
      </w:r>
      <w:r>
        <w:t>г</w:t>
      </w:r>
      <w:r w:rsidRPr="004E4056">
        <w:rPr>
          <w:lang w:val="en-US"/>
        </w:rPr>
        <w:t xml:space="preserve">.;878(30):3181–6. </w:t>
      </w:r>
    </w:p>
    <w:p w14:paraId="25410A12" w14:textId="77777777" w:rsidR="00FE6689" w:rsidRPr="004E4056" w:rsidRDefault="00FE6689" w:rsidP="00CB2579">
      <w:pPr>
        <w:pStyle w:val="afff2"/>
        <w:ind w:left="851" w:hanging="425"/>
        <w:rPr>
          <w:lang w:val="en-US"/>
        </w:rPr>
      </w:pPr>
      <w:r w:rsidRPr="004E4056">
        <w:rPr>
          <w:lang w:val="en-US"/>
        </w:rPr>
        <w:t>46.</w:t>
      </w:r>
      <w:r w:rsidRPr="004E4056">
        <w:rPr>
          <w:lang w:val="en-US"/>
        </w:rPr>
        <w:tab/>
        <w:t xml:space="preserve">Fulco PP, McNicholl IR. Etravirine and rilpivirine: nonnucleoside reverse transcriptase inhibitors with activity against human immunodeficiency virus type 1 strains resistant to previous nonnucleoside agents. Pharmacotherapy. </w:t>
      </w:r>
      <w:r>
        <w:t>март</w:t>
      </w:r>
      <w:r w:rsidRPr="004E4056">
        <w:rPr>
          <w:lang w:val="en-US"/>
        </w:rPr>
        <w:t xml:space="preserve"> 2009 </w:t>
      </w:r>
      <w:r>
        <w:t>г</w:t>
      </w:r>
      <w:r w:rsidRPr="004E4056">
        <w:rPr>
          <w:lang w:val="en-US"/>
        </w:rPr>
        <w:t xml:space="preserve">.;29(3):281–94. </w:t>
      </w:r>
    </w:p>
    <w:p w14:paraId="4B2C247D" w14:textId="77777777" w:rsidR="00FE6689" w:rsidRDefault="00FE6689" w:rsidP="00CB2579">
      <w:pPr>
        <w:pStyle w:val="afff2"/>
        <w:ind w:left="851" w:hanging="425"/>
      </w:pPr>
      <w:r w:rsidRPr="004E4056">
        <w:rPr>
          <w:lang w:val="en-US"/>
        </w:rPr>
        <w:t>47.</w:t>
      </w:r>
      <w:r w:rsidRPr="004E4056">
        <w:rPr>
          <w:lang w:val="en-US"/>
        </w:rPr>
        <w:tab/>
        <w:t>Fulco PP, McNicholl IR. Etravirine and Rilpivirine: Nonnucleoside Reverse Transcriptase Inhibitors with Activity Against Human Immunodeficiency Virus Type 1 Strains Resistant to Previous Nonnucleoside Agents. Pharmacotherapy: The Journal of Human Pharmacology and Drug Therapy [</w:t>
      </w:r>
      <w:r>
        <w:t>Интернет</w:t>
      </w:r>
      <w:r w:rsidRPr="004E4056">
        <w:rPr>
          <w:lang w:val="en-US"/>
        </w:rPr>
        <w:t xml:space="preserve">]. </w:t>
      </w:r>
      <w:r>
        <w:t>2009 г. [цитируется по 7 октябрь 2021 г.];29(3):281–94. Доступно на: https://onlinelibrary.wiley.com/doi/abs/10.1592/phco.29.3.281</w:t>
      </w:r>
    </w:p>
    <w:p w14:paraId="7780A1FA" w14:textId="77777777" w:rsidR="00FE6689" w:rsidRPr="004E4056" w:rsidRDefault="00FE6689" w:rsidP="00CB2579">
      <w:pPr>
        <w:pStyle w:val="afff2"/>
        <w:ind w:left="851" w:hanging="425"/>
        <w:rPr>
          <w:lang w:val="en-US"/>
        </w:rPr>
      </w:pPr>
      <w:r w:rsidRPr="004E4056">
        <w:rPr>
          <w:lang w:val="en-US"/>
        </w:rPr>
        <w:t>48.</w:t>
      </w:r>
      <w:r w:rsidRPr="004E4056">
        <w:rPr>
          <w:lang w:val="en-US"/>
        </w:rPr>
        <w:tab/>
        <w:t xml:space="preserve">INTELENCE® etravirine tablets 25 mg, 100 mg, 200 mg. Product monograph. Janssen Inc. Date of Revision: June 24, 2019. intelence_cpm.pdf [Internet]. [cited 2021 Sep 30]. Available from: https://www.janssen.com/canada/sites/www_janssen_com_canada/files/prod_files/live/intelence_cpm.pdf. </w:t>
      </w:r>
    </w:p>
    <w:p w14:paraId="1CD2FA78" w14:textId="676F1AD2" w:rsidR="00FE6689" w:rsidRPr="004E4056" w:rsidRDefault="00FE6689" w:rsidP="00CB2579">
      <w:pPr>
        <w:pStyle w:val="afff2"/>
        <w:ind w:left="851" w:hanging="425"/>
        <w:rPr>
          <w:lang w:val="en-US"/>
        </w:rPr>
      </w:pPr>
      <w:r w:rsidRPr="004E4056">
        <w:rPr>
          <w:lang w:val="en-US"/>
        </w:rPr>
        <w:t>49.</w:t>
      </w:r>
      <w:r w:rsidRPr="004E4056">
        <w:rPr>
          <w:lang w:val="en-US"/>
        </w:rPr>
        <w:tab/>
        <w:t>European Medicines Agency INTELENCE®Summary of Product Characteristic. 2008.</w:t>
      </w:r>
      <w:r w:rsidR="00CB2579" w:rsidRPr="008A297D">
        <w:rPr>
          <w:lang w:val="en-US"/>
        </w:rPr>
        <w:t xml:space="preserve"> </w:t>
      </w:r>
      <w:r w:rsidRPr="004E4056">
        <w:rPr>
          <w:lang w:val="en-US"/>
        </w:rPr>
        <w:t xml:space="preserve">Doc.Ref.: EMEA/CHMP/43952/2008. </w:t>
      </w:r>
    </w:p>
    <w:p w14:paraId="64DF90CD" w14:textId="77777777" w:rsidR="00FE6689" w:rsidRPr="004E4056" w:rsidRDefault="00FE6689" w:rsidP="00CB2579">
      <w:pPr>
        <w:pStyle w:val="afff2"/>
        <w:ind w:left="851" w:hanging="425"/>
        <w:rPr>
          <w:lang w:val="en-US"/>
        </w:rPr>
      </w:pPr>
      <w:r w:rsidRPr="004E4056">
        <w:rPr>
          <w:lang w:val="en-US"/>
        </w:rPr>
        <w:lastRenderedPageBreak/>
        <w:t>50.</w:t>
      </w:r>
      <w:r w:rsidRPr="004E4056">
        <w:rPr>
          <w:lang w:val="en-US"/>
        </w:rPr>
        <w:tab/>
        <w:t xml:space="preserve">Friedrich A, Olejniczak K. Evaluation of carcinogenicity studies of medicinal products for human use authorised via the European centralised procedure (1995-2009). Regul Toxicol Pharmacol. </w:t>
      </w:r>
      <w:r>
        <w:t>июль</w:t>
      </w:r>
      <w:r w:rsidRPr="004E4056">
        <w:rPr>
          <w:lang w:val="en-US"/>
        </w:rPr>
        <w:t xml:space="preserve"> 2011 </w:t>
      </w:r>
      <w:r>
        <w:t>г</w:t>
      </w:r>
      <w:r w:rsidRPr="004E4056">
        <w:rPr>
          <w:lang w:val="en-US"/>
        </w:rPr>
        <w:t xml:space="preserve">.;60(2):225–48. </w:t>
      </w:r>
    </w:p>
    <w:p w14:paraId="774B1D26" w14:textId="77777777" w:rsidR="00DE3850" w:rsidRPr="00A97B7A" w:rsidRDefault="00FE6689" w:rsidP="00A97B7A">
      <w:pPr>
        <w:pStyle w:val="afff2"/>
        <w:ind w:left="851" w:hanging="425"/>
        <w:rPr>
          <w:lang w:val="en-US"/>
        </w:rPr>
      </w:pPr>
      <w:r w:rsidRPr="004E4056">
        <w:rPr>
          <w:lang w:val="en-US"/>
        </w:rPr>
        <w:t>51.</w:t>
      </w:r>
      <w:r w:rsidRPr="004E4056">
        <w:rPr>
          <w:lang w:val="en-US"/>
        </w:rPr>
        <w:tab/>
        <w:t xml:space="preserve">Matuszewska A, Nowak B, Niżański W, Eberhardt M, Domrazek K, Nikodem A, </w:t>
      </w:r>
      <w:r>
        <w:t>и</w:t>
      </w:r>
      <w:r w:rsidRPr="004E4056">
        <w:rPr>
          <w:lang w:val="en-US"/>
        </w:rPr>
        <w:t xml:space="preserve"> </w:t>
      </w:r>
      <w:r>
        <w:t>др</w:t>
      </w:r>
      <w:r w:rsidRPr="004E4056">
        <w:rPr>
          <w:lang w:val="en-US"/>
        </w:rPr>
        <w:t xml:space="preserve">. Long-Term Administration of Abacavir and Etravirine Impairs Semen Quality and Alters Redox System and Bone Metabolism in Growing Male Wistar Rats. </w:t>
      </w:r>
      <w:r w:rsidRPr="00A97B7A">
        <w:rPr>
          <w:lang w:val="en-US"/>
        </w:rPr>
        <w:t xml:space="preserve">Oxid Med Cell Longev. 2021 </w:t>
      </w:r>
      <w:r>
        <w:t>г</w:t>
      </w:r>
      <w:r w:rsidRPr="00A97B7A">
        <w:rPr>
          <w:lang w:val="en-US"/>
        </w:rPr>
        <w:t xml:space="preserve">.;2021:5596090. </w:t>
      </w:r>
    </w:p>
    <w:p w14:paraId="638F2B76" w14:textId="53AD741C" w:rsidR="00DE3850" w:rsidRPr="00A97B7A" w:rsidRDefault="00DE3850" w:rsidP="00A97B7A">
      <w:pPr>
        <w:pStyle w:val="afff2"/>
        <w:ind w:left="851" w:hanging="425"/>
      </w:pPr>
      <w:r>
        <w:rPr>
          <w:lang w:val="en-US"/>
        </w:rPr>
        <w:t xml:space="preserve">52. </w:t>
      </w:r>
      <w:r w:rsidRPr="00A97B7A">
        <w:rPr>
          <w:lang w:val="en-US"/>
        </w:rPr>
        <w:t xml:space="preserve">Minuto JJ, Haubrich R. Etravirine: A second-generation NNRTI for treatment-experienced adults with resistant HIV-1 infection. </w:t>
      </w:r>
      <w:r w:rsidRPr="00A97B7A">
        <w:rPr>
          <w:i/>
          <w:iCs/>
          <w:lang w:val="en-US"/>
        </w:rPr>
        <w:t>Future</w:t>
      </w:r>
      <w:r w:rsidRPr="00A97B7A">
        <w:rPr>
          <w:i/>
          <w:iCs/>
        </w:rPr>
        <w:t xml:space="preserve"> </w:t>
      </w:r>
      <w:r w:rsidRPr="00A97B7A">
        <w:rPr>
          <w:i/>
          <w:iCs/>
          <w:lang w:val="en-US"/>
        </w:rPr>
        <w:t>HIV</w:t>
      </w:r>
      <w:r w:rsidRPr="00A97B7A">
        <w:rPr>
          <w:i/>
          <w:iCs/>
        </w:rPr>
        <w:t xml:space="preserve"> </w:t>
      </w:r>
      <w:r w:rsidRPr="00A97B7A">
        <w:rPr>
          <w:i/>
          <w:iCs/>
          <w:lang w:val="en-US"/>
        </w:rPr>
        <w:t>Therapy</w:t>
      </w:r>
      <w:r w:rsidRPr="00A97B7A">
        <w:t xml:space="preserve">. 2008;2(6):525-537. </w:t>
      </w:r>
      <w:r w:rsidRPr="00A97B7A">
        <w:rPr>
          <w:lang w:val="en-US"/>
        </w:rPr>
        <w:t>doi</w:t>
      </w:r>
      <w:r w:rsidRPr="00A97B7A">
        <w:t xml:space="preserve">:10.2217/17469600.2.6.525 </w:t>
      </w:r>
    </w:p>
    <w:p w14:paraId="7F64DB88" w14:textId="77777777" w:rsidR="00DE3850" w:rsidRPr="00A97B7A" w:rsidRDefault="00DE3850" w:rsidP="00A97B7A"/>
    <w:p w14:paraId="3C10B4D4" w14:textId="77777777" w:rsidR="00FE6689" w:rsidRPr="00A97B7A" w:rsidRDefault="00FE6689" w:rsidP="009435FB">
      <w:pPr>
        <w:ind w:left="426" w:hanging="284"/>
      </w:pPr>
    </w:p>
    <w:p w14:paraId="35C3CEDF" w14:textId="77777777" w:rsidR="00295007" w:rsidRPr="00A97B7A" w:rsidRDefault="00295007" w:rsidP="00295007">
      <w:pPr>
        <w:jc w:val="left"/>
        <w:rPr>
          <w:rStyle w:val="aa"/>
          <w:rFonts w:cs="Arial"/>
          <w:b/>
          <w:bCs/>
          <w:color w:val="auto"/>
          <w:kern w:val="32"/>
          <w:szCs w:val="32"/>
          <w:u w:val="none"/>
        </w:rPr>
      </w:pPr>
      <w:r w:rsidRPr="00A97B7A">
        <w:rPr>
          <w:rStyle w:val="aa"/>
          <w:color w:val="auto"/>
          <w:u w:val="none"/>
        </w:rPr>
        <w:br w:type="page"/>
      </w:r>
    </w:p>
    <w:p w14:paraId="0FE67562" w14:textId="77777777" w:rsidR="00E30437" w:rsidRPr="00A97B7A" w:rsidRDefault="00E30437" w:rsidP="004C505D">
      <w:pPr>
        <w:pStyle w:val="12"/>
        <w:spacing w:line="240" w:lineRule="auto"/>
        <w:rPr>
          <w:rFonts w:cs="Times New Roman"/>
          <w:color w:val="000000" w:themeColor="text1"/>
          <w:szCs w:val="24"/>
        </w:rPr>
      </w:pPr>
      <w:bookmarkStart w:id="134" w:name="_Toc117179218"/>
      <w:r w:rsidRPr="00A97B7A">
        <w:rPr>
          <w:rFonts w:cs="Times New Roman"/>
          <w:color w:val="000000" w:themeColor="text1"/>
          <w:szCs w:val="24"/>
        </w:rPr>
        <w:t xml:space="preserve">4. </w:t>
      </w:r>
      <w:r w:rsidRPr="005E6358">
        <w:rPr>
          <w:rFonts w:cs="Times New Roman"/>
          <w:color w:val="000000" w:themeColor="text1"/>
          <w:szCs w:val="24"/>
        </w:rPr>
        <w:t>ДЕЙСТВИЕ</w:t>
      </w:r>
      <w:r w:rsidRPr="00A97B7A">
        <w:rPr>
          <w:rFonts w:cs="Times New Roman"/>
          <w:color w:val="000000" w:themeColor="text1"/>
          <w:szCs w:val="24"/>
        </w:rPr>
        <w:t xml:space="preserve"> </w:t>
      </w:r>
      <w:r w:rsidRPr="005E6358">
        <w:rPr>
          <w:rFonts w:cs="Times New Roman"/>
          <w:color w:val="000000" w:themeColor="text1"/>
          <w:szCs w:val="24"/>
        </w:rPr>
        <w:t>У</w:t>
      </w:r>
      <w:r w:rsidRPr="00A97B7A">
        <w:rPr>
          <w:rFonts w:cs="Times New Roman"/>
          <w:color w:val="000000" w:themeColor="text1"/>
          <w:szCs w:val="24"/>
        </w:rPr>
        <w:t xml:space="preserve"> </w:t>
      </w:r>
      <w:r w:rsidRPr="005E6358">
        <w:rPr>
          <w:rFonts w:cs="Times New Roman"/>
          <w:color w:val="000000" w:themeColor="text1"/>
          <w:szCs w:val="24"/>
        </w:rPr>
        <w:t>ЧЕЛОВЕКА</w:t>
      </w:r>
      <w:bookmarkEnd w:id="134"/>
    </w:p>
    <w:p w14:paraId="1731F038" w14:textId="467144F9" w:rsidR="00E30437" w:rsidRPr="00A97B7A" w:rsidRDefault="00E30437" w:rsidP="00421CA0">
      <w:pPr>
        <w:pStyle w:val="2"/>
        <w:spacing w:line="240" w:lineRule="auto"/>
        <w:rPr>
          <w:color w:val="000000" w:themeColor="text1"/>
          <w:szCs w:val="24"/>
        </w:rPr>
      </w:pPr>
      <w:bookmarkStart w:id="135" w:name="_Toc117179219"/>
      <w:r w:rsidRPr="005E6358">
        <w:rPr>
          <w:color w:val="000000" w:themeColor="text1"/>
          <w:szCs w:val="24"/>
        </w:rPr>
        <w:t>Введение</w:t>
      </w:r>
      <w:r w:rsidRPr="00A97B7A">
        <w:rPr>
          <w:color w:val="000000" w:themeColor="text1"/>
          <w:szCs w:val="24"/>
        </w:rPr>
        <w:t xml:space="preserve"> </w:t>
      </w:r>
      <w:r w:rsidRPr="005E6358">
        <w:rPr>
          <w:color w:val="000000" w:themeColor="text1"/>
          <w:szCs w:val="24"/>
        </w:rPr>
        <w:t>и</w:t>
      </w:r>
      <w:r w:rsidRPr="00A97B7A">
        <w:rPr>
          <w:color w:val="000000" w:themeColor="text1"/>
          <w:szCs w:val="24"/>
        </w:rPr>
        <w:t xml:space="preserve"> </w:t>
      </w:r>
      <w:r w:rsidRPr="005E6358">
        <w:rPr>
          <w:color w:val="000000" w:themeColor="text1"/>
          <w:szCs w:val="24"/>
        </w:rPr>
        <w:t>резюме</w:t>
      </w:r>
      <w:bookmarkEnd w:id="135"/>
    </w:p>
    <w:p w14:paraId="352F50A5" w14:textId="2409EA6F" w:rsidR="00075D7F" w:rsidRDefault="00075D7F">
      <w:pPr>
        <w:ind w:firstLine="709"/>
      </w:pPr>
      <w:r w:rsidRPr="0075060E">
        <w:t>Так</w:t>
      </w:r>
      <w:r w:rsidRPr="00A97B7A">
        <w:t xml:space="preserve"> </w:t>
      </w:r>
      <w:r w:rsidRPr="0075060E">
        <w:t>как</w:t>
      </w:r>
      <w:r w:rsidRPr="00A97B7A">
        <w:t xml:space="preserve"> </w:t>
      </w:r>
      <w:r w:rsidRPr="0075060E">
        <w:t xml:space="preserve">препарат </w:t>
      </w:r>
      <w:r w:rsidRPr="0075060E">
        <w:rPr>
          <w:lang w:val="en-US"/>
        </w:rPr>
        <w:t>DT</w:t>
      </w:r>
      <w:r w:rsidRPr="0075060E">
        <w:t>-</w:t>
      </w:r>
      <w:r w:rsidRPr="0075060E">
        <w:rPr>
          <w:lang w:val="en-US"/>
        </w:rPr>
        <w:t>ETR</w:t>
      </w:r>
      <w:r w:rsidRPr="0075060E">
        <w:t xml:space="preserve"> (АО «Р-Фарм», Россия) представляет собой воспроизведенный препарат этравирина, который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(оригинальному) препарату </w:t>
      </w:r>
      <w:r w:rsidR="00E729EF">
        <w:t>этравирина</w:t>
      </w:r>
      <w:r w:rsidR="00E729EF" w:rsidRPr="0075060E">
        <w:t xml:space="preserve"> </w:t>
      </w:r>
      <w:r w:rsidRPr="0075060E">
        <w:t>Интеленс</w:t>
      </w:r>
      <w:r w:rsidRPr="0075060E">
        <w:rPr>
          <w:vertAlign w:val="superscript"/>
        </w:rPr>
        <w:t>®</w:t>
      </w:r>
      <w:r w:rsidRPr="0075060E">
        <w:t xml:space="preserve"> </w:t>
      </w:r>
      <w:r w:rsidRPr="0075060E">
        <w:rPr>
          <w:lang w:eastAsia="ru-RU"/>
        </w:rPr>
        <w:t xml:space="preserve">(владелец РУ - ООО «Джонсон &amp; Джонсон», Россия), имея отличия в качественном и количественном составе некоторых вспомогательных веществ, </w:t>
      </w:r>
      <w:r w:rsidRPr="0075060E">
        <w:t xml:space="preserve">ожидается, что его свойства будут идентичны свойствам оригинального препарата. </w:t>
      </w:r>
      <w:r w:rsidRPr="00BF6DD4">
        <w:rPr>
          <w:rFonts w:eastAsia="Calibri"/>
          <w:color w:val="000000" w:themeColor="text1"/>
        </w:rPr>
        <w:t xml:space="preserve">В связи с этим ниже приводятся данные об эффектах </w:t>
      </w:r>
      <w:r>
        <w:rPr>
          <w:rFonts w:eastAsia="Calibri"/>
          <w:color w:val="000000" w:themeColor="text1"/>
        </w:rPr>
        <w:t>этравирина</w:t>
      </w:r>
      <w:r w:rsidRPr="00BF6DD4">
        <w:rPr>
          <w:rFonts w:eastAsia="Calibri"/>
          <w:color w:val="000000" w:themeColor="text1"/>
        </w:rPr>
        <w:t xml:space="preserve"> у человека, полученные в исследованиях препарата </w:t>
      </w:r>
      <w:r>
        <w:rPr>
          <w:rFonts w:eastAsia="Calibri"/>
          <w:color w:val="000000" w:themeColor="text1"/>
        </w:rPr>
        <w:t>Интеленс</w:t>
      </w:r>
      <w:r w:rsidRPr="00BF6DD4">
        <w:rPr>
          <w:bCs/>
          <w:color w:val="000000" w:themeColor="text1"/>
          <w:vertAlign w:val="superscript"/>
        </w:rPr>
        <w:t>®</w:t>
      </w:r>
      <w:r w:rsidRPr="00BF6DD4">
        <w:rPr>
          <w:rFonts w:eastAsia="Calibri"/>
          <w:color w:val="000000" w:themeColor="text1"/>
        </w:rPr>
        <w:t>.</w:t>
      </w:r>
      <w:r w:rsidRPr="00BF6DD4">
        <w:rPr>
          <w:rFonts w:eastAsiaTheme="minorEastAsia"/>
          <w:color w:val="000000" w:themeColor="text1"/>
          <w:lang w:eastAsia="ru-RU"/>
        </w:rPr>
        <w:t xml:space="preserve"> К</w:t>
      </w:r>
      <w:r w:rsidRPr="00BF6DD4">
        <w:t xml:space="preserve">линических исследований лекарственного препарата </w:t>
      </w:r>
      <w:r w:rsidRPr="00BF6DD4">
        <w:rPr>
          <w:color w:val="000000" w:themeColor="text1"/>
          <w:lang w:val="en-US"/>
        </w:rPr>
        <w:t>DT</w:t>
      </w:r>
      <w:r w:rsidRPr="00BF6DD4">
        <w:rPr>
          <w:color w:val="000000" w:themeColor="text1"/>
        </w:rPr>
        <w:t>-</w:t>
      </w:r>
      <w:r w:rsidRPr="00BF6DD4">
        <w:rPr>
          <w:color w:val="000000" w:themeColor="text1"/>
          <w:lang w:val="en-US"/>
        </w:rPr>
        <w:t>E</w:t>
      </w:r>
      <w:r>
        <w:rPr>
          <w:color w:val="000000" w:themeColor="text1"/>
          <w:lang w:val="en-US"/>
        </w:rPr>
        <w:t>T</w:t>
      </w:r>
      <w:r w:rsidRPr="00BF6DD4">
        <w:rPr>
          <w:color w:val="000000" w:themeColor="text1"/>
          <w:lang w:val="en-US"/>
        </w:rPr>
        <w:t>R</w:t>
      </w:r>
      <w:r w:rsidRPr="00BF6DD4">
        <w:t xml:space="preserve"> пока не проводил</w:t>
      </w:r>
      <w:r>
        <w:t>о</w:t>
      </w:r>
      <w:r w:rsidRPr="00BF6DD4">
        <w:t>сь.</w:t>
      </w:r>
    </w:p>
    <w:p w14:paraId="4162A21D" w14:textId="435BD60C" w:rsidR="006F7380" w:rsidRDefault="00A72A3A" w:rsidP="009435FB">
      <w:pPr>
        <w:ind w:firstLine="709"/>
      </w:pPr>
      <w:r w:rsidRPr="000C117E">
        <w:t>Этравирин является ненуклеозидным ингибитором обратной транскриптазы (ННИОТ) вируса иммунодефицита человека – ВИЧ-1</w:t>
      </w:r>
      <w:r w:rsidRPr="00620C59">
        <w:t xml:space="preserve"> </w:t>
      </w:r>
      <w:r w:rsidR="006F7380">
        <w:t>второго поколения</w:t>
      </w:r>
      <w:r>
        <w:t xml:space="preserve">. </w:t>
      </w:r>
      <w:r w:rsidRPr="000C117E">
        <w:t>Этравирин</w:t>
      </w:r>
      <w:r w:rsidR="006F7380">
        <w:t xml:space="preserve"> в 2008 году был одобрен для лечения взрослых с резистентностью к нескольким классам АРВП по </w:t>
      </w:r>
      <w:r w:rsidR="00CB2579">
        <w:t>результатам рандомизированных</w:t>
      </w:r>
      <w:r w:rsidR="006F7380">
        <w:t xml:space="preserve"> плацебо-контролируемых клинических исследований (КИ; DUET-1 и DUET-2), в которых продемонстрировал свое превосходство в сочетании с оптимизированным фоновым режимом у пациентов с тройной устойчивостью по сравнению с плацебо (61% vs. 40% с вирусной нагрузкой &lt;50 копий/мл). Недавно, на основании результатов КИ I и II фаз (PIANO) у детей, </w:t>
      </w:r>
      <w:r w:rsidR="004579CA">
        <w:t>этравирин</w:t>
      </w:r>
      <w:r w:rsidR="004579CA" w:rsidRPr="008B2177">
        <w:t xml:space="preserve"> </w:t>
      </w:r>
      <w:r w:rsidR="006F7380">
        <w:t xml:space="preserve">был одобрен для использования у детей в возрасте 6 - 18 лет, достигших вирусологической супрессии на стабильной схеме </w:t>
      </w:r>
      <w:r w:rsidR="00357F06">
        <w:t>л</w:t>
      </w:r>
      <w:r w:rsidR="00357F06" w:rsidRPr="003B194B">
        <w:t>опинавир/ритонавир</w:t>
      </w:r>
      <w:r w:rsidR="00357F06">
        <w:t>.</w:t>
      </w:r>
      <w:r w:rsidR="00357F06" w:rsidRPr="003B194B">
        <w:t xml:space="preserve"> </w:t>
      </w:r>
      <w:r w:rsidR="006F7380">
        <w:t>В мае 2020 года препарат Интеленс® (</w:t>
      </w:r>
      <w:r w:rsidR="00357F06">
        <w:t>этравирин</w:t>
      </w:r>
      <w:r w:rsidR="006F7380">
        <w:t xml:space="preserve">), таблетки 25 и 100 мг, зарегистрирован в России для лечения ВИЧ у детей с 6 лет, ранее получавших АРВП, а в феврале 2021 г – для лечения ВИЧ у детей с 2 лет, которые ранее получали АРВП. В основу расширения показаний для применения </w:t>
      </w:r>
      <w:r w:rsidR="00357F06">
        <w:t>этравирина</w:t>
      </w:r>
      <w:r w:rsidR="00357F06" w:rsidRPr="008B2177">
        <w:t xml:space="preserve"> </w:t>
      </w:r>
      <w:r w:rsidR="006F7380">
        <w:t xml:space="preserve">легли результаты клинического исследования эффективности / безопасности / переносимости </w:t>
      </w:r>
      <w:r w:rsidR="00673786">
        <w:t>этравирина</w:t>
      </w:r>
      <w:r w:rsidR="00673786" w:rsidRPr="008B2177">
        <w:t xml:space="preserve"> </w:t>
      </w:r>
      <w:r w:rsidR="006F7380">
        <w:t>в педиатрической популяции 1 – 6 лет (IMPAACT P1090 I/II фазы</w:t>
      </w:r>
      <w:r w:rsidR="00673786">
        <w:t>).</w:t>
      </w:r>
    </w:p>
    <w:p w14:paraId="7FF1FB49" w14:textId="7C57F02B" w:rsidR="006F7380" w:rsidRDefault="006F7380" w:rsidP="009435FB">
      <w:pPr>
        <w:ind w:firstLine="709"/>
      </w:pPr>
      <w:r>
        <w:t xml:space="preserve">Эффективность лекарственных препаратов, содержащих </w:t>
      </w:r>
      <w:r w:rsidR="00357F06">
        <w:t>этравирин</w:t>
      </w:r>
      <w:r>
        <w:t xml:space="preserve">, в качестве средства для лечения ВИЧ-1 взрослых и детей с опытом предшествующей терапии была доказана в многочисленных </w:t>
      </w:r>
      <w:r w:rsidR="0039394A">
        <w:t>клинических исследованиях</w:t>
      </w:r>
      <w:r>
        <w:t>, в том числе, в двойных-слепых плацебо</w:t>
      </w:r>
      <w:r w:rsidR="0039394A">
        <w:t xml:space="preserve"> </w:t>
      </w:r>
      <w:r>
        <w:t xml:space="preserve">контролируемых исследованиях, в сравнении с известными стандартами лечения. Кроме того, эффективность </w:t>
      </w:r>
      <w:r w:rsidR="0039394A">
        <w:t>эбравирина</w:t>
      </w:r>
      <w:r>
        <w:t xml:space="preserve"> в составе комбинированной высокоэффективной АРТ подтверждена в систематических обзорах, мета-анализах и ретроспективных клинических исследованиях, а также данными реальной клинической практики</w:t>
      </w:r>
      <w:r w:rsidR="0039394A">
        <w:t>.</w:t>
      </w:r>
    </w:p>
    <w:p w14:paraId="026FDDB3" w14:textId="6E33759B" w:rsidR="004865CA" w:rsidRDefault="006F7380" w:rsidP="009435FB">
      <w:pPr>
        <w:ind w:firstLine="709"/>
      </w:pPr>
      <w:r>
        <w:t xml:space="preserve">Ежедневный пероральный прием </w:t>
      </w:r>
      <w:r w:rsidR="00544131">
        <w:t xml:space="preserve">этравирина </w:t>
      </w:r>
      <w:r>
        <w:t xml:space="preserve">в составе схем АРТ, был эффективен в отношении снижения вирусной нагрузки у ВИЧ-инфицированных пациентов с опытом предшествующей терапии при использовании в составе комбинированной АРТ. Польза от применения </w:t>
      </w:r>
      <w:r w:rsidR="00544131">
        <w:t xml:space="preserve">этравирина </w:t>
      </w:r>
      <w:r>
        <w:t xml:space="preserve">продемонстрирована результатами двух основных регистрационных исследований – DUET 1 и DUET 2 (TMC125-C206 и TMC125-C216), в которых </w:t>
      </w:r>
      <w:r w:rsidR="00544131">
        <w:t xml:space="preserve">этравирин </w:t>
      </w:r>
      <w:r>
        <w:t xml:space="preserve">эффективно снижал вирусную нагрузку у ВИЧ-инфицированных пациентов с опытом предшествующей терапии и вирусологической неудачей в анамнезе (≥ 1 мутации резистентности ННИОТ; анализ на 48, 96 неделе терапии). Вирусологическая супрессия (РНК ВИЧ &lt; 50 копий/мл) на 48 неделе достигнута у 60% пациентов, получавших </w:t>
      </w:r>
      <w:r w:rsidR="00544131">
        <w:t>этравирин</w:t>
      </w:r>
      <w:r>
        <w:t xml:space="preserve">, и 38%, получавших плацебо, на фоне базовой АРТ; у 71% и 46% пациентов, соответственно, вирусная нагрузка была менее 400 копий /мл; средний прирост CD4+ лимфоцитов по сравнению с исходным уровнем – 96 клеток/мкл и 68 клеток/мкл, соответственно. По данным 96-недельного объединенного анализа, доля участников, поддерживающих вирусологическую супрессию (РНК ВИЧ &lt;50 копий/мл), была значительно выше в группе </w:t>
      </w:r>
      <w:r w:rsidR="00544131">
        <w:t xml:space="preserve">этравирина </w:t>
      </w:r>
      <w:r>
        <w:t>по сравнению с плацебо (57% vs. 36%; p &lt;0,0001)</w:t>
      </w:r>
      <w:r w:rsidR="00D10294">
        <w:t>,</w:t>
      </w:r>
      <w:r>
        <w:t xml:space="preserve"> независимо от исходных характеристик включенных в исследование пациентов</w:t>
      </w:r>
      <w:r w:rsidR="00D10294">
        <w:t>.</w:t>
      </w:r>
      <w:r>
        <w:t xml:space="preserve"> В педиатрическом исследовании PIANO при включении в схему терапии </w:t>
      </w:r>
      <w:r w:rsidR="00A43A9A">
        <w:t xml:space="preserve">этравирина </w:t>
      </w:r>
      <w:r>
        <w:t>на 48 неделе 57 из 101 (56%) участников достигли вирусологической супрессии (РНК ВИЧ &lt;50 копий/мл, ITT-популяция). Вновь возникшая резистентность к ННИОТ была обнаружена у 18 из 30 (60%) детей без вирусологической супрессии в прошлом, среди выявленных мутаций наиболее часто обнаруживалась мутация Y181C (n = 8).</w:t>
      </w:r>
    </w:p>
    <w:p w14:paraId="4733A123" w14:textId="75699198" w:rsidR="00030E0F" w:rsidRDefault="00030E0F" w:rsidP="00030E0F">
      <w:pPr>
        <w:ind w:firstLine="709"/>
      </w:pPr>
      <w:r w:rsidRPr="00030E0F">
        <w:t>В общей сложности 1093 пациентов получали этравирин-содержащие схемы АРТ (в исследованиях IIB и III фазы); из их 861 пациент принимали этравирин не менее 24 недель и 279 –</w:t>
      </w:r>
      <w:r>
        <w:t xml:space="preserve"> не менее 48 недель.</w:t>
      </w:r>
      <w:r w:rsidRPr="00030E0F">
        <w:t xml:space="preserve"> В объединенный анализ DUET (рандомизированные плацебо-контролируемые исследования TMC125-C206 и TMC125-C216) вошло в общей сложности 599 ВИЧ-инфицированных, получавших этравирин (200 мг 2 раза в день) и 604 пациента, получавших плацебо. По данным объединенного анализа исследований DUET средняя продолжительность приема этравирина и плацебо составила 52,3 и 51,0 нед. соответственно. Наиболее распространенными НЯ (частота ≥10%) у пациентов, получавших этравирин, выявленными в рамках клинических исследований DUET, были: диарея (15,0% vs. 20,4% в группе плацебо), тошнота (13,9% vs. 11,1%) и сыпь (10,0% vs. 5,5%). Кожная сыпь (любой тип) развивалась у 17,0% пациентов, получавших этравирин (vs. 9,4% в группе плацебо).</w:t>
      </w:r>
      <w:r>
        <w:t xml:space="preserve"> </w:t>
      </w:r>
      <w:r w:rsidRPr="00030E0F">
        <w:t>В объединенном анализе регистрационных рандомизированных двойных слепых исследований III фазы DUET-1 и DUET-2 показатель отмены препарата по причине возникновения побочных реакций составил 5,2% и 2,6% участников в группе этравирин и плацебо соответственно</w:t>
      </w:r>
      <w:r>
        <w:t>.</w:t>
      </w:r>
    </w:p>
    <w:p w14:paraId="6E036582" w14:textId="2F7E885B" w:rsidR="00147F06" w:rsidRPr="00030E0F" w:rsidRDefault="00147F06" w:rsidP="00147F06">
      <w:pPr>
        <w:ind w:firstLine="709"/>
      </w:pPr>
      <w:r>
        <w:t>Частота, тип и тяжесть нежелательных реакций на лекарственные препараты у детей были сравнимы с таковыми у взрослых, за исключением сыпи, которая чаще наблюдалась у детей. Наиболее частыми побочными реакциями на лекарственные средства, по крайней мере у 2% детей, были сыпь и диарея. Сыпь (2 и более степени тяжести) наблюдалось у 15% детей. В большинстве случаев сыпь была легкой или умеренной, макулярно-папулезного типа, возникала на второй неделе терапии. Сыпь была ограниченной и обычно разрешалась в течение 1 недели при продолжении терапии. Частота прекращения лечения из-за сыпи составила 4%. Сыпь, в том числе значительная (3 или 4</w:t>
      </w:r>
      <w:r w:rsidRPr="00147F06">
        <w:t xml:space="preserve"> </w:t>
      </w:r>
      <w:r>
        <w:t>степени тяжести), и прекращение терапии чаще наблюдались у пациентов женского пола.</w:t>
      </w:r>
    </w:p>
    <w:p w14:paraId="200945A8" w14:textId="0D18AF69" w:rsidR="00E30437" w:rsidRDefault="00E30437" w:rsidP="004C505D">
      <w:pPr>
        <w:pStyle w:val="2"/>
        <w:spacing w:line="240" w:lineRule="auto"/>
        <w:rPr>
          <w:color w:val="000000" w:themeColor="text1"/>
          <w:szCs w:val="24"/>
        </w:rPr>
      </w:pPr>
      <w:bookmarkStart w:id="136" w:name="_Toc117179220"/>
      <w:r w:rsidRPr="005E6358">
        <w:rPr>
          <w:color w:val="000000" w:themeColor="text1"/>
          <w:szCs w:val="24"/>
        </w:rPr>
        <w:t>4.1</w:t>
      </w:r>
      <w:r w:rsidR="000D5549" w:rsidRPr="005E6358">
        <w:rPr>
          <w:color w:val="000000" w:themeColor="text1"/>
          <w:szCs w:val="24"/>
        </w:rPr>
        <w:t>.</w:t>
      </w:r>
      <w:r w:rsidRPr="005E6358">
        <w:rPr>
          <w:color w:val="000000" w:themeColor="text1"/>
          <w:szCs w:val="24"/>
        </w:rPr>
        <w:t xml:space="preserve"> Фармакокинетика </w:t>
      </w:r>
      <w:r w:rsidR="00075D7F">
        <w:rPr>
          <w:color w:val="000000" w:themeColor="text1"/>
          <w:szCs w:val="24"/>
        </w:rPr>
        <w:t xml:space="preserve">и фармакодинамика </w:t>
      </w:r>
      <w:r w:rsidRPr="005E6358">
        <w:rPr>
          <w:color w:val="000000" w:themeColor="text1"/>
          <w:szCs w:val="24"/>
        </w:rPr>
        <w:t>у человека</w:t>
      </w:r>
      <w:bookmarkEnd w:id="136"/>
    </w:p>
    <w:p w14:paraId="023ABC59" w14:textId="45EBF62F" w:rsidR="00075D7F" w:rsidRPr="00A76175" w:rsidRDefault="00075D7F" w:rsidP="00A76175">
      <w:pPr>
        <w:spacing w:before="240" w:after="240"/>
        <w:outlineLvl w:val="2"/>
        <w:rPr>
          <w:b/>
          <w:color w:val="000000" w:themeColor="text1"/>
        </w:rPr>
      </w:pPr>
      <w:bookmarkStart w:id="137" w:name="_Toc115217969"/>
      <w:bookmarkStart w:id="138" w:name="_Toc117075667"/>
      <w:bookmarkStart w:id="139" w:name="_Toc116519569"/>
      <w:bookmarkStart w:id="140" w:name="_Toc117179221"/>
      <w:r w:rsidRPr="00284823">
        <w:rPr>
          <w:b/>
          <w:color w:val="000000" w:themeColor="text1"/>
        </w:rPr>
        <w:t>4.1.1. Фармакокинетика</w:t>
      </w:r>
      <w:bookmarkEnd w:id="137"/>
      <w:bookmarkEnd w:id="138"/>
      <w:bookmarkEnd w:id="139"/>
      <w:bookmarkEnd w:id="140"/>
    </w:p>
    <w:p w14:paraId="7CA2F6AF" w14:textId="51609B82" w:rsidR="009907A9" w:rsidRDefault="009907A9" w:rsidP="009435FB">
      <w:pPr>
        <w:pStyle w:val="affb"/>
        <w:spacing w:before="0" w:after="0" w:line="240" w:lineRule="auto"/>
        <w:ind w:firstLine="709"/>
      </w:pPr>
      <w:r>
        <w:t>Фармакокинетика этравирина</w:t>
      </w:r>
      <w:r w:rsidRPr="008B2177">
        <w:t xml:space="preserve"> был</w:t>
      </w:r>
      <w:r>
        <w:t>а</w:t>
      </w:r>
      <w:r w:rsidRPr="008B2177">
        <w:t xml:space="preserve"> </w:t>
      </w:r>
      <w:r>
        <w:t xml:space="preserve">изучена </w:t>
      </w:r>
      <w:r w:rsidRPr="008B2177">
        <w:t>у здоровых добровольцев и людей</w:t>
      </w:r>
      <w:r>
        <w:t>, инфицированных</w:t>
      </w:r>
      <w:r w:rsidRPr="008B2177">
        <w:t xml:space="preserve"> ВИЧ</w:t>
      </w:r>
      <w:r>
        <w:t xml:space="preserve"> (взрослых</w:t>
      </w:r>
      <w:r w:rsidRPr="00D77DC9">
        <w:t xml:space="preserve"> </w:t>
      </w:r>
      <w:r>
        <w:t>и детей)</w:t>
      </w:r>
      <w:r w:rsidRPr="008B2177">
        <w:t xml:space="preserve">. В ходе </w:t>
      </w:r>
      <w:r>
        <w:t xml:space="preserve">клинических </w:t>
      </w:r>
      <w:r w:rsidRPr="008B2177">
        <w:t xml:space="preserve">исследований </w:t>
      </w:r>
      <w:r w:rsidR="00103A50" w:rsidRPr="008B2177">
        <w:t xml:space="preserve">II и III </w:t>
      </w:r>
      <w:r w:rsidR="00103A50">
        <w:t xml:space="preserve"> </w:t>
      </w:r>
      <w:r w:rsidRPr="008B2177">
        <w:t xml:space="preserve">фазы </w:t>
      </w:r>
      <w:r>
        <w:t xml:space="preserve">оригинального препарата </w:t>
      </w:r>
      <w:r w:rsidRPr="008B2177">
        <w:t>были внесены значительные изменения в состав таблет</w:t>
      </w:r>
      <w:r>
        <w:t>ированной лекарственной формы</w:t>
      </w:r>
      <w:r w:rsidRPr="008B2177">
        <w:t xml:space="preserve">, которые </w:t>
      </w:r>
      <w:r>
        <w:t xml:space="preserve">позволили </w:t>
      </w:r>
      <w:r w:rsidRPr="008B2177">
        <w:t>значительно улучши</w:t>
      </w:r>
      <w:r>
        <w:t xml:space="preserve">ть </w:t>
      </w:r>
      <w:r w:rsidRPr="008B2177">
        <w:t xml:space="preserve">пероральную биодоступность </w:t>
      </w:r>
      <w:r w:rsidR="00BF1880">
        <w:t>этравирина</w:t>
      </w:r>
      <w:r w:rsidR="00BF1880" w:rsidRPr="008B2177">
        <w:t xml:space="preserve"> </w:t>
      </w:r>
      <w:r w:rsidRPr="008B2177">
        <w:t xml:space="preserve">и привели к </w:t>
      </w:r>
      <w:r>
        <w:t>разработке состава препарата Интеленс</w:t>
      </w:r>
      <w:r w:rsidRPr="00F0752C">
        <w:rPr>
          <w:vertAlign w:val="superscript"/>
        </w:rPr>
        <w:t>®</w:t>
      </w:r>
      <w:r>
        <w:t>, который в настоящее время реализуется на рынке</w:t>
      </w:r>
      <w:r w:rsidR="004C011A">
        <w:t xml:space="preserve"> </w:t>
      </w:r>
      <w:r w:rsidR="004C011A">
        <w:fldChar w:fldCharType="begin"/>
      </w:r>
      <w:r w:rsidR="004865CA">
        <w:instrText xml:space="preserve"> ADDIN ZOTERO_ITEM CSL_CITATION {"citationID":"Pt9qrRAF","properties":{"formattedCitation":"(1)","plainCitation":"(1)","noteIndex":0},"citationItems":[{"id":2546,"uris":["http://zotero.org/users/5483459/items/J2LUM5TE"],"itemData":{"id":2546,"type":"document","title":"Product Monograph INTELENCE® etravirine tablets 25 mg, 100 mg, 200 mg. Janssen Inc.  Date of Revision: May 17, 2017."}}],"schema":"https://github.com/citation-style-language/schema/raw/master/csl-citation.json"} </w:instrText>
      </w:r>
      <w:r w:rsidR="004C011A">
        <w:fldChar w:fldCharType="separate"/>
      </w:r>
      <w:r w:rsidR="00B50985" w:rsidRPr="00B50985">
        <w:t>[</w:t>
      </w:r>
      <w:r w:rsidR="004865CA" w:rsidRPr="004865CA">
        <w:t>1</w:t>
      </w:r>
      <w:r w:rsidR="00B50985" w:rsidRPr="00B50985">
        <w:t>]</w:t>
      </w:r>
      <w:r w:rsidR="004C011A">
        <w:fldChar w:fldCharType="end"/>
      </w:r>
      <w:r>
        <w:t>.</w:t>
      </w:r>
      <w:r w:rsidRPr="008B2177">
        <w:t xml:space="preserve"> </w:t>
      </w:r>
      <w:r>
        <w:t>Все данные, приведенные в обзоре, имеют отношение к этой лекарственной форме, реализуемой в настоящее время на фармацевтическом рынке</w:t>
      </w:r>
      <w:r w:rsidRPr="008B2177">
        <w:t xml:space="preserve"> </w:t>
      </w:r>
      <w:r w:rsidR="00EE377C">
        <w:fldChar w:fldCharType="begin"/>
      </w:r>
      <w:r w:rsidR="00EE377C">
        <w:instrText xml:space="preserve"> ADDIN ZOTERO_ITEM CSL_CITATION {"citationID":"OYrt31Cv","properties":{"formattedCitation":"(2)","plainCitation":"(2)","noteIndex":0},"citationItems":[{"id":2597,"uris":["http://zotero.org/users/5483459/items/2TM4VUMV"],"itemData":{"id":2597,"type":"article-journal","abstract":"Etravirine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V"}],"issued":{"date-parts":[["2020",2,1]]}}}],"schema":"https://github.com/citation-style-language/schema/raw/master/csl-citation.json"} </w:instrText>
      </w:r>
      <w:r w:rsidR="00EE377C">
        <w:fldChar w:fldCharType="separate"/>
      </w:r>
      <w:r w:rsidR="00B50985" w:rsidRPr="00B50985">
        <w:t>[</w:t>
      </w:r>
      <w:r w:rsidR="00EE377C" w:rsidRPr="00EE377C">
        <w:t>2</w:t>
      </w:r>
      <w:r w:rsidR="00B50985" w:rsidRPr="00B50985">
        <w:t>]</w:t>
      </w:r>
      <w:r w:rsidR="00EE377C">
        <w:fldChar w:fldCharType="end"/>
      </w:r>
      <w:r w:rsidR="00EE377C">
        <w:t>.</w:t>
      </w:r>
    </w:p>
    <w:p w14:paraId="13611257" w14:textId="6F3C5673" w:rsidR="00DC61D1" w:rsidRPr="00DC61D1" w:rsidRDefault="009907A9" w:rsidP="009435FB">
      <w:pPr>
        <w:ind w:firstLine="709"/>
      </w:pPr>
      <w:r>
        <w:t xml:space="preserve">Экспозиция </w:t>
      </w:r>
      <w:r w:rsidR="007B61BF">
        <w:t>этравирина</w:t>
      </w:r>
      <w:r w:rsidR="007B61BF" w:rsidRPr="008B2177">
        <w:t xml:space="preserve"> </w:t>
      </w:r>
      <w:r>
        <w:t xml:space="preserve">у </w:t>
      </w:r>
      <w:r w:rsidRPr="00B13722">
        <w:t>ВИЧ-1</w:t>
      </w:r>
      <w:r w:rsidRPr="00B255A2">
        <w:t>-</w:t>
      </w:r>
      <w:r>
        <w:t>ифицированных</w:t>
      </w:r>
      <w:r w:rsidRPr="00B13722">
        <w:t xml:space="preserve"> пациентов</w:t>
      </w:r>
      <w:r>
        <w:t xml:space="preserve"> значительно </w:t>
      </w:r>
      <w:r w:rsidRPr="00B13722">
        <w:t xml:space="preserve">ниже (35-50%), </w:t>
      </w:r>
      <w:r>
        <w:t xml:space="preserve">по сравнению со </w:t>
      </w:r>
      <w:r w:rsidRPr="00B13722">
        <w:t>здоровы</w:t>
      </w:r>
      <w:r>
        <w:t>ми</w:t>
      </w:r>
      <w:r w:rsidRPr="00B13722">
        <w:t xml:space="preserve"> </w:t>
      </w:r>
      <w:r>
        <w:t xml:space="preserve">добровольцами </w:t>
      </w:r>
      <w:r w:rsidR="00AF0B24">
        <w:fldChar w:fldCharType="begin"/>
      </w:r>
      <w:r w:rsidR="00AF0B24">
        <w:instrText xml:space="preserve"> ADDIN ZOTERO_ITEM CSL_CITATION {"citationID":"QthjpIJY","properties":{"formattedCitation":"(2,3)","plainCitation":"(2,3)","noteIndex":0},"citationItems":[{"id":2597,"uris":["http://zotero.org/users/5483459/items/2TM4VUMV"],"itemData":{"id":2597,"type":"article-journal","abstract":"Etravirine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V"}],"issued":{"date-parts":[["2020",2,1]]}},"label":"page"},{"id":2601,"uris":["http://zotero.org/users/5483459/items/TSM2D2ME"],"itemData":{"id":2601,"type":"webpage","title":"Drug Approval Package: Intelence (Etravirine) NDA #022187","URL":"https://www.accessdata.fda.gov/drugsatfda_docs/nda/2008/022187TOC.cfm","accessed":{"date-parts":[["2022",8,22]]}},"label":"page"}],"schema":"https://github.com/citation-style-language/schema/raw/master/csl-citation.json"} </w:instrText>
      </w:r>
      <w:r w:rsidR="00AF0B24">
        <w:fldChar w:fldCharType="separate"/>
      </w:r>
      <w:r w:rsidR="00B50985" w:rsidRPr="00B50985">
        <w:t>[</w:t>
      </w:r>
      <w:r w:rsidR="00AF0B24" w:rsidRPr="00AF0B24">
        <w:t>2,3</w:t>
      </w:r>
      <w:r w:rsidR="00B50985" w:rsidRPr="00B50985">
        <w:t>]</w:t>
      </w:r>
      <w:r w:rsidR="00AF0B24">
        <w:fldChar w:fldCharType="end"/>
      </w:r>
      <w:r w:rsidR="00AF0B24">
        <w:t>.</w:t>
      </w:r>
    </w:p>
    <w:p w14:paraId="2B90FBD4" w14:textId="77777777" w:rsidR="00075D7F" w:rsidRDefault="00075D7F" w:rsidP="00A76175"/>
    <w:p w14:paraId="15E425A7" w14:textId="19FA94DF" w:rsidR="00F42555" w:rsidRPr="00A76175" w:rsidRDefault="00F42555" w:rsidP="00A76175">
      <w:r w:rsidRPr="00A76175">
        <w:rPr>
          <w:b/>
        </w:rPr>
        <w:t>Всасывание</w:t>
      </w:r>
    </w:p>
    <w:p w14:paraId="2105184F" w14:textId="77777777" w:rsidR="00075D7F" w:rsidRDefault="00075D7F" w:rsidP="00A76175"/>
    <w:p w14:paraId="6373EB1C" w14:textId="70873435" w:rsidR="00AF0B24" w:rsidRDefault="00AF0B24" w:rsidP="009435FB">
      <w:pPr>
        <w:ind w:firstLine="709"/>
      </w:pPr>
      <w:r>
        <w:t>Лекарственная форма для внутривенного введения этравирина</w:t>
      </w:r>
      <w:r w:rsidRPr="008B2177">
        <w:t xml:space="preserve"> </w:t>
      </w:r>
      <w:r>
        <w:t xml:space="preserve">недоступна, поэтому абсолютная биодоступность </w:t>
      </w:r>
      <w:r w:rsidR="002424FC">
        <w:t>этравирина</w:t>
      </w:r>
      <w:r w:rsidR="002424FC" w:rsidRPr="008B2177">
        <w:t xml:space="preserve"> </w:t>
      </w:r>
      <w:r>
        <w:t xml:space="preserve">неизвестна. После перорального приема </w:t>
      </w:r>
      <w:r w:rsidR="002424FC">
        <w:t>этравирина</w:t>
      </w:r>
      <w:r w:rsidR="002424FC" w:rsidRPr="008B2177">
        <w:t xml:space="preserve"> </w:t>
      </w:r>
      <w:r>
        <w:t>максимальная концентрация в плазме (C</w:t>
      </w:r>
      <w:r w:rsidRPr="002424FC">
        <w:rPr>
          <w:vertAlign w:val="subscript"/>
        </w:rPr>
        <w:t>max</w:t>
      </w:r>
      <w:r>
        <w:t xml:space="preserve">) достигается в течение 2,5–5 ч </w:t>
      </w:r>
      <w:r w:rsidR="007B61BF">
        <w:fldChar w:fldCharType="begin"/>
      </w:r>
      <w:r w:rsidR="007B61BF">
        <w:instrText xml:space="preserve"> ADDIN ZOTERO_ITEM CSL_CITATION {"citationID":"gwyAYYaa","properties":{"formattedCitation":"(2,4)","plainCitation":"(2,4)","noteIndex":0},"citationItems":[{"id":2599,"uris":["http://zotero.org/users/5483459/items/P5WJTLLR"],"itemData":{"id":2599,"type":"webpage","title":"Clinical pharmacokinetics and pharmacodynamics of etravirine - PubMed","URL":"https://pubmed.ncbi.nlm.nih.gov/19725591/","accessed":{"date-parts":[["2022",8,22]]}},"label":"page"},{"id":2597,"uris":["http://zotero.org/users/5483459/items/2TM4VUMV"],"itemData":{"id":2597,"type":"article-journal","abstract":"Etravirine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V"}],"issued":{"date-parts":[["2020",2,1]]}},"label":"page"}],"schema":"https://github.com/citation-style-language/schema/raw/master/csl-citation.json"} </w:instrText>
      </w:r>
      <w:r w:rsidR="007B61BF">
        <w:fldChar w:fldCharType="separate"/>
      </w:r>
      <w:r w:rsidR="00B50985" w:rsidRPr="00B50985">
        <w:t>[</w:t>
      </w:r>
      <w:r w:rsidR="007B61BF" w:rsidRPr="007B61BF">
        <w:t>2,</w:t>
      </w:r>
      <w:r w:rsidR="00CB2579">
        <w:t xml:space="preserve"> </w:t>
      </w:r>
      <w:r w:rsidR="007B61BF" w:rsidRPr="007B61BF">
        <w:t>4</w:t>
      </w:r>
      <w:r w:rsidR="00B50985" w:rsidRPr="00B50985">
        <w:t>]</w:t>
      </w:r>
      <w:r w:rsidR="007B61BF">
        <w:fldChar w:fldCharType="end"/>
      </w:r>
      <w:r w:rsidR="007B61BF">
        <w:t>. Этравирин</w:t>
      </w:r>
      <w:r>
        <w:t xml:space="preserve">, вероятно, абсорбируется в проксимальном отделе тонкой кишки посредством пассивной диффузии </w:t>
      </w:r>
      <w:r w:rsidR="00194962">
        <w:fldChar w:fldCharType="begin"/>
      </w:r>
      <w:r w:rsidR="00194962">
        <w:instrText xml:space="preserve"> ADDIN ZOTERO_ITEM CSL_CITATION {"citationID":"UGMSVpfY","properties":{"formattedCitation":"(5)","plainCitation":"(5)","noteIndex":0},"citationItems":[{"id":2607,"uris":["http://zotero.org/users/5483459/items/QS6GEJ3K"],"itemData":{"id":2607,"type":"article-journal","title":"Annaert P Determination of the in vitro transport characteristics of TMC125, evaluation of the possible role of p-glycoprotein in TMC125 transport and assessment of possible inhibition of p-glycoprotein activity by TMC125: a study in Caco-2 monolayers. Nonclinical pharmacokinetics report, study no. TMC125-NC183 (FK4784). Beerse: Johnson &amp; Johnson Pharmaceutical Research &amp; Development; 2004."}}],"schema":"https://github.com/citation-style-language/schema/raw/master/csl-citation.json"} </w:instrText>
      </w:r>
      <w:r w:rsidR="00194962">
        <w:fldChar w:fldCharType="separate"/>
      </w:r>
      <w:r w:rsidR="00B50985" w:rsidRPr="00B50985">
        <w:t>[</w:t>
      </w:r>
      <w:r w:rsidR="00194962" w:rsidRPr="00194962">
        <w:t>5</w:t>
      </w:r>
      <w:r w:rsidR="00B50985" w:rsidRPr="00B50985">
        <w:t>]</w:t>
      </w:r>
      <w:r w:rsidR="00194962">
        <w:fldChar w:fldCharType="end"/>
      </w:r>
      <w:r w:rsidR="00194962">
        <w:t xml:space="preserve">. </w:t>
      </w:r>
      <w:r>
        <w:t xml:space="preserve">Зависимость абсорбции </w:t>
      </w:r>
      <w:r w:rsidR="00194962">
        <w:t>этравирина</w:t>
      </w:r>
      <w:r w:rsidR="00194962" w:rsidRPr="008B2177">
        <w:t xml:space="preserve"> </w:t>
      </w:r>
      <w:r>
        <w:t xml:space="preserve">от времени по отношению к приему пищи была продемонстрирована в исследованиях с участием здоровых добровольцев, принимавших препарат натощак или после приема пищи. Натощак ежедневная экспозиция </w:t>
      </w:r>
      <w:r w:rsidR="00194962">
        <w:t>этравирина</w:t>
      </w:r>
      <w:r w:rsidR="00194962" w:rsidRPr="008B2177">
        <w:t xml:space="preserve"> </w:t>
      </w:r>
      <w:r>
        <w:t xml:space="preserve">(AUC) была примерно на 50% ниже, чем после приема пищи. Пища с содержанием 345 – 1160 ккал и 17 – 70 г пищевых жиров значимо не влияла на биодоступность </w:t>
      </w:r>
      <w:r w:rsidR="00194962">
        <w:t>этравирина</w:t>
      </w:r>
      <w:r>
        <w:t>. Завтрак с высоким содержанием клетчатки (685 ккал, 3 г жира) увеличивал AUC на 25%, а легкий завтрак (345 ккал, 17 г жира) повышал AUC лишь на 20%</w:t>
      </w:r>
      <w:r w:rsidR="00245D40">
        <w:t xml:space="preserve"> </w:t>
      </w:r>
      <w:r w:rsidR="00CB2579">
        <w:fldChar w:fldCharType="begin"/>
      </w:r>
      <w:r w:rsidR="00CB2579">
        <w:instrText xml:space="preserve"> ADDIN ZOTERO_ITEM CSL_CITATION {"citationID":"DWMODcb5","properties":{"formattedCitation":"(6)","plainCitation":"(6)","noteIndex":0},"citationItems":[{"id":2608,"uris":["http://zotero.org/users/5483459/items/2P9EDAB2"],"itemData":{"id":2608,"type":"article-journal","abstract":"STUDY OBJECTIVE: To determine the effects of various meal compositions and the fasted state on the pharmacokinetics of etravirine, a nonnucleoside reverse transcriptase inhibitor.\nDESIGN: Phase I, open-label, randomized, repeated single-dose, three-period crossover trial.\nSETTING: Clinical pharmacology unit.\nPARTICIPANTS: Two parallel panels of 12 human immunodeficiency virus (HIV)-negative, healthy, male volunteers. Twenty volunteers completed the study; three withdrew consent, and one was lost to follow-up. Intervention. Panel 1 received a single dose of etravirine 100 mg after a standard breakfast, in the fasted state, and after a light breakfast (croissant). Panel 2 received the same treatment after a standard breakfast, after an enhanced-fiber breakfast, and after a high-fat breakfast. Each treatment was separated by a washout period of at least 14 days.\nMEASUREMENTS AND MAIN RESULTS: For each treatment, full pharmacokinetic profiles of etravirine were determined up to 96 hours after dosing. Pharmacokinetic parameters were determined by noncompartmental methods and analyzed using a linear mixed-effects model for a crossover design. The least-squares mean ratio for the area under the plasma concentration-time curve from time of administration to the last time point with a measurable concentration after dosing (AUClast) was 0.49 (90% confidence interval [CI] 0.39-0.61) for the fasted state compared with dosing after a standard breakfast. When dosing occurred after a light or enhanced-fiber breakfast, the corresponding values were 0.80 (90% CI 0.69-0.94) and 0.75 (90% CI 0.63-0.90), respectively. When administered after a high-fat breakfast the least-squares mean ratio of AUC(last) was 1.09 (0.84-1.41), compared with dosing after a standard breakfast. Adverse events were also assessed. Under all conditions, single doses of etravirine 100 mg were generally safe and well tolerated.\nCONCLUSION: Administration of etravirine in a fasted state resulted in 51% lower mean exposure compared with dosing after a standard breakfast. Etravirine should be administered following a meal to improve bioavailability; however, differences in exposure after a standard breakfast versus a high-fat, enhanced-fiber, or light breakfast (croissant) were not considered clinically relevant.","container-title":"Pharmacotherapy","DOI":"10.1592/phco.28.10.1215","ISSN":"0277-0008","issue":"10","journalAbbreviation":"Pharmacotherapy","language":"eng","note":"PMID: 18823217","page":"1215-1222","source":"PubMed","title":"Effects of different meal compositions and fasted state on the oral bioavailability of etravirine","volume":"28","author":[{"family":"Schöller-Gyüre","given":"Monika"},{"family":"Boffito","given":"Marta"},{"family":"Pozniak","given":"Anton L."},{"family":"Leemans","given":"Ruud"},{"family":"Kakuda","given":"Thomas N."},{"family":"Woodfall","given":"Brian"},{"family":"Vyncke","given":"Veerle"},{"family":"Peeters","given":"Monika"},{"family":"Vandermeulen","given":"Kati"},{"family":"Hoetelmans","given":"Richard M. W."}],"issued":{"date-parts":[["2008",10]]}}}],"schema":"https://github.com/citation-style-language/schema/raw/master/csl-citation.json"} </w:instrText>
      </w:r>
      <w:r w:rsidR="00CB2579">
        <w:fldChar w:fldCharType="separate"/>
      </w:r>
      <w:r w:rsidR="00CB2579" w:rsidRPr="00B50985">
        <w:t>[</w:t>
      </w:r>
      <w:r w:rsidR="00CB2579" w:rsidRPr="00245D40">
        <w:t>6</w:t>
      </w:r>
      <w:r w:rsidR="00CB2579" w:rsidRPr="008B0B82">
        <w:t>]</w:t>
      </w:r>
      <w:r w:rsidR="00CB2579">
        <w:fldChar w:fldCharType="end"/>
      </w:r>
      <w:r w:rsidR="00CB2579">
        <w:t xml:space="preserve">. </w:t>
      </w:r>
      <w:r>
        <w:t xml:space="preserve">Поэтому </w:t>
      </w:r>
      <w:r w:rsidR="00245D40">
        <w:t xml:space="preserve">этравирин </w:t>
      </w:r>
      <w:r>
        <w:t xml:space="preserve">рекомендуется принимать после еды, хотя характер пищи в инструкции к медицинскому применению (ИМП) не определен, поскольку различия фармакокинетических параметров в зависимости от типа пищи, по всей видимости, не имеют клинического значения </w:t>
      </w:r>
      <w:r w:rsidR="00D64805">
        <w:fldChar w:fldCharType="begin"/>
      </w:r>
      <w:r w:rsidR="00D64805">
        <w:instrText xml:space="preserve"> ADDIN ZOTERO_ITEM CSL_CITATION {"citationID":"iGXmgxrv","properties":{"formattedCitation":"(6,7)","plainCitation":"(6,7)","noteIndex":0},"citationItems":[{"id":2608,"uris":["http://zotero.org/users/5483459/items/2P9EDAB2"],"itemData":{"id":2608,"type":"article-journal","abstract":"STUDY OBJECTIVE: To determine the effects of various meal compositions and the fasted state on the pharmacokinetics of etravirine, a nonnucleoside reverse transcriptase inhibitor.\nDESIGN: Phase I, open-label, randomized, repeated single-dose, three-period crossover trial.\nSETTING: Clinical pharmacology unit.\nPARTICIPANTS: Two parallel panels of 12 human immunodeficiency virus (HIV)-negative, healthy, male volunteers. Twenty volunteers completed the study; three withdrew consent, and one was lost to follow-up. Intervention. Panel 1 received a single dose of etravirine 100 mg after a standard breakfast, in the fasted state, and after a light breakfast (croissant). Panel 2 received the same treatment after a standard breakfast, after an enhanced-fiber breakfast, and after a high-fat breakfast. Each treatment was separated by a washout period of at least 14 days.\nMEASUREMENTS AND MAIN RESULTS: For each treatment, full pharmacokinetic profiles of etravirine were determined up to 96 hours after dosing. Pharmacokinetic parameters were determined by noncompartmental methods and analyzed using a linear mixed-effects model for a crossover design. The least-squares mean ratio for the area under the plasma concentration-time curve from time of administration to the last time point with a measurable concentration after dosing (AUClast) was 0.49 (90% confidence interval [CI] 0.39-0.61) for the fasted state compared with dosing after a standard breakfast. When dosing occurred after a light or enhanced-fiber breakfast, the corresponding values were 0.80 (90% CI 0.69-0.94) and 0.75 (90% CI 0.63-0.90), respectively. When administered after a high-fat breakfast the least-squares mean ratio of AUC(last) was 1.09 (0.84-1.41), compared with dosing after a standard breakfast. Adverse events were also assessed. Under all conditions, single doses of etravirine 100 mg were generally safe and well tolerated.\nCONCLUSION: Administration of etravirine in a fasted state resulted in 51% lower mean exposure compared with dosing after a standard breakfast. Etravirine should be administered following a meal to improve bioavailability; however, differences in exposure after a standard breakfast versus a high-fat, enhanced-fiber, or light breakfast (croissant) were not considered clinically relevant.","container-title":"Pharmacotherapy","DOI":"10.1592/phco.28.10.1215","ISSN":"0277-0008","issue":"10","journalAbbreviation":"Pharmacotherapy","language":"eng","note":"PMID: 18823217","page":"1215-1222","source":"PubMed","title":"Effects of different meal compositions and fasted state on the oral bioavailability of etravirine","volume":"28","author":[{"family":"Schöller-Gyüre","given":"Monika"},{"family":"Boffito","given":"Marta"},{"family":"Pozniak","given":"Anton L."},{"family":"Leemans","given":"Ruud"},{"family":"Kakuda","given":"Thomas N."},{"family":"Woodfall","given":"Brian"},{"family":"Vyncke","given":"Veerle"},{"family":"Peeters","given":"Monika"},{"family":"Vandermeulen","given":"Kati"},{"family":"Hoetelmans","given":"Richard M. W."}],"issued":{"date-parts":[["2008",10]]}},"label":"page"},{"id":2610,"uris":["http://zotero.org/users/5483459/items/SLFDH84G"],"itemData":{"id":2610,"type":"article-journal","title":"Министерство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2021."},"label":"page"}],"schema":"https://github.com/citation-style-language/schema/raw/master/csl-citation.json"} </w:instrText>
      </w:r>
      <w:r w:rsidR="00D64805">
        <w:fldChar w:fldCharType="separate"/>
      </w:r>
      <w:r w:rsidR="00B50985" w:rsidRPr="00B50985">
        <w:t>[</w:t>
      </w:r>
      <w:r w:rsidR="00D64805" w:rsidRPr="00D64805">
        <w:t>6,</w:t>
      </w:r>
      <w:r w:rsidR="00CB2579">
        <w:t xml:space="preserve"> </w:t>
      </w:r>
      <w:r w:rsidR="00D64805" w:rsidRPr="00D64805">
        <w:t>7</w:t>
      </w:r>
      <w:r w:rsidR="00B50985" w:rsidRPr="00B50985">
        <w:t>]</w:t>
      </w:r>
      <w:r w:rsidR="00D64805">
        <w:fldChar w:fldCharType="end"/>
      </w:r>
      <w:r w:rsidR="00D64805">
        <w:t xml:space="preserve">. </w:t>
      </w:r>
      <w:r>
        <w:t xml:space="preserve">Лекарственные препараты, снижающие pH желудочного сока (такие как ранитидин или омепразол) клинически значимо не влияли на абсорбцию </w:t>
      </w:r>
      <w:r w:rsidR="004C6797">
        <w:t>этравирина</w:t>
      </w:r>
      <w:r w:rsidR="004C6797" w:rsidRPr="008B2177">
        <w:t xml:space="preserve"> </w:t>
      </w:r>
      <w:r w:rsidR="00A67EEB">
        <w:fldChar w:fldCharType="begin"/>
      </w:r>
      <w:r w:rsidR="00A67EEB">
        <w:instrText xml:space="preserve"> ADDIN ZOTERO_ITEM CSL_CITATION {"citationID":"5nRdIJex","properties":{"formattedCitation":"(6,7)","plainCitation":"(6,7)","noteIndex":0},"citationItems":[{"id":2608,"uris":["http://zotero.org/users/5483459/items/2P9EDAB2"],"itemData":{"id":2608,"type":"article-journal","abstract":"STUDY OBJECTIVE: To determine the effects of various meal compositions and the fasted state on the pharmacokinetics of etravirine, a nonnucleoside reverse transcriptase inhibitor.\nDESIGN: Phase I, open-label, randomized, repeated single-dose, three-period crossover trial.\nSETTING: Clinical pharmacology unit.\nPARTICIPANTS: Two parallel panels of 12 human immunodeficiency virus (HIV)-negative, healthy, male volunteers. Twenty volunteers completed the study; three withdrew consent, and one was lost to follow-up. Intervention. Panel 1 received a single dose of etravirine 100 mg after a standard breakfast, in the fasted state, and after a light breakfast (croissant). Panel 2 received the same treatment after a standard breakfast, after an enhanced-fiber breakfast, and after a high-fat breakfast. Each treatment was separated by a washout period of at least 14 days.\nMEASUREMENTS AND MAIN RESULTS: For each treatment, full pharmacokinetic profiles of etravirine were determined up to 96 hours after dosing. Pharmacokinetic parameters were determined by noncompartmental methods and analyzed using a linear mixed-effects model for a crossover design. The least-squares mean ratio for the area under the plasma concentration-time curve from time of administration to the last time point with a measurable concentration after dosing (AUClast) was 0.49 (90% confidence interval [CI] 0.39-0.61) for the fasted state compared with dosing after a standard breakfast. When dosing occurred after a light or enhanced-fiber breakfast, the corresponding values were 0.80 (90% CI 0.69-0.94) and 0.75 (90% CI 0.63-0.90), respectively. When administered after a high-fat breakfast the least-squares mean ratio of AUC(last) was 1.09 (0.84-1.41), compared with dosing after a standard breakfast. Adverse events were also assessed. Under all conditions, single doses of etravirine 100 mg were generally safe and well tolerated.\nCONCLUSION: Administration of etravirine in a fasted state resulted in 51% lower mean exposure compared with dosing after a standard breakfast. Etravirine should be administered following a meal to improve bioavailability; however, differences in exposure after a standard breakfast versus a high-fat, enhanced-fiber, or light breakfast (croissant) were not considered clinically relevant.","container-title":"Pharmacotherapy","DOI":"10.1592/phco.28.10.1215","ISSN":"0277-0008","issue":"10","journalAbbreviation":"Pharmacotherapy","language":"eng","note":"PMID: 18823217","page":"1215-1222","source":"PubMed","title":"Effects of different meal compositions and fasted state on the oral bioavailability of etravirine","volume":"28","author":[{"family":"Schöller-Gyüre","given":"Monika"},{"family":"Boffito","given":"Marta"},{"family":"Pozniak","given":"Anton L."},{"family":"Leemans","given":"Ruud"},{"family":"Kakuda","given":"Thomas N."},{"family":"Woodfall","given":"Brian"},{"family":"Vyncke","given":"Veerle"},{"family":"Peeters","given":"Monika"},{"family":"Vandermeulen","given":"Kati"},{"family":"Hoetelmans","given":"Richard M. W."}],"issued":{"date-parts":[["2008",10]]}},"label":"page"},{"id":2610,"uris":["http://zotero.org/users/5483459/items/SLFDH84G"],"itemData":{"id":2610,"type":"article-journal","title":"Министерство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2021."},"label":"page"}],"schema":"https://github.com/citation-style-language/schema/raw/master/csl-citation.json"} </w:instrText>
      </w:r>
      <w:r w:rsidR="00A67EEB">
        <w:fldChar w:fldCharType="separate"/>
      </w:r>
      <w:r w:rsidR="00B50985" w:rsidRPr="00B50985">
        <w:t>[</w:t>
      </w:r>
      <w:r w:rsidR="00A67EEB" w:rsidRPr="00A67EEB">
        <w:t>6,</w:t>
      </w:r>
      <w:r w:rsidR="00CB2579">
        <w:t xml:space="preserve"> </w:t>
      </w:r>
      <w:r w:rsidR="00A67EEB" w:rsidRPr="00A67EEB">
        <w:t>7</w:t>
      </w:r>
      <w:r w:rsidR="00B50985" w:rsidRPr="00B50985">
        <w:t>]</w:t>
      </w:r>
      <w:r w:rsidR="00A67EEB">
        <w:fldChar w:fldCharType="end"/>
      </w:r>
      <w:r w:rsidR="00A67EEB">
        <w:t>.</w:t>
      </w:r>
      <w:r>
        <w:t xml:space="preserve"> </w:t>
      </w:r>
    </w:p>
    <w:p w14:paraId="2DFAFBF4" w14:textId="0F1BA92E" w:rsidR="00AF0B24" w:rsidRPr="00AF0B24" w:rsidRDefault="00AF0B24" w:rsidP="009435FB">
      <w:pPr>
        <w:ind w:firstLine="709"/>
      </w:pPr>
      <w:r>
        <w:t xml:space="preserve">Аналогичным образом, фармакокинетические исследования, оценивающие зависимость биодоступности от степени измельченности таблеток </w:t>
      </w:r>
      <w:r w:rsidR="00205406">
        <w:t>этравирина</w:t>
      </w:r>
      <w:r>
        <w:t xml:space="preserve">, не выявили клинически значимых влияний </w:t>
      </w:r>
      <w:r w:rsidR="00205406">
        <w:fldChar w:fldCharType="begin"/>
      </w:r>
      <w:r w:rsidR="00205406">
        <w:instrText xml:space="preserve"> ADDIN ZOTERO_ITEM CSL_CITATION {"citationID":"pVLJSQOP","properties":{"formattedCitation":"(8,9)","plainCitation":"(8,9)","noteIndex":0},"citationItems":[{"id":2605,"uris":["http://zotero.org/users/5483459/items/C2UJHLSF"],"itemData":{"id":2605,"type":"article-journal","abstract":"BACKGROUND: An open-label, randomized, crossover study to evaluate the pharmacokinetics of two different formulations of etravirine after single and multiple dosing.\nMETHODS: Treatment-experienced HIV-1-infected patients with viral load &lt;50 copies/ml continued their current antiretroviral regimen and added etravirine twice daily for 7 days with a morning intake on day 8. Etravirine was administered following food as either 800 mg twice daily of the Phase II formulation or 100 mg or 200 mg twice daily of the Phase III formulation. A 12 h pharmacokinetic assessment was performed on days 1 and 8.\nRESULTS: After single- and multiple-dose administration, the exposure to etravirine was lower with 100 mg twice daily and higher with 200 mg twice daily compared with 800 mg twice daily. On day 8, the mean (+/-SD) area under the plasma concentration-time curve over 12 h (AUC0-12 h) was 1,284 (+/-958) ng x h/ml when etravirine was administered as 100 mg twice daily (n=33), 3,713 (+/-2,069) ng x h/ml when administered as 200 mg twice daily (n=27) and 2,607 (+/-2,135) ng x h/ml when administered as 800 mg twice daily (n=32). Both formulations and all doses of etravirine tested were generally safe and well tolerated.\nCONCLUSIONS: The range of exposure to etravirine was comparable between 200 mg twice daily dose and 800 mg twice daily. The Phase III formulation of etravirine significantly improves the bioavailability of etravirine over the Phase II formulation with reduced interpatient variability in etravirine pharmacokinetics.","container-title":"Antiviral Therapy","ISSN":"1359-6535","issue":"5","journalAbbreviation":"Antivir Ther","language":"eng","note":"PMID: 18771049","page":"655-661","source":"PubMed","title":"Single- and multiple-dose pharmacokinetics of etravirine administered as two different formulations in HIV-1-infected patients","volume":"13","author":[{"family":"Kakuda","given":"Thomas N."},{"family":"Schöller-Gyüre","given":"Monika"},{"family":"Workman","given":"Cassy"},{"family":"Arasteh","given":"Keikawus"},{"family":"Pozniak","given":"Anton L."},{"family":"De Smedt","given":"Goedele"},{"family":"Beets","given":"Greet"},{"family":"Peeters","given":"Monika"},{"family":"Vandermeulen","given":"Kati"},{"family":"Woodfall","given":"Brian J."},{"family":"Hoetelmans","given":"Richard M. W."}],"issued":{"date-parts":[["2008"]]}},"label":"page"},{"id":2614,"uris":["http://zotero.org/users/5483459/items/XCSB29AP"],"itemData":{"id":2614,"type":"article-journal","abstract":"STUDY OBJECTIVE: To determine whether the absorption of four antiretroviral agents-raltegravir, etravirine, emtricitabine, and tenofovir-is compromised when administered by gastrostomy tube.\nDESIGN: Pharmacokinetic analysis.\nSETTING: University medical center.\nPATIENT: A 52-year-old African-American man coinfected with advanced multidrug-resistant human immunodeficiency virus (HIV) and chronic hepatitis B, who was receiving treatment with raltegravir, etravirine, emtricitabine, and tenofovir, and developed ulcerative esophagitis with perforation, requiring a gastrostomy tube.\nMEASUREMENTS AND MAIN RESULTS: Due to the patient's esophageal perforations, all nutrition and drug therapy had to be provided by gastrostomy tube. As his antiretroviral regimen of raltegravir, etravirine, and emtricitabine-tenofovir was not available in liquid or powder formulations, the oral tablets were crushed or dispersed and mixed with water, then administered by gastrostomy tube. To ensure that the absorption of the drugs was sufficient for antiretroviral response, plasma samples were collected at 2 hours and 12 hours after dosing, and drug concentrations were quantitated by using validated assays. The 2- and 12-hour postdose plasma concentrations were 1220 and 446 ng/ml for raltegravir, 212 and 274 ng/ml for etravirine, 1148 and 164 ng/ml for emtricitabine, and 320 and 94 ng/ml for tenofovir, respectively. The patient's plasma concentrations were then compared with those in published pharmacokinetic studies of oral regimens administered to HIV-infected persons and healthy volunteers. Overall, the plasma concentrations of the antiretrovirals administered by gastrostomy tube were similar to published values. No drug toxicities were observed in this patient.\nCONCLUSION: These pharmacokinetic data suggest that absorption of raltegravir, etravirine, emtricitabine, and tenofovir was not compromised when the drugs were administered by gastrostomy tube. These findings provide a basis for further investigation of the pharmacokinetics, safety, tolerance, and antiretroviral response to raltegravir, etravirine, and emtricitabine-tenofovir when the oral route of administration is not possible.","container-title":"Pharmacotherapy","DOI":"10.1002/PHAR.1015","ISSN":"1875-9114","issue":"2","journalAbbreviation":"Pharmacotherapy","language":"eng","note":"PMID: 22392423\nPMCID: PMC3711779","page":"142-147","source":"PubMed","title":"Acceptable plasma concentrations of raltegravir and etravirine when administered by gastrostomy tube in a patient with advanced multidrug-resistant human immunodeficiency virus infection","volume":"32","author":[{"family":"Sandkovsky","given":"Uriel"},{"family":"Swindells","given":"Susan"},{"family":"Moore","given":"Ryan"},{"family":"Acosta","given":"Edward P."},{"family":"Fletcher","given":"Courtney V."}],"issued":{"date-parts":[["2012",2]]}},"label":"page"}],"schema":"https://github.com/citation-style-language/schema/raw/master/csl-citation.json"} </w:instrText>
      </w:r>
      <w:r w:rsidR="00205406">
        <w:fldChar w:fldCharType="separate"/>
      </w:r>
      <w:r w:rsidR="00B50985" w:rsidRPr="008B0B82">
        <w:t>[</w:t>
      </w:r>
      <w:r w:rsidR="00205406" w:rsidRPr="00205406">
        <w:t>8,</w:t>
      </w:r>
      <w:r w:rsidR="00CB2579">
        <w:t xml:space="preserve"> </w:t>
      </w:r>
      <w:r w:rsidR="00205406" w:rsidRPr="00205406">
        <w:t>9</w:t>
      </w:r>
      <w:r w:rsidR="00B50985" w:rsidRPr="008B0B82">
        <w:t>]</w:t>
      </w:r>
      <w:r w:rsidR="00205406">
        <w:fldChar w:fldCharType="end"/>
      </w:r>
      <w:r w:rsidR="00205406">
        <w:t>.</w:t>
      </w:r>
    </w:p>
    <w:p w14:paraId="7F111788" w14:textId="77777777" w:rsidR="00147F06" w:rsidRDefault="00147F06" w:rsidP="00A76175">
      <w:bookmarkStart w:id="141" w:name="_Toc52190578"/>
    </w:p>
    <w:p w14:paraId="77BD8AA8" w14:textId="45740D65" w:rsidR="00205406" w:rsidRPr="00A76175" w:rsidRDefault="00B47726" w:rsidP="00A76175">
      <w:r w:rsidRPr="00A76175">
        <w:rPr>
          <w:b/>
        </w:rPr>
        <w:t>Распределение</w:t>
      </w:r>
      <w:bookmarkStart w:id="142" w:name="_Toc52190579"/>
      <w:bookmarkEnd w:id="141"/>
    </w:p>
    <w:p w14:paraId="33594E6E" w14:textId="77777777" w:rsidR="00075D7F" w:rsidRDefault="00075D7F" w:rsidP="00A76175"/>
    <w:p w14:paraId="3FF7C669" w14:textId="5E01C067" w:rsidR="00205406" w:rsidRPr="009F4C52" w:rsidRDefault="00205406" w:rsidP="00D10294">
      <w:pPr>
        <w:pStyle w:val="affb"/>
        <w:spacing w:before="0" w:after="0" w:line="240" w:lineRule="auto"/>
        <w:ind w:firstLine="709"/>
        <w:rPr>
          <w:lang w:eastAsia="en-US"/>
        </w:rPr>
      </w:pPr>
      <w:r w:rsidRPr="008A0811">
        <w:rPr>
          <w:i/>
          <w:iCs/>
          <w:lang w:eastAsia="en-US"/>
        </w:rPr>
        <w:t>In vitro</w:t>
      </w:r>
      <w:r>
        <w:rPr>
          <w:lang w:eastAsia="en-US"/>
        </w:rPr>
        <w:t xml:space="preserve"> около 99,9% </w:t>
      </w:r>
      <w:r w:rsidR="0050615D" w:rsidRPr="0050615D">
        <w:rPr>
          <w:lang w:eastAsia="en-US"/>
        </w:rPr>
        <w:t xml:space="preserve">этравирина </w:t>
      </w:r>
      <w:r>
        <w:rPr>
          <w:lang w:eastAsia="en-US"/>
        </w:rPr>
        <w:t>связывается белками плазмы крови,</w:t>
      </w:r>
      <w:r w:rsidRPr="0081202E">
        <w:rPr>
          <w:lang w:eastAsia="en-US"/>
        </w:rPr>
        <w:t xml:space="preserve"> </w:t>
      </w:r>
      <w:r>
        <w:rPr>
          <w:lang w:eastAsia="en-US"/>
        </w:rPr>
        <w:t>преимущественно с альбумином (99,6%) и с α</w:t>
      </w:r>
      <w:r w:rsidRPr="00592331">
        <w:rPr>
          <w:vertAlign w:val="subscript"/>
          <w:lang w:eastAsia="en-US"/>
        </w:rPr>
        <w:t>1</w:t>
      </w:r>
      <w:r>
        <w:rPr>
          <w:lang w:eastAsia="en-US"/>
        </w:rPr>
        <w:t>-кислым гликопротеином (97,66 -</w:t>
      </w:r>
      <w:r w:rsidRPr="0081202E">
        <w:rPr>
          <w:lang w:eastAsia="en-US"/>
        </w:rPr>
        <w:t xml:space="preserve"> </w:t>
      </w:r>
      <w:r>
        <w:rPr>
          <w:lang w:eastAsia="en-US"/>
        </w:rPr>
        <w:t xml:space="preserve">99,02%). Распределение </w:t>
      </w:r>
      <w:r w:rsidR="0050615D">
        <w:t>этравирина</w:t>
      </w:r>
      <w:r w:rsidR="0050615D" w:rsidRPr="008B2177">
        <w:t xml:space="preserve"> </w:t>
      </w:r>
      <w:r>
        <w:rPr>
          <w:lang w:eastAsia="en-US"/>
        </w:rPr>
        <w:t>в других жидкостях (например,</w:t>
      </w:r>
      <w:r w:rsidRPr="0081202E">
        <w:rPr>
          <w:lang w:eastAsia="en-US"/>
        </w:rPr>
        <w:t xml:space="preserve"> </w:t>
      </w:r>
      <w:r>
        <w:rPr>
          <w:lang w:eastAsia="en-US"/>
        </w:rPr>
        <w:t>спинномозговую жидкость, секреты половых органов), у человека не изучалось</w:t>
      </w:r>
      <w:r w:rsidR="00DA4865">
        <w:rPr>
          <w:lang w:eastAsia="en-US"/>
        </w:rPr>
        <w:t xml:space="preserve"> </w:t>
      </w:r>
      <w:r w:rsidR="0050615D">
        <w:rPr>
          <w:lang w:eastAsia="en-US"/>
        </w:rPr>
        <w:fldChar w:fldCharType="begin"/>
      </w:r>
      <w:r w:rsidR="00DA4865">
        <w:rPr>
          <w:lang w:eastAsia="en-US"/>
        </w:rPr>
        <w:instrText xml:space="preserve"> ADDIN ZOTERO_ITEM CSL_CITATION {"citationID":"kBiQr258","properties":{"formattedCitation":"(7)","plainCitation":"(7)","noteIndex":0},"citationItems":[{"id":2610,"uris":["http://zotero.org/users/5483459/items/SLFDH84G"],"itemData":{"id":2610,"type":"article-journal","title":"Министерство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2021."}}],"schema":"https://github.com/citation-style-language/schema/raw/master/csl-citation.json"} </w:instrText>
      </w:r>
      <w:r w:rsidR="0050615D">
        <w:rPr>
          <w:lang w:eastAsia="en-US"/>
        </w:rPr>
        <w:fldChar w:fldCharType="separate"/>
      </w:r>
      <w:r w:rsidR="00B50985" w:rsidRPr="00B50985">
        <w:t>[</w:t>
      </w:r>
      <w:r w:rsidR="00DA4865" w:rsidRPr="00DA4865">
        <w:t>7</w:t>
      </w:r>
      <w:r w:rsidR="00B50985" w:rsidRPr="00B50985">
        <w:t>]</w:t>
      </w:r>
      <w:r w:rsidR="0050615D">
        <w:rPr>
          <w:lang w:eastAsia="en-US"/>
        </w:rPr>
        <w:fldChar w:fldCharType="end"/>
      </w:r>
      <w:r w:rsidRPr="009F4C52">
        <w:rPr>
          <w:lang w:eastAsia="en-US"/>
        </w:rPr>
        <w:t xml:space="preserve">. Соотношение </w:t>
      </w:r>
      <w:r w:rsidR="00DA4865">
        <w:t>этравирина</w:t>
      </w:r>
      <w:r w:rsidR="00DA4865" w:rsidRPr="008B2177">
        <w:t xml:space="preserve"> </w:t>
      </w:r>
      <w:r w:rsidRPr="009F4C52">
        <w:rPr>
          <w:lang w:eastAsia="en-US"/>
        </w:rPr>
        <w:t>кров</w:t>
      </w:r>
      <w:r>
        <w:rPr>
          <w:lang w:eastAsia="en-US"/>
        </w:rPr>
        <w:t>ь</w:t>
      </w:r>
      <w:r w:rsidRPr="009F4C52">
        <w:rPr>
          <w:lang w:eastAsia="en-US"/>
        </w:rPr>
        <w:t xml:space="preserve"> </w:t>
      </w:r>
      <w:r w:rsidRPr="0081202E">
        <w:rPr>
          <w:lang w:eastAsia="en-US"/>
        </w:rPr>
        <w:t xml:space="preserve">/ </w:t>
      </w:r>
      <w:r w:rsidRPr="009F4C52">
        <w:rPr>
          <w:lang w:eastAsia="en-US"/>
        </w:rPr>
        <w:t>плазм</w:t>
      </w:r>
      <w:r>
        <w:rPr>
          <w:lang w:eastAsia="en-US"/>
        </w:rPr>
        <w:t>а</w:t>
      </w:r>
      <w:r w:rsidRPr="009F4C52">
        <w:rPr>
          <w:lang w:eastAsia="en-US"/>
        </w:rPr>
        <w:t xml:space="preserve"> составляет 0,7. </w:t>
      </w:r>
      <w:r>
        <w:rPr>
          <w:lang w:eastAsia="en-US"/>
        </w:rPr>
        <w:t>Медианное</w:t>
      </w:r>
      <w:r w:rsidRPr="009F4C52">
        <w:rPr>
          <w:lang w:eastAsia="en-US"/>
        </w:rPr>
        <w:t xml:space="preserve"> связывание </w:t>
      </w:r>
      <w:r>
        <w:rPr>
          <w:lang w:val="en-US" w:eastAsia="en-US"/>
        </w:rPr>
        <w:t>c</w:t>
      </w:r>
      <w:r w:rsidRPr="0081202E">
        <w:rPr>
          <w:lang w:eastAsia="en-US"/>
        </w:rPr>
        <w:t xml:space="preserve"> </w:t>
      </w:r>
      <w:r w:rsidRPr="009F4C52">
        <w:rPr>
          <w:lang w:eastAsia="en-US"/>
        </w:rPr>
        <w:t>белк</w:t>
      </w:r>
      <w:r>
        <w:rPr>
          <w:lang w:eastAsia="en-US"/>
        </w:rPr>
        <w:t>ами</w:t>
      </w:r>
      <w:r w:rsidRPr="009F4C52">
        <w:rPr>
          <w:lang w:eastAsia="en-US"/>
        </w:rPr>
        <w:t xml:space="preserve"> </w:t>
      </w:r>
      <w:r>
        <w:rPr>
          <w:lang w:eastAsia="en-US"/>
        </w:rPr>
        <w:t xml:space="preserve">с поправкой на среднюю </w:t>
      </w:r>
      <w:r w:rsidRPr="009F4C52">
        <w:rPr>
          <w:lang w:eastAsia="en-US"/>
        </w:rPr>
        <w:t>эффективн</w:t>
      </w:r>
      <w:r>
        <w:rPr>
          <w:lang w:eastAsia="en-US"/>
        </w:rPr>
        <w:t>ую</w:t>
      </w:r>
      <w:r w:rsidRPr="009F4C52">
        <w:rPr>
          <w:lang w:eastAsia="en-US"/>
        </w:rPr>
        <w:t xml:space="preserve"> </w:t>
      </w:r>
      <w:r w:rsidRPr="004F2DF0">
        <w:rPr>
          <w:lang w:eastAsia="en-US"/>
        </w:rPr>
        <w:t>концентрацию (</w:t>
      </w:r>
      <w:r w:rsidRPr="004F2DF0">
        <w:rPr>
          <w:lang w:val="en-US" w:eastAsia="en-US"/>
        </w:rPr>
        <w:t>EC</w:t>
      </w:r>
      <w:r w:rsidRPr="004F2DF0">
        <w:rPr>
          <w:vertAlign w:val="subscript"/>
          <w:lang w:eastAsia="en-US"/>
        </w:rPr>
        <w:t>50</w:t>
      </w:r>
      <w:r w:rsidRPr="004F2DF0">
        <w:rPr>
          <w:lang w:eastAsia="en-US"/>
        </w:rPr>
        <w:t xml:space="preserve">) </w:t>
      </w:r>
      <w:r w:rsidRPr="009F4C52">
        <w:rPr>
          <w:lang w:eastAsia="en-US"/>
        </w:rPr>
        <w:t xml:space="preserve">для клеток </w:t>
      </w:r>
      <w:r w:rsidRPr="009F4C52">
        <w:rPr>
          <w:lang w:val="en-US" w:eastAsia="en-US"/>
        </w:rPr>
        <w:t>MT</w:t>
      </w:r>
      <w:r w:rsidRPr="009F4C52">
        <w:rPr>
          <w:lang w:eastAsia="en-US"/>
        </w:rPr>
        <w:t xml:space="preserve">4, инфицированных ВИЧ-1 / </w:t>
      </w:r>
      <w:r w:rsidRPr="009F4C52">
        <w:rPr>
          <w:lang w:val="en-US" w:eastAsia="en-US"/>
        </w:rPr>
        <w:t>IIIB</w:t>
      </w:r>
      <w:r w:rsidRPr="009F4C52">
        <w:rPr>
          <w:lang w:eastAsia="en-US"/>
        </w:rPr>
        <w:t xml:space="preserve"> </w:t>
      </w:r>
      <w:r w:rsidRPr="00B82AA5">
        <w:rPr>
          <w:i/>
          <w:iCs/>
          <w:lang w:val="en-US" w:eastAsia="en-US"/>
        </w:rPr>
        <w:t>in</w:t>
      </w:r>
      <w:r w:rsidRPr="00B82AA5">
        <w:rPr>
          <w:i/>
          <w:iCs/>
          <w:lang w:eastAsia="en-US"/>
        </w:rPr>
        <w:t xml:space="preserve"> </w:t>
      </w:r>
      <w:r w:rsidRPr="00B82AA5">
        <w:rPr>
          <w:i/>
          <w:iCs/>
          <w:lang w:val="en-US" w:eastAsia="en-US"/>
        </w:rPr>
        <w:t>vitro</w:t>
      </w:r>
      <w:r w:rsidRPr="009F4C52">
        <w:rPr>
          <w:lang w:eastAsia="en-US"/>
        </w:rPr>
        <w:t xml:space="preserve">, составляет приблизительно 4 нг/мл </w:t>
      </w:r>
      <w:r>
        <w:rPr>
          <w:lang w:eastAsia="en-US"/>
        </w:rPr>
        <w:fldChar w:fldCharType="begin"/>
      </w:r>
      <w:r w:rsidR="00824DA4">
        <w:rPr>
          <w:lang w:eastAsia="en-US"/>
        </w:rPr>
        <w:instrText xml:space="preserve"> ADDIN ZOTERO_ITEM CSL_CITATION {"citationID":"b9XSOTM4","properties":{"formattedCitation":"(10,11)","plainCitation":"(10,11)","noteIndex":0},"citationItems":[{"id":"iY4E1EKJ/f50FxBR2","uris":["http://zotero.org/users/1055192/items/M9MKCBKZ"],"itemData":{"id":30450,"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PMC7034776","page":"137-154","source":"PubMed","title":"Clinical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V."}],"issued":{"date-parts":[["2020",2]]}},"label":"page"},{"id":"iY4E1EKJ/ZoOZ8oLw","uris":["http://zotero.org/users/1055192/items/CKQRFGAT"],"itemData":{"id":30739,"type":"article","title":"Intelence. Tablets: 25 mg, 100 mg, and 200 mg. Summary of product characteristics","URL":"https://www.janssenlabels.com/package-insert/product-monograph/prescribing-information/INTELENCE-pi.pdf","author":[{"family":"Janssen Pharmaceutical Companie","given":""}],"accessed":{"date-parts":[["2021",10,14]]},"issued":{"date-parts":[["2019",7]]}},"label":"page"}],"schema":"https://github.com/citation-style-language/schema/raw/master/csl-citation.json"} </w:instrText>
      </w:r>
      <w:r>
        <w:rPr>
          <w:lang w:eastAsia="en-US"/>
        </w:rPr>
        <w:fldChar w:fldCharType="separate"/>
      </w:r>
      <w:r w:rsidR="00DA4865" w:rsidRPr="00DA4865">
        <w:t>(10,11)</w:t>
      </w:r>
      <w:r>
        <w:rPr>
          <w:lang w:eastAsia="en-US"/>
        </w:rPr>
        <w:fldChar w:fldCharType="end"/>
      </w:r>
      <w:r w:rsidRPr="009F4C52">
        <w:rPr>
          <w:lang w:eastAsia="en-US"/>
        </w:rPr>
        <w:t xml:space="preserve">. Исследования, </w:t>
      </w:r>
      <w:r>
        <w:rPr>
          <w:lang w:eastAsia="en-US"/>
        </w:rPr>
        <w:t xml:space="preserve">оценивающие </w:t>
      </w:r>
      <w:r w:rsidRPr="009F4C52">
        <w:rPr>
          <w:lang w:eastAsia="en-US"/>
        </w:rPr>
        <w:t xml:space="preserve">влияние </w:t>
      </w:r>
      <w:r>
        <w:rPr>
          <w:lang w:eastAsia="en-US"/>
        </w:rPr>
        <w:t>степени связывания с</w:t>
      </w:r>
      <w:r w:rsidRPr="009F4C52">
        <w:rPr>
          <w:lang w:eastAsia="en-US"/>
        </w:rPr>
        <w:t xml:space="preserve"> белка</w:t>
      </w:r>
      <w:r>
        <w:rPr>
          <w:lang w:eastAsia="en-US"/>
        </w:rPr>
        <w:t xml:space="preserve">ми плазмы </w:t>
      </w:r>
      <w:r w:rsidRPr="009F4C52">
        <w:rPr>
          <w:lang w:eastAsia="en-US"/>
        </w:rPr>
        <w:t xml:space="preserve">на антивирусную активность </w:t>
      </w:r>
      <w:r w:rsidR="008A659A" w:rsidRPr="0050615D">
        <w:rPr>
          <w:lang w:eastAsia="en-US"/>
        </w:rPr>
        <w:t>этравирина</w:t>
      </w:r>
      <w:r>
        <w:rPr>
          <w:lang w:eastAsia="en-US"/>
        </w:rPr>
        <w:t>, выявили минимальное воздействие</w:t>
      </w:r>
      <w:r w:rsidRPr="009F4C52">
        <w:rPr>
          <w:lang w:eastAsia="en-US"/>
        </w:rPr>
        <w:t xml:space="preserve">. В присутствии 1 мг/мл </w:t>
      </w:r>
      <w:r w:rsidRPr="008A0811">
        <w:rPr>
          <w:lang w:val="en-US" w:eastAsia="en-US"/>
        </w:rPr>
        <w:t>α</w:t>
      </w:r>
      <w:r w:rsidRPr="003E1302">
        <w:rPr>
          <w:vertAlign w:val="subscript"/>
          <w:lang w:eastAsia="en-US"/>
        </w:rPr>
        <w:t>1</w:t>
      </w:r>
      <w:r w:rsidRPr="008A0811">
        <w:rPr>
          <w:lang w:eastAsia="en-US"/>
        </w:rPr>
        <w:t>-кисл</w:t>
      </w:r>
      <w:r>
        <w:rPr>
          <w:lang w:eastAsia="en-US"/>
        </w:rPr>
        <w:t>ого</w:t>
      </w:r>
      <w:r w:rsidRPr="008A0811">
        <w:rPr>
          <w:lang w:eastAsia="en-US"/>
        </w:rPr>
        <w:t xml:space="preserve"> гликопротеин</w:t>
      </w:r>
      <w:r>
        <w:rPr>
          <w:lang w:eastAsia="en-US"/>
        </w:rPr>
        <w:t>а</w:t>
      </w:r>
      <w:r w:rsidRPr="008A0811">
        <w:rPr>
          <w:lang w:eastAsia="en-US"/>
        </w:rPr>
        <w:t xml:space="preserve"> </w:t>
      </w:r>
      <w:r w:rsidRPr="009F4C52">
        <w:rPr>
          <w:lang w:eastAsia="en-US"/>
        </w:rPr>
        <w:t xml:space="preserve">или 45 мг/мл </w:t>
      </w:r>
      <w:r w:rsidRPr="008A0811">
        <w:rPr>
          <w:lang w:eastAsia="en-US"/>
        </w:rPr>
        <w:t>альбумин</w:t>
      </w:r>
      <w:r>
        <w:rPr>
          <w:lang w:eastAsia="en-US"/>
        </w:rPr>
        <w:t>а</w:t>
      </w:r>
      <w:r w:rsidRPr="008A0811">
        <w:rPr>
          <w:lang w:eastAsia="en-US"/>
        </w:rPr>
        <w:t xml:space="preserve"> </w:t>
      </w:r>
      <w:r w:rsidRPr="009F4C52">
        <w:rPr>
          <w:lang w:eastAsia="en-US"/>
        </w:rPr>
        <w:t>(физиологически избыто</w:t>
      </w:r>
      <w:r>
        <w:rPr>
          <w:lang w:eastAsia="en-US"/>
        </w:rPr>
        <w:t>чные количества</w:t>
      </w:r>
      <w:r w:rsidRPr="009F4C52">
        <w:rPr>
          <w:lang w:eastAsia="en-US"/>
        </w:rPr>
        <w:t>) был</w:t>
      </w:r>
      <w:r>
        <w:rPr>
          <w:lang w:eastAsia="en-US"/>
        </w:rPr>
        <w:t>о</w:t>
      </w:r>
      <w:r w:rsidRPr="009F4C52">
        <w:rPr>
          <w:lang w:eastAsia="en-US"/>
        </w:rPr>
        <w:t xml:space="preserve"> обнаружен</w:t>
      </w:r>
      <w:r>
        <w:rPr>
          <w:lang w:eastAsia="en-US"/>
        </w:rPr>
        <w:t>о</w:t>
      </w:r>
      <w:r w:rsidRPr="009F4C52">
        <w:rPr>
          <w:lang w:eastAsia="en-US"/>
        </w:rPr>
        <w:t xml:space="preserve"> изменени</w:t>
      </w:r>
      <w:r>
        <w:rPr>
          <w:lang w:eastAsia="en-US"/>
        </w:rPr>
        <w:t>е</w:t>
      </w:r>
      <w:r w:rsidRPr="009F4C52">
        <w:rPr>
          <w:lang w:eastAsia="en-US"/>
        </w:rPr>
        <w:t xml:space="preserve"> </w:t>
      </w:r>
      <w:r w:rsidRPr="009F4C52">
        <w:rPr>
          <w:lang w:val="en-US" w:eastAsia="en-US"/>
        </w:rPr>
        <w:t>EC</w:t>
      </w:r>
      <w:r w:rsidRPr="005A1528">
        <w:rPr>
          <w:vertAlign w:val="subscript"/>
          <w:lang w:eastAsia="en-US"/>
        </w:rPr>
        <w:t>50</w:t>
      </w:r>
      <w:r w:rsidRPr="009F4C52">
        <w:rPr>
          <w:lang w:eastAsia="en-US"/>
        </w:rPr>
        <w:t xml:space="preserve"> </w:t>
      </w:r>
      <w:r>
        <w:rPr>
          <w:lang w:eastAsia="en-US"/>
        </w:rPr>
        <w:t xml:space="preserve">в </w:t>
      </w:r>
      <w:r w:rsidRPr="009F4C52">
        <w:rPr>
          <w:lang w:eastAsia="en-US"/>
        </w:rPr>
        <w:t>1 и 3</w:t>
      </w:r>
      <w:r>
        <w:rPr>
          <w:lang w:eastAsia="en-US"/>
        </w:rPr>
        <w:t xml:space="preserve"> раза соответственно</w:t>
      </w:r>
      <w:r w:rsidRPr="009F4C52">
        <w:rPr>
          <w:lang w:eastAsia="en-US"/>
        </w:rPr>
        <w:t xml:space="preserve"> </w:t>
      </w:r>
      <w:r>
        <w:rPr>
          <w:lang w:eastAsia="en-US"/>
        </w:rPr>
        <w:fldChar w:fldCharType="begin"/>
      </w:r>
      <w:r w:rsidR="00824DA4">
        <w:rPr>
          <w:lang w:eastAsia="en-US"/>
        </w:rPr>
        <w:instrText xml:space="preserve"> ADDIN ZOTERO_ITEM CSL_CITATION {"citationID":"E21I1pxx","properties":{"formattedCitation":"(12)","plainCitation":"(12)","noteIndex":0},"citationItems":[{"id":"iY4E1EKJ/Hz0Kojvs","uris":["http://zotero.org/users/1055192/items/QH4MRSLN"],"itemData":{"id":30700,"type":"article-journal","abstract":"Nonnucleoside reverse transcriptase inhibitors (NNRTIs) are potent inhibitors of human immunodeficiency virus type 1 (HIV-1); however, currently marketed NNRTIs rapidly select resistant virus, and cross-resistance within the class is extensive. A parallel screening strategy was applied to test candidates from a series of diarylpyrimidines against wild-type and resistant HIV strains carrying clinically relevant mutations. Serum protein binding and metabolic stability were addressed early in the selection process. The emerging clinical candidate, TMC125, was highly active against wild-type HIV-1 (50% effective concentration [EC50] = 1.4 to 4.8 nM) and showed some activity against HIV-2 (EC50 = 3.5 microM). TMC125 also inhibited a series of HIV-1 group M subtypes and circulating recombinant forms and a group O virus. Incubation of TMC125 with human liver microsomal fractions suggested good metabolic stability (15% decrease in drug concentration and 7% decrease in antiviral activity after 120 min). Although TMC125 is highly protein bound, its antiviral effect was not reduced by the presence of 45 mg of human serum albumin/ml, 1 mg of alpha1-acid glycoprotein/ml, or 50% human serum. In an initial screen for activity against a panel of 25 viruses carrying single and double reverse transcriptase amino acid substitutions associated with NNRTI resistance, the EC50 of TMC125 was &lt;5 nM for 19 viruses, including the double mutants K101E+K103N and K103N+Y181C. TMC125 also retained activity (EC50 &lt; 100 nM) against 97% of 1,081 recent clinically derived recombinant viruses resistant to at least one of the currently marketed NNRTIs. TMC125 is a potent next generation NNRTI, with the potential for use in individuals infected with NNRTI-resistant virus.","container-title":"Antimicrobial Agents and Chemotherapy","DOI":"10.1128/AAC.48.12.4680-4686.2004","ISSN":"0066-4804","issue":"12","journalAbbreviation":"Antimicrob Agents Chemother","language":"eng","note":"PMID: 15561844\nPMCID: PMC529207","page":"4680-4686","source":"PubMed","title":"TMC125, a novel next-generation nonnucleoside reverse transcriptase inhibitor active against nonnucleoside reverse transcriptase inhibitor-resistant human immunodeficiency virus type 1","volume":"48","author":[{"family":"Andries","given":"Koen"},{"family":"Azijn","given":"Hilde"},{"family":"Thielemans","given":"Theo"},{"family":"Ludovici","given":"Donald"},{"family":"Kukla","given":"Michael"},{"family":"Heeres","given":"Jan"},{"family":"Janssen","given":"Paul"},{"family":"De Corte","given":"Bart"},{"family":"Vingerhoets","given":"Johan"},{"family":"Pauwels","given":"Rudi"},{"family":"Béthune","given":"Marie-Pierre","non-dropping-particle":"de"}],"issued":{"date-parts":[["2004",12]]}}}],"schema":"https://github.com/citation-style-language/schema/raw/master/csl-citation.json"} </w:instrText>
      </w:r>
      <w:r>
        <w:rPr>
          <w:lang w:eastAsia="en-US"/>
        </w:rPr>
        <w:fldChar w:fldCharType="separate"/>
      </w:r>
      <w:r w:rsidR="00B50985" w:rsidRPr="00B50985">
        <w:t>[</w:t>
      </w:r>
      <w:r w:rsidR="00DA4865" w:rsidRPr="00DA4865">
        <w:t>12</w:t>
      </w:r>
      <w:r w:rsidR="00B50985" w:rsidRPr="00B50985">
        <w:t>]</w:t>
      </w:r>
      <w:r>
        <w:rPr>
          <w:lang w:eastAsia="en-US"/>
        </w:rPr>
        <w:fldChar w:fldCharType="end"/>
      </w:r>
      <w:r w:rsidRPr="009F4C52">
        <w:rPr>
          <w:lang w:eastAsia="en-US"/>
        </w:rPr>
        <w:t xml:space="preserve">. </w:t>
      </w:r>
    </w:p>
    <w:p w14:paraId="1F8380D7" w14:textId="6F4FF454" w:rsidR="00205406" w:rsidRDefault="00205406" w:rsidP="00D10294">
      <w:pPr>
        <w:pStyle w:val="affb"/>
        <w:spacing w:before="0" w:after="0" w:line="240" w:lineRule="auto"/>
        <w:ind w:firstLine="709"/>
        <w:rPr>
          <w:lang w:eastAsia="en-US"/>
        </w:rPr>
      </w:pPr>
      <w:r>
        <w:rPr>
          <w:lang w:eastAsia="en-US"/>
        </w:rPr>
        <w:t>Кажущийся о</w:t>
      </w:r>
      <w:r w:rsidRPr="00A94DCB">
        <w:rPr>
          <w:lang w:eastAsia="en-US"/>
        </w:rPr>
        <w:t>бъем распределения (</w:t>
      </w:r>
      <w:r w:rsidRPr="00A94DCB">
        <w:rPr>
          <w:lang w:val="en-US" w:eastAsia="en-US"/>
        </w:rPr>
        <w:t>V</w:t>
      </w:r>
      <w:r w:rsidRPr="00F427CA">
        <w:rPr>
          <w:vertAlign w:val="subscript"/>
          <w:lang w:val="en-US" w:eastAsia="en-US"/>
        </w:rPr>
        <w:t>d</w:t>
      </w:r>
      <w:r w:rsidRPr="00A94DCB">
        <w:rPr>
          <w:lang w:eastAsia="en-US"/>
        </w:rPr>
        <w:t xml:space="preserve">) </w:t>
      </w:r>
      <w:r w:rsidR="008A659A" w:rsidRPr="0050615D">
        <w:rPr>
          <w:lang w:eastAsia="en-US"/>
        </w:rPr>
        <w:t xml:space="preserve">этравирина </w:t>
      </w:r>
      <w:r w:rsidRPr="00A94DCB">
        <w:rPr>
          <w:lang w:eastAsia="en-US"/>
        </w:rPr>
        <w:t xml:space="preserve">в центральной камере составляет 422 л </w:t>
      </w:r>
      <w:r>
        <w:rPr>
          <w:lang w:eastAsia="en-US"/>
        </w:rPr>
        <w:fldChar w:fldCharType="begin"/>
      </w:r>
      <w:r w:rsidR="00824DA4">
        <w:rPr>
          <w:lang w:eastAsia="en-US"/>
        </w:rPr>
        <w:instrText xml:space="preserve"> ADDIN ZOTERO_ITEM CSL_CITATION {"citationID":"d8SNUyml","properties":{"formattedCitation":"(13)","plainCitation":"(13)","noteIndex":0},"citationItems":[{"id":"iY4E1EKJ/riZt8DDa","uris":["http://zotero.org/users/1055192/items/YEYZVSPP"],"itemData":{"id":31689,"type":"article-journal","abstract":"Objectives. Evaluation of pharmacokinetics and pharmacodynamics of darunavir and etravirine among HIV-1-infected, treatment-experienced adults from GRACE, by sex and race. Methods. Patients received darunavir/ritonavir 600/100mg twice daily plus other antiretrovirals, which could include etravirine 200mg twice daily. Population pharmacokinetics for darunavir and etravirine were determined over 48 weeks and relationships assessed with virologic response and safety. Rich sampling for darunavir, etravirine, and ritonavir was collected in a substudy at weeks 4, 24, and 48. Results. Pharmacokinetics were estimated in 376 patients for darunavir and 190 patients for etravirine. Median darunavir AUC(12h) and C(0h) were 60,642ng·h/mL and 3624ng/mL, respectively; and for etravirine were 4183ng · h/mL and 280ng/mL, respectively. There were no differences in darunavir or etravirine AUC(12h) or C(0h) by sex or race. Age, body weight, or use of etravirine did not affect darunavir exposure. No relationships were seen between darunavir pharmacokinetics and efficacy or safety. Patients with etravirine exposure in the lowest quartile generally had lower response rates. Rich sampling showed no time-dependent relationship for darunavir, etravirine, or ritonavir exposure over 48 weeks. Conclusions. Population pharmacokinetics showed no relevant differences in darunavir or etravirine exposure by assessed covariates. Lower etravirine exposures were associated with lower response rates.","container-title":"AIDS research and treatment","DOI":"10.1155/2012/186987","ISSN":"2090-1259","journalAbbreviation":"AIDS Res Treat","language":"eng","note":"PMID: 22536495\nPMCID: PMC3318205","page":"186987","source":"PubMed","title":"Pharmacokinetics and Pharmacodynamics of Darunavir and Etravirine in HIV-1-Infected, Treatment-Experienced Patients in the Gender, Race, and Clinical Experience (GRACE) Trial","volume":"2012","author":[{"family":"Kakuda","given":"Thomas"},{"family":"Sekar","given":"Vanitha"},{"family":"Vis","given":"Peter"},{"family":"Coate","given":"Bruce"},{"family":"Ryan","given":"Robert"},{"family":"Anderson","given":"David"},{"family":"De La Rosa","given":"Guy"},{"family":"Mrus","given":"Joseph"}],"issued":{"date-parts":[["2012"]]}}}],"schema":"https://github.com/citation-style-language/schema/raw/master/csl-citation.json"} </w:instrText>
      </w:r>
      <w:r>
        <w:rPr>
          <w:lang w:eastAsia="en-US"/>
        </w:rPr>
        <w:fldChar w:fldCharType="separate"/>
      </w:r>
      <w:r w:rsidR="00B50985" w:rsidRPr="00B50985">
        <w:t>[</w:t>
      </w:r>
      <w:r w:rsidR="00DA4865" w:rsidRPr="00DA4865">
        <w:t>13</w:t>
      </w:r>
      <w:r w:rsidR="00B50985" w:rsidRPr="00B50985">
        <w:t>]</w:t>
      </w:r>
      <w:r>
        <w:rPr>
          <w:lang w:eastAsia="en-US"/>
        </w:rPr>
        <w:fldChar w:fldCharType="end"/>
      </w:r>
      <w:r w:rsidRPr="00A94DCB">
        <w:rPr>
          <w:lang w:eastAsia="en-US"/>
        </w:rPr>
        <w:t xml:space="preserve">. Поскольку </w:t>
      </w:r>
      <w:r w:rsidR="008A659A" w:rsidRPr="0050615D">
        <w:rPr>
          <w:lang w:eastAsia="en-US"/>
        </w:rPr>
        <w:t>этравирин</w:t>
      </w:r>
      <w:r w:rsidR="008A659A">
        <w:rPr>
          <w:lang w:eastAsia="en-US"/>
        </w:rPr>
        <w:t xml:space="preserve"> </w:t>
      </w:r>
      <w:r w:rsidRPr="005E34D0">
        <w:rPr>
          <w:lang w:eastAsia="en-US"/>
        </w:rPr>
        <w:t>в значительной степени связан с белк</w:t>
      </w:r>
      <w:r>
        <w:rPr>
          <w:lang w:eastAsia="en-US"/>
        </w:rPr>
        <w:t>ами плазмы</w:t>
      </w:r>
      <w:r w:rsidRPr="005E34D0">
        <w:rPr>
          <w:lang w:eastAsia="en-US"/>
        </w:rPr>
        <w:t xml:space="preserve">, </w:t>
      </w:r>
      <w:r>
        <w:rPr>
          <w:lang w:eastAsia="en-US"/>
        </w:rPr>
        <w:t xml:space="preserve">лишь небольшие его </w:t>
      </w:r>
      <w:r w:rsidRPr="005E34D0">
        <w:rPr>
          <w:lang w:eastAsia="en-US"/>
        </w:rPr>
        <w:t>количеств</w:t>
      </w:r>
      <w:r>
        <w:rPr>
          <w:lang w:eastAsia="en-US"/>
        </w:rPr>
        <w:t>а</w:t>
      </w:r>
      <w:r w:rsidRPr="005E34D0">
        <w:rPr>
          <w:lang w:eastAsia="en-US"/>
        </w:rPr>
        <w:t xml:space="preserve"> </w:t>
      </w:r>
      <w:r>
        <w:rPr>
          <w:lang w:eastAsia="en-US"/>
        </w:rPr>
        <w:t xml:space="preserve">проникают </w:t>
      </w:r>
      <w:r w:rsidRPr="005E34D0">
        <w:rPr>
          <w:lang w:eastAsia="en-US"/>
        </w:rPr>
        <w:t xml:space="preserve">в </w:t>
      </w:r>
      <w:bookmarkStart w:id="143" w:name="_Hlk112233128"/>
      <w:r w:rsidRPr="005172C3">
        <w:rPr>
          <w:lang w:eastAsia="en-US"/>
        </w:rPr>
        <w:t>спинномозговую жидкость (СМЖ),</w:t>
      </w:r>
      <w:r>
        <w:rPr>
          <w:lang w:eastAsia="en-US"/>
        </w:rPr>
        <w:t xml:space="preserve"> </w:t>
      </w:r>
      <w:bookmarkEnd w:id="143"/>
      <w:r>
        <w:rPr>
          <w:lang w:eastAsia="en-US"/>
        </w:rPr>
        <w:t xml:space="preserve">но там он также в значительной степени связан с белками </w:t>
      </w:r>
      <w:r w:rsidRPr="005E34D0">
        <w:rPr>
          <w:lang w:eastAsia="en-US"/>
        </w:rPr>
        <w:t>(98,4%). В целом, концентраци</w:t>
      </w:r>
      <w:r>
        <w:rPr>
          <w:lang w:eastAsia="en-US"/>
        </w:rPr>
        <w:t>я</w:t>
      </w:r>
      <w:r w:rsidRPr="005E34D0">
        <w:rPr>
          <w:lang w:eastAsia="en-US"/>
        </w:rPr>
        <w:t xml:space="preserve"> </w:t>
      </w:r>
      <w:r w:rsidR="008A659A" w:rsidRPr="0050615D">
        <w:rPr>
          <w:lang w:eastAsia="en-US"/>
        </w:rPr>
        <w:t xml:space="preserve">этравирина </w:t>
      </w:r>
      <w:r>
        <w:rPr>
          <w:lang w:eastAsia="en-US"/>
        </w:rPr>
        <w:t xml:space="preserve">в СМЖ </w:t>
      </w:r>
      <w:r w:rsidRPr="005E34D0">
        <w:rPr>
          <w:lang w:eastAsia="en-US"/>
        </w:rPr>
        <w:t>составля</w:t>
      </w:r>
      <w:r>
        <w:rPr>
          <w:lang w:eastAsia="en-US"/>
        </w:rPr>
        <w:t>е</w:t>
      </w:r>
      <w:r w:rsidRPr="005E34D0">
        <w:rPr>
          <w:lang w:eastAsia="en-US"/>
        </w:rPr>
        <w:t xml:space="preserve">т приблизительно 4,3% от общего </w:t>
      </w:r>
      <w:r>
        <w:rPr>
          <w:lang w:eastAsia="en-US"/>
        </w:rPr>
        <w:t xml:space="preserve">содержания в </w:t>
      </w:r>
      <w:r w:rsidRPr="005E34D0">
        <w:rPr>
          <w:lang w:eastAsia="en-US"/>
        </w:rPr>
        <w:t>плазм</w:t>
      </w:r>
      <w:r>
        <w:rPr>
          <w:lang w:eastAsia="en-US"/>
        </w:rPr>
        <w:t>е крови</w:t>
      </w:r>
      <w:r w:rsidRPr="005E34D0">
        <w:rPr>
          <w:lang w:eastAsia="en-US"/>
        </w:rPr>
        <w:t xml:space="preserve">, </w:t>
      </w:r>
      <w:r>
        <w:rPr>
          <w:lang w:eastAsia="en-US"/>
        </w:rPr>
        <w:t xml:space="preserve">кроме того, </w:t>
      </w:r>
      <w:r w:rsidRPr="005E34D0">
        <w:rPr>
          <w:lang w:eastAsia="en-US"/>
        </w:rPr>
        <w:t>не</w:t>
      </w:r>
      <w:r>
        <w:rPr>
          <w:lang w:eastAsia="en-US"/>
        </w:rPr>
        <w:t xml:space="preserve"> выявлено </w:t>
      </w:r>
      <w:r w:rsidRPr="005E34D0">
        <w:rPr>
          <w:lang w:eastAsia="en-US"/>
        </w:rPr>
        <w:t xml:space="preserve">корреляции между концентрациями </w:t>
      </w:r>
      <w:r w:rsidR="008A659A" w:rsidRPr="0050615D">
        <w:rPr>
          <w:lang w:eastAsia="en-US"/>
        </w:rPr>
        <w:t xml:space="preserve">этравирина </w:t>
      </w:r>
      <w:r>
        <w:rPr>
          <w:lang w:eastAsia="en-US"/>
        </w:rPr>
        <w:t xml:space="preserve">в СМЖ и </w:t>
      </w:r>
      <w:r w:rsidRPr="005E34D0">
        <w:rPr>
          <w:lang w:eastAsia="en-US"/>
        </w:rPr>
        <w:t>плазм</w:t>
      </w:r>
      <w:r>
        <w:rPr>
          <w:lang w:eastAsia="en-US"/>
        </w:rPr>
        <w:t>е</w:t>
      </w:r>
      <w:r w:rsidRPr="005E34D0">
        <w:rPr>
          <w:lang w:eastAsia="en-US"/>
        </w:rPr>
        <w:t xml:space="preserve"> </w:t>
      </w:r>
      <w:r>
        <w:rPr>
          <w:lang w:eastAsia="en-US"/>
        </w:rPr>
        <w:fldChar w:fldCharType="begin"/>
      </w:r>
      <w:r w:rsidR="00824DA4">
        <w:rPr>
          <w:lang w:eastAsia="en-US"/>
        </w:rPr>
        <w:instrText xml:space="preserve"> ADDIN ZOTERO_ITEM CSL_CITATION {"citationID":"pUEo2RS3","properties":{"formattedCitation":"(14)","plainCitation":"(14)","noteIndex":0},"citationItems":[{"id":"iY4E1EKJ/ZdrlgR8d","uris":["http://zotero.org/users/1055192/items/JM3YI3G7"],"itemData":{"id":30530,"type":"article-journal","abstract":"OBJECTIVES: Etravirine has high affinity for plasma drug-binding proteins, such as albumin and α1-acid glycoprotein, which limits the amount of unbound etravirine available to enter the CNS. The objective of this study was to compare total and unbound etravirine concentrations in CSF with plasma concentrations and the in vitro median inhibitory concentration (IC50) for wild-type HIV (0.9 ng/mL).\nMETHODS: Total and bound etravirine concentrations were measured in 17 CSF and plasma pairs by isotope-dilution liquid chromatography tandem mass spectroscopy, radioligand displacement and ultracentrifugation. Unbound etravirine concentrations were calculated from the bound fraction. The dynamic range of the assay was 7.8-2000 (plasma) and 0.78-200 (CSF) ng/mL.\nRESULTS: Subjects were mostly middle-aged (median 43 years) white (78%) men (89%). All CSF etravirine concentrations were above the limit of quantification. Total and unbound median etravirine concentrations in CSF were 9.5 (IQR 6.4, 26.4) and 0.13 (IQR 0.08, 0.27) ng/mL, respectively. Etravirine was 96% (IQR 94.5, 97.2) protein bound in plasma and 98.4% (IQR 97.8, 98.8) in CSF. Total etravirine in CSF was 4.3% (IQR 3, 5.9) of total and 101% (IQR 76, 160) of unbound etravirine in plasma. There were no significant correlations between unbound etravirine concentrations and concentrations of albumin in plasma or CSF. Unbound etravirine concentrations in CSF did not reach the wild-type IC50 in any of the specimens.\nCONCLUSIONS: Unbound etravirine may not achieve optimal concentrations to inhibit HIV replication in the CNS.","container-title":"The Journal of Antimicrobial Chemotherapy","DOI":"10.1093/jac/dks517","ISSN":"1460-2091","issue":"5","journalAbbreviation":"J Antimicrob Chemother","language":"eng","note":"PMID: 23335197\nPMCID: PMC3625433","page":"1161-1168","source":"PubMed","title":"Etravirine in CSF is highly protein bound","volume":"68","author":[{"family":"Nguyen","given":"Anh"},{"family":"Rossi","given":"Steven"},{"family":"Croteau","given":"David"},{"family":"Best","given":"Brookie M."},{"family":"Clifford","given":"David"},{"family":"Collier","given":"Ann C."},{"family":"Gelman","given":"Benjamin"},{"family":"Marra","given":"Christina"},{"family":"McArthur","given":"Justin"},{"family":"McCutchan","given":"J. Allen"},{"family":"Morgello","given":"Susan"},{"family":"Simpson","given":"David"},{"family":"Ellis","given":"Ronald J."},{"family":"Grant","given":"Igor"},{"family":"Capparelli","given":"Edmund"},{"family":"Letendre","given":"Scott"},{"literal":"CHARTER Group"}],"issued":{"date-parts":[["2013",5]]}}}],"schema":"https://github.com/citation-style-language/schema/raw/master/csl-citation.json"} </w:instrText>
      </w:r>
      <w:r>
        <w:rPr>
          <w:lang w:eastAsia="en-US"/>
        </w:rPr>
        <w:fldChar w:fldCharType="separate"/>
      </w:r>
      <w:r w:rsidR="00B50985" w:rsidRPr="00B50985">
        <w:t>[</w:t>
      </w:r>
      <w:r w:rsidR="00DA4865" w:rsidRPr="00DA4865">
        <w:t>14</w:t>
      </w:r>
      <w:r w:rsidR="00B50985" w:rsidRPr="00B50985">
        <w:t>]</w:t>
      </w:r>
      <w:r>
        <w:rPr>
          <w:lang w:eastAsia="en-US"/>
        </w:rPr>
        <w:fldChar w:fldCharType="end"/>
      </w:r>
      <w:r w:rsidRPr="005E34D0">
        <w:rPr>
          <w:lang w:eastAsia="en-US"/>
        </w:rPr>
        <w:t xml:space="preserve">. </w:t>
      </w:r>
      <w:r>
        <w:rPr>
          <w:lang w:eastAsia="en-US"/>
        </w:rPr>
        <w:t xml:space="preserve">Но </w:t>
      </w:r>
      <w:r w:rsidRPr="005E34D0">
        <w:rPr>
          <w:lang w:eastAsia="en-US"/>
        </w:rPr>
        <w:t xml:space="preserve">было показано, что концентрации </w:t>
      </w:r>
      <w:r w:rsidR="008A659A" w:rsidRPr="008A659A">
        <w:rPr>
          <w:lang w:eastAsia="en-US"/>
        </w:rPr>
        <w:t>этравирина</w:t>
      </w:r>
      <w:r>
        <w:rPr>
          <w:lang w:eastAsia="en-US"/>
        </w:rPr>
        <w:t xml:space="preserve">, создаваемые в СМЖ </w:t>
      </w:r>
      <w:r w:rsidRPr="005E34D0">
        <w:rPr>
          <w:lang w:eastAsia="en-US"/>
        </w:rPr>
        <w:t>у взрослых ВИЧ</w:t>
      </w:r>
      <w:r>
        <w:rPr>
          <w:lang w:eastAsia="en-US"/>
        </w:rPr>
        <w:t>-</w:t>
      </w:r>
      <w:r w:rsidRPr="00363F76">
        <w:rPr>
          <w:lang w:eastAsia="en-US"/>
        </w:rPr>
        <w:t xml:space="preserve">инфицированных, выше чем </w:t>
      </w:r>
      <w:r w:rsidRPr="009F2D19">
        <w:rPr>
          <w:lang w:eastAsia="en-US"/>
        </w:rPr>
        <w:t xml:space="preserve">концентрации полумаксимального ингибирования </w:t>
      </w:r>
      <w:r>
        <w:rPr>
          <w:lang w:eastAsia="en-US"/>
        </w:rPr>
        <w:t>(</w:t>
      </w:r>
      <w:r w:rsidRPr="00363F76">
        <w:rPr>
          <w:lang w:val="en-US" w:eastAsia="en-US"/>
        </w:rPr>
        <w:t>IC</w:t>
      </w:r>
      <w:r w:rsidRPr="00363F76">
        <w:rPr>
          <w:vertAlign w:val="subscript"/>
          <w:lang w:eastAsia="en-US"/>
        </w:rPr>
        <w:t>50</w:t>
      </w:r>
      <w:r w:rsidRPr="00615B16">
        <w:rPr>
          <w:lang w:eastAsia="en-US"/>
        </w:rPr>
        <w:t>)</w:t>
      </w:r>
      <w:r>
        <w:rPr>
          <w:i/>
          <w:iCs/>
          <w:lang w:eastAsia="en-US"/>
        </w:rPr>
        <w:t>,</w:t>
      </w:r>
      <w:r w:rsidRPr="00363F76">
        <w:rPr>
          <w:lang w:eastAsia="en-US"/>
        </w:rPr>
        <w:t xml:space="preserve"> необходимые </w:t>
      </w:r>
      <w:r w:rsidRPr="00363F76">
        <w:rPr>
          <w:i/>
          <w:iCs/>
          <w:lang w:val="en-US" w:eastAsia="en-US"/>
        </w:rPr>
        <w:t>in</w:t>
      </w:r>
      <w:r w:rsidRPr="00363F76">
        <w:rPr>
          <w:i/>
          <w:iCs/>
          <w:lang w:eastAsia="en-US"/>
        </w:rPr>
        <w:t xml:space="preserve"> </w:t>
      </w:r>
      <w:r w:rsidRPr="00363F76">
        <w:rPr>
          <w:i/>
          <w:iCs/>
          <w:lang w:val="en-US" w:eastAsia="en-US"/>
        </w:rPr>
        <w:t>vitro</w:t>
      </w:r>
      <w:r w:rsidRPr="00363F76">
        <w:rPr>
          <w:lang w:eastAsia="en-US"/>
        </w:rPr>
        <w:t xml:space="preserve"> для 50% ингибирования репликации ВИЧ </w:t>
      </w:r>
      <w:r w:rsidRPr="00363F76">
        <w:rPr>
          <w:lang w:eastAsia="en-US"/>
        </w:rPr>
        <w:fldChar w:fldCharType="begin"/>
      </w:r>
      <w:r w:rsidR="00824DA4">
        <w:rPr>
          <w:lang w:eastAsia="en-US"/>
        </w:rPr>
        <w:instrText xml:space="preserve"> ADDIN ZOTERO_ITEM CSL_CITATION {"citationID":"szM3lABt","properties":{"formattedCitation":"(15)","plainCitation":"(15)","noteIndex":0},"citationItems":[{"id":"iY4E1EKJ/7EEG4DaD","uris":["http://zotero.org/users/1055192/items/7FXDWXQW"],"itemData":{"id":24882,"type":"article-journal","abstract":"OBJECTIVES: To determine etravirine concentrations in CSF in HIV-infected patients.\nMETHODS: Twelve HIV-1 adult antiretroviral-experienced patients receiving an etravirine-containing regimen for at least 1 month were enrolled. Both CSF and blood samples were taken around 12 h after the last etravirine dose. Liquid chromatography-tandem mass spectrometry was used to determine etravirine concentrations, and HIV-1 viral load was determined by real-time PCR (limit of detection 40 copies/mL).\nRESULTS: Twelve blood and 12 CSF samples were collected. The median CD4 count was 333 (84-765) cells/mm(3) and the median plasma HIV-1 viral load was &lt;40 (range &lt;40-1777) copies/mL. The median time on etravirine was 34 (range 4-140) weeks. The median etravirine concentration in plasma was 611.5 (range 148-991) ng/mL. The median CSF etravirine concentration was 7.24 (range 3.59-17.9) ng/mL; in all cases, values were above the IC(50) range (0.39-2.4 ng/mL). The median etravirine CSF:plasma ratio was 0.01 (range 0.005-0.03). The CSF viral load was &gt;40 copies/mL in one patient and plasma viral load was still detectable after 4 weeks of therapy.\nCONCLUSIONS: Etravirine achieves concentrations several times greater than the IC(50) range in CSF. All patients with undetectable plasma viral load were virologically suppressed in CSF while receiving an etravirine-containing regimen. Etravirine may help in controlling HIV-1 in CNS.","container-title":"The Journal of Antimicrobial Chemotherapy","DOI":"10.1093/jac/dks048","ISSN":"1460-2091","issue":"6","journalAbbreviation":"J Antimicrob Chemother","language":"eng","note":"PMID: 22357802","page":"1446-1448","source":"PubMed","title":"Etravirine concentrations in CSF in HIV-infected patients","volume":"67","author":[{"family":"Tiraboschi","given":"J. M."},{"family":"Niubo","given":"J."},{"family":"Vila","given":"A."},{"family":"Perez-Pujol","given":"S."},{"family":"Podzamczer","given":"D."}],"issued":{"date-parts":[["2012",6]]}}}],"schema":"https://github.com/citation-style-language/schema/raw/master/csl-citation.json"} </w:instrText>
      </w:r>
      <w:r w:rsidRPr="00363F76">
        <w:rPr>
          <w:lang w:eastAsia="en-US"/>
        </w:rPr>
        <w:fldChar w:fldCharType="separate"/>
      </w:r>
      <w:r w:rsidR="005E2B83" w:rsidRPr="005E2B83">
        <w:t>[</w:t>
      </w:r>
      <w:r w:rsidR="00DA4865" w:rsidRPr="00DA4865">
        <w:t>15</w:t>
      </w:r>
      <w:r w:rsidR="005E2B83" w:rsidRPr="005E2B83">
        <w:t>]</w:t>
      </w:r>
      <w:r w:rsidRPr="00363F76">
        <w:rPr>
          <w:lang w:eastAsia="en-US"/>
        </w:rPr>
        <w:fldChar w:fldCharType="end"/>
      </w:r>
      <w:r w:rsidRPr="00363F76">
        <w:rPr>
          <w:lang w:eastAsia="en-US"/>
        </w:rPr>
        <w:t>, в ан</w:t>
      </w:r>
      <w:r w:rsidRPr="005E34D0">
        <w:rPr>
          <w:lang w:eastAsia="en-US"/>
        </w:rPr>
        <w:t>алогичных</w:t>
      </w:r>
      <w:r w:rsidRPr="00841190">
        <w:rPr>
          <w:lang w:eastAsia="en-US"/>
        </w:rPr>
        <w:t xml:space="preserve"> </w:t>
      </w:r>
      <w:r w:rsidRPr="005E34D0">
        <w:rPr>
          <w:lang w:eastAsia="en-US"/>
        </w:rPr>
        <w:t>исследованиях</w:t>
      </w:r>
      <w:r w:rsidRPr="00841190">
        <w:rPr>
          <w:lang w:eastAsia="en-US"/>
        </w:rPr>
        <w:t xml:space="preserve"> </w:t>
      </w:r>
      <w:r>
        <w:rPr>
          <w:lang w:eastAsia="en-US"/>
        </w:rPr>
        <w:t xml:space="preserve">с участием </w:t>
      </w:r>
      <w:r w:rsidRPr="005E34D0">
        <w:rPr>
          <w:lang w:eastAsia="en-US"/>
        </w:rPr>
        <w:t>ВИЧ</w:t>
      </w:r>
      <w:r>
        <w:rPr>
          <w:lang w:eastAsia="en-US"/>
        </w:rPr>
        <w:t>-инфицированных</w:t>
      </w:r>
      <w:r w:rsidRPr="00841190">
        <w:rPr>
          <w:lang w:eastAsia="en-US"/>
        </w:rPr>
        <w:t xml:space="preserve"> </w:t>
      </w:r>
      <w:r>
        <w:rPr>
          <w:lang w:eastAsia="en-US"/>
        </w:rPr>
        <w:t xml:space="preserve">пациентов </w:t>
      </w:r>
      <w:r w:rsidRPr="005E34D0">
        <w:rPr>
          <w:lang w:eastAsia="en-US"/>
        </w:rPr>
        <w:t xml:space="preserve">несвязанная </w:t>
      </w:r>
      <w:r>
        <w:rPr>
          <w:lang w:eastAsia="en-US"/>
        </w:rPr>
        <w:t xml:space="preserve">фракция </w:t>
      </w:r>
      <w:r w:rsidR="008A659A" w:rsidRPr="0050615D">
        <w:rPr>
          <w:lang w:eastAsia="en-US"/>
        </w:rPr>
        <w:t xml:space="preserve">этравирина </w:t>
      </w:r>
      <w:r w:rsidRPr="005E34D0">
        <w:rPr>
          <w:lang w:eastAsia="en-US"/>
        </w:rPr>
        <w:t xml:space="preserve">в </w:t>
      </w:r>
      <w:r>
        <w:rPr>
          <w:lang w:eastAsia="en-US"/>
        </w:rPr>
        <w:t xml:space="preserve">СМЖ </w:t>
      </w:r>
      <w:r w:rsidRPr="005E34D0">
        <w:rPr>
          <w:lang w:eastAsia="en-US"/>
        </w:rPr>
        <w:t>не достиг</w:t>
      </w:r>
      <w:r>
        <w:rPr>
          <w:lang w:eastAsia="en-US"/>
        </w:rPr>
        <w:t>а</w:t>
      </w:r>
      <w:r w:rsidRPr="005E34D0">
        <w:rPr>
          <w:lang w:eastAsia="en-US"/>
        </w:rPr>
        <w:t>ла</w:t>
      </w:r>
      <w:r>
        <w:rPr>
          <w:lang w:eastAsia="en-US"/>
        </w:rPr>
        <w:t xml:space="preserve"> значений </w:t>
      </w:r>
      <w:r w:rsidRPr="005E34D0">
        <w:rPr>
          <w:lang w:val="en-US" w:eastAsia="en-US"/>
        </w:rPr>
        <w:t>IC</w:t>
      </w:r>
      <w:r w:rsidRPr="0058736D">
        <w:rPr>
          <w:vertAlign w:val="subscript"/>
          <w:lang w:eastAsia="en-US"/>
        </w:rPr>
        <w:t>50</w:t>
      </w:r>
      <w:r w:rsidRPr="00841190">
        <w:rPr>
          <w:lang w:eastAsia="en-US"/>
        </w:rPr>
        <w:t xml:space="preserve"> </w:t>
      </w:r>
      <w:r>
        <w:rPr>
          <w:lang w:eastAsia="en-US"/>
        </w:rPr>
        <w:fldChar w:fldCharType="begin"/>
      </w:r>
      <w:r w:rsidR="00824DA4">
        <w:rPr>
          <w:lang w:eastAsia="en-US"/>
        </w:rPr>
        <w:instrText xml:space="preserve"> ADDIN ZOTERO_ITEM CSL_CITATION {"citationID":"PaL9ow5Z","properties":{"formattedCitation":"(14)","plainCitation":"(14)","noteIndex":0},"citationItems":[{"id":"iY4E1EKJ/ZdrlgR8d","uris":["http://zotero.org/users/1055192/items/JM3YI3G7"],"itemData":{"id":30530,"type":"article-journal","abstract":"OBJECTIVES: Etravirine has high affinity for plasma drug-binding proteins, such as albumin and α1-acid glycoprotein, which limits the amount of unbound etravirine available to enter the CNS. The objective of this study was to compare total and unbound etravirine concentrations in CSF with plasma concentrations and the in vitro median inhibitory concentration (IC50) for wild-type HIV (0.9 ng/mL).\nMETHODS: Total and bound etravirine concentrations were measured in 17 CSF and plasma pairs by isotope-dilution liquid chromatography tandem mass spectroscopy, radioligand displacement and ultracentrifugation. Unbound etravirine concentrations were calculated from the bound fraction. The dynamic range of the assay was 7.8-2000 (plasma) and 0.78-200 (CSF) ng/mL.\nRESULTS: Subjects were mostly middle-aged (median 43 years) white (78%) men (89%). All CSF etravirine concentrations were above the limit of quantification. Total and unbound median etravirine concentrations in CSF were 9.5 (IQR 6.4, 26.4) and 0.13 (IQR 0.08, 0.27) ng/mL, respectively. Etravirine was 96% (IQR 94.5, 97.2) protein bound in plasma and 98.4% (IQR 97.8, 98.8) in CSF. Total etravirine in CSF was 4.3% (IQR 3, 5.9) of total and 101% (IQR 76, 160) of unbound etravirine in plasma. There were no significant correlations between unbound etravirine concentrations and concentrations of albumin in plasma or CSF. Unbound etravirine concentrations in CSF did not reach the wild-type IC50 in any of the specimens.\nCONCLUSIONS: Unbound etravirine may not achieve optimal concentrations to inhibit HIV replication in the CNS.","container-title":"The Journal of Antimicrobial Chemotherapy","DOI":"10.1093/jac/dks517","ISSN":"1460-2091","issue":"5","journalAbbreviation":"J Antimicrob Chemother","language":"eng","note":"PMID: 23335197\nPMCID: PMC3625433","page":"1161-1168","source":"PubMed","title":"Etravirine in CSF is highly protein bound","volume":"68","author":[{"family":"Nguyen","given":"Anh"},{"family":"Rossi","given":"Steven"},{"family":"Croteau","given":"David"},{"family":"Best","given":"Brookie M."},{"family":"Clifford","given":"David"},{"family":"Collier","given":"Ann C."},{"family":"Gelman","given":"Benjamin"},{"family":"Marra","given":"Christina"},{"family":"McArthur","given":"Justin"},{"family":"McCutchan","given":"J. Allen"},{"family":"Morgello","given":"Susan"},{"family":"Simpson","given":"David"},{"family":"Ellis","given":"Ronald J."},{"family":"Grant","given":"Igor"},{"family":"Capparelli","given":"Edmund"},{"family":"Letendre","given":"Scott"},{"literal":"CHARTER Group"}],"issued":{"date-parts":[["2013",5]]}}}],"schema":"https://github.com/citation-style-language/schema/raw/master/csl-citation.json"} </w:instrText>
      </w:r>
      <w:r>
        <w:rPr>
          <w:lang w:eastAsia="en-US"/>
        </w:rPr>
        <w:fldChar w:fldCharType="separate"/>
      </w:r>
      <w:r w:rsidR="00B50985" w:rsidRPr="00B50985">
        <w:t>[</w:t>
      </w:r>
      <w:r w:rsidR="00DA4865" w:rsidRPr="00DA4865">
        <w:t>14</w:t>
      </w:r>
      <w:r w:rsidR="00B50985" w:rsidRPr="00B50985">
        <w:t>]</w:t>
      </w:r>
      <w:r>
        <w:rPr>
          <w:lang w:eastAsia="en-US"/>
        </w:rPr>
        <w:fldChar w:fldCharType="end"/>
      </w:r>
      <w:r w:rsidRPr="00841190">
        <w:rPr>
          <w:lang w:eastAsia="en-US"/>
        </w:rPr>
        <w:t>.</w:t>
      </w:r>
    </w:p>
    <w:p w14:paraId="12F271A7" w14:textId="12A2EA83" w:rsidR="00205406" w:rsidRPr="006574DB" w:rsidRDefault="00205406" w:rsidP="00D10294">
      <w:pPr>
        <w:pStyle w:val="affb"/>
        <w:spacing w:before="0" w:after="0" w:line="240" w:lineRule="auto"/>
        <w:ind w:firstLine="709"/>
        <w:rPr>
          <w:lang w:eastAsia="en-US"/>
        </w:rPr>
      </w:pPr>
      <w:r>
        <w:rPr>
          <w:lang w:eastAsia="en-US"/>
        </w:rPr>
        <w:t xml:space="preserve">В двух </w:t>
      </w:r>
      <w:r w:rsidRPr="00C27B7C">
        <w:rPr>
          <w:lang w:eastAsia="en-US"/>
        </w:rPr>
        <w:t>исследования</w:t>
      </w:r>
      <w:r>
        <w:rPr>
          <w:lang w:eastAsia="en-US"/>
        </w:rPr>
        <w:t>х</w:t>
      </w:r>
      <w:r w:rsidRPr="00C27B7C">
        <w:rPr>
          <w:lang w:eastAsia="en-US"/>
        </w:rPr>
        <w:t xml:space="preserve"> </w:t>
      </w:r>
      <w:r>
        <w:rPr>
          <w:lang w:eastAsia="en-US"/>
        </w:rPr>
        <w:t xml:space="preserve">с участием </w:t>
      </w:r>
      <w:r w:rsidRPr="00C27B7C">
        <w:rPr>
          <w:lang w:eastAsia="en-US"/>
        </w:rPr>
        <w:t>ВИЧ-инфицированных женщин, получа</w:t>
      </w:r>
      <w:r>
        <w:rPr>
          <w:lang w:eastAsia="en-US"/>
        </w:rPr>
        <w:t>вш</w:t>
      </w:r>
      <w:r w:rsidRPr="00C27B7C">
        <w:rPr>
          <w:lang w:eastAsia="en-US"/>
        </w:rPr>
        <w:t xml:space="preserve">их </w:t>
      </w:r>
      <w:r w:rsidR="008A659A" w:rsidRPr="0050615D">
        <w:rPr>
          <w:lang w:eastAsia="en-US"/>
        </w:rPr>
        <w:t>этравирин</w:t>
      </w:r>
      <w:r w:rsidR="008A659A">
        <w:rPr>
          <w:lang w:eastAsia="en-US"/>
        </w:rPr>
        <w:t xml:space="preserve"> </w:t>
      </w:r>
      <w:r w:rsidR="008A659A" w:rsidRPr="0050615D">
        <w:rPr>
          <w:lang w:eastAsia="en-US"/>
        </w:rPr>
        <w:t xml:space="preserve"> </w:t>
      </w:r>
      <w:r w:rsidRPr="00C27B7C">
        <w:rPr>
          <w:lang w:eastAsia="en-US"/>
        </w:rPr>
        <w:t>200 мг два раза в день, экспозици</w:t>
      </w:r>
      <w:r>
        <w:rPr>
          <w:lang w:eastAsia="en-US"/>
        </w:rPr>
        <w:t>я</w:t>
      </w:r>
      <w:r w:rsidRPr="00C27B7C">
        <w:rPr>
          <w:lang w:eastAsia="en-US"/>
        </w:rPr>
        <w:t xml:space="preserve"> </w:t>
      </w:r>
      <w:r w:rsidR="008A659A" w:rsidRPr="0050615D">
        <w:rPr>
          <w:lang w:eastAsia="en-US"/>
        </w:rPr>
        <w:t xml:space="preserve">этравирина </w:t>
      </w:r>
      <w:r>
        <w:rPr>
          <w:lang w:eastAsia="en-US"/>
        </w:rPr>
        <w:t>в</w:t>
      </w:r>
      <w:r w:rsidRPr="00EE1518">
        <w:rPr>
          <w:lang w:eastAsia="en-US"/>
        </w:rPr>
        <w:t xml:space="preserve"> </w:t>
      </w:r>
      <w:r w:rsidRPr="00C27B7C">
        <w:rPr>
          <w:lang w:eastAsia="en-US"/>
        </w:rPr>
        <w:t>церви</w:t>
      </w:r>
      <w:r>
        <w:rPr>
          <w:lang w:eastAsia="en-US"/>
        </w:rPr>
        <w:t>ко</w:t>
      </w:r>
      <w:r w:rsidRPr="00C27B7C">
        <w:rPr>
          <w:lang w:eastAsia="en-US"/>
        </w:rPr>
        <w:t>вагинальной жидкости был</w:t>
      </w:r>
      <w:r>
        <w:rPr>
          <w:lang w:eastAsia="en-US"/>
        </w:rPr>
        <w:t>а</w:t>
      </w:r>
      <w:r w:rsidRPr="00C27B7C">
        <w:rPr>
          <w:lang w:eastAsia="en-US"/>
        </w:rPr>
        <w:t xml:space="preserve"> больше, чем плазменные </w:t>
      </w:r>
      <w:r>
        <w:rPr>
          <w:lang w:eastAsia="en-US"/>
        </w:rPr>
        <w:t xml:space="preserve">концентрации </w:t>
      </w:r>
      <w:r w:rsidRPr="00C27B7C">
        <w:rPr>
          <w:lang w:eastAsia="en-US"/>
        </w:rPr>
        <w:t xml:space="preserve">в крови, </w:t>
      </w:r>
      <w:r>
        <w:rPr>
          <w:lang w:eastAsia="en-US"/>
        </w:rPr>
        <w:t xml:space="preserve">в одном исследовании это </w:t>
      </w:r>
      <w:r w:rsidRPr="00C27B7C">
        <w:rPr>
          <w:lang w:eastAsia="en-US"/>
        </w:rPr>
        <w:t>соотношени</w:t>
      </w:r>
      <w:r>
        <w:rPr>
          <w:lang w:eastAsia="en-US"/>
        </w:rPr>
        <w:t xml:space="preserve">е составляло </w:t>
      </w:r>
      <w:r w:rsidRPr="00C27B7C">
        <w:rPr>
          <w:lang w:eastAsia="en-US"/>
        </w:rPr>
        <w:t xml:space="preserve">1,2 </w:t>
      </w:r>
      <w:r>
        <w:rPr>
          <w:lang w:eastAsia="en-US"/>
        </w:rPr>
        <w:fldChar w:fldCharType="begin"/>
      </w:r>
      <w:r w:rsidR="00824DA4">
        <w:rPr>
          <w:lang w:eastAsia="en-US"/>
        </w:rPr>
        <w:instrText xml:space="preserve"> ADDIN ZOTERO_ITEM CSL_CITATION {"citationID":"yzErp5iu","properties":{"formattedCitation":"(16,17)","plainCitation":"(16,17)","noteIndex":0},"citationItems":[{"id":"iY4E1EKJ/FGi74liY","uris":["http://zotero.org/users/1055192/items/KEBSQZ5M"],"itemData":{"id":30722,"type":"article-journal","abstract":"We report darunavir, ritonavir, and etravirine pharmacokinetics in cervicovaginal fluid and blood plasma for women from the Gender, Race and Clinical Experience (GRACE) study. Eight women received darunavir-ritonavir (600/100 mg) twice daily (b.i.d.); two also received etravirine (200 mg) b.i.d. Week 4 paired blood plasma and cervicovaginal fluid samples were collected over 12 h. Darunavir and etravirine cervicovaginal fluid exposures were higher than blood plasma exposures; ritonavir cervicovaginal fluid exposure was lower than blood plasma exposure. The high exposures of darunavir and etravirine in cervicovaginal fluid warrant further evaluation of these drugs for use in HIV-1 prevention.","container-title":"Antimicrobial Agents and Chemotherapy","DOI":"10.1128/AAC.00889-10","ISSN":"1098-6596","issue":"3","journalAbbreviation":"Antimicrob Agents Chemother","language":"eng","note":"PMID: 21173188\nPMCID: PMC3067092","page":"1120-1122","source":"PubMed","title":"Darunavir, ritonavir, and etravirine pharmacokinetics in the cervicovaginal fluid and blood plasma of HIV-infected women","volume":"55","author":[{"family":"Patterson","given":"Kristine"},{"family":"Jennings","given":"Steven"},{"family":"Falcon","given":"Ron"},{"family":"Mrus","given":"Joseph"},{"family":"Kashuba","given":"Angela"}],"issued":{"date-parts":[["2011",3]]}},"label":"page"},{"id":"iY4E1EKJ/kNc9KPbP","uris":["http://zotero.org/users/1055192/items/MF6PDH5F"],"itemData":{"id":30542,"type":"article-journal","abstract":"We studied the penetration of etravirine and HIV shedding in the genital tract among 12 HIV-1-infected women receiving an etravirine-containing regimen who had &lt;40 copies/ml blood plasma (BP) HIV RNA. None of the cervicovaginal fluid (CVF) samples showed detectable HIV RNA. Median etravirine concentrations were 663 ng/ml in BP and 857 ng/ml in CVF, with a CVF/BP etravirine ratio of approximately 1.2. This good penetration of etravirine may contribute to the control of viral replication in the female genital tract.","container-title":"Antimicrobial Agents and Chemotherapy","DOI":"10.1128/AAC.06474-11","ISSN":"1098-6596","issue":"7","journalAbbreviation":"Antimicrob Agents Chemother","language":"eng","note":"PMID: 22526321\nPMCID: PMC3393414","page":"4018-4020","source":"PubMed","title":"Etravirine concentrations in the cervicovaginal compartment in HIV-1-infected women receiving etravirine-containing antiretroviral therapy: DIVA 02 study","title-short":"Etravirine concentrations in the cervicovaginal compartment in HIV-1-infected women receiving etravirine-containing antiretroviral therapy","volume":"56","author":[{"family":"Clavel","given":"C."},{"family":"Peytavin","given":"G."},{"family":"Tubiana","given":"R."},{"family":"Soulié","given":"C."},{"family":"Courbon","given":"E."},{"family":"Crenn-Hebert","given":"C."},{"family":"Ichou","given":"H."},{"family":"Blanc","given":"C."},{"family":"Schneider","given":"L."},{"family":"Katlama","given":"C."},{"family":"Marcelin","given":"A.-G."},{"family":"Mandelbrot","given":"L."}],"issued":{"date-parts":[["2012",7]]}},"label":"page"}],"schema":"https://github.com/citation-style-language/schema/raw/master/csl-citation.json"} </w:instrText>
      </w:r>
      <w:r>
        <w:rPr>
          <w:lang w:eastAsia="en-US"/>
        </w:rPr>
        <w:fldChar w:fldCharType="separate"/>
      </w:r>
      <w:r w:rsidR="00B50985" w:rsidRPr="00B66676">
        <w:t>[</w:t>
      </w:r>
      <w:r w:rsidR="00DA4865" w:rsidRPr="00DA4865">
        <w:t>16,</w:t>
      </w:r>
      <w:r w:rsidR="00356AB0" w:rsidRPr="008B0B82">
        <w:t xml:space="preserve"> </w:t>
      </w:r>
      <w:r w:rsidR="00DA4865" w:rsidRPr="00DA4865">
        <w:t>17</w:t>
      </w:r>
      <w:r w:rsidR="00B50985" w:rsidRPr="00B66676">
        <w:t>]</w:t>
      </w:r>
      <w:r>
        <w:rPr>
          <w:lang w:eastAsia="en-US"/>
        </w:rPr>
        <w:fldChar w:fldCharType="end"/>
      </w:r>
      <w:r w:rsidRPr="00C27B7C">
        <w:rPr>
          <w:lang w:eastAsia="en-US"/>
        </w:rPr>
        <w:t xml:space="preserve">. Концентрация </w:t>
      </w:r>
      <w:r w:rsidR="008A659A" w:rsidRPr="0050615D">
        <w:rPr>
          <w:lang w:eastAsia="en-US"/>
        </w:rPr>
        <w:t xml:space="preserve">этравирина </w:t>
      </w:r>
      <w:r>
        <w:rPr>
          <w:lang w:eastAsia="en-US"/>
        </w:rPr>
        <w:t xml:space="preserve">в тканях </w:t>
      </w:r>
      <w:r w:rsidRPr="00C27B7C">
        <w:rPr>
          <w:lang w:eastAsia="en-US"/>
        </w:rPr>
        <w:t>семенных</w:t>
      </w:r>
      <w:r>
        <w:rPr>
          <w:lang w:eastAsia="en-US"/>
        </w:rPr>
        <w:t xml:space="preserve"> пузырьков</w:t>
      </w:r>
      <w:r w:rsidRPr="00C27B7C">
        <w:rPr>
          <w:lang w:eastAsia="en-US"/>
        </w:rPr>
        <w:t xml:space="preserve"> и </w:t>
      </w:r>
      <w:r>
        <w:rPr>
          <w:lang w:eastAsia="en-US"/>
        </w:rPr>
        <w:t xml:space="preserve">прямой кишки (по данным исследования у </w:t>
      </w:r>
      <w:r w:rsidRPr="00C27B7C">
        <w:rPr>
          <w:lang w:eastAsia="en-US"/>
        </w:rPr>
        <w:t>12 ВИЧ-негативных человек</w:t>
      </w:r>
      <w:r>
        <w:rPr>
          <w:lang w:eastAsia="en-US"/>
        </w:rPr>
        <w:t xml:space="preserve">, принимавших </w:t>
      </w:r>
      <w:r w:rsidR="008A659A" w:rsidRPr="0050615D">
        <w:rPr>
          <w:lang w:eastAsia="en-US"/>
        </w:rPr>
        <w:t xml:space="preserve">этравирина </w:t>
      </w:r>
      <w:r w:rsidRPr="00C27B7C">
        <w:rPr>
          <w:lang w:eastAsia="en-US"/>
        </w:rPr>
        <w:t xml:space="preserve">более 8 дней </w:t>
      </w:r>
      <w:r>
        <w:rPr>
          <w:lang w:eastAsia="en-US"/>
        </w:rPr>
        <w:t xml:space="preserve">в дозе </w:t>
      </w:r>
      <w:r w:rsidRPr="00C27B7C">
        <w:rPr>
          <w:lang w:eastAsia="en-US"/>
        </w:rPr>
        <w:t>200 мг два раза в день</w:t>
      </w:r>
      <w:r>
        <w:rPr>
          <w:lang w:eastAsia="en-US"/>
        </w:rPr>
        <w:t>,</w:t>
      </w:r>
      <w:r w:rsidRPr="00C27B7C">
        <w:rPr>
          <w:lang w:eastAsia="en-US"/>
        </w:rPr>
        <w:t xml:space="preserve"> </w:t>
      </w:r>
      <w:r>
        <w:rPr>
          <w:lang w:eastAsia="en-US"/>
        </w:rPr>
        <w:t xml:space="preserve">была </w:t>
      </w:r>
      <w:r w:rsidRPr="00C27B7C">
        <w:rPr>
          <w:lang w:eastAsia="en-US"/>
        </w:rPr>
        <w:t xml:space="preserve">приблизительно на 85% ниже, чем </w:t>
      </w:r>
      <w:r>
        <w:rPr>
          <w:lang w:eastAsia="en-US"/>
        </w:rPr>
        <w:t xml:space="preserve">в </w:t>
      </w:r>
      <w:r w:rsidRPr="00C27B7C">
        <w:rPr>
          <w:lang w:eastAsia="en-US"/>
        </w:rPr>
        <w:t>плазм</w:t>
      </w:r>
      <w:r>
        <w:rPr>
          <w:lang w:eastAsia="en-US"/>
        </w:rPr>
        <w:t>е</w:t>
      </w:r>
      <w:r w:rsidRPr="00C27B7C">
        <w:rPr>
          <w:lang w:eastAsia="en-US"/>
        </w:rPr>
        <w:t xml:space="preserve"> крови, в то время как связывание</w:t>
      </w:r>
      <w:r>
        <w:rPr>
          <w:lang w:eastAsia="en-US"/>
        </w:rPr>
        <w:t xml:space="preserve"> с</w:t>
      </w:r>
      <w:r w:rsidRPr="00C27B7C">
        <w:rPr>
          <w:lang w:eastAsia="en-US"/>
        </w:rPr>
        <w:t xml:space="preserve"> белка</w:t>
      </w:r>
      <w:r>
        <w:rPr>
          <w:lang w:eastAsia="en-US"/>
        </w:rPr>
        <w:t>ми</w:t>
      </w:r>
      <w:r w:rsidRPr="00C27B7C">
        <w:rPr>
          <w:lang w:eastAsia="en-US"/>
        </w:rPr>
        <w:t xml:space="preserve"> в семенн</w:t>
      </w:r>
      <w:r>
        <w:rPr>
          <w:lang w:eastAsia="en-US"/>
        </w:rPr>
        <w:t xml:space="preserve">ых пузырьках </w:t>
      </w:r>
      <w:r w:rsidRPr="00C27B7C">
        <w:rPr>
          <w:lang w:eastAsia="en-US"/>
        </w:rPr>
        <w:t xml:space="preserve">было меньше, чем </w:t>
      </w:r>
      <w:r>
        <w:rPr>
          <w:lang w:eastAsia="en-US"/>
        </w:rPr>
        <w:t xml:space="preserve">в </w:t>
      </w:r>
      <w:r w:rsidRPr="00C27B7C">
        <w:rPr>
          <w:lang w:eastAsia="en-US"/>
        </w:rPr>
        <w:t>плазм</w:t>
      </w:r>
      <w:r>
        <w:rPr>
          <w:lang w:eastAsia="en-US"/>
        </w:rPr>
        <w:t>е</w:t>
      </w:r>
      <w:r w:rsidRPr="00C27B7C">
        <w:rPr>
          <w:lang w:eastAsia="en-US"/>
        </w:rPr>
        <w:t>, примерно на 97%. И наоборот, экспозици</w:t>
      </w:r>
      <w:r>
        <w:rPr>
          <w:lang w:eastAsia="en-US"/>
        </w:rPr>
        <w:t>я</w:t>
      </w:r>
      <w:r w:rsidRPr="00C27B7C">
        <w:rPr>
          <w:lang w:eastAsia="en-US"/>
        </w:rPr>
        <w:t xml:space="preserve"> </w:t>
      </w:r>
      <w:r w:rsidR="00D10294">
        <w:rPr>
          <w:lang w:eastAsia="en-US"/>
        </w:rPr>
        <w:t>этравирина</w:t>
      </w:r>
      <w:r w:rsidRPr="006E53F2">
        <w:rPr>
          <w:lang w:eastAsia="en-US"/>
        </w:rPr>
        <w:t xml:space="preserve"> </w:t>
      </w:r>
      <w:r w:rsidRPr="00C27B7C">
        <w:rPr>
          <w:lang w:eastAsia="en-US"/>
        </w:rPr>
        <w:t xml:space="preserve">в </w:t>
      </w:r>
      <w:r>
        <w:rPr>
          <w:lang w:eastAsia="en-US"/>
        </w:rPr>
        <w:t xml:space="preserve">ткани прямой кишки </w:t>
      </w:r>
      <w:r>
        <w:rPr>
          <w:lang w:val="en-US" w:eastAsia="en-US"/>
        </w:rPr>
        <w:t>AUC</w:t>
      </w:r>
      <w:r>
        <w:rPr>
          <w:lang w:eastAsia="en-US"/>
        </w:rPr>
        <w:t xml:space="preserve"> </w:t>
      </w:r>
      <w:r w:rsidRPr="00C27B7C">
        <w:rPr>
          <w:lang w:eastAsia="en-US"/>
        </w:rPr>
        <w:t>был</w:t>
      </w:r>
      <w:r>
        <w:rPr>
          <w:lang w:eastAsia="en-US"/>
        </w:rPr>
        <w:t>а</w:t>
      </w:r>
      <w:r w:rsidRPr="00C27B7C">
        <w:rPr>
          <w:lang w:eastAsia="en-US"/>
        </w:rPr>
        <w:t xml:space="preserve"> выше, </w:t>
      </w:r>
      <w:r>
        <w:rPr>
          <w:lang w:eastAsia="en-US"/>
        </w:rPr>
        <w:t xml:space="preserve">создаваемой в </w:t>
      </w:r>
      <w:r w:rsidRPr="00C27B7C">
        <w:rPr>
          <w:lang w:eastAsia="en-US"/>
        </w:rPr>
        <w:t xml:space="preserve">плазме </w:t>
      </w:r>
      <w:r>
        <w:rPr>
          <w:lang w:eastAsia="en-US"/>
        </w:rPr>
        <w:t xml:space="preserve">в </w:t>
      </w:r>
      <w:r w:rsidRPr="00C27B7C">
        <w:rPr>
          <w:lang w:eastAsia="en-US"/>
        </w:rPr>
        <w:t xml:space="preserve">20-40 раз </w:t>
      </w:r>
      <w:r>
        <w:rPr>
          <w:lang w:eastAsia="en-US"/>
        </w:rPr>
        <w:fldChar w:fldCharType="begin"/>
      </w:r>
      <w:r w:rsidR="00824DA4">
        <w:rPr>
          <w:lang w:eastAsia="en-US"/>
        </w:rPr>
        <w:instrText xml:space="preserve"> ADDIN ZOTERO_ITEM CSL_CITATION {"citationID":"6VjWbQHF","properties":{"formattedCitation":"(18)","plainCitation":"(18)","noteIndex":0},"citationItems":[{"id":"iY4E1EKJ/2kKnJGBV","uris":["http://zotero.org/users/1055192/items/LBJ8SBBQ"],"itemData":{"id":31701,"type":"article-journal","abstract":"BACKGROUND: Antiretroviral therapy has become a central component of combination in HIV prevention efforts. Defining the individual exposure of commercially available antiretroviral therapy in genital secretions and vulnerable mucosal tissues is paramount to designing future prevention interventions.\nMETHODS: A pharmacokinetic (PK) study was performed in 12 HIV-negative men receiving 600 mg of darunavir, 100 mg of ritonavir, and 200 mg of etravirine orally, twice daily for 8 days. Seven blood plasma (BP) samples were collected over 12 hours on day 1 (PK1) and days 7 and 8 (PK2). One rectal tissue (RT) sample from each subject was collected during PK1 and PK2. During PK1, 2 seminal plasma (SP) samples were collected from each subject. During PK2, 6 SP samples were collected from each subject over 2 days.\nRESULTS: Antiretrovirals were detected in SP and RT within 1 hour after a single dose. Over PK1 and PK2, SP exposures were lower than BP by 80%-92% (DRV), 89-95% (RTV), and 83-88% (ETR). However, protein binding in SP (14% for darunavir, 70% for ritonavir, and 97% for etravirine) was lower than in BP. Rectal tissue exposures were higher than BP by 39- to 155-fold for darunavir, 12- to 61-fold for ritonavir, and 20- to 40-fold for etravirine.\nCONCLUSIONS: Lower SP protein binding resulted in higher pharmacologically active darunavir and etravirine concentrations compared with BP. High RT concentrations may also be favorable for suppressing viral replication in the gastrointestinal mucosa. The high protein-unbound exposures in SP and total exposures in RT support further investigations of darunavir plus ritonavir and etravirine in secondary prevention.","container-title":"Journal of Acquired Immune Deficiency Syndromes (1999)","DOI":"10.1097/QAI.0b013e31825cb645","ISSN":"1944-7884","issue":"2","journalAbbreviation":"J Acquir Immune Defic Syndr","language":"eng","note":"PMID: 22614898\nPMCID: PMC3458175","page":"138-144","source":"PubMed","title":"Single- and multiple-dose pharmacokinetics of darunavir plus ritonavir and etravirine in semen and rectal tissue of HIV-negative men","volume":"61","author":[{"family":"Brown","given":"Kevin C."},{"family":"Patterson","given":"Kristine B."},{"family":"Jennings","given":"Steven H."},{"family":"Malone","given":"Stephanie A."},{"family":"Shaheen","given":"Nicholas J."},{"family":"Asher Prince","given":"Heather M."},{"family":"Spacek","given":"Melissa"},{"family":"Cohen","given":"Myron S."},{"family":"Kashuba","given":"Angela D. M."}],"issued":{"date-parts":[["2012",10,1]]}}}],"schema":"https://github.com/citation-style-language/schema/raw/master/csl-citation.json"} </w:instrText>
      </w:r>
      <w:r>
        <w:rPr>
          <w:lang w:eastAsia="en-US"/>
        </w:rPr>
        <w:fldChar w:fldCharType="separate"/>
      </w:r>
      <w:r w:rsidR="005E2B83" w:rsidRPr="008B0B82">
        <w:t>[</w:t>
      </w:r>
      <w:r w:rsidR="00DA4865" w:rsidRPr="006574DB">
        <w:t>18</w:t>
      </w:r>
      <w:r w:rsidR="005E2B83" w:rsidRPr="008B0B82">
        <w:t>]</w:t>
      </w:r>
      <w:r>
        <w:rPr>
          <w:lang w:eastAsia="en-US"/>
        </w:rPr>
        <w:fldChar w:fldCharType="end"/>
      </w:r>
      <w:r w:rsidRPr="006574DB">
        <w:rPr>
          <w:lang w:eastAsia="en-US"/>
        </w:rPr>
        <w:t>.</w:t>
      </w:r>
    </w:p>
    <w:p w14:paraId="1CC48545" w14:textId="77777777" w:rsidR="00075D7F" w:rsidRDefault="00075D7F" w:rsidP="00A76175"/>
    <w:p w14:paraId="2E01988F" w14:textId="009B1E6C" w:rsidR="00B47726" w:rsidRPr="00A76175" w:rsidRDefault="00B47726" w:rsidP="00A76175">
      <w:pPr>
        <w:rPr>
          <w:bCs/>
        </w:rPr>
      </w:pPr>
      <w:r w:rsidRPr="00A76175">
        <w:rPr>
          <w:b/>
        </w:rPr>
        <w:t>Метаболизм</w:t>
      </w:r>
      <w:bookmarkEnd w:id="142"/>
    </w:p>
    <w:p w14:paraId="420A80B4" w14:textId="77777777" w:rsidR="00075D7F" w:rsidRDefault="00075D7F" w:rsidP="009435FB">
      <w:pPr>
        <w:ind w:firstLine="709"/>
        <w:rPr>
          <w:lang w:eastAsia="en-US"/>
        </w:rPr>
      </w:pPr>
    </w:p>
    <w:p w14:paraId="6E089027" w14:textId="3308465F" w:rsidR="009435FB" w:rsidRDefault="00435A2B">
      <w:pPr>
        <w:ind w:firstLine="709"/>
      </w:pPr>
      <w:r>
        <w:rPr>
          <w:lang w:eastAsia="en-US"/>
        </w:rPr>
        <w:t>Э</w:t>
      </w:r>
      <w:r w:rsidRPr="0050615D">
        <w:rPr>
          <w:lang w:eastAsia="en-US"/>
        </w:rPr>
        <w:t>травирин</w:t>
      </w:r>
      <w:r>
        <w:rPr>
          <w:lang w:eastAsia="en-US"/>
        </w:rPr>
        <w:t xml:space="preserve"> </w:t>
      </w:r>
      <w:r w:rsidR="00167CBD" w:rsidRPr="00167CBD">
        <w:t xml:space="preserve">метаболизируется, главным образом, с участием печеночных изоформ цитохромов P450 (CYP): CYP3A4, CYP2C9 и CYP2C19 путем окисления до (моно- и ди-) метилгидроксилированных метаболитов (Рисунок </w:t>
      </w:r>
      <w:r w:rsidR="00EE4001">
        <w:t>4</w:t>
      </w:r>
      <w:r w:rsidR="00356AB0" w:rsidRPr="008B0B82">
        <w:t>-</w:t>
      </w:r>
      <w:r w:rsidR="00EE4001">
        <w:t>1</w:t>
      </w:r>
      <w:r w:rsidR="00167CBD" w:rsidRPr="00167CBD">
        <w:t>) с последующей глюкуронидацией до гидроксильных метаболитов</w:t>
      </w:r>
      <w:r w:rsidR="00643961">
        <w:t xml:space="preserve"> </w:t>
      </w:r>
      <w:r w:rsidR="00E6735F">
        <w:fldChar w:fldCharType="begin"/>
      </w:r>
      <w:r w:rsidR="00E6735F">
        <w:instrText xml:space="preserve"> ADDIN ZOTERO_ITEM CSL_CITATION {"citationID":"GDqxFB72","properties":{"formattedCitation":"(19,20)","plainCitation":"(19,20)","noteIndex":0},"citationItems":[{"id":2617,"uris":["http://zotero.org/users/5483459/items/4UT9DPLL"],"itemData":{"id":2617,"type":"article-journal","title":"Raoof A, Mannens G, Mamidi R. In vivo metabolism and mass balance of the anti-HIV compound TMC125 in laboratory animals and healthy volunteers. In San Antonio; 2006. p. abstract no. M1342."},"label":"page"},{"id":2618,"uris":["http://zotero.org/users/5483459/items/YIUK3STA"],"itemData":{"id":2618,"type":"article-journal","title":"Scholler-Gyure M, Raoof A, Mannens G, others. Mass-balance of 14C-labelled TMC125 in healthy volunteers [abstract no. 78]. In: 8th International Workshop of Clinical Pharmacology of HIV Therapy. 2007. p. 16–8."},"label":"page"}],"schema":"https://github.com/citation-style-language/schema/raw/master/csl-citation.json"} </w:instrText>
      </w:r>
      <w:r w:rsidR="00E6735F">
        <w:fldChar w:fldCharType="separate"/>
      </w:r>
      <w:r w:rsidR="005E2B83" w:rsidRPr="005E2B83">
        <w:t>[</w:t>
      </w:r>
      <w:r w:rsidR="00E6735F" w:rsidRPr="00E6735F">
        <w:t>19,</w:t>
      </w:r>
      <w:r w:rsidR="00356AB0" w:rsidRPr="008B0B82">
        <w:t xml:space="preserve"> </w:t>
      </w:r>
      <w:r w:rsidR="00E6735F" w:rsidRPr="00E6735F">
        <w:t>20</w:t>
      </w:r>
      <w:r w:rsidR="005E2B83" w:rsidRPr="005E2B83">
        <w:t>]</w:t>
      </w:r>
      <w:r w:rsidR="00E6735F">
        <w:fldChar w:fldCharType="end"/>
      </w:r>
      <w:r w:rsidR="00167CBD" w:rsidRPr="00167CBD">
        <w:t xml:space="preserve"> Основные метаболиты </w:t>
      </w:r>
      <w:r w:rsidRPr="0050615D">
        <w:rPr>
          <w:lang w:eastAsia="en-US"/>
        </w:rPr>
        <w:t xml:space="preserve">этравирина </w:t>
      </w:r>
      <w:r w:rsidR="00167CBD" w:rsidRPr="00167CBD">
        <w:t xml:space="preserve">на 90% менее активны в отношении ингибиции обратной транскриптазы, чем сам </w:t>
      </w:r>
      <w:r w:rsidRPr="0050615D">
        <w:rPr>
          <w:lang w:eastAsia="en-US"/>
        </w:rPr>
        <w:t xml:space="preserve">этравирин </w:t>
      </w:r>
      <w:r w:rsidR="00AD074A">
        <w:fldChar w:fldCharType="begin"/>
      </w:r>
      <w:r w:rsidR="00EE4001">
        <w:instrText xml:space="preserve"> ADDIN ZOTERO_ITEM CSL_CITATION {"citationID":"dAZ2z0gV","properties":{"formattedCitation":"(2,21)","plainCitation":"(2,21)","noteIndex":0},"citationItems":[{"id":2597,"uris":["http://zotero.org/users/5483459/items/2TM4VUMV"],"itemData":{"id":2597,"type":"article-journal","abstract":"Etravirine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V"}],"issued":{"date-parts":[["2020",2,1]]}},"label":"page"},{"id":2619,"uris":["http://zotero.org/users/5483459/items/WDVDX8JU"],"itemData":{"id":2619,"type":"article-journal","title":"Smeulders L. Overview of the antiviral activities of TMC125 metabolites on a panel of NNRTI viruses. Tibotec research report no. CB-SR-2004-00052-AVE-NNRTI. Mechelen: Tibotec; 2005."},"label":"page"}],"schema":"https://github.com/citation-style-language/schema/raw/master/csl-citation.json"} </w:instrText>
      </w:r>
      <w:r w:rsidR="00AD074A">
        <w:fldChar w:fldCharType="separate"/>
      </w:r>
      <w:r w:rsidR="005E2B83">
        <w:rPr>
          <w:lang w:val="en-US"/>
        </w:rPr>
        <w:t>[</w:t>
      </w:r>
      <w:r w:rsidR="00EE4001" w:rsidRPr="00EE4001">
        <w:t>2,</w:t>
      </w:r>
      <w:r w:rsidR="00356AB0">
        <w:rPr>
          <w:lang w:val="en-US"/>
        </w:rPr>
        <w:t xml:space="preserve"> </w:t>
      </w:r>
      <w:r w:rsidR="00EE4001" w:rsidRPr="00EE4001">
        <w:t>21</w:t>
      </w:r>
      <w:r w:rsidR="005E2B83">
        <w:rPr>
          <w:lang w:val="en-US"/>
        </w:rPr>
        <w:t>]</w:t>
      </w:r>
      <w:r w:rsidR="00AD074A">
        <w:fldChar w:fldCharType="end"/>
      </w:r>
      <w:r w:rsidR="00EE4001">
        <w:t>.</w:t>
      </w:r>
    </w:p>
    <w:p w14:paraId="6840B5D5" w14:textId="2ED3BF5B" w:rsidR="00147F06" w:rsidRDefault="00147F06"/>
    <w:p w14:paraId="65D41F4C" w14:textId="17D52DCE" w:rsidR="009435FB" w:rsidRDefault="009435FB" w:rsidP="009435FB">
      <w:r w:rsidRPr="00435A2B">
        <w:rPr>
          <w:b/>
          <w:bCs/>
        </w:rPr>
        <w:t xml:space="preserve">Рисунок 4-1. </w:t>
      </w:r>
      <w:r w:rsidRPr="009435FB">
        <w:rPr>
          <w:bCs/>
        </w:rPr>
        <w:t xml:space="preserve">Метаболизм этравирина </w:t>
      </w:r>
      <w:r w:rsidRPr="009435FB">
        <w:rPr>
          <w:bCs/>
        </w:rPr>
        <w:fldChar w:fldCharType="begin"/>
      </w:r>
      <w:r w:rsidRPr="009435FB">
        <w:rPr>
          <w:bCs/>
        </w:rPr>
        <w:instrText xml:space="preserve"> ADDIN ZOTERO_ITEM CSL_CITATION {"citationID":"DSsRKU1o","properties":{"formattedCitation":"(22)","plainCitation":"(22)","noteIndex":0},"citationItems":[{"id":2620,"uris":["http://zotero.org/users/5483459/items/VCUERI2M"],"itemData":{"id":2620,"type":"article-journal","abstract":"Etravirine is a next-generation non-nucleoside reverse transcriptase inhibitor (NNRTI) developed for the treatment of HIV-1 infection. It has a high genetic barrier to the emergence of viral resistance, and maintains its antiviral activity in the presence of common NNRTI mutations. The pharmacokinetics of etravirine in HIV-infected patients at the recommended dosage of 200 mg twice daily demonstrates moderate intersubject variability and no time dependency. Due to substantially lower exposures when taken on an empty stomach, etravirine should be administered following a meal. The drug is highly protein bound (99.9%) to albumin and alpha(1)-acid glycoprotein and shows a relatively long elimination half-life of 30-40 hours. Etravirine is metabolized by cytochrome P450 (CYP) 3A, 2C9 and 2C19; the metabolites are subsequently glucuronidated by uridine diphosphate glucuronosyltransferase. Renal elimination of etravirine is negligible. Etravirine has the potential for interactions by inducing CYP3A and inhibiting CYP2C9 and 2C19; it is a mild inhibitor of P-glycoprotein but not a substrate. The drug interaction profile of etravirine has been well characterized and is manageable. No dosage adjustments are needed in patients with renal impairment or mild to moderate hepatic impairment. Race, sex, bodyweight and age do not affect the pharmacokinetics of etravirine. In the two phase III trials DUET-1 and DUET-2, no relationship was demonstrated between the pharmacokinetics of etravirine and the primary efficacy endpoint of viral load below 50 copies/mL or the safety profile of etravirine.","container-title":"Clinical Pharmacokinetics","DOI":"10.2165/10895940-000000000-00000","ISSN":"1179-1926","issue":"9","journalAbbreviation":"Clin Pharmacokinet","language":"eng","note":"PMID: 19725591","page":"561-574","source":"PubMed","title":"Clinical pharmacokinetics and pharmacodynamics of etravirine","volume":"48","author":[{"family":"Schöller-Gyüre","given":"Monika"},{"family":"Kakuda","given":"Thomas N."},{"family":"Raoof","given":"Araz"},{"family":"De Smedt","given":"Goedele"},{"family":"Hoetelmans","given":"Richard M. W."}],"issued":{"date-parts":[["2009"]]}}}],"schema":"https://github.com/citation-style-language/schema/raw/master/csl-citation.json"} </w:instrText>
      </w:r>
      <w:r w:rsidRPr="009435FB">
        <w:rPr>
          <w:bCs/>
        </w:rPr>
        <w:fldChar w:fldCharType="separate"/>
      </w:r>
      <w:r w:rsidR="005E2B83">
        <w:rPr>
          <w:bCs/>
          <w:lang w:val="en-US"/>
        </w:rPr>
        <w:t>[</w:t>
      </w:r>
      <w:r w:rsidRPr="009435FB">
        <w:rPr>
          <w:bCs/>
        </w:rPr>
        <w:t>22</w:t>
      </w:r>
      <w:r w:rsidR="005E2B83">
        <w:rPr>
          <w:bCs/>
          <w:lang w:val="en-US"/>
        </w:rPr>
        <w:t>]</w:t>
      </w:r>
      <w:r w:rsidRPr="009435FB">
        <w:rPr>
          <w:bCs/>
        </w:rPr>
        <w:fldChar w:fldCharType="end"/>
      </w:r>
      <w:r w:rsidRPr="009435FB">
        <w:rPr>
          <w:bCs/>
        </w:rPr>
        <w:t>.</w:t>
      </w:r>
      <w:r w:rsidRPr="00F66F0D">
        <w:t xml:space="preserve"> </w:t>
      </w:r>
    </w:p>
    <w:p w14:paraId="19BE8C95" w14:textId="2BB16399" w:rsidR="00EE4001" w:rsidRDefault="00435A2B" w:rsidP="00167CBD">
      <w:r w:rsidRPr="00F87773">
        <w:rPr>
          <w:noProof/>
          <w:lang w:eastAsia="ru-RU"/>
        </w:rPr>
        <w:drawing>
          <wp:inline distT="0" distB="0" distL="0" distR="0" wp14:anchorId="4F46BF52" wp14:editId="3838789C">
            <wp:extent cx="5838825" cy="4552950"/>
            <wp:effectExtent l="19050" t="19050" r="2857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825" cy="4552950"/>
                    </a:xfrm>
                    <a:prstGeom prst="rect">
                      <a:avLst/>
                    </a:prstGeom>
                    <a:ln>
                      <a:solidFill>
                        <a:schemeClr val="tx1"/>
                      </a:solidFill>
                    </a:ln>
                  </pic:spPr>
                </pic:pic>
              </a:graphicData>
            </a:graphic>
          </wp:inline>
        </w:drawing>
      </w:r>
    </w:p>
    <w:p w14:paraId="612A0280" w14:textId="6B88905A" w:rsidR="00167CBD" w:rsidRPr="005E2B83" w:rsidRDefault="00306A4A" w:rsidP="008B0B82">
      <w:pPr>
        <w:pStyle w:val="afff7"/>
        <w:spacing w:before="0" w:after="0"/>
      </w:pPr>
      <w:r w:rsidRPr="009435FB">
        <w:rPr>
          <w:b/>
        </w:rPr>
        <w:t>Примечание:</w:t>
      </w:r>
      <w:r w:rsidRPr="000B18A1">
        <w:t xml:space="preserve"> </w:t>
      </w:r>
      <w:r w:rsidRPr="00A965F4">
        <w:rPr>
          <w:lang w:val="en-US"/>
        </w:rPr>
        <w:t>Oxidation</w:t>
      </w:r>
      <w:r>
        <w:t>,</w:t>
      </w:r>
      <w:r w:rsidRPr="000B18A1">
        <w:t xml:space="preserve"> </w:t>
      </w:r>
      <w:r w:rsidRPr="00A965F4">
        <w:rPr>
          <w:lang w:val="en-US"/>
        </w:rPr>
        <w:t>urine</w:t>
      </w:r>
      <w:r w:rsidRPr="000B18A1">
        <w:t xml:space="preserve">, </w:t>
      </w:r>
      <w:r w:rsidRPr="00A965F4">
        <w:rPr>
          <w:lang w:val="en-US"/>
        </w:rPr>
        <w:t>faeces</w:t>
      </w:r>
      <w:r w:rsidRPr="000B18A1">
        <w:t xml:space="preserve"> </w:t>
      </w:r>
      <w:r w:rsidRPr="00A965F4">
        <w:rPr>
          <w:lang w:val="en-US"/>
        </w:rPr>
        <w:t>and</w:t>
      </w:r>
      <w:r w:rsidRPr="000B18A1">
        <w:t xml:space="preserve"> </w:t>
      </w:r>
      <w:r w:rsidRPr="00A965F4">
        <w:rPr>
          <w:lang w:val="en-US"/>
        </w:rPr>
        <w:t>plasma</w:t>
      </w:r>
      <w:r w:rsidRPr="000B18A1">
        <w:t xml:space="preserve"> – </w:t>
      </w:r>
      <w:r>
        <w:t>окисление</w:t>
      </w:r>
      <w:r w:rsidRPr="000B18A1">
        <w:t>;</w:t>
      </w:r>
      <w:r>
        <w:t xml:space="preserve"> моча, кал и плазма; </w:t>
      </w:r>
      <w:r w:rsidRPr="000B18A1">
        <w:t xml:space="preserve">Metabolite </w:t>
      </w:r>
      <w:r>
        <w:t xml:space="preserve">– метаболит; </w:t>
      </w:r>
      <w:r w:rsidRPr="00771DA6">
        <w:t>Glucuronidation</w:t>
      </w:r>
      <w:r>
        <w:t>,</w:t>
      </w:r>
      <w:r w:rsidRPr="00771DA6">
        <w:t xml:space="preserve"> urine and plasma</w:t>
      </w:r>
      <w:r>
        <w:t xml:space="preserve"> – глюкорунидация, моча и плазма; </w:t>
      </w:r>
      <w:r w:rsidRPr="004F49D4">
        <w:t>Glucuronidation, urine</w:t>
      </w:r>
      <w:r>
        <w:t xml:space="preserve"> </w:t>
      </w:r>
      <w:r w:rsidRPr="004F49D4">
        <w:t>– глюкорунидация, моча</w:t>
      </w:r>
      <w:r>
        <w:t xml:space="preserve">; </w:t>
      </w:r>
      <w:r w:rsidRPr="004F49D4">
        <w:t>Glucuronidation</w:t>
      </w:r>
      <w:r>
        <w:t xml:space="preserve"> –</w:t>
      </w:r>
      <w:r w:rsidRPr="00A32313">
        <w:t xml:space="preserve"> глюкорунидация</w:t>
      </w:r>
      <w:r>
        <w:t xml:space="preserve">; </w:t>
      </w:r>
      <w:r w:rsidRPr="00A32313">
        <w:t>Etravirino (TMC125)</w:t>
      </w:r>
      <w:r>
        <w:t xml:space="preserve"> – этравирин (</w:t>
      </w:r>
      <w:r w:rsidRPr="00A32313">
        <w:t>TMC125</w:t>
      </w:r>
      <w:r>
        <w:t>)</w:t>
      </w:r>
    </w:p>
    <w:p w14:paraId="1DBC2787" w14:textId="77777777" w:rsidR="005E2B83" w:rsidRPr="005E2B83" w:rsidRDefault="005E2B83" w:rsidP="008B0B82">
      <w:pPr>
        <w:pStyle w:val="afff7"/>
        <w:spacing w:before="0"/>
      </w:pPr>
    </w:p>
    <w:p w14:paraId="1095FD82" w14:textId="38C408FD" w:rsidR="00B47726" w:rsidRPr="00A76175" w:rsidRDefault="00B47726" w:rsidP="00A76175">
      <w:pPr>
        <w:rPr>
          <w:bCs/>
        </w:rPr>
      </w:pPr>
      <w:bookmarkStart w:id="144" w:name="_Toc52190580"/>
      <w:r w:rsidRPr="00A76175">
        <w:rPr>
          <w:b/>
        </w:rPr>
        <w:t>Выведение</w:t>
      </w:r>
      <w:bookmarkEnd w:id="144"/>
    </w:p>
    <w:p w14:paraId="7B752B1E" w14:textId="77777777" w:rsidR="00075D7F" w:rsidRDefault="00075D7F" w:rsidP="008B0B82">
      <w:pPr>
        <w:pStyle w:val="OT"/>
        <w:spacing w:after="0"/>
        <w:ind w:firstLine="709"/>
        <w:rPr>
          <w:sz w:val="24"/>
          <w:szCs w:val="24"/>
        </w:rPr>
      </w:pPr>
      <w:bookmarkStart w:id="145" w:name="_Toc83655951"/>
    </w:p>
    <w:p w14:paraId="22B2EC70" w14:textId="1792F2B1" w:rsidR="00015FB5" w:rsidRDefault="00714E2E" w:rsidP="008B0B82">
      <w:pPr>
        <w:pStyle w:val="OT"/>
        <w:spacing w:after="0"/>
        <w:ind w:firstLine="709"/>
        <w:rPr>
          <w:sz w:val="24"/>
          <w:szCs w:val="24"/>
        </w:rPr>
      </w:pPr>
      <w:r w:rsidRPr="00D51A55">
        <w:rPr>
          <w:sz w:val="24"/>
          <w:szCs w:val="24"/>
        </w:rPr>
        <w:t>В исследованиях массового баланса 94,9% от принятой перорально дозы (800 мг однократно) 14C-</w:t>
      </w:r>
      <w:r w:rsidR="00483631" w:rsidRPr="00D51A55">
        <w:rPr>
          <w:sz w:val="24"/>
          <w:szCs w:val="24"/>
        </w:rPr>
        <w:t>этр</w:t>
      </w:r>
      <w:r w:rsidR="00015FB5" w:rsidRPr="00D51A55">
        <w:rPr>
          <w:sz w:val="24"/>
          <w:szCs w:val="24"/>
        </w:rPr>
        <w:t>а</w:t>
      </w:r>
      <w:r w:rsidR="00483631" w:rsidRPr="00D51A55">
        <w:rPr>
          <w:sz w:val="24"/>
          <w:szCs w:val="24"/>
        </w:rPr>
        <w:t>верин</w:t>
      </w:r>
      <w:r w:rsidRPr="00D51A55">
        <w:rPr>
          <w:sz w:val="24"/>
          <w:szCs w:val="24"/>
        </w:rPr>
        <w:t xml:space="preserve"> было обнаружено через 168 ч, из них 93,7% – в фекалиях и 1,2% – в моче. На долю неизменного </w:t>
      </w:r>
      <w:r w:rsidR="00015FB5" w:rsidRPr="00D51A55">
        <w:rPr>
          <w:sz w:val="24"/>
          <w:szCs w:val="24"/>
          <w:lang w:eastAsia="en-US"/>
        </w:rPr>
        <w:t xml:space="preserve">этравирина </w:t>
      </w:r>
      <w:r w:rsidRPr="00D51A55">
        <w:rPr>
          <w:sz w:val="24"/>
          <w:szCs w:val="24"/>
        </w:rPr>
        <w:t xml:space="preserve">в фекалиях приходилось 81,2 – 86,4 % от принятой дозы </w:t>
      </w:r>
      <w:r w:rsidR="005503D3" w:rsidRPr="00D51A55">
        <w:rPr>
          <w:sz w:val="24"/>
          <w:szCs w:val="24"/>
        </w:rPr>
        <w:fldChar w:fldCharType="begin"/>
      </w:r>
      <w:r w:rsidR="005503D3" w:rsidRPr="00D51A55">
        <w:rPr>
          <w:sz w:val="24"/>
          <w:szCs w:val="24"/>
        </w:rPr>
        <w:instrText xml:space="preserve"> ADDIN ZOTERO_ITEM CSL_CITATION {"citationID":"AbNKvEBa","properties":{"formattedCitation":"(2,20)","plainCitation":"(2,20)","noteIndex":0},"citationItems":[{"id":2597,"uris":["http://zotero.org/users/5483459/items/2TM4VUMV"],"itemData":{"id":2597,"type":"article-journal","abstract":"Etravirine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V"}],"issued":{"date-parts":[["2020",2,1]]}},"label":"page"},{"id":2618,"uris":["http://zotero.org/users/5483459/items/YIUK3STA"],"itemData":{"id":2618,"type":"article-journal","title":"Scholler-Gyure M, Raoof A, Mannens G, others. Mass-balance of 14C-labelled TMC125 in healthy volunteers [abstract no. 78]. In: 8th International Workshop of Clinical Pharmacology of HIV Therapy. 2007. p. 16–8."},"label":"page"}],"schema":"https://github.com/citation-style-language/schema/raw/master/csl-citation.json"} </w:instrText>
      </w:r>
      <w:r w:rsidR="005503D3" w:rsidRPr="00D51A55">
        <w:rPr>
          <w:sz w:val="24"/>
          <w:szCs w:val="24"/>
        </w:rPr>
        <w:fldChar w:fldCharType="separate"/>
      </w:r>
      <w:r w:rsidR="005E2B83" w:rsidRPr="00B66676">
        <w:rPr>
          <w:sz w:val="24"/>
          <w:szCs w:val="24"/>
        </w:rPr>
        <w:t>[</w:t>
      </w:r>
      <w:r w:rsidR="005503D3" w:rsidRPr="00D51A55">
        <w:rPr>
          <w:sz w:val="24"/>
          <w:szCs w:val="24"/>
        </w:rPr>
        <w:t>2,</w:t>
      </w:r>
      <w:r w:rsidR="00356AB0" w:rsidRPr="008B0B82">
        <w:rPr>
          <w:sz w:val="24"/>
          <w:szCs w:val="24"/>
        </w:rPr>
        <w:t xml:space="preserve"> </w:t>
      </w:r>
      <w:r w:rsidR="005503D3" w:rsidRPr="00D51A55">
        <w:rPr>
          <w:sz w:val="24"/>
          <w:szCs w:val="24"/>
        </w:rPr>
        <w:t>20</w:t>
      </w:r>
      <w:r w:rsidR="005E2B83" w:rsidRPr="00B66676">
        <w:rPr>
          <w:sz w:val="24"/>
          <w:szCs w:val="24"/>
        </w:rPr>
        <w:t>]</w:t>
      </w:r>
      <w:r w:rsidR="005503D3" w:rsidRPr="00D51A55">
        <w:rPr>
          <w:sz w:val="24"/>
          <w:szCs w:val="24"/>
        </w:rPr>
        <w:fldChar w:fldCharType="end"/>
      </w:r>
      <w:r w:rsidR="005503D3" w:rsidRPr="00D51A55">
        <w:rPr>
          <w:sz w:val="24"/>
          <w:szCs w:val="24"/>
        </w:rPr>
        <w:t xml:space="preserve">. </w:t>
      </w:r>
      <w:r w:rsidRPr="00D51A55">
        <w:rPr>
          <w:sz w:val="24"/>
          <w:szCs w:val="24"/>
        </w:rPr>
        <w:t xml:space="preserve">С мочой </w:t>
      </w:r>
      <w:r w:rsidR="00015FB5" w:rsidRPr="00D51A55">
        <w:rPr>
          <w:sz w:val="24"/>
          <w:szCs w:val="24"/>
          <w:lang w:eastAsia="en-US"/>
        </w:rPr>
        <w:t xml:space="preserve">этравирин </w:t>
      </w:r>
      <w:r w:rsidRPr="00D51A55">
        <w:rPr>
          <w:sz w:val="24"/>
          <w:szCs w:val="24"/>
        </w:rPr>
        <w:t xml:space="preserve">в неизменном виде не выводился. Терминальный период полувыведения </w:t>
      </w:r>
      <w:r w:rsidR="00015FB5" w:rsidRPr="00D51A55">
        <w:rPr>
          <w:sz w:val="24"/>
          <w:szCs w:val="24"/>
          <w:lang w:eastAsia="en-US"/>
        </w:rPr>
        <w:t xml:space="preserve">этравирина </w:t>
      </w:r>
      <w:r w:rsidRPr="00D51A55">
        <w:rPr>
          <w:sz w:val="24"/>
          <w:szCs w:val="24"/>
        </w:rPr>
        <w:t xml:space="preserve">составлял 41(±20) ч (среднее±SD) </w:t>
      </w:r>
      <w:r w:rsidR="00483631" w:rsidRPr="00D51A55">
        <w:rPr>
          <w:sz w:val="24"/>
          <w:szCs w:val="24"/>
        </w:rPr>
        <w:fldChar w:fldCharType="begin"/>
      </w:r>
      <w:r w:rsidR="00483631" w:rsidRPr="00D51A55">
        <w:rPr>
          <w:sz w:val="24"/>
          <w:szCs w:val="24"/>
        </w:rPr>
        <w:instrText xml:space="preserve"> ADDIN ZOTERO_ITEM CSL_CITATION {"citationID":"Q7oEZKxZ","properties":{"formattedCitation":"(20,23)","plainCitation":"(20,23)","noteIndex":0},"citationItems":[{"id":2618,"uris":["http://zotero.org/users/5483459/items/YIUK3STA"],"itemData":{"id":2618,"type":"article-journal","title":"Scholler-Gyure M, Raoof A, Mannens G, others. Mass-balance of 14C-labelled TMC125 in healthy volunteers [abstract no. 78]. In: 8th International Workshop of Clinical Pharmacology of HIV Therapy. 2007. p. 16–8."},"label":"page"},{"id":2588,"uris":["http://zotero.org/users/5483459/items/XZWGXXTF"],"itemData":{"id":2588,"type":"document","title":"European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rsidR="00483631" w:rsidRPr="00D51A55">
        <w:rPr>
          <w:sz w:val="24"/>
          <w:szCs w:val="24"/>
        </w:rPr>
        <w:fldChar w:fldCharType="separate"/>
      </w:r>
      <w:r w:rsidR="005E2B83" w:rsidRPr="005E2B83">
        <w:rPr>
          <w:sz w:val="24"/>
          <w:szCs w:val="24"/>
        </w:rPr>
        <w:t>[</w:t>
      </w:r>
      <w:r w:rsidR="00483631" w:rsidRPr="00D51A55">
        <w:rPr>
          <w:sz w:val="24"/>
          <w:szCs w:val="24"/>
        </w:rPr>
        <w:t>20,</w:t>
      </w:r>
      <w:r w:rsidR="00356AB0" w:rsidRPr="008B0B82">
        <w:rPr>
          <w:sz w:val="24"/>
          <w:szCs w:val="24"/>
        </w:rPr>
        <w:t xml:space="preserve"> </w:t>
      </w:r>
      <w:r w:rsidR="00483631" w:rsidRPr="00D51A55">
        <w:rPr>
          <w:sz w:val="24"/>
          <w:szCs w:val="24"/>
        </w:rPr>
        <w:t>23</w:t>
      </w:r>
      <w:r w:rsidR="005E2B83" w:rsidRPr="00B66676">
        <w:rPr>
          <w:sz w:val="24"/>
          <w:szCs w:val="24"/>
        </w:rPr>
        <w:t>]</w:t>
      </w:r>
      <w:r w:rsidR="00483631" w:rsidRPr="00D51A55">
        <w:rPr>
          <w:sz w:val="24"/>
          <w:szCs w:val="24"/>
        </w:rPr>
        <w:fldChar w:fldCharType="end"/>
      </w:r>
      <w:r w:rsidR="00483631" w:rsidRPr="00D51A55">
        <w:rPr>
          <w:sz w:val="24"/>
          <w:szCs w:val="24"/>
        </w:rPr>
        <w:t xml:space="preserve">. </w:t>
      </w:r>
      <w:r w:rsidR="00015FB5" w:rsidRPr="00D51A55">
        <w:rPr>
          <w:sz w:val="24"/>
          <w:szCs w:val="24"/>
          <w:lang w:eastAsia="en-US"/>
        </w:rPr>
        <w:t xml:space="preserve">Этравирин </w:t>
      </w:r>
      <w:r w:rsidRPr="00D51A55">
        <w:rPr>
          <w:sz w:val="24"/>
          <w:szCs w:val="24"/>
        </w:rPr>
        <w:t xml:space="preserve">в минимальных количествах выводится почками </w:t>
      </w:r>
      <w:r w:rsidR="00483631" w:rsidRPr="00D51A55">
        <w:rPr>
          <w:sz w:val="24"/>
          <w:szCs w:val="24"/>
        </w:rPr>
        <w:fldChar w:fldCharType="begin"/>
      </w:r>
      <w:r w:rsidR="005433B9" w:rsidRPr="00D51A55">
        <w:rPr>
          <w:sz w:val="24"/>
          <w:szCs w:val="24"/>
        </w:rPr>
        <w:instrText xml:space="preserve"> ADDIN ZOTERO_ITEM CSL_CITATION {"citationID":"o9JVWlG7","properties":{"formattedCitation":"(20,23)","plainCitation":"(20,23)","noteIndex":0},"citationItems":[{"id":2618,"uris":["http://zotero.org/users/5483459/items/YIUK3STA"],"itemData":{"id":2618,"type":"article-journal","title":"Scholler-Gyure M, Raoof A, Mannens G, others. Mass-balance of 14C-labelled TMC125 in healthy volunteers [abstract no. 78]. In: 8th International Workshop of Clinical Pharmacology of HIV Therapy. 2007. p. 16–8."},"label":"page"},{"id":2588,"uris":["http://zotero.org/users/5483459/items/XZWGXXTF"],"itemData":{"id":2588,"type":"document","title":"European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rsidR="00483631" w:rsidRPr="00D51A55">
        <w:rPr>
          <w:sz w:val="24"/>
          <w:szCs w:val="24"/>
        </w:rPr>
        <w:fldChar w:fldCharType="separate"/>
      </w:r>
      <w:r w:rsidR="005E2B83" w:rsidRPr="005E2B83">
        <w:rPr>
          <w:sz w:val="24"/>
          <w:szCs w:val="24"/>
        </w:rPr>
        <w:t>[</w:t>
      </w:r>
      <w:r w:rsidR="00483631" w:rsidRPr="00D51A55">
        <w:rPr>
          <w:sz w:val="24"/>
          <w:szCs w:val="24"/>
        </w:rPr>
        <w:t>20,</w:t>
      </w:r>
      <w:r w:rsidR="00356AB0" w:rsidRPr="008B0B82">
        <w:rPr>
          <w:sz w:val="24"/>
          <w:szCs w:val="24"/>
        </w:rPr>
        <w:t xml:space="preserve"> </w:t>
      </w:r>
      <w:r w:rsidR="00483631" w:rsidRPr="00D51A55">
        <w:rPr>
          <w:sz w:val="24"/>
          <w:szCs w:val="24"/>
        </w:rPr>
        <w:t>23</w:t>
      </w:r>
      <w:r w:rsidR="005E2B83" w:rsidRPr="005E2B83">
        <w:rPr>
          <w:sz w:val="24"/>
          <w:szCs w:val="24"/>
        </w:rPr>
        <w:t>]</w:t>
      </w:r>
      <w:r w:rsidR="00483631" w:rsidRPr="00D51A55">
        <w:rPr>
          <w:sz w:val="24"/>
          <w:szCs w:val="24"/>
        </w:rPr>
        <w:fldChar w:fldCharType="end"/>
      </w:r>
      <w:r w:rsidR="00483631">
        <w:rPr>
          <w:sz w:val="24"/>
          <w:szCs w:val="24"/>
        </w:rPr>
        <w:t>.</w:t>
      </w:r>
    </w:p>
    <w:p w14:paraId="37F128DA" w14:textId="367204E4" w:rsidR="00015FB5" w:rsidRPr="00F7545F" w:rsidRDefault="00015FB5" w:rsidP="00EE1D8E">
      <w:pPr>
        <w:pStyle w:val="affb"/>
        <w:spacing w:before="0" w:after="0" w:line="240" w:lineRule="auto"/>
        <w:ind w:firstLine="709"/>
        <w:rPr>
          <w:lang w:eastAsia="en-US"/>
        </w:rPr>
      </w:pPr>
      <w:r>
        <w:rPr>
          <w:lang w:eastAsia="en-US"/>
        </w:rPr>
        <w:t xml:space="preserve">Фармакокинетику </w:t>
      </w:r>
      <w:r w:rsidR="002B1FBA">
        <w:rPr>
          <w:lang w:eastAsia="en-US"/>
        </w:rPr>
        <w:t>ориг</w:t>
      </w:r>
      <w:r w:rsidR="00B231E3">
        <w:rPr>
          <w:lang w:eastAsia="en-US"/>
        </w:rPr>
        <w:t xml:space="preserve">инального </w:t>
      </w:r>
      <w:r>
        <w:rPr>
          <w:lang w:eastAsia="en-US"/>
        </w:rPr>
        <w:t>препарата этравирина</w:t>
      </w:r>
      <w:r w:rsidRPr="00607C57">
        <w:rPr>
          <w:lang w:eastAsia="en-US"/>
        </w:rPr>
        <w:t xml:space="preserve"> </w:t>
      </w:r>
      <w:r>
        <w:rPr>
          <w:lang w:eastAsia="en-US"/>
        </w:rPr>
        <w:t>(Интеленс</w:t>
      </w:r>
      <w:r w:rsidRPr="00F0752C">
        <w:rPr>
          <w:vertAlign w:val="superscript"/>
          <w:lang w:eastAsia="en-US"/>
        </w:rPr>
        <w:t>®</w:t>
      </w:r>
      <w:r>
        <w:rPr>
          <w:lang w:eastAsia="en-US"/>
        </w:rPr>
        <w:t>) оценивали в двух клинических исследованиях I фазы, в рамках которых добровольцы принимали препарат в суточной дозе 200–400 мг один и два раза в сутки</w:t>
      </w:r>
      <w:r w:rsidR="005433B9" w:rsidRPr="005433B9">
        <w:rPr>
          <w:lang w:eastAsia="en-US"/>
        </w:rPr>
        <w:t xml:space="preserve"> </w:t>
      </w:r>
      <w:r w:rsidR="005433B9">
        <w:rPr>
          <w:lang w:eastAsia="en-US"/>
        </w:rPr>
        <w:fldChar w:fldCharType="begin"/>
      </w:r>
      <w:r w:rsidR="005433B9">
        <w:rPr>
          <w:lang w:eastAsia="en-US"/>
        </w:rPr>
        <w:instrText xml:space="preserve"> ADDIN ZOTERO_ITEM CSL_CITATION {"citationID":"msI7v57E","properties":{"formattedCitation":"(24)","plainCitation":"(24)","noteIndex":0},"citationItems":[{"id":2622,"uris":["http://zotero.org/users/5483459/items/V9J9K9A5"],"itemData":{"id":2622,"type":"article-journal","title":"Schöller-Gyüre M, Kakuda T, De Smedt G, Woodfall B, Lachaert R, Beets G, et al. Pharmacokinetics of TMC125 in once-and twice-daily regimens in HIV-1-negative volunteers. In: Tthe 47th Interscience Conference on Antimicrobial Agents and Chemotherapy Chicago, September [Internet]. 2007. p. A-1427."}}],"schema":"https://github.com/citation-style-language/schema/raw/master/csl-citation.json"} </w:instrText>
      </w:r>
      <w:r w:rsidR="005433B9">
        <w:rPr>
          <w:lang w:eastAsia="en-US"/>
        </w:rPr>
        <w:fldChar w:fldCharType="separate"/>
      </w:r>
      <w:r w:rsidR="005E2B83" w:rsidRPr="005E2B83">
        <w:t>[</w:t>
      </w:r>
      <w:r w:rsidR="005433B9" w:rsidRPr="005433B9">
        <w:t>24</w:t>
      </w:r>
      <w:r w:rsidR="005E2B83" w:rsidRPr="005E2B83">
        <w:t>]</w:t>
      </w:r>
      <w:r w:rsidR="005433B9">
        <w:rPr>
          <w:lang w:eastAsia="en-US"/>
        </w:rPr>
        <w:fldChar w:fldCharType="end"/>
      </w:r>
      <w:r>
        <w:rPr>
          <w:lang w:eastAsia="en-US"/>
        </w:rPr>
        <w:t xml:space="preserve">. В целом, прием равных суточных доз приводил к схожим экспозициям </w:t>
      </w:r>
      <w:r w:rsidR="00F7545F">
        <w:rPr>
          <w:lang w:eastAsia="en-US"/>
        </w:rPr>
        <w:t>этравирина</w:t>
      </w:r>
      <w:r>
        <w:rPr>
          <w:lang w:eastAsia="en-US"/>
        </w:rPr>
        <w:t xml:space="preserve">, которые имели дозозависимый характер </w:t>
      </w:r>
      <w:r>
        <w:rPr>
          <w:lang w:eastAsia="en-US"/>
        </w:rPr>
        <w:fldChar w:fldCharType="begin"/>
      </w:r>
      <w:r w:rsidR="00824DA4">
        <w:rPr>
          <w:lang w:eastAsia="en-US"/>
        </w:rPr>
        <w:instrText xml:space="preserve"> ADDIN ZOTERO_ITEM CSL_CITATION {"citationID":"8RLE4EWv","properties":{"formattedCitation":"(25)","plainCitation":"(25)","noteIndex":0},"citationItems":[{"id":"iY4E1EKJ/2pJZ6Off","uris":["http://zotero.org/users/1055192/items/XL39QT6N"],"itemData":{"id":31672,"type":"paper-conference","container-title":"Tthe 47th Interscience Conference on Antimicrobial Agents and Chemotherapy. Chicago, September","page":"A-1427","title":"Pharmacokinetics of TMC125 in once-and twice-daily regimens in HIV-1-negative volunteers","URL":"http://www.medadvocates.org/resources/conferences/icaac/47/etravirine/jd122018%20scholler%20poster%2006%2009%2007.pdf","volume":"17","author":[{"family":"Schöller-Gyüre","given":"M"},{"family":"Kakuda","given":"TN"},{"family":"De Smedt","given":"G"},{"family":"Woodfall","given":"B"},{"family":"Lachaert","given":"R"},{"family":"Beets","given":"G"},{"family":"Peeters","given":"M"},{"family":"Hoetelmans","given":"RM"}],"issued":{"date-parts":[["2007"]]}}}],"schema":"https://github.com/citation-style-language/schema/raw/master/csl-citation.json"} </w:instrText>
      </w:r>
      <w:r>
        <w:rPr>
          <w:lang w:eastAsia="en-US"/>
        </w:rPr>
        <w:fldChar w:fldCharType="separate"/>
      </w:r>
      <w:r w:rsidR="005E2B83" w:rsidRPr="005E2B83">
        <w:t>[</w:t>
      </w:r>
      <w:r w:rsidR="005433B9" w:rsidRPr="005433B9">
        <w:t>25</w:t>
      </w:r>
      <w:r w:rsidR="005E2B83" w:rsidRPr="005E2B83">
        <w:t>]</w:t>
      </w:r>
      <w:r>
        <w:rPr>
          <w:lang w:eastAsia="en-US"/>
        </w:rPr>
        <w:fldChar w:fldCharType="end"/>
      </w:r>
      <w:r>
        <w:rPr>
          <w:lang w:eastAsia="en-US"/>
        </w:rPr>
        <w:t>. Минимальные концентрации в плазме (C</w:t>
      </w:r>
      <w:r w:rsidRPr="00843CAF">
        <w:rPr>
          <w:vertAlign w:val="subscript"/>
          <w:lang w:eastAsia="en-US"/>
        </w:rPr>
        <w:t>min</w:t>
      </w:r>
      <w:r>
        <w:rPr>
          <w:lang w:eastAsia="en-US"/>
        </w:rPr>
        <w:t>) были на 25–26% ниже, в то время как C</w:t>
      </w:r>
      <w:r w:rsidRPr="00843CAF">
        <w:rPr>
          <w:vertAlign w:val="subscript"/>
          <w:lang w:eastAsia="en-US"/>
        </w:rPr>
        <w:t>max</w:t>
      </w:r>
      <w:r>
        <w:rPr>
          <w:lang w:eastAsia="en-US"/>
        </w:rPr>
        <w:t xml:space="preserve"> были на 42–44% выше при однократном приеме </w:t>
      </w:r>
      <w:r w:rsidR="00F7545F">
        <w:rPr>
          <w:lang w:eastAsia="en-US"/>
        </w:rPr>
        <w:t>этравирина</w:t>
      </w:r>
      <w:r>
        <w:rPr>
          <w:lang w:eastAsia="en-US"/>
        </w:rPr>
        <w:t>,</w:t>
      </w:r>
      <w:r w:rsidRPr="00BB3F8E">
        <w:rPr>
          <w:lang w:eastAsia="en-US"/>
        </w:rPr>
        <w:t xml:space="preserve"> </w:t>
      </w:r>
      <w:r>
        <w:rPr>
          <w:lang w:eastAsia="en-US"/>
        </w:rPr>
        <w:t xml:space="preserve">по сравнению с приемом два раза в день </w:t>
      </w:r>
      <w:r w:rsidR="005E2B83">
        <w:rPr>
          <w:lang w:eastAsia="en-US"/>
        </w:rPr>
        <w:fldChar w:fldCharType="begin"/>
      </w:r>
      <w:r w:rsidR="005E2B83">
        <w:rPr>
          <w:lang w:eastAsia="en-US"/>
        </w:rPr>
        <w:instrText xml:space="preserve"> ADDIN ZOTERO_ITEM CSL_CITATION {"citationID":"8RLE4EWv","properties":{"formattedCitation":"(25)","plainCitation":"(25)","noteIndex":0},"citationItems":[{"id":"iY4E1EKJ/2pJZ6Off","uris":["http://zotero.org/users/1055192/items/XL39QT6N"],"itemData":{"id":31672,"type":"paper-conference","container-title":"Tthe 47th Interscience Conference on Antimicrobial Agents and Chemotherapy. Chicago, September","page":"A-1427","title":"Pharmacokinetics of TMC125 in once-and twice-daily regimens in HIV-1-negative volunteers","URL":"http://www.medadvocates.org/resources/conferences/icaac/47/etravirine/jd122018%20scholler%20poster%2006%2009%2007.pdf","volume":"17","author":[{"family":"Schöller-Gyüre","given":"M"},{"family":"Kakuda","given":"TN"},{"family":"De Smedt","given":"G"},{"family":"Woodfall","given":"B"},{"family":"Lachaert","given":"R"},{"family":"Beets","given":"G"},{"family":"Peeters","given":"M"},{"family":"Hoetelmans","given":"RM"}],"issued":{"date-parts":[["2007"]]}}}],"schema":"https://github.com/citation-style-language/schema/raw/master/csl-citation.json"} </w:instrText>
      </w:r>
      <w:r w:rsidR="005E2B83">
        <w:rPr>
          <w:lang w:eastAsia="en-US"/>
        </w:rPr>
        <w:fldChar w:fldCharType="separate"/>
      </w:r>
      <w:r w:rsidR="005E2B83" w:rsidRPr="005E2B83">
        <w:t>[</w:t>
      </w:r>
      <w:r w:rsidR="005E2B83" w:rsidRPr="005433B9">
        <w:t>25</w:t>
      </w:r>
      <w:r w:rsidR="005E2B83" w:rsidRPr="005E2B83">
        <w:t>]</w:t>
      </w:r>
      <w:r w:rsidR="005E2B83">
        <w:rPr>
          <w:lang w:eastAsia="en-US"/>
        </w:rPr>
        <w:fldChar w:fldCharType="end"/>
      </w:r>
      <w:r w:rsidR="005E2B83">
        <w:rPr>
          <w:lang w:eastAsia="en-US"/>
        </w:rPr>
        <w:t>.</w:t>
      </w:r>
      <w:r>
        <w:rPr>
          <w:lang w:eastAsia="en-US"/>
        </w:rPr>
        <w:t xml:space="preserve"> Экспозиция в стационарной фазе после 7 дней перорального приема продемонстрировала способность </w:t>
      </w:r>
      <w:r w:rsidR="00F7545F">
        <w:rPr>
          <w:lang w:eastAsia="en-US"/>
        </w:rPr>
        <w:t>этравирина</w:t>
      </w:r>
      <w:r w:rsidR="00F7545F" w:rsidRPr="00607C57">
        <w:rPr>
          <w:lang w:eastAsia="en-US"/>
        </w:rPr>
        <w:t xml:space="preserve"> </w:t>
      </w:r>
      <w:r>
        <w:rPr>
          <w:lang w:eastAsia="en-US"/>
        </w:rPr>
        <w:t>кумулировать: коэффициент кумуляции составлял 2,5 – 4 раза для AUC и C</w:t>
      </w:r>
      <w:r w:rsidRPr="000D6A0B">
        <w:rPr>
          <w:vertAlign w:val="subscript"/>
          <w:lang w:eastAsia="en-US"/>
        </w:rPr>
        <w:t>max</w:t>
      </w:r>
      <w:r>
        <w:rPr>
          <w:lang w:eastAsia="en-US"/>
        </w:rPr>
        <w:t xml:space="preserve"> </w:t>
      </w:r>
      <w:r w:rsidR="005E2B83">
        <w:rPr>
          <w:lang w:eastAsia="en-US"/>
        </w:rPr>
        <w:fldChar w:fldCharType="begin"/>
      </w:r>
      <w:r w:rsidR="005E2B83">
        <w:rPr>
          <w:lang w:eastAsia="en-US"/>
        </w:rPr>
        <w:instrText xml:space="preserve"> ADDIN ZOTERO_ITEM CSL_CITATION {"citationID":"8RLE4EWv","properties":{"formattedCitation":"(25)","plainCitation":"(25)","noteIndex":0},"citationItems":[{"id":"iY4E1EKJ/2pJZ6Off","uris":["http://zotero.org/users/1055192/items/XL39QT6N"],"itemData":{"id":31672,"type":"paper-conference","container-title":"Tthe 47th Interscience Conference on Antimicrobial Agents and Chemotherapy. Chicago, September","page":"A-1427","title":"Pharmacokinetics of TMC125 in once-and twice-daily regimens in HIV-1-negative volunteers","URL":"http://www.medadvocates.org/resources/conferences/icaac/47/etravirine/jd122018%20scholler%20poster%2006%2009%2007.pdf","volume":"17","author":[{"family":"Schöller-Gyüre","given":"M"},{"family":"Kakuda","given":"TN"},{"family":"De Smedt","given":"G"},{"family":"Woodfall","given":"B"},{"family":"Lachaert","given":"R"},{"family":"Beets","given":"G"},{"family":"Peeters","given":"M"},{"family":"Hoetelmans","given":"RM"}],"issued":{"date-parts":[["2007"]]}}}],"schema":"https://github.com/citation-style-language/schema/raw/master/csl-citation.json"} </w:instrText>
      </w:r>
      <w:r w:rsidR="005E2B83">
        <w:rPr>
          <w:lang w:eastAsia="en-US"/>
        </w:rPr>
        <w:fldChar w:fldCharType="separate"/>
      </w:r>
      <w:r w:rsidR="005E2B83" w:rsidRPr="005E2B83">
        <w:t>[</w:t>
      </w:r>
      <w:r w:rsidR="005E2B83" w:rsidRPr="005433B9">
        <w:t>25</w:t>
      </w:r>
      <w:r w:rsidR="005E2B83" w:rsidRPr="005E2B83">
        <w:t>]</w:t>
      </w:r>
      <w:r w:rsidR="005E2B83">
        <w:rPr>
          <w:lang w:eastAsia="en-US"/>
        </w:rPr>
        <w:fldChar w:fldCharType="end"/>
      </w:r>
      <w:r w:rsidR="005E2B83">
        <w:rPr>
          <w:lang w:eastAsia="en-US"/>
        </w:rPr>
        <w:t>.</w:t>
      </w:r>
    </w:p>
    <w:p w14:paraId="09C84B55" w14:textId="77777777" w:rsidR="00356AB0" w:rsidRPr="008B0B82" w:rsidRDefault="00356AB0" w:rsidP="008B0B82">
      <w:pPr>
        <w:pStyle w:val="affb"/>
        <w:spacing w:before="0" w:after="0" w:line="240" w:lineRule="auto"/>
        <w:rPr>
          <w:rStyle w:val="ac"/>
        </w:rPr>
      </w:pPr>
    </w:p>
    <w:p w14:paraId="2C2DF7DB" w14:textId="0D261A36" w:rsidR="00F7545F" w:rsidRPr="00032040" w:rsidRDefault="00F7545F" w:rsidP="008B0B82">
      <w:pPr>
        <w:pStyle w:val="affb"/>
        <w:spacing w:before="0" w:after="0" w:line="240" w:lineRule="auto"/>
        <w:rPr>
          <w:rStyle w:val="ac"/>
        </w:rPr>
      </w:pPr>
      <w:r w:rsidRPr="00032040">
        <w:rPr>
          <w:rStyle w:val="ac"/>
        </w:rPr>
        <w:t>Взрослые ВИЧ-инфицированные пациенты</w:t>
      </w:r>
    </w:p>
    <w:p w14:paraId="1CB2BB41" w14:textId="77777777" w:rsidR="00356AB0" w:rsidRDefault="00356AB0" w:rsidP="00EE1D8E">
      <w:pPr>
        <w:pStyle w:val="affb"/>
        <w:spacing w:before="0" w:after="0" w:line="240" w:lineRule="auto"/>
        <w:ind w:firstLine="709"/>
      </w:pPr>
    </w:p>
    <w:p w14:paraId="7A8A5BC1" w14:textId="2CC8E11C" w:rsidR="00F7545F" w:rsidRDefault="00F7545F" w:rsidP="00421CA0">
      <w:pPr>
        <w:pStyle w:val="affb"/>
        <w:spacing w:before="0" w:after="0" w:line="240" w:lineRule="auto"/>
        <w:ind w:firstLine="709"/>
        <w:rPr>
          <w:lang w:eastAsia="en-US"/>
        </w:rPr>
      </w:pPr>
      <w:r>
        <w:t xml:space="preserve">Расчётные параметры популяционной фармакокинетики </w:t>
      </w:r>
      <w:r>
        <w:rPr>
          <w:lang w:eastAsia="en-US"/>
        </w:rPr>
        <w:t>этравирина</w:t>
      </w:r>
      <w:r w:rsidRPr="00607C57">
        <w:rPr>
          <w:lang w:eastAsia="en-US"/>
        </w:rPr>
        <w:t xml:space="preserve"> </w:t>
      </w:r>
      <w:r>
        <w:t xml:space="preserve">у взрослых с инфекцией ВИЧ-1, принимавших препарат в дозе 200 мг 2 раза в сутки, приведены в таблице </w:t>
      </w:r>
      <w:r w:rsidR="008E3D65" w:rsidRPr="008E3D65">
        <w:t>4-1</w:t>
      </w:r>
      <w:r w:rsidR="004F0D23">
        <w:t xml:space="preserve"> </w:t>
      </w:r>
      <w:r w:rsidR="004F0D23">
        <w:rPr>
          <w:lang w:eastAsia="en-US"/>
        </w:rPr>
        <w:fldChar w:fldCharType="begin"/>
      </w:r>
      <w:r w:rsidR="004F0D23">
        <w:rPr>
          <w:lang w:eastAsia="en-US"/>
        </w:rPr>
        <w:instrText xml:space="preserve"> ADDIN ZOTERO_ITEM CSL_CITATION {"citationID":"8RLE4EWv","properties":{"formattedCitation":"(25)","plainCitation":"(25)","noteIndex":0},"citationItems":[{"id":"iY4E1EKJ/2pJZ6Off","uris":["http://zotero.org/users/1055192/items/XL39QT6N"],"itemData":{"id":31672,"type":"paper-conference","container-title":"Tthe 47th Interscience Conference on Antimicrobial Agents and Chemotherapy. Chicago, September","page":"A-1427","title":"Pharmacokinetics of TMC125 in once-and twice-daily regimens in HIV-1-negative volunteers","URL":"http://www.medadvocates.org/resources/conferences/icaac/47/etravirine/jd122018%20scholler%20poster%2006%2009%2007.pdf","volume":"17","author":[{"family":"Schöller-Gyüre","given":"M"},{"family":"Kakuda","given":"TN"},{"family":"De Smedt","given":"G"},{"family":"Woodfall","given":"B"},{"family":"Lachaert","given":"R"},{"family":"Beets","given":"G"},{"family":"Peeters","given":"M"},{"family":"Hoetelmans","given":"RM"}],"issued":{"date-parts":[["2007"]]}}}],"schema":"https://github.com/citation-style-language/schema/raw/master/csl-citation.json"} </w:instrText>
      </w:r>
      <w:r w:rsidR="004F0D23">
        <w:rPr>
          <w:lang w:eastAsia="en-US"/>
        </w:rPr>
        <w:fldChar w:fldCharType="separate"/>
      </w:r>
      <w:r w:rsidR="004F0D23" w:rsidRPr="005E2B83">
        <w:t>[</w:t>
      </w:r>
      <w:r w:rsidR="004F0D23">
        <w:t>2</w:t>
      </w:r>
      <w:r w:rsidR="004F0D23" w:rsidRPr="005E2B83">
        <w:t>3]</w:t>
      </w:r>
      <w:r w:rsidR="004F0D23">
        <w:rPr>
          <w:lang w:eastAsia="en-US"/>
        </w:rPr>
        <w:fldChar w:fldCharType="end"/>
      </w:r>
      <w:r w:rsidR="004F0D23">
        <w:rPr>
          <w:lang w:eastAsia="en-US"/>
        </w:rPr>
        <w:t>.</w:t>
      </w:r>
    </w:p>
    <w:p w14:paraId="3170B156" w14:textId="77777777" w:rsidR="00421CA0" w:rsidRDefault="00421CA0" w:rsidP="00421CA0">
      <w:pPr>
        <w:pStyle w:val="affb"/>
        <w:spacing w:before="0" w:after="0" w:line="240" w:lineRule="auto"/>
        <w:ind w:firstLine="709"/>
      </w:pPr>
    </w:p>
    <w:p w14:paraId="28EEFB18" w14:textId="1DE488BA" w:rsidR="00F7545F" w:rsidRPr="000B009B" w:rsidRDefault="00F7545F" w:rsidP="00421CA0">
      <w:pPr>
        <w:pStyle w:val="aff1"/>
        <w:keepNext/>
        <w:spacing w:before="0"/>
        <w:rPr>
          <w:b/>
          <w:bCs/>
        </w:rPr>
      </w:pPr>
      <w:bookmarkStart w:id="146" w:name="_Toc90372767"/>
      <w:r w:rsidRPr="00F7545F">
        <w:rPr>
          <w:b/>
          <w:bCs/>
        </w:rPr>
        <w:t xml:space="preserve">Таблица </w:t>
      </w:r>
      <w:r w:rsidR="009435FB">
        <w:rPr>
          <w:b/>
          <w:bCs/>
          <w:noProof/>
        </w:rPr>
        <w:t>4-1.</w:t>
      </w:r>
      <w:r w:rsidRPr="00F7545F">
        <w:rPr>
          <w:b/>
          <w:bCs/>
        </w:rPr>
        <w:t xml:space="preserve"> </w:t>
      </w:r>
      <w:r w:rsidRPr="009435FB">
        <w:rPr>
          <w:bCs/>
        </w:rPr>
        <w:t xml:space="preserve">Расчётные параметры фармакокинетики </w:t>
      </w:r>
      <w:r w:rsidRPr="009435FB">
        <w:rPr>
          <w:bCs/>
          <w:lang w:eastAsia="en-US"/>
        </w:rPr>
        <w:t xml:space="preserve">этравирина </w:t>
      </w:r>
      <w:r w:rsidRPr="009435FB">
        <w:rPr>
          <w:bCs/>
        </w:rPr>
        <w:t>200 мг 2 раза в сутки у взрослых с инфекцией ВИЧ-1 (объединённые данные исследований фазы III на неделе 48)</w:t>
      </w:r>
      <w:bookmarkEnd w:id="146"/>
      <w:r w:rsidR="00421CA0">
        <w:rPr>
          <w:bCs/>
        </w:rPr>
        <w:t>.</w:t>
      </w:r>
    </w:p>
    <w:tbl>
      <w:tblPr>
        <w:tblW w:w="5000" w:type="pct"/>
        <w:tblCellMar>
          <w:left w:w="0" w:type="dxa"/>
          <w:right w:w="0" w:type="dxa"/>
        </w:tblCellMar>
        <w:tblLook w:val="0000" w:firstRow="0" w:lastRow="0" w:firstColumn="0" w:lastColumn="0" w:noHBand="0" w:noVBand="0"/>
      </w:tblPr>
      <w:tblGrid>
        <w:gridCol w:w="5409"/>
        <w:gridCol w:w="3937"/>
      </w:tblGrid>
      <w:tr w:rsidR="00F7545F" w:rsidRPr="00D322B0" w14:paraId="3D0D7BB9" w14:textId="77777777" w:rsidTr="008B0B82">
        <w:trPr>
          <w:trHeight w:val="20"/>
        </w:trPr>
        <w:tc>
          <w:tcPr>
            <w:tcW w:w="2894" w:type="pct"/>
            <w:tcBorders>
              <w:top w:val="single" w:sz="4" w:space="0" w:color="auto"/>
              <w:left w:val="single" w:sz="4" w:space="0" w:color="auto"/>
              <w:bottom w:val="nil"/>
              <w:right w:val="nil"/>
            </w:tcBorders>
            <w:shd w:val="clear" w:color="auto" w:fill="D9D9D9" w:themeFill="background1" w:themeFillShade="D9"/>
            <w:vAlign w:val="center"/>
          </w:tcPr>
          <w:p w14:paraId="7323847C" w14:textId="77777777" w:rsidR="00F7545F" w:rsidRPr="00D322B0" w:rsidRDefault="00F7545F" w:rsidP="00421CA0">
            <w:pPr>
              <w:pStyle w:val="afff8"/>
              <w:ind w:right="170"/>
              <w:jc w:val="center"/>
              <w:rPr>
                <w:b/>
                <w:bCs/>
                <w:sz w:val="24"/>
              </w:rPr>
            </w:pPr>
            <w:r w:rsidRPr="00D322B0">
              <w:rPr>
                <w:b/>
                <w:bCs/>
                <w:sz w:val="24"/>
              </w:rPr>
              <w:t>Параметры</w:t>
            </w:r>
          </w:p>
        </w:tc>
        <w:tc>
          <w:tcPr>
            <w:tcW w:w="2106" w:type="pct"/>
            <w:tcBorders>
              <w:top w:val="single" w:sz="4" w:space="0" w:color="auto"/>
              <w:left w:val="single" w:sz="4" w:space="0" w:color="auto"/>
              <w:bottom w:val="nil"/>
              <w:right w:val="single" w:sz="4" w:space="0" w:color="auto"/>
            </w:tcBorders>
            <w:shd w:val="clear" w:color="auto" w:fill="D9D9D9" w:themeFill="background1" w:themeFillShade="D9"/>
            <w:vAlign w:val="center"/>
          </w:tcPr>
          <w:p w14:paraId="349E6ECD" w14:textId="06A548F2" w:rsidR="00F7545F" w:rsidRPr="00D322B0" w:rsidRDefault="00D322B0" w:rsidP="00421CA0">
            <w:pPr>
              <w:pStyle w:val="afff8"/>
              <w:jc w:val="center"/>
              <w:rPr>
                <w:b/>
                <w:bCs/>
                <w:sz w:val="24"/>
              </w:rPr>
            </w:pPr>
            <w:r>
              <w:rPr>
                <w:b/>
                <w:bCs/>
                <w:sz w:val="24"/>
                <w:lang w:eastAsia="en-US"/>
              </w:rPr>
              <w:t>Э</w:t>
            </w:r>
            <w:r w:rsidR="000B009B" w:rsidRPr="00D322B0">
              <w:rPr>
                <w:b/>
                <w:bCs/>
                <w:sz w:val="24"/>
                <w:lang w:eastAsia="en-US"/>
              </w:rPr>
              <w:t>травирин</w:t>
            </w:r>
            <w:r w:rsidR="00F7545F" w:rsidRPr="00D322B0">
              <w:rPr>
                <w:b/>
                <w:bCs/>
                <w:sz w:val="24"/>
              </w:rPr>
              <w:t xml:space="preserve"> 200 мг 2 раза в сутки </w:t>
            </w:r>
            <w:r w:rsidR="00F7545F" w:rsidRPr="00D322B0">
              <w:rPr>
                <w:b/>
                <w:bCs/>
                <w:sz w:val="24"/>
              </w:rPr>
              <w:br/>
            </w:r>
            <w:r w:rsidR="00F7545F" w:rsidRPr="00D322B0">
              <w:rPr>
                <w:b/>
                <w:bCs/>
                <w:sz w:val="24"/>
                <w:lang w:val="en-US" w:eastAsia="en-US"/>
              </w:rPr>
              <w:t>N</w:t>
            </w:r>
            <w:r w:rsidR="00F7545F" w:rsidRPr="00D322B0">
              <w:rPr>
                <w:b/>
                <w:bCs/>
                <w:sz w:val="24"/>
                <w:lang w:eastAsia="en-US"/>
              </w:rPr>
              <w:t xml:space="preserve"> </w:t>
            </w:r>
            <w:r w:rsidR="00F7545F" w:rsidRPr="00D322B0">
              <w:rPr>
                <w:b/>
                <w:bCs/>
                <w:sz w:val="24"/>
              </w:rPr>
              <w:t>= 575</w:t>
            </w:r>
          </w:p>
        </w:tc>
      </w:tr>
      <w:tr w:rsidR="00F7545F" w:rsidRPr="00D322B0" w14:paraId="09CAC31A" w14:textId="77777777" w:rsidTr="008B0B82">
        <w:trPr>
          <w:trHeight w:val="20"/>
        </w:trPr>
        <w:tc>
          <w:tcPr>
            <w:tcW w:w="2894" w:type="pct"/>
            <w:tcBorders>
              <w:top w:val="single" w:sz="4" w:space="0" w:color="auto"/>
              <w:left w:val="single" w:sz="4" w:space="0" w:color="auto"/>
              <w:bottom w:val="nil"/>
              <w:right w:val="nil"/>
            </w:tcBorders>
            <w:shd w:val="clear" w:color="auto" w:fill="FFFFFF"/>
            <w:vAlign w:val="center"/>
          </w:tcPr>
          <w:p w14:paraId="49504C76" w14:textId="77777777" w:rsidR="00F7545F" w:rsidRPr="00D322B0" w:rsidRDefault="00F7545F" w:rsidP="00421CA0">
            <w:pPr>
              <w:pStyle w:val="afff8"/>
              <w:ind w:left="142" w:right="170"/>
              <w:rPr>
                <w:sz w:val="24"/>
              </w:rPr>
            </w:pPr>
            <w:r w:rsidRPr="00D322B0">
              <w:rPr>
                <w:color w:val="2B213A"/>
                <w:sz w:val="24"/>
              </w:rPr>
              <w:t xml:space="preserve">Площадь под кривой «концентрация- время» </w:t>
            </w:r>
            <w:r w:rsidRPr="00D322B0">
              <w:rPr>
                <w:color w:val="2B213A"/>
                <w:sz w:val="24"/>
              </w:rPr>
              <w:br/>
              <w:t>(</w:t>
            </w:r>
            <w:r w:rsidRPr="00D322B0">
              <w:rPr>
                <w:color w:val="2B213A"/>
                <w:sz w:val="24"/>
                <w:lang w:val="en-US"/>
              </w:rPr>
              <w:t>AUC</w:t>
            </w:r>
            <w:r w:rsidRPr="00D322B0">
              <w:rPr>
                <w:color w:val="2B213A"/>
                <w:sz w:val="24"/>
                <w:vertAlign w:val="subscript"/>
              </w:rPr>
              <w:t>12ч</w:t>
            </w:r>
            <w:r w:rsidRPr="00D322B0">
              <w:rPr>
                <w:color w:val="2B213A"/>
                <w:sz w:val="24"/>
              </w:rPr>
              <w:t>) (нг*ч/мл)</w:t>
            </w:r>
          </w:p>
        </w:tc>
        <w:tc>
          <w:tcPr>
            <w:tcW w:w="2106" w:type="pct"/>
            <w:tcBorders>
              <w:top w:val="single" w:sz="4" w:space="0" w:color="auto"/>
              <w:left w:val="single" w:sz="4" w:space="0" w:color="auto"/>
              <w:bottom w:val="nil"/>
              <w:right w:val="single" w:sz="4" w:space="0" w:color="auto"/>
            </w:tcBorders>
            <w:shd w:val="clear" w:color="auto" w:fill="FFFFFF"/>
            <w:vAlign w:val="center"/>
          </w:tcPr>
          <w:p w14:paraId="2892260F" w14:textId="77777777" w:rsidR="00F7545F" w:rsidRPr="00D322B0" w:rsidRDefault="00F7545F" w:rsidP="00421CA0">
            <w:pPr>
              <w:pStyle w:val="afff8"/>
              <w:jc w:val="center"/>
              <w:rPr>
                <w:sz w:val="24"/>
              </w:rPr>
            </w:pPr>
          </w:p>
        </w:tc>
      </w:tr>
      <w:tr w:rsidR="00F7545F" w:rsidRPr="00D322B0" w14:paraId="6CD83E1B" w14:textId="77777777" w:rsidTr="008B0B82">
        <w:trPr>
          <w:trHeight w:val="20"/>
        </w:trPr>
        <w:tc>
          <w:tcPr>
            <w:tcW w:w="2894" w:type="pct"/>
            <w:tcBorders>
              <w:top w:val="single" w:sz="4" w:space="0" w:color="auto"/>
              <w:left w:val="single" w:sz="4" w:space="0" w:color="auto"/>
              <w:bottom w:val="nil"/>
              <w:right w:val="nil"/>
            </w:tcBorders>
            <w:shd w:val="clear" w:color="auto" w:fill="FFFFFF"/>
            <w:vAlign w:val="center"/>
          </w:tcPr>
          <w:p w14:paraId="42AB7205" w14:textId="77777777" w:rsidR="00F7545F" w:rsidRPr="00D322B0" w:rsidRDefault="00F7545F" w:rsidP="00421CA0">
            <w:pPr>
              <w:pStyle w:val="afff8"/>
              <w:ind w:left="142" w:right="170"/>
              <w:rPr>
                <w:sz w:val="24"/>
              </w:rPr>
            </w:pPr>
            <w:r w:rsidRPr="00D322B0">
              <w:rPr>
                <w:color w:val="2B213A"/>
                <w:sz w:val="24"/>
              </w:rPr>
              <w:t xml:space="preserve">Геометрическая средняя </w:t>
            </w:r>
            <w:r w:rsidRPr="00D322B0">
              <w:rPr>
                <w:sz w:val="24"/>
              </w:rPr>
              <w:t xml:space="preserve">± </w:t>
            </w:r>
            <w:r w:rsidRPr="00D322B0">
              <w:rPr>
                <w:color w:val="2B213A"/>
                <w:sz w:val="24"/>
              </w:rPr>
              <w:t>стандартное отклонение</w:t>
            </w:r>
          </w:p>
        </w:tc>
        <w:tc>
          <w:tcPr>
            <w:tcW w:w="2106" w:type="pct"/>
            <w:tcBorders>
              <w:top w:val="single" w:sz="4" w:space="0" w:color="auto"/>
              <w:left w:val="single" w:sz="4" w:space="0" w:color="auto"/>
              <w:bottom w:val="nil"/>
              <w:right w:val="single" w:sz="4" w:space="0" w:color="auto"/>
            </w:tcBorders>
            <w:shd w:val="clear" w:color="auto" w:fill="FFFFFF"/>
            <w:vAlign w:val="center"/>
          </w:tcPr>
          <w:p w14:paraId="4641FEC9" w14:textId="77777777" w:rsidR="00F7545F" w:rsidRPr="00D322B0" w:rsidRDefault="00F7545F" w:rsidP="00421CA0">
            <w:pPr>
              <w:pStyle w:val="afff8"/>
              <w:jc w:val="center"/>
              <w:rPr>
                <w:sz w:val="24"/>
              </w:rPr>
            </w:pPr>
            <w:r w:rsidRPr="00D322B0">
              <w:rPr>
                <w:color w:val="2B213A"/>
                <w:sz w:val="24"/>
              </w:rPr>
              <w:t>4522 ±4710</w:t>
            </w:r>
          </w:p>
        </w:tc>
      </w:tr>
      <w:tr w:rsidR="00F7545F" w:rsidRPr="00D322B0" w14:paraId="65DB33DE" w14:textId="77777777" w:rsidTr="008B0B82">
        <w:trPr>
          <w:trHeight w:val="20"/>
        </w:trPr>
        <w:tc>
          <w:tcPr>
            <w:tcW w:w="2894" w:type="pct"/>
            <w:tcBorders>
              <w:top w:val="single" w:sz="4" w:space="0" w:color="auto"/>
              <w:left w:val="single" w:sz="4" w:space="0" w:color="auto"/>
              <w:bottom w:val="nil"/>
              <w:right w:val="nil"/>
            </w:tcBorders>
            <w:shd w:val="clear" w:color="auto" w:fill="FFFFFF"/>
            <w:vAlign w:val="center"/>
          </w:tcPr>
          <w:p w14:paraId="3ED390E3" w14:textId="77777777" w:rsidR="00F7545F" w:rsidRPr="00D322B0" w:rsidRDefault="00F7545F" w:rsidP="00421CA0">
            <w:pPr>
              <w:pStyle w:val="afff8"/>
              <w:ind w:left="142" w:right="170"/>
              <w:rPr>
                <w:sz w:val="24"/>
              </w:rPr>
            </w:pPr>
            <w:r w:rsidRPr="00D322B0">
              <w:rPr>
                <w:color w:val="2B213A"/>
                <w:sz w:val="24"/>
              </w:rPr>
              <w:t>Медиана(диапазон)</w:t>
            </w:r>
          </w:p>
        </w:tc>
        <w:tc>
          <w:tcPr>
            <w:tcW w:w="2106" w:type="pct"/>
            <w:tcBorders>
              <w:top w:val="single" w:sz="4" w:space="0" w:color="auto"/>
              <w:left w:val="single" w:sz="4" w:space="0" w:color="auto"/>
              <w:bottom w:val="nil"/>
              <w:right w:val="single" w:sz="4" w:space="0" w:color="auto"/>
            </w:tcBorders>
            <w:shd w:val="clear" w:color="auto" w:fill="FFFFFF"/>
            <w:vAlign w:val="center"/>
          </w:tcPr>
          <w:p w14:paraId="556A30B3" w14:textId="77777777" w:rsidR="00F7545F" w:rsidRPr="00D322B0" w:rsidRDefault="00F7545F" w:rsidP="00421CA0">
            <w:pPr>
              <w:pStyle w:val="afff8"/>
              <w:jc w:val="center"/>
              <w:rPr>
                <w:sz w:val="24"/>
              </w:rPr>
            </w:pPr>
            <w:r w:rsidRPr="00D322B0">
              <w:rPr>
                <w:color w:val="2B213A"/>
                <w:sz w:val="24"/>
              </w:rPr>
              <w:t xml:space="preserve">4380 (458 </w:t>
            </w:r>
            <w:r w:rsidRPr="00D322B0">
              <w:rPr>
                <w:sz w:val="24"/>
              </w:rPr>
              <w:t xml:space="preserve">– </w:t>
            </w:r>
            <w:r w:rsidRPr="00D322B0">
              <w:rPr>
                <w:color w:val="2B213A"/>
                <w:sz w:val="24"/>
              </w:rPr>
              <w:t>59084)</w:t>
            </w:r>
          </w:p>
        </w:tc>
      </w:tr>
      <w:tr w:rsidR="00F7545F" w:rsidRPr="00D322B0" w14:paraId="29806A30" w14:textId="77777777" w:rsidTr="008B0B82">
        <w:trPr>
          <w:trHeight w:val="20"/>
        </w:trPr>
        <w:tc>
          <w:tcPr>
            <w:tcW w:w="2894" w:type="pct"/>
            <w:tcBorders>
              <w:top w:val="single" w:sz="4" w:space="0" w:color="auto"/>
              <w:left w:val="single" w:sz="4" w:space="0" w:color="auto"/>
              <w:bottom w:val="nil"/>
              <w:right w:val="nil"/>
            </w:tcBorders>
            <w:shd w:val="clear" w:color="auto" w:fill="FFFFFF"/>
            <w:vAlign w:val="center"/>
          </w:tcPr>
          <w:p w14:paraId="2561BA9F" w14:textId="77777777" w:rsidR="00F7545F" w:rsidRPr="00D322B0" w:rsidRDefault="00F7545F" w:rsidP="00421CA0">
            <w:pPr>
              <w:pStyle w:val="afff8"/>
              <w:ind w:left="142" w:right="170"/>
              <w:rPr>
                <w:sz w:val="24"/>
              </w:rPr>
            </w:pPr>
            <w:r w:rsidRPr="00D322B0">
              <w:rPr>
                <w:sz w:val="24"/>
              </w:rPr>
              <w:t>Начальная концентрация препарата в крови (С</w:t>
            </w:r>
            <w:r w:rsidRPr="00D322B0">
              <w:rPr>
                <w:sz w:val="24"/>
                <w:vertAlign w:val="subscript"/>
              </w:rPr>
              <w:t>0ч</w:t>
            </w:r>
            <w:r w:rsidRPr="00D322B0">
              <w:rPr>
                <w:sz w:val="24"/>
              </w:rPr>
              <w:t>) (нг/мл)</w:t>
            </w:r>
          </w:p>
        </w:tc>
        <w:tc>
          <w:tcPr>
            <w:tcW w:w="2106" w:type="pct"/>
            <w:tcBorders>
              <w:top w:val="single" w:sz="4" w:space="0" w:color="auto"/>
              <w:left w:val="single" w:sz="4" w:space="0" w:color="auto"/>
              <w:bottom w:val="nil"/>
              <w:right w:val="single" w:sz="4" w:space="0" w:color="auto"/>
            </w:tcBorders>
            <w:shd w:val="clear" w:color="auto" w:fill="FFFFFF"/>
            <w:vAlign w:val="center"/>
          </w:tcPr>
          <w:p w14:paraId="3141199D" w14:textId="77777777" w:rsidR="00F7545F" w:rsidRPr="00D322B0" w:rsidRDefault="00F7545F" w:rsidP="00421CA0">
            <w:pPr>
              <w:pStyle w:val="afff8"/>
              <w:jc w:val="center"/>
              <w:rPr>
                <w:sz w:val="24"/>
              </w:rPr>
            </w:pPr>
          </w:p>
        </w:tc>
      </w:tr>
      <w:tr w:rsidR="00F7545F" w:rsidRPr="00D322B0" w14:paraId="26E5A958" w14:textId="77777777" w:rsidTr="008B0B82">
        <w:trPr>
          <w:trHeight w:val="20"/>
        </w:trPr>
        <w:tc>
          <w:tcPr>
            <w:tcW w:w="2894" w:type="pct"/>
            <w:tcBorders>
              <w:top w:val="single" w:sz="4" w:space="0" w:color="auto"/>
              <w:left w:val="single" w:sz="4" w:space="0" w:color="auto"/>
              <w:bottom w:val="nil"/>
              <w:right w:val="nil"/>
            </w:tcBorders>
            <w:shd w:val="clear" w:color="auto" w:fill="FFFFFF"/>
            <w:vAlign w:val="center"/>
          </w:tcPr>
          <w:p w14:paraId="3E767839" w14:textId="77777777" w:rsidR="00F7545F" w:rsidRPr="00D322B0" w:rsidRDefault="00F7545F" w:rsidP="00421CA0">
            <w:pPr>
              <w:pStyle w:val="afff8"/>
              <w:ind w:left="142" w:right="170"/>
              <w:rPr>
                <w:sz w:val="24"/>
              </w:rPr>
            </w:pPr>
            <w:r w:rsidRPr="00D322B0">
              <w:rPr>
                <w:color w:val="2B213A"/>
                <w:sz w:val="24"/>
              </w:rPr>
              <w:t xml:space="preserve">Геометрическая средняя </w:t>
            </w:r>
            <w:r w:rsidRPr="00D322B0">
              <w:rPr>
                <w:sz w:val="24"/>
              </w:rPr>
              <w:t xml:space="preserve">± </w:t>
            </w:r>
            <w:r w:rsidRPr="00D322B0">
              <w:rPr>
                <w:color w:val="2B213A"/>
                <w:sz w:val="24"/>
              </w:rPr>
              <w:t>стандартное отклонение</w:t>
            </w:r>
          </w:p>
        </w:tc>
        <w:tc>
          <w:tcPr>
            <w:tcW w:w="2106" w:type="pct"/>
            <w:tcBorders>
              <w:top w:val="single" w:sz="4" w:space="0" w:color="auto"/>
              <w:left w:val="single" w:sz="4" w:space="0" w:color="auto"/>
              <w:bottom w:val="nil"/>
              <w:right w:val="single" w:sz="4" w:space="0" w:color="auto"/>
            </w:tcBorders>
            <w:shd w:val="clear" w:color="auto" w:fill="FFFFFF"/>
            <w:vAlign w:val="center"/>
          </w:tcPr>
          <w:p w14:paraId="61EEF2CE" w14:textId="77777777" w:rsidR="00F7545F" w:rsidRPr="00D322B0" w:rsidRDefault="00F7545F" w:rsidP="00421CA0">
            <w:pPr>
              <w:pStyle w:val="afff8"/>
              <w:jc w:val="center"/>
              <w:rPr>
                <w:sz w:val="24"/>
              </w:rPr>
            </w:pPr>
            <w:r w:rsidRPr="00D322B0">
              <w:rPr>
                <w:color w:val="2B213A"/>
                <w:sz w:val="24"/>
              </w:rPr>
              <w:t>297 ±391</w:t>
            </w:r>
          </w:p>
        </w:tc>
      </w:tr>
      <w:tr w:rsidR="00F7545F" w:rsidRPr="00D322B0" w14:paraId="55DF7306" w14:textId="77777777" w:rsidTr="008B0B82">
        <w:trPr>
          <w:trHeight w:val="20"/>
        </w:trPr>
        <w:tc>
          <w:tcPr>
            <w:tcW w:w="2894" w:type="pct"/>
            <w:tcBorders>
              <w:top w:val="single" w:sz="4" w:space="0" w:color="auto"/>
              <w:left w:val="single" w:sz="4" w:space="0" w:color="auto"/>
              <w:bottom w:val="single" w:sz="4" w:space="0" w:color="auto"/>
              <w:right w:val="nil"/>
            </w:tcBorders>
            <w:shd w:val="clear" w:color="auto" w:fill="FFFFFF"/>
            <w:vAlign w:val="center"/>
          </w:tcPr>
          <w:p w14:paraId="539E6D02" w14:textId="77777777" w:rsidR="00F7545F" w:rsidRPr="00D322B0" w:rsidRDefault="00F7545F" w:rsidP="00421CA0">
            <w:pPr>
              <w:pStyle w:val="afff8"/>
              <w:ind w:left="142" w:right="170"/>
              <w:rPr>
                <w:sz w:val="24"/>
              </w:rPr>
            </w:pPr>
            <w:r w:rsidRPr="00D322B0">
              <w:rPr>
                <w:color w:val="2B213A"/>
                <w:sz w:val="24"/>
              </w:rPr>
              <w:t>Медиана (диапазон)</w:t>
            </w:r>
          </w:p>
        </w:tc>
        <w:tc>
          <w:tcPr>
            <w:tcW w:w="2106" w:type="pct"/>
            <w:tcBorders>
              <w:top w:val="single" w:sz="4" w:space="0" w:color="auto"/>
              <w:left w:val="single" w:sz="4" w:space="0" w:color="auto"/>
              <w:bottom w:val="single" w:sz="4" w:space="0" w:color="auto"/>
              <w:right w:val="single" w:sz="4" w:space="0" w:color="auto"/>
            </w:tcBorders>
            <w:shd w:val="clear" w:color="auto" w:fill="FFFFFF"/>
            <w:vAlign w:val="center"/>
          </w:tcPr>
          <w:p w14:paraId="7FC8CFF9" w14:textId="77777777" w:rsidR="00F7545F" w:rsidRPr="00D322B0" w:rsidRDefault="00F7545F" w:rsidP="00421CA0">
            <w:pPr>
              <w:pStyle w:val="afff8"/>
              <w:jc w:val="center"/>
              <w:rPr>
                <w:sz w:val="24"/>
              </w:rPr>
            </w:pPr>
            <w:r w:rsidRPr="00D322B0">
              <w:rPr>
                <w:color w:val="2B213A"/>
                <w:sz w:val="24"/>
              </w:rPr>
              <w:t>298 (2 – 4852)</w:t>
            </w:r>
          </w:p>
        </w:tc>
      </w:tr>
      <w:tr w:rsidR="00984745" w:rsidRPr="00D322B0" w14:paraId="3E5B8518" w14:textId="77777777" w:rsidTr="00984745">
        <w:trPr>
          <w:trHeight w:val="20"/>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cPr>
          <w:p w14:paraId="59532E10" w14:textId="77777777" w:rsidR="00984745" w:rsidRDefault="00984745" w:rsidP="00421CA0">
            <w:pPr>
              <w:pStyle w:val="afff8"/>
              <w:ind w:left="142"/>
              <w:rPr>
                <w:color w:val="2B213A"/>
                <w:szCs w:val="20"/>
              </w:rPr>
            </w:pPr>
            <w:r w:rsidRPr="009435FB">
              <w:rPr>
                <w:b/>
                <w:color w:val="2B213A"/>
                <w:szCs w:val="20"/>
              </w:rPr>
              <w:t>Примечание:</w:t>
            </w:r>
          </w:p>
          <w:p w14:paraId="1DF796A9" w14:textId="671B02FD" w:rsidR="00984745" w:rsidRPr="00D322B0" w:rsidRDefault="00984745" w:rsidP="00421CA0">
            <w:pPr>
              <w:pStyle w:val="afff8"/>
              <w:ind w:left="142"/>
              <w:jc w:val="left"/>
              <w:rPr>
                <w:color w:val="2B213A"/>
                <w:sz w:val="24"/>
              </w:rPr>
            </w:pPr>
            <w:r w:rsidRPr="00D51A55">
              <w:rPr>
                <w:color w:val="2B213A"/>
                <w:szCs w:val="20"/>
              </w:rPr>
              <w:t>все ВИЧ-1-инфицированные пациенты, включенные в клинические исследования фазы 3, получили DRV/</w:t>
            </w:r>
            <w:r w:rsidRPr="00D51A55">
              <w:rPr>
                <w:color w:val="2B213A"/>
                <w:szCs w:val="20"/>
                <w:lang w:val="en-US"/>
              </w:rPr>
              <w:t>r</w:t>
            </w:r>
            <w:r w:rsidRPr="00D51A55">
              <w:rPr>
                <w:color w:val="2B213A"/>
                <w:szCs w:val="20"/>
              </w:rPr>
              <w:t xml:space="preserve"> 600/100 мг два раза в день в рамках своего фонового режима. Следовательно, оценки фармакокинетических параметров, приведенные в таблице, отражают снижение фармакокинетических параметров этраверина (</w:t>
            </w:r>
            <w:r w:rsidRPr="00D51A55">
              <w:rPr>
                <w:color w:val="2B213A"/>
                <w:szCs w:val="20"/>
                <w:lang w:val="en-US"/>
              </w:rPr>
              <w:t>ETR</w:t>
            </w:r>
            <w:r w:rsidRPr="00D51A55">
              <w:rPr>
                <w:color w:val="2B213A"/>
                <w:szCs w:val="20"/>
              </w:rPr>
              <w:t>) из-за совместного применения с DRV/</w:t>
            </w:r>
            <w:r w:rsidRPr="00D51A55">
              <w:rPr>
                <w:color w:val="2B213A"/>
                <w:szCs w:val="20"/>
                <w:lang w:val="en-US"/>
              </w:rPr>
              <w:t>r</w:t>
            </w:r>
            <w:r w:rsidRPr="00D51A55">
              <w:rPr>
                <w:color w:val="2B213A"/>
                <w:szCs w:val="20"/>
              </w:rPr>
              <w:t xml:space="preserve"> (дарунавир/ритоновир).</w:t>
            </w:r>
          </w:p>
        </w:tc>
      </w:tr>
    </w:tbl>
    <w:p w14:paraId="79B91F52" w14:textId="77777777" w:rsidR="001C0A37" w:rsidRDefault="001C0A37" w:rsidP="001C0A37">
      <w:pPr>
        <w:pStyle w:val="affb"/>
        <w:spacing w:before="0" w:after="0" w:line="240" w:lineRule="auto"/>
        <w:rPr>
          <w:sz w:val="20"/>
          <w:szCs w:val="20"/>
        </w:rPr>
      </w:pPr>
    </w:p>
    <w:p w14:paraId="24CAB2C8" w14:textId="08EA319C" w:rsidR="00F7545F" w:rsidRDefault="00F7545F" w:rsidP="001C0A37">
      <w:pPr>
        <w:pStyle w:val="affb"/>
        <w:spacing w:before="0" w:after="0" w:line="240" w:lineRule="auto"/>
        <w:ind w:firstLine="709"/>
      </w:pPr>
      <w:r>
        <w:t xml:space="preserve">Фармакокинетика </w:t>
      </w:r>
      <w:r w:rsidR="00320FA5" w:rsidRPr="00D322B0">
        <w:rPr>
          <w:color w:val="2B213A"/>
        </w:rPr>
        <w:t xml:space="preserve">этраверина </w:t>
      </w:r>
      <w:r>
        <w:t xml:space="preserve">у людей с ВИЧ в значительной степени была изучена в рамках исследований </w:t>
      </w:r>
      <w:r w:rsidR="00320FA5">
        <w:t xml:space="preserve">III </w:t>
      </w:r>
      <w:r>
        <w:t xml:space="preserve">фазы DUET-1 и DUET-2. Полученные результаты позволили заключить о наличии общей тенденции к снижению концентраций </w:t>
      </w:r>
      <w:r w:rsidR="006574DB" w:rsidRPr="00D322B0">
        <w:rPr>
          <w:color w:val="2B213A"/>
        </w:rPr>
        <w:t xml:space="preserve">этраверина </w:t>
      </w:r>
      <w:r>
        <w:t xml:space="preserve">у ВИЧ-инфицированных пациентов по сравнению со здоровыми добровольцами </w:t>
      </w:r>
      <w:r w:rsidR="005E2B83">
        <w:rPr>
          <w:lang w:eastAsia="en-US"/>
        </w:rPr>
        <w:fldChar w:fldCharType="begin"/>
      </w:r>
      <w:r w:rsidR="005E2B83">
        <w:rPr>
          <w:lang w:eastAsia="en-US"/>
        </w:rPr>
        <w:instrText xml:space="preserve"> ADDIN ZOTERO_ITEM CSL_CITATION {"citationID":"8RLE4EWv","properties":{"formattedCitation":"(25)","plainCitation":"(25)","noteIndex":0},"citationItems":[{"id":"iY4E1EKJ/2pJZ6Off","uris":["http://zotero.org/users/1055192/items/XL39QT6N"],"itemData":{"id":31672,"type":"paper-conference","container-title":"Tthe 47th Interscience Conference on Antimicrobial Agents and Chemotherapy. Chicago, September","page":"A-1427","title":"Pharmacokinetics of TMC125 in once-and twice-daily regimens in HIV-1-negative volunteers","URL":"http://www.medadvocates.org/resources/conferences/icaac/47/etravirine/jd122018%20scholler%20poster%2006%2009%2007.pdf","volume":"17","author":[{"family":"Schöller-Gyüre","given":"M"},{"family":"Kakuda","given":"TN"},{"family":"De Smedt","given":"G"},{"family":"Woodfall","given":"B"},{"family":"Lachaert","given":"R"},{"family":"Beets","given":"G"},{"family":"Peeters","given":"M"},{"family":"Hoetelmans","given":"RM"}],"issued":{"date-parts":[["2007"]]}}}],"schema":"https://github.com/citation-style-language/schema/raw/master/csl-citation.json"} </w:instrText>
      </w:r>
      <w:r w:rsidR="005E2B83">
        <w:rPr>
          <w:lang w:eastAsia="en-US"/>
        </w:rPr>
        <w:fldChar w:fldCharType="separate"/>
      </w:r>
      <w:r w:rsidR="005E2B83" w:rsidRPr="005E2B83">
        <w:t>[</w:t>
      </w:r>
      <w:r w:rsidR="005E2B83" w:rsidRPr="005433B9">
        <w:t>25</w:t>
      </w:r>
      <w:r w:rsidR="005E2B83" w:rsidRPr="005E2B83">
        <w:t>]</w:t>
      </w:r>
      <w:r w:rsidR="005E2B83">
        <w:rPr>
          <w:lang w:eastAsia="en-US"/>
        </w:rPr>
        <w:fldChar w:fldCharType="end"/>
      </w:r>
      <w:r w:rsidR="005E2B83">
        <w:rPr>
          <w:lang w:eastAsia="en-US"/>
        </w:rPr>
        <w:t>.</w:t>
      </w:r>
      <w:r>
        <w:t xml:space="preserve"> Среднее (стандартное отклонение [SD]) AUC </w:t>
      </w:r>
      <w:r w:rsidR="00322353">
        <w:t>этравирина составила</w:t>
      </w:r>
      <w:r w:rsidRPr="00125D2D">
        <w:t xml:space="preserve"> </w:t>
      </w:r>
      <w:r>
        <w:t>от 0 до 12 ч (AUC</w:t>
      </w:r>
      <w:r w:rsidRPr="00AB30B4">
        <w:rPr>
          <w:vertAlign w:val="subscript"/>
        </w:rPr>
        <w:t>12ч</w:t>
      </w:r>
      <w:r>
        <w:t>) и C</w:t>
      </w:r>
      <w:r w:rsidRPr="00AB30B4">
        <w:rPr>
          <w:vertAlign w:val="subscript"/>
        </w:rPr>
        <w:t>min</w:t>
      </w:r>
      <w:r>
        <w:t xml:space="preserve"> у 575 участников этих двух исследований составили 5506 (4710) нг/мл и 393 (391) нг/мл, соответственно. Меж- и внутрииндивидуальная вариабельность (коэффициент вариации) общего клиренса (CL/F) составлял 60% и 40% соответственно. Фармакокинетика </w:t>
      </w:r>
      <w:r w:rsidR="006574DB" w:rsidRPr="00D322B0">
        <w:rPr>
          <w:color w:val="2B213A"/>
        </w:rPr>
        <w:t xml:space="preserve">этраверина </w:t>
      </w:r>
      <w:r>
        <w:t xml:space="preserve">не зависела от пола, возраста, расы или продолжительности лечения </w:t>
      </w:r>
      <w:r w:rsidR="005E2B83">
        <w:rPr>
          <w:lang w:eastAsia="en-US"/>
        </w:rPr>
        <w:fldChar w:fldCharType="begin"/>
      </w:r>
      <w:r w:rsidR="005E2B83">
        <w:rPr>
          <w:lang w:eastAsia="en-US"/>
        </w:rPr>
        <w:instrText xml:space="preserve"> ADDIN ZOTERO_ITEM CSL_CITATION {"citationID":"8RLE4EWv","properties":{"formattedCitation":"(25)","plainCitation":"(25)","noteIndex":0},"citationItems":[{"id":"iY4E1EKJ/2pJZ6Off","uris":["http://zotero.org/users/1055192/items/XL39QT6N"],"itemData":{"id":31672,"type":"paper-conference","container-title":"Tthe 47th Interscience Conference on Antimicrobial Agents and Chemotherapy. Chicago, September","page":"A-1427","title":"Pharmacokinetics of TMC125 in once-and twice-daily regimens in HIV-1-negative volunteers","URL":"http://www.medadvocates.org/resources/conferences/icaac/47/etravirine/jd122018%20scholler%20poster%2006%2009%2007.pdf","volume":"17","author":[{"family":"Schöller-Gyüre","given":"M"},{"family":"Kakuda","given":"TN"},{"family":"De Smedt","given":"G"},{"family":"Woodfall","given":"B"},{"family":"Lachaert","given":"R"},{"family":"Beets","given":"G"},{"family":"Peeters","given":"M"},{"family":"Hoetelmans","given":"RM"}],"issued":{"date-parts":[["2007"]]}}}],"schema":"https://github.com/citation-style-language/schema/raw/master/csl-citation.json"} </w:instrText>
      </w:r>
      <w:r w:rsidR="005E2B83">
        <w:rPr>
          <w:lang w:eastAsia="en-US"/>
        </w:rPr>
        <w:fldChar w:fldCharType="separate"/>
      </w:r>
      <w:r w:rsidR="005E2B83" w:rsidRPr="005E2B83">
        <w:t>[</w:t>
      </w:r>
      <w:r w:rsidR="005E2B83" w:rsidRPr="005433B9">
        <w:t>2</w:t>
      </w:r>
      <w:r w:rsidR="005E2B83" w:rsidRPr="005E2B83">
        <w:t>6]</w:t>
      </w:r>
      <w:r w:rsidR="005E2B83">
        <w:rPr>
          <w:lang w:eastAsia="en-US"/>
        </w:rPr>
        <w:fldChar w:fldCharType="end"/>
      </w:r>
      <w:r w:rsidR="005E2B83">
        <w:rPr>
          <w:lang w:eastAsia="en-US"/>
        </w:rPr>
        <w:t>.</w:t>
      </w:r>
      <w:r>
        <w:t xml:space="preserve"> Коинфекция вирусного гепатита (ВГ) ассоциировалась с увеличением AUC</w:t>
      </w:r>
      <w:r w:rsidRPr="00E6759E">
        <w:rPr>
          <w:vertAlign w:val="subscript"/>
        </w:rPr>
        <w:t>12ч</w:t>
      </w:r>
      <w:r>
        <w:t xml:space="preserve"> в 1,35 раза (p = 0,0028) </w:t>
      </w:r>
      <w:r w:rsidR="005E2B83">
        <w:rPr>
          <w:lang w:eastAsia="en-US"/>
        </w:rPr>
        <w:fldChar w:fldCharType="begin"/>
      </w:r>
      <w:r w:rsidR="005E2B83">
        <w:rPr>
          <w:lang w:eastAsia="en-US"/>
        </w:rPr>
        <w:instrText xml:space="preserve"> ADDIN ZOTERO_ITEM CSL_CITATION {"citationID":"8RLE4EWv","properties":{"formattedCitation":"(25)","plainCitation":"(25)","noteIndex":0},"citationItems":[{"id":"iY4E1EKJ/2pJZ6Off","uris":["http://zotero.org/users/1055192/items/XL39QT6N"],"itemData":{"id":31672,"type":"paper-conference","container-title":"Tthe 47th Interscience Conference on Antimicrobial Agents and Chemotherapy. Chicago, September","page":"A-1427","title":"Pharmacokinetics of TMC125 in once-and twice-daily regimens in HIV-1-negative volunteers","URL":"http://www.medadvocates.org/resources/conferences/icaac/47/etravirine/jd122018%20scholler%20poster%2006%2009%2007.pdf","volume":"17","author":[{"family":"Schöller-Gyüre","given":"M"},{"family":"Kakuda","given":"TN"},{"family":"De Smedt","given":"G"},{"family":"Woodfall","given":"B"},{"family":"Lachaert","given":"R"},{"family":"Beets","given":"G"},{"family":"Peeters","given":"M"},{"family":"Hoetelmans","given":"RM"}],"issued":{"date-parts":[["2007"]]}}}],"schema":"https://github.com/citation-style-language/schema/raw/master/csl-citation.json"} </w:instrText>
      </w:r>
      <w:r w:rsidR="005E2B83">
        <w:rPr>
          <w:lang w:eastAsia="en-US"/>
        </w:rPr>
        <w:fldChar w:fldCharType="separate"/>
      </w:r>
      <w:r w:rsidR="005E2B83" w:rsidRPr="005E2B83">
        <w:t>[</w:t>
      </w:r>
      <w:r w:rsidR="005E2B83" w:rsidRPr="005433B9">
        <w:t>2</w:t>
      </w:r>
      <w:r w:rsidR="005E2B83" w:rsidRPr="005E2B83">
        <w:t>7]</w:t>
      </w:r>
      <w:r w:rsidR="005E2B83">
        <w:rPr>
          <w:lang w:eastAsia="en-US"/>
        </w:rPr>
        <w:fldChar w:fldCharType="end"/>
      </w:r>
      <w:r w:rsidR="005E2B83">
        <w:rPr>
          <w:lang w:eastAsia="en-US"/>
        </w:rPr>
        <w:t>.</w:t>
      </w:r>
      <w:r w:rsidR="005E2B83">
        <w:t xml:space="preserve"> </w:t>
      </w:r>
      <w:r>
        <w:t xml:space="preserve"> У пациентов с коинфекцией вирусного гепатита В (BГВ) наблюдалось повышение коэффициента CL/F </w:t>
      </w:r>
      <w:r w:rsidR="00E05A80" w:rsidRPr="00D322B0">
        <w:rPr>
          <w:color w:val="2B213A"/>
        </w:rPr>
        <w:t xml:space="preserve">этраверина </w:t>
      </w:r>
      <w:r>
        <w:t xml:space="preserve">на 8,3%, тогда как у лиц с коинфекцией вирусного гепатита С (ВГC) коэффициент CL/F снижался на 24% </w:t>
      </w:r>
      <w:r>
        <w:fldChar w:fldCharType="begin"/>
      </w:r>
      <w:r w:rsidR="00824DA4">
        <w:instrText xml:space="preserve"> ADDIN ZOTERO_ITEM CSL_CITATION {"citationID":"fKCfggxd","properties":{"formattedCitation":"(28,29)","plainCitation":"(28,29)","noteIndex":0},"citationItems":[{"id":"iY4E1EKJ/6I63rig7","uris":["http://zotero.org/users/1055192/items/TREHJXQW"],"itemData":{"id":19594,"type":"article-journal","abstract":"BACKGROUND: Etravirine is a non-nucleoside reverse transcriptase inhibitor (NNRTI) with activity against both wild-type HIV and viruses harboring NNRTI resistance. Etravirine is mainly eliminated via the hepatobiliary route.\nOBJECTIVES: This study in HIV- patients with mild or moderate hepatic impairment and healthy matched controls was conducted to explore the effects of mild and moderate hepatic impairment on the steady-state pharmacokinetics of etravirine and to provide guidance for the treatment of HIV+ patients with hepatic impairment.\nMETHODS: This open-label, multiple-dose study enrolled HIV- patients aged 18 to 65 years with mild or moderate hepatic impairment (Child-Pugh score, 5-6 or 7-9, respectively) and healthy volunteers matched for age, sex, race, and body mass index (BMI). All subjects received etravirine 200 mg BID with food for 7 days and a morning dose on day 8. Etravirine pharmacokinetics over a period of 12 hours on days 1 and 8 were determined using noncompartmental methods and analyzed using linear mixed-effects modeling. Tolerability of etravirine was assessed based on the reported adverse events, laboratory investigations, ECG, and physical examination.\nRESULTS: Each group comprised 8 subjects (mild hepatic impairment patients: 5 men, 3 women; median age, 57 years [range, 41-65 years]; BMI, 26 kg/m(2) [range, 20-32 kg/m(2)]; moderate hepatic impairment patients: 6 men, 2 women; age, 54 years [range, 44-64 years]; BMI, 26 kg/m(2) [range, 22-32 kg/m(2)]). All patients were white and light smokers. On day 8, the least squares mean ratios (90% CIs) of the log transformed pharmacokinetic properties in patients with mild and moderate hepatic impairment were, respectively: C(min), 0.87 (0.65-1.17) and 0.98 (0.68-1.42) microg/mL; C(max), 0.79 (0.63-1.00) and 0.72 (0.54-0.96) ug/mL; and AUC(0-12), 0.87 (0.69-1.09) and 0.82 (0.60-1.11) microg/mL/h. All treatment-emergent adverse events were considered mild to moderate; the most common were headache (50% in healthy controls) and fatigue and nausea (both 25% in patients with mild hepatic impairment). No clinically significant changes in laboratory parameters, physical examination including vital signs, or ECG were observed. One serious adverse event was reported during the follow-up period in a patient with moderate hepatic impairment due to hepatic cirrhosis secondary to alcoholism. This patient presented at screening with dilated cardiomyopathy and cardiac arrhythmia.\nCONCLUSIONS: In this Phase I pharmacokinetic study, no clinically relevant differences were observed between patients with mild or moderate hepatic impairment and healthy matched subjects with regard to the pharmacokinetics of etravirine. Based on these findings in these HIV- volunteers, no dose adjustment of etravirine appears to be necessary in patients with mild or moderate hepatic impairment. Etravirine was generally well tolerated.","container-title":"Clinical Therapeutics","DOI":"10.1016/j.clinthera.2010.02.013","ISSN":"1879-114X","issue":"2","journalAbbreviation":"Clin Ther","language":"eng","note":"PMID: 20206790","page":"328-337","source":"PubMed","title":"Effects of hepatic impairment on the steady-state pharmacokinetics of etravirine 200 mg BID: an open-label, multiple-dose, controlled Phase I study in adults","title-short":"Effects of hepatic impairment on the steady-state pharmacokinetics of etravirine 200 mg BID","volume":"32","author":[{"family":"Schöller-Gyüre","given":"Monika"},{"family":"Kakuda","given":"Thomas N."},{"family":"De Smedt","given":"Goedele"},{"family":"Woodfall","given":"Brian"},{"family":"Berckmans","given":"Cindy"},{"family":"Peeters","given":"Monika"},{"family":"Hoetelmans","given":"Richard M. W."}],"issued":{"date-parts":[["2010",2]]}},"label":"page"},{"id":"iY4E1EKJ/JLamIxxe","uris":["http://zotero.org/users/1055192/items/WMAE7DPA"],"itemData":{"id":30669,"type":"article-journal","abstract":"The effect of etravirine on cytochrome P450 (CYP) enzymes and P-glycoprotein were evaluated in two randomized, crossover trials in healthy subjects. A modified Cooperstown 5 + 1 cocktail was utilized to determine the effects of etravirine on single-dose pharmacokinetics of model CYP probes. The cocktail was administered alone, then, after a 14-day washout, etravirine 200 mg twice daily (bid) was given for 14 days with cocktail on days 1 and 14. In a separate study, digoxin (0.5 mg) was administered alone, then, after a 14-day washout, etravirine 200 mg bid was administered for 12 days with digoxin on day 8. In the cocktail study, the AUClast least squares mean (LSM) ratios (90% confidence intervals [CIs]) for cocktail + etravirine versus cocktail were 0.93 (0.88, 0.99; paraxanthine), 0.58 (0.44, 0.75; 7-OH-S-warfarin), 0.43 (0.20, 0.96; 5-OH-omeprazole), 0.85 (0.78, 0.94; dextrorphan), and 0.69 (0.64, 0.74; midazolam). Digoxin AUC0-8h was slightly increased with etravirine coadministration (LSM ratio 1.18 [0.90, 1.56]). These data suggest that etravirine is a weak CYP3A isozyme inducer and minimally inhibits CYP2C9, 2C19, and P-glycoprotein activity.","container-title":"Journal of Clinical Pharmacology","DOI":"10.1002/jcph.214","ISSN":"1552-4604","issue":"4","journalAbbreviation":"J Clin Pharmacol","language":"eng","note":"PMID: 24165884","page":"422-431","source":"PubMed","title":"The effect of single- and multiple-dose etravirine on a drug cocktail of representative cytochrome P450 probes and digoxin in healthy subjects","volume":"54","author":[{"family":"Kakuda","given":"Thomas N."},{"family":"Van Solingen-Ristea","given":"Rodica M."},{"family":"Onkelinx","given":"Joelle"},{"family":"Stevens","given":"Tanja"},{"family":"Aharchi","given":"Fatima"},{"family":"De Smedt","given":"Goedele"},{"family":"Peeters","given":"Monika"},{"family":"Leopold","given":"Lorant"},{"family":"Hoetelmans","given":"Richard M. W."}],"issued":{"date-parts":[["2014",4]]}},"label":"page"}],"schema":"https://github.com/citation-style-language/schema/raw/master/csl-citation.json"} </w:instrText>
      </w:r>
      <w:r>
        <w:fldChar w:fldCharType="separate"/>
      </w:r>
      <w:r w:rsidR="005E2B83" w:rsidRPr="008B0B82">
        <w:t>[</w:t>
      </w:r>
      <w:r w:rsidR="000B009B" w:rsidRPr="000B009B">
        <w:t>28,29</w:t>
      </w:r>
      <w:r w:rsidR="005E2B83" w:rsidRPr="008B0B82">
        <w:t>]</w:t>
      </w:r>
      <w:r>
        <w:fldChar w:fldCharType="end"/>
      </w:r>
      <w:r>
        <w:t xml:space="preserve">. </w:t>
      </w:r>
    </w:p>
    <w:p w14:paraId="0F3956F6" w14:textId="1526A18C" w:rsidR="00F7545F" w:rsidRPr="00C07867" w:rsidRDefault="00F7545F" w:rsidP="001C0A37">
      <w:pPr>
        <w:pStyle w:val="affb"/>
        <w:spacing w:before="0" w:after="0" w:line="240" w:lineRule="auto"/>
        <w:ind w:firstLine="709"/>
      </w:pPr>
      <w:r w:rsidRPr="00A97D81">
        <w:t xml:space="preserve">В </w:t>
      </w:r>
      <w:r>
        <w:t xml:space="preserve">пилотном открытом </w:t>
      </w:r>
      <w:r w:rsidRPr="00A97D81">
        <w:t xml:space="preserve">исследовании оценивали </w:t>
      </w:r>
      <w:r>
        <w:t xml:space="preserve">способность </w:t>
      </w:r>
      <w:r w:rsidR="0004243C" w:rsidRPr="00D322B0">
        <w:rPr>
          <w:color w:val="2B213A"/>
        </w:rPr>
        <w:t xml:space="preserve">этраверина </w:t>
      </w:r>
      <w:r>
        <w:t xml:space="preserve">(по 400 мг 1 раз в сутки) поддерживать вирусологическую супрессию </w:t>
      </w:r>
      <w:r w:rsidRPr="00A97D81">
        <w:t xml:space="preserve">у пациентов </w:t>
      </w:r>
      <w:r>
        <w:rPr>
          <w:lang w:val="en-US"/>
        </w:rPr>
        <w:t>c</w:t>
      </w:r>
      <w:r w:rsidRPr="00A97D81">
        <w:t xml:space="preserve"> </w:t>
      </w:r>
      <w:r>
        <w:t xml:space="preserve">опытом предшествующей терапии </w:t>
      </w:r>
      <w:r w:rsidRPr="00A97D81">
        <w:t>ННИОТ</w:t>
      </w:r>
      <w:r>
        <w:t xml:space="preserve">, достигших вирусологической </w:t>
      </w:r>
      <w:r w:rsidRPr="00A97D81">
        <w:t>супресси</w:t>
      </w:r>
      <w:r>
        <w:t xml:space="preserve">и на </w:t>
      </w:r>
      <w:r w:rsidR="0004243C" w:rsidRPr="00D322B0">
        <w:rPr>
          <w:color w:val="2B213A"/>
        </w:rPr>
        <w:t xml:space="preserve">этраверин </w:t>
      </w:r>
      <w:r>
        <w:t xml:space="preserve">по </w:t>
      </w:r>
      <w:r w:rsidRPr="00A97D81">
        <w:t>200 мг два раза в день. После</w:t>
      </w:r>
      <w:r w:rsidRPr="0069067D">
        <w:t xml:space="preserve"> </w:t>
      </w:r>
      <w:r>
        <w:t>переключения</w:t>
      </w:r>
      <w:r w:rsidRPr="0069067D">
        <w:t xml:space="preserve"> </w:t>
      </w:r>
      <w:r w:rsidRPr="00A97D81">
        <w:t>на</w:t>
      </w:r>
      <w:r w:rsidRPr="0069067D">
        <w:t xml:space="preserve"> </w:t>
      </w:r>
      <w:r>
        <w:t>режим</w:t>
      </w:r>
      <w:r w:rsidRPr="0069067D">
        <w:t xml:space="preserve"> </w:t>
      </w:r>
      <w:r>
        <w:t>приема</w:t>
      </w:r>
      <w:r w:rsidRPr="0069067D">
        <w:t xml:space="preserve"> </w:t>
      </w:r>
      <w:r w:rsidR="0004243C" w:rsidRPr="00D322B0">
        <w:rPr>
          <w:color w:val="2B213A"/>
        </w:rPr>
        <w:t xml:space="preserve">этраверина </w:t>
      </w:r>
      <w:r>
        <w:t>по</w:t>
      </w:r>
      <w:r w:rsidRPr="0069067D">
        <w:t xml:space="preserve"> 400 </w:t>
      </w:r>
      <w:r w:rsidRPr="00A97D81">
        <w:t>мг</w:t>
      </w:r>
      <w:r w:rsidRPr="0069067D">
        <w:t xml:space="preserve"> </w:t>
      </w:r>
      <w:r w:rsidRPr="00A97D81">
        <w:t>один</w:t>
      </w:r>
      <w:r w:rsidRPr="0069067D">
        <w:t xml:space="preserve"> </w:t>
      </w:r>
      <w:r w:rsidRPr="00A97D81">
        <w:t>раз</w:t>
      </w:r>
      <w:r w:rsidRPr="0069067D">
        <w:t xml:space="preserve"> </w:t>
      </w:r>
      <w:r w:rsidRPr="00A97D81">
        <w:t>в</w:t>
      </w:r>
      <w:r w:rsidRPr="0069067D">
        <w:t xml:space="preserve"> </w:t>
      </w:r>
      <w:r w:rsidRPr="00A97D81">
        <w:t>сутки</w:t>
      </w:r>
      <w:r w:rsidRPr="0069067D">
        <w:t xml:space="preserve"> </w:t>
      </w:r>
      <w:r>
        <w:t xml:space="preserve">медиана концентрации </w:t>
      </w:r>
      <w:r w:rsidR="0004243C" w:rsidRPr="00D322B0">
        <w:rPr>
          <w:color w:val="2B213A"/>
        </w:rPr>
        <w:t xml:space="preserve">этраверина </w:t>
      </w:r>
      <w:r>
        <w:t xml:space="preserve">оставалась стабильной: исходно </w:t>
      </w:r>
      <w:r w:rsidRPr="0069067D">
        <w:t xml:space="preserve">515 </w:t>
      </w:r>
      <w:r>
        <w:t>нг</w:t>
      </w:r>
      <w:r w:rsidRPr="0069067D">
        <w:t>/</w:t>
      </w:r>
      <w:r>
        <w:t>мл</w:t>
      </w:r>
      <w:r w:rsidRPr="0069067D">
        <w:t xml:space="preserve"> (340</w:t>
      </w:r>
      <w:r>
        <w:t xml:space="preserve"> </w:t>
      </w:r>
      <w:r w:rsidRPr="0069067D">
        <w:t>-</w:t>
      </w:r>
      <w:r>
        <w:t xml:space="preserve"> </w:t>
      </w:r>
      <w:r w:rsidRPr="0069067D">
        <w:t>758)</w:t>
      </w:r>
      <w:r>
        <w:t xml:space="preserve">; после переключения – </w:t>
      </w:r>
      <w:r w:rsidRPr="0069067D">
        <w:t>4</w:t>
      </w:r>
      <w:r>
        <w:t>2</w:t>
      </w:r>
      <w:r w:rsidRPr="0069067D">
        <w:t xml:space="preserve">2 </w:t>
      </w:r>
      <w:r>
        <w:t>нг</w:t>
      </w:r>
      <w:r w:rsidRPr="0069067D">
        <w:t>/</w:t>
      </w:r>
      <w:r>
        <w:t>мл</w:t>
      </w:r>
      <w:r w:rsidRPr="0069067D">
        <w:t xml:space="preserve"> (264-655)</w:t>
      </w:r>
      <w:r>
        <w:t xml:space="preserve">. Создаваемые концентрации примерно в 100 раз превышали </w:t>
      </w:r>
      <w:r>
        <w:rPr>
          <w:lang w:val="en-US"/>
        </w:rPr>
        <w:t>EC</w:t>
      </w:r>
      <w:r w:rsidRPr="007418D5">
        <w:rPr>
          <w:vertAlign w:val="subscript"/>
        </w:rPr>
        <w:t>50</w:t>
      </w:r>
      <w:r>
        <w:t xml:space="preserve"> </w:t>
      </w:r>
      <w:r w:rsidR="0004243C" w:rsidRPr="00D322B0">
        <w:rPr>
          <w:color w:val="2B213A"/>
        </w:rPr>
        <w:t xml:space="preserve">этраверина </w:t>
      </w:r>
      <w:r>
        <w:t xml:space="preserve">для ВИЧ-1 дикого типа, что подтвердило возможность переключения пациентов с режима двукратного дозирования на однократный прием суточной дозы </w:t>
      </w:r>
      <w:r>
        <w:fldChar w:fldCharType="begin"/>
      </w:r>
      <w:r w:rsidR="00824DA4">
        <w:instrText xml:space="preserve"> ADDIN ZOTERO_ITEM CSL_CITATION {"citationID":"JmcxGFhI","properties":{"formattedCitation":"(30)","plainCitation":"(30)","noteIndex":0},"citationItems":[{"id":"iY4E1EKJ/CntcLGd0","uris":["http://zotero.org/users/1055192/items/RUC3J8DM"],"itemData":{"id":31731,"type":"article-journal","abstract":"BACKGROUND: Etravirine (ETR) is recommended as twice-daily dosing in pretreated patients. There are no data regarding the use of ETR once daily in HIV-experienced patients with prior resistance to first-generation non-nucleoside reverse transcripase inhibitors (NNRTIs).\nOBJECTIVES: To evaluate the capacity of once-daily ETR to maintain suppressed viremia over 48 weeks after switching from ETR twice daily in NNRTI-experienced patients.\nMETHODS: In this pilot open-label study, patients with plasma viral load (pVL) &lt;50 copies/mL on a stable ETR 200 mg bid regimen were enrolled to switch to ETR 400 mg qd and followed up over 48 weeks. The primary endpoint was the proportion of patients with pVL &lt;50 copies/mL at week 24. Secondary endpoints included the rate of pVL&lt; 50 copies/mL at week 48, ETR pharmacokinetic parameters, and tolerability and resistance profile.\nRESULTS: Twenty-four patients were included. They had extensive antiretroviral treatment for a median of 14 years (range, 1-19). All except for 2 had prior resistance to NNRTIs. Seven patients discontinued ETR once daily prior to week 48 for virological failure (3), protocol deviation (3), and side effects (1). At week 24, 95% of patients maintained pVL&lt; 50 copies/mL (95% CI, 78.4-99.7) and 85% at week 48 (95%CI, 65.6-95.8). Two of the 3 patients with virological failure had ETR resistance mutations prior to initiation. The median ETR C(trough) level remained stable after switching from twice daily 515 ng/mL (340-758) to once daily 422 ng/mL (264-655).\nCONCLUSION: These results suggest that ETR is effective as a once-daily regimen in patients with prior NNRTI experience when HIV is sensitive to ETR. The stability of C(trough) concentrations on a once-daily regimen confirms the once-daily profile of the drug in experienced patients.","container-title":"HIV clinical trials","DOI":"10.1310/hct1305-284","ISSN":"1528-4336","issue":"5","journalAbbreviation":"HIV Clin Trials","language":"eng","note":"PMID: 23134629","page":"284-288","source":"PubMed","title":"Switch from etravirine twice daily to once daily in non-nucleoside reverse transcriptase inhibitor (NNRTI)-resistant HIV-infected patients with suppressed viremia: the Monetra study","title-short":"Switch from etravirine twice daily to once daily in non-nucleoside reverse transcriptase inhibitor (NNRTI)-resistant HIV-infected patients with suppressed viremia","volume":"13","author":[{"family":"Schneider","given":"L."},{"family":"Ktorza","given":"N."},{"family":"Fourati","given":"S."},{"family":"Assoumou","given":"L."},{"family":"Courbon","given":"E."},{"family":"Caby","given":"F."},{"family":"Blanc","given":"C."},{"family":"Tindel","given":"M."},{"family":"Agher","given":"R."},{"family":"Marcelin","given":"A. G."},{"family":"Calvez","given":"V."},{"family":"Peytavin","given":"G."},{"family":"Katlama","given":"C."}],"issued":{"date-parts":[["2012",10]]}}}],"schema":"https://github.com/citation-style-language/schema/raw/master/csl-citation.json"} </w:instrText>
      </w:r>
      <w:r>
        <w:fldChar w:fldCharType="separate"/>
      </w:r>
      <w:r w:rsidR="005E2B83" w:rsidRPr="005E2B83">
        <w:t>[</w:t>
      </w:r>
      <w:r w:rsidR="000B009B" w:rsidRPr="000B009B">
        <w:t>30</w:t>
      </w:r>
      <w:r w:rsidR="005E2B83" w:rsidRPr="005E2B83">
        <w:t>]</w:t>
      </w:r>
      <w:r>
        <w:fldChar w:fldCharType="end"/>
      </w:r>
      <w:r w:rsidRPr="00C07867">
        <w:t xml:space="preserve">. </w:t>
      </w:r>
    </w:p>
    <w:p w14:paraId="5A74CC1B" w14:textId="0083EE76" w:rsidR="00322353" w:rsidRPr="008005F5" w:rsidRDefault="00F7545F" w:rsidP="001C0A37">
      <w:pPr>
        <w:pStyle w:val="affb"/>
        <w:spacing w:before="0" w:after="0" w:line="240" w:lineRule="auto"/>
        <w:ind w:firstLine="709"/>
      </w:pPr>
      <w:r>
        <w:t xml:space="preserve">Фармакокинетические показатели </w:t>
      </w:r>
      <w:r w:rsidR="0004243C" w:rsidRPr="00D322B0">
        <w:rPr>
          <w:color w:val="2B213A"/>
        </w:rPr>
        <w:t xml:space="preserve">этраверина </w:t>
      </w:r>
      <w:r>
        <w:t xml:space="preserve">характеризуются относительно низкой межиндивидуальной вариабельностью (приблизительно 50% для коэффициента CL/F); недавние исследования показали, что примерно 13% и 5% вариабельности CL/F у разных пациентов определяется приемом сопутствующих АРВП и фармакогеномикой, соответственно </w:t>
      </w:r>
      <w:r>
        <w:fldChar w:fldCharType="begin"/>
      </w:r>
      <w:r w:rsidR="00824DA4">
        <w:instrText xml:space="preserve"> ADDIN ZOTERO_ITEM CSL_CITATION {"citationID":"5EYRabf2","properties":{"formattedCitation":"(27,31,32)","plainCitation":"(27,31,32)","noteIndex":0},"citationItems":[{"id":"iY4E1EKJ/lmdrja9p","uris":["http://zotero.org/users/1055192/items/PN9QEH2E"],"itemData":{"id":30504,"type":"article-journal","abstract":"PIANO (NCT00665847) investigated etravirine pharmacokinetics, efficacy, and safety in children and adolescents. Treatment-experienced, HIV-1-infected patients (≥6 to &lt;18 years) received etravirine 5.2 mg/kg twice daily (maximum 200 mg twice daily) plus background antiretrovirals. A population pharmacokinetic model was developed, and etravirine C0h and AUC0-12h were estimated. Relationships among intrinsic/extrinsic factors and etravirine pharmacokinetics and pharmacokinetics with pharmacodynamics were assessed. The best model describing etravirine pharmacokinetics consisted of a single compartment with sequential zero- and first-order absorption following a lag time. Interindividual variability terms were included on clearance (CL/F) and the first-order input rate constant (KA). The final model estimates (coefficient of variation, %) for CL/F and KA were 46.3 (11) L/h and 1.07 (34) h-1 , respectively. Overall, median (range) estimated etravirine C0h and AUC0-12h were 287 (2-2276) ng/mL and 4560 (62-28,865) ng · h/mL, respectively. Exposure was slightly lower in adolescents vs children. Sex and adherence did not affect etravirine pharmacokinetics. Factors significantly affecting etravirine exposure were body weight (higher with lower weight), race (lower in Asians than in white or black patients), and the use of certain HIV protease inhibitors. Virologic response (&lt;50 copies/mL at week 48) was lower in the lowest etravirine AUC0-12h quartile vs the upper 3 quartiles (41% vs 67% to 76%). Rash occurred more frequently in the highest quartile than in the lower 3 quartiles (52% versus 8% to 20%). Etravirine 5.2 mg/kg twice daily in treatment-experienced, HIV-1-infected children and adolescents provides comparable exposure to that in adults receiving etravirine 200 mg twice daily and is the recommended dose for children and adolescents.","container-title":"Journal of Clinical Pharmacology","DOI":"10.1002/jcph.746","ISSN":"1552-4604","issue":"11","journalAbbreviation":"J Clin Pharmacol","language":"eng","note":"PMID: 27060341","page":"1395-1405","source":"PubMed","title":"Pharmacokinetics and Pharmacokinetic/Pharmacodynamic Relationships of Etravirine in HIV-1-Infected, Treatment-Experienced Children and Adolescents in PIANO","volume":"56","author":[{"family":"Kakuda","given":"Thomas N."},{"family":"Brochot","given":"Anne"},{"family":"Green","given":"Bruce"},{"family":"Nijs","given":"Steven"},{"family":"Vis","given":"Peter"},{"family":"Opsomer","given":"Magda"},{"family":"Tomaka","given":"Frank L."},{"family":"Hoetelmans","given":"Richard M. W."}],"issued":{"date-parts":[["2016",11]]}},"label":"page"},{"id":"iY4E1EKJ/GnuKCzka","uris":["http://zotero.org/users/1055192/items/6MPMTVD8"],"itemData":{"id":30502,"type":"article-journal","abstract":"OBJECTIVES: Etravirine (ETV) is metabolized by cytochrome P450 (CYP) 3A, 2C9, and 2C19. Metabolites are glucuronidated by uridine diphosphate glucuronosyltransferases (UGT). To identify the potential impact of genetic and non-genetic factors involved in ETV metabolism, we carried out a two-step pharmacogenetics-based population pharmacokinetic study in HIV-1 infected individuals.\nMATERIALS AND METHODS: The study population included 144 individuals contributing 289 ETV plasma concentrations and four individuals contributing 23 ETV plasma concentrations collected in a rich sampling design. Genetic variants [n=125 single-nucleotide polymorphisms (SNPs)] in 34 genes with a predicted role in ETV metabolism were selected. A first step population pharmacokinetic model included non-genetic and known genetic factors (seven SNPs in CYP2C, one SNP in CYP3A5) as covariates. Post-hoc individual ETV clearance (CL) was used in a second (discovery) step, in which the effect of the remaining 98 SNPs in CYP3A, P450 cytochrome oxidoreductase (POR), nuclear receptor genes, and UGTs was investigated.\nRESULTS: A one-compartment model with zero-order absorption best characterized ETV pharmacokinetics. The average ETV CL was 41 (l/h) (CV 51.1%), the volume of distribution was 1325 l, and the mean absorption time was 1.2 h. The administration of darunavir/ritonavir or tenofovir was the only non-genetic covariate influencing ETV CL significantly, resulting in a 40% [95% confidence interval (CI): 13-69%] and a 42% (95% CI: 17-68%) increase in ETV CL, respectively. Carriers of rs4244285 (CYP2C19*2) had 23% (8-38%) lower ETV CL. Co-administered antiretroviral agents and genetic factors explained 16% of the variance in ETV concentrations. None of the SNPs in the discovery step influenced ETV CL.\nCONCLUSION: ETV concentrations are highly variable, and co-administered antiretroviral agents and genetic factors explained only a modest part of the interindividual variability in ETV elimination. Opposing effects of interacting drugs effectively abrogate genetic influences on ETV CL, and vice-versa.","container-title":"Pharmacogenetics and Genomics","DOI":"10.1097/FPC.0b013e32835ade82","ISSN":"1744-6880","issue":"1","journalAbbreviation":"Pharmacogenet Genomics","language":"eng","note":"PMID: 23111422","page":"9-18","source":"PubMed","title":"Pharmacogenetics-based population pharmacokinetic analysis of etravirine in HIV-1 infected individuals","volume":"23","author":[{"family":"Lubomirov","given":"Rubin"},{"family":"Arab-Alameddine","given":"Mona"},{"family":"Rotger","given":"Margalida"},{"family":"Fayet-Mello","given":"Aurélie"},{"family":"Martinez","given":"Raquel"},{"family":"Guidi","given":"Monia"},{"family":"Iulio","given":"Julia","non-dropping-particle":"di"},{"family":"Cavassini","given":"Matthias"},{"family":"Günthard","given":"Huldrych F."},{"family":"Furrer","given":"Hansjakob"},{"family":"Marzolini","given":"Catia"},{"family":"Bernasconi","given":"Enos"},{"family":"Calmy","given":"Alexandra"},{"family":"Buclin","given":"Thierry"},{"family":"Decosterd","given":"Laurent A."},{"family":"Csajka","given":"Chantal"},{"family":"Telenti","given":"Amalio"},{"literal":"Swiss HIV Cohort Study"}],"issued":{"date-parts":[["2013",1]]}},"label":"page"},{"id":"iY4E1EKJ/G4P1WRPC","uris":["http://zotero.org/users/1055192/items/QEYRTM8K"],"itemData":{"id":30554,"type":"article-journal","abstract":"AIM: To study the steady-state plasma and intracellular pharmacokinetics of raltegravir, etravirine, darunavir and ritonavir in heavily pre-treated patients.\nMETHODS: Patients on a salvage regimen containing raltegravir, etravirine, darunavir and ritonavir were eligible for inclusion. During a 12 h dosing interval plasma and peripheral blood mononuclear cells were collected. Drug concentrations were measured using a validated LC-MS/MS assay and pharmacokinetic analysis was performed using non-linear mixed effect modelling.\nRESULTS: Irregular absorption was observed with raltegravir and darunavir, which may be caused by enterohepatic cycling. Relative bioavailability of ritonavir was low, when compared with other ritonavir regimens. Raltegravir plasma pharmacokinetics showed wide interpatient variability, while intracellular raltegravir concentrations could not be detected (&lt;0.001 mg l(-1) in cell lysate). The intracellular to plasma ratios for etravirine, darunavir and ritonavir were 12.9, 1.32 and 7.72, respectively, and the relative standard error of these estimates were 16.3%, 12.3% and 13.0%.\nCONCLUSIONS: The observed distinct intracellular accumulation indicated that these drugs have different affinity for the cellular compartment. The relatively high intracellular accumulation of etravirine may explain its efficacy and its previously described absence of PK-PD relationships in the therapeutic concentration range, when compared with other non-nucleoside reverse transcriptase inhibitors. Lastly, the intracellular concentrations of ritonavir seem sufficient for inhibition of viral replication in the cellular compartment in PI-naive patients, but not in patients with HIV harbouring PI resistance.","container-title":"British Journal of Clinical Pharmacology","DOI":"10.1111/j.1365-2125.2010.03634.x","ISSN":"1365-2125","issue":"5","journalAbbreviation":"Br J Clin Pharmacol","language":"eng","note":"PMID: 20573083\nPMCID: PMC2856048","page":"475-483","source":"PubMed","title":"Intracellular and plasma steady-state pharmacokinetics of raltegravir, darunavir, etravirine and ritonavir in heavily pre-treated HIV-infected patients","volume":"69","author":[{"family":"Ter Heine","given":"Rob"},{"family":"Mulder","given":"Jan Willem"},{"family":"Gorp","given":"Eric C. M.","non-dropping-particle":"van"},{"family":"Wagenaar","given":"Jiri F. P."},{"family":"Beijnen","given":"Jos H."},{"family":"Huitema","given":"Alwin D. R."}],"issued":{"date-parts":[["2010",5]]}},"label":"page"}],"schema":"https://github.com/citation-style-language/schema/raw/master/csl-citation.json"} </w:instrText>
      </w:r>
      <w:r>
        <w:fldChar w:fldCharType="separate"/>
      </w:r>
      <w:r w:rsidR="005E2B83" w:rsidRPr="00B66676">
        <w:t>[</w:t>
      </w:r>
      <w:r w:rsidR="000B009B" w:rsidRPr="000B009B">
        <w:t>27,</w:t>
      </w:r>
      <w:r w:rsidR="00356AB0" w:rsidRPr="008B0B82">
        <w:t xml:space="preserve"> </w:t>
      </w:r>
      <w:r w:rsidR="000B009B" w:rsidRPr="000B009B">
        <w:t>31,</w:t>
      </w:r>
      <w:r w:rsidR="00356AB0" w:rsidRPr="008B0B82">
        <w:t xml:space="preserve"> </w:t>
      </w:r>
      <w:r w:rsidR="000B009B" w:rsidRPr="000B009B">
        <w:t>32</w:t>
      </w:r>
      <w:r w:rsidR="005E2B83" w:rsidRPr="00B66676">
        <w:t>]</w:t>
      </w:r>
      <w:r>
        <w:fldChar w:fldCharType="end"/>
      </w:r>
      <w:r>
        <w:t xml:space="preserve">. </w:t>
      </w:r>
    </w:p>
    <w:p w14:paraId="080926DE" w14:textId="77777777" w:rsidR="00075D7F" w:rsidRDefault="00075D7F" w:rsidP="00A76175"/>
    <w:p w14:paraId="7D649550" w14:textId="61372625" w:rsidR="00E75618" w:rsidRPr="00A76175" w:rsidRDefault="00E75618" w:rsidP="00A76175">
      <w:pPr>
        <w:rPr>
          <w:bCs/>
        </w:rPr>
      </w:pPr>
      <w:r w:rsidRPr="00A76175">
        <w:rPr>
          <w:b/>
        </w:rPr>
        <w:t>Линейность фармакокинетики</w:t>
      </w:r>
      <w:bookmarkEnd w:id="145"/>
    </w:p>
    <w:p w14:paraId="00311306" w14:textId="77777777" w:rsidR="00075D7F" w:rsidRDefault="00075D7F" w:rsidP="00133483">
      <w:pPr>
        <w:ind w:firstLine="709"/>
        <w:contextualSpacing/>
      </w:pPr>
      <w:bookmarkStart w:id="147" w:name="_Toc52190581"/>
    </w:p>
    <w:p w14:paraId="66F628D1" w14:textId="3F5A2458" w:rsidR="00133483" w:rsidRPr="0004487D" w:rsidRDefault="00133483" w:rsidP="00133483">
      <w:pPr>
        <w:ind w:firstLine="709"/>
        <w:contextualSpacing/>
      </w:pPr>
      <w:r w:rsidRPr="0004487D">
        <w:t xml:space="preserve">Доступные клинические данные после однократного и многократного введения этравирина здоровым добровольцам имеют ограничения, </w:t>
      </w:r>
      <w:r w:rsidR="00356AB0">
        <w:t xml:space="preserve">не </w:t>
      </w:r>
      <w:r w:rsidRPr="0004487D">
        <w:t xml:space="preserve">позволяющие сделать надежные выводы в отношении линейности дозы коммерческого препарата, поскольку эти исследования проводились с экспериментальными препаратами. Основываясь на этих данных, скорость всасывания и время достижения равновесной концентрации (около 7 дней), по-видимому, не зависят от уровня дозы или состава </w:t>
      </w:r>
      <w:r w:rsidR="00356AB0">
        <w:t xml:space="preserve">лекарственной формы </w:t>
      </w:r>
      <w:r w:rsidRPr="0004487D">
        <w:t xml:space="preserve">этравирина. Основываясь на этих данных, скорость всасывания и время достижения равновесной концентрации (около 7 дней), по-видимому, не зависят от уровня дозы или состава </w:t>
      </w:r>
      <w:r w:rsidR="00356AB0">
        <w:t>лекарственной формы</w:t>
      </w:r>
      <w:r w:rsidR="00356AB0" w:rsidRPr="0004487D">
        <w:t xml:space="preserve"> </w:t>
      </w:r>
      <w:r w:rsidRPr="0004487D">
        <w:t>этравирина. Период</w:t>
      </w:r>
      <w:r w:rsidRPr="00133483">
        <w:t xml:space="preserve"> </w:t>
      </w:r>
      <w:r w:rsidRPr="0004487D">
        <w:t>полувыведения</w:t>
      </w:r>
      <w:r w:rsidRPr="00133483">
        <w:t xml:space="preserve"> </w:t>
      </w:r>
      <w:r w:rsidRPr="0004487D">
        <w:t>составляет</w:t>
      </w:r>
      <w:r w:rsidRPr="00133483">
        <w:t xml:space="preserve"> </w:t>
      </w:r>
      <w:r w:rsidRPr="0004487D">
        <w:t>около</w:t>
      </w:r>
      <w:r w:rsidRPr="00133483">
        <w:t xml:space="preserve"> 60 </w:t>
      </w:r>
      <w:r w:rsidRPr="0004487D">
        <w:t>часов</w:t>
      </w:r>
      <w:r w:rsidRPr="00133483">
        <w:t>.</w:t>
      </w:r>
    </w:p>
    <w:p w14:paraId="0C88DA95" w14:textId="4AC0BC92" w:rsidR="00133483" w:rsidRPr="0004487D" w:rsidRDefault="00133483" w:rsidP="00133483">
      <w:pPr>
        <w:ind w:firstLine="709"/>
        <w:contextualSpacing/>
      </w:pPr>
      <w:r w:rsidRPr="0004487D">
        <w:t xml:space="preserve">Кроме того, трудно полностью оценить пропорциональность дозы </w:t>
      </w:r>
      <w:r w:rsidR="00356AB0">
        <w:t>по данным</w:t>
      </w:r>
      <w:r w:rsidR="00356AB0" w:rsidRPr="0004487D">
        <w:t xml:space="preserve"> </w:t>
      </w:r>
      <w:r w:rsidRPr="0004487D">
        <w:t>фармакокинетических исследований, проведенных у пациентов</w:t>
      </w:r>
      <w:r w:rsidR="00356AB0">
        <w:t xml:space="preserve"> с</w:t>
      </w:r>
      <w:r w:rsidRPr="0004487D">
        <w:t xml:space="preserve"> ВИЧ-1</w:t>
      </w:r>
      <w:r w:rsidR="00356AB0">
        <w:t>-инфекцией</w:t>
      </w:r>
      <w:r w:rsidRPr="0004487D">
        <w:t xml:space="preserve">. </w:t>
      </w:r>
      <w:r w:rsidR="00356AB0">
        <w:t>Ограничением</w:t>
      </w:r>
      <w:r w:rsidRPr="0004487D">
        <w:t xml:space="preserve"> является то</w:t>
      </w:r>
      <w:r w:rsidR="00356AB0">
        <w:t>т факт</w:t>
      </w:r>
      <w:r w:rsidRPr="0004487D">
        <w:t>, что пропорциональность дозы этравирина при увеличении дозы не исследовалась у пациентов, инфицированных ВИЧ-1, с использованием коммерческого препарата. Фармакокинетические данные по этой лекарственной форме доступны только в субанализе исследований III фазы, однако небольшой размер выборки, составляющий менее 20 пациентов в каждой группе, затрудняет получение надежных выводов.</w:t>
      </w:r>
    </w:p>
    <w:p w14:paraId="793634E2" w14:textId="5F56AE19" w:rsidR="00133483" w:rsidRPr="0004487D" w:rsidRDefault="00133483" w:rsidP="00133483">
      <w:pPr>
        <w:ind w:firstLine="709"/>
        <w:contextualSpacing/>
        <w:rPr>
          <w:rFonts w:eastAsia="Times New Roman"/>
          <w:color w:val="000000"/>
          <w:lang w:eastAsia="ru-RU"/>
        </w:rPr>
      </w:pPr>
      <w:r w:rsidRPr="0004487D">
        <w:rPr>
          <w:rFonts w:eastAsia="Times New Roman"/>
          <w:color w:val="000000"/>
          <w:lang w:eastAsia="ru-RU"/>
        </w:rPr>
        <w:t xml:space="preserve">CHMP действительно счел эти ограничения неудачными из-за возникших трудностей в понимании фармакокинетического профиля соединения с учетом многочисленных изменений состава. Поэтому заявителю было предложено дополнительно обсудить зависимость фармакокинетики этравирина от дозы и времени у ВИЧ-инфицированных пациентов. В заключение следует отметить, что фармакокинетика этравирина более чем пропорциональна дозе. </w:t>
      </w:r>
      <w:r w:rsidR="00356AB0">
        <w:rPr>
          <w:rFonts w:eastAsia="Times New Roman"/>
          <w:color w:val="000000"/>
          <w:lang w:eastAsia="ru-RU"/>
        </w:rPr>
        <w:t>В</w:t>
      </w:r>
      <w:r w:rsidR="00356AB0" w:rsidRPr="0004487D">
        <w:rPr>
          <w:rFonts w:eastAsia="Times New Roman"/>
          <w:color w:val="000000"/>
          <w:lang w:eastAsia="ru-RU"/>
        </w:rPr>
        <w:t xml:space="preserve"> коммерческой рецептуре препарата </w:t>
      </w:r>
      <w:r w:rsidR="00356AB0">
        <w:rPr>
          <w:rFonts w:eastAsia="Times New Roman"/>
          <w:color w:val="000000"/>
          <w:lang w:eastAsia="ru-RU"/>
        </w:rPr>
        <w:t>ф</w:t>
      </w:r>
      <w:r w:rsidR="00356AB0" w:rsidRPr="0004487D">
        <w:rPr>
          <w:rFonts w:eastAsia="Times New Roman"/>
          <w:color w:val="000000"/>
          <w:lang w:eastAsia="ru-RU"/>
        </w:rPr>
        <w:t xml:space="preserve">армакокинетика </w:t>
      </w:r>
      <w:r w:rsidRPr="0004487D">
        <w:rPr>
          <w:rFonts w:eastAsia="Times New Roman"/>
          <w:color w:val="000000"/>
          <w:lang w:eastAsia="ru-RU"/>
        </w:rPr>
        <w:t>после двухкратного введения не исследовалось в дозах, превышающих 200 мг два раза в день.</w:t>
      </w:r>
    </w:p>
    <w:p w14:paraId="2F97A921" w14:textId="1B61D8AA" w:rsidR="00133483" w:rsidRPr="00296413" w:rsidRDefault="00133483" w:rsidP="00133483">
      <w:pPr>
        <w:ind w:firstLine="709"/>
        <w:contextualSpacing/>
        <w:rPr>
          <w:rFonts w:eastAsia="Times New Roman"/>
          <w:color w:val="000000"/>
          <w:lang w:eastAsia="ru-RU"/>
        </w:rPr>
      </w:pPr>
      <w:r w:rsidRPr="0004487D">
        <w:rPr>
          <w:rFonts w:eastAsia="Times New Roman"/>
          <w:color w:val="000000"/>
          <w:lang w:eastAsia="ru-RU"/>
        </w:rPr>
        <w:t xml:space="preserve">Фармакокинетика, зависящая от времени, не наблюдалась ни в </w:t>
      </w:r>
      <w:r w:rsidR="00356AB0" w:rsidRPr="0004487D">
        <w:rPr>
          <w:rFonts w:eastAsia="Times New Roman"/>
          <w:color w:val="000000"/>
          <w:lang w:eastAsia="ru-RU"/>
        </w:rPr>
        <w:t xml:space="preserve">дополнительных </w:t>
      </w:r>
      <w:r w:rsidRPr="0004487D">
        <w:rPr>
          <w:rFonts w:eastAsia="Times New Roman"/>
          <w:color w:val="000000"/>
          <w:lang w:eastAsia="ru-RU"/>
        </w:rPr>
        <w:t>фармакокинетических исследованиях DUET, ни в основных исследованиях DUET с использованием популяционной фармакокинетики в течение 24 недель.</w:t>
      </w:r>
      <w:r>
        <w:rPr>
          <w:rFonts w:eastAsia="Times New Roman"/>
          <w:color w:val="000000"/>
          <w:lang w:eastAsia="ru-RU"/>
        </w:rPr>
        <w:t xml:space="preserve"> </w:t>
      </w:r>
      <w:r>
        <w:rPr>
          <w:lang w:eastAsia="en-US"/>
        </w:rPr>
        <w:fldChar w:fldCharType="begin"/>
      </w:r>
      <w:r>
        <w:rPr>
          <w:lang w:eastAsia="en-US"/>
        </w:rPr>
        <w:instrText xml:space="preserve"> ADDIN ZOTERO_ITEM CSL_CITATION {"citationID":"4sP65BUp","properties":{"formattedCitation":"(23)","plainCitation":"(23)","noteIndex":0},"citationItems":[{"id":2588,"uris":["http://zotero.org/users/5483459/items/XZWGXXTF"],"itemData":{"id":2588,"type":"document","title":"European Medicines Agency INTELENCE®Summary of Product Characteristic. 2008.Doc.Ref.: EMEA/CHMP/43952/2008"}}],"schema":"https://github.com/citation-style-language/schema/raw/master/csl-citation.json"} </w:instrText>
      </w:r>
      <w:r>
        <w:rPr>
          <w:lang w:eastAsia="en-US"/>
        </w:rPr>
        <w:fldChar w:fldCharType="separate"/>
      </w:r>
      <w:r w:rsidRPr="005E2B83">
        <w:t>[</w:t>
      </w:r>
      <w:r w:rsidRPr="0023211B">
        <w:t>23</w:t>
      </w:r>
      <w:r w:rsidRPr="005E2B83">
        <w:t>]</w:t>
      </w:r>
      <w:r>
        <w:rPr>
          <w:lang w:eastAsia="en-US"/>
        </w:rPr>
        <w:fldChar w:fldCharType="end"/>
      </w:r>
      <w:r>
        <w:rPr>
          <w:lang w:eastAsia="en-US"/>
        </w:rPr>
        <w:t>.</w:t>
      </w:r>
    </w:p>
    <w:p w14:paraId="6F7AD2C1" w14:textId="77777777" w:rsidR="00030E0F" w:rsidRDefault="00030E0F" w:rsidP="00A76175"/>
    <w:p w14:paraId="73F51D1A" w14:textId="3C88002F" w:rsidR="00075D7F" w:rsidRPr="00A76175" w:rsidRDefault="00B47726" w:rsidP="00A76175">
      <w:pPr>
        <w:rPr>
          <w:bCs/>
        </w:rPr>
      </w:pPr>
      <w:r w:rsidRPr="00A76175">
        <w:rPr>
          <w:b/>
        </w:rPr>
        <w:t>Фармакокинетика у особых групп пациентов</w:t>
      </w:r>
      <w:bookmarkEnd w:id="147"/>
    </w:p>
    <w:p w14:paraId="33433863" w14:textId="77777777" w:rsidR="00075D7F" w:rsidRDefault="00075D7F" w:rsidP="00A76175">
      <w:bookmarkStart w:id="148" w:name="_Toc52190582"/>
    </w:p>
    <w:p w14:paraId="6209EC22" w14:textId="77777777" w:rsidR="001B39D1" w:rsidRPr="00A76175" w:rsidRDefault="001B39D1" w:rsidP="00A76175">
      <w:pPr>
        <w:rPr>
          <w:rStyle w:val="ac"/>
          <w:i/>
        </w:rPr>
      </w:pPr>
      <w:bookmarkStart w:id="149" w:name="_Toc52190583"/>
      <w:bookmarkEnd w:id="148"/>
      <w:r w:rsidRPr="00A76175">
        <w:rPr>
          <w:rStyle w:val="ac"/>
          <w:i/>
        </w:rPr>
        <w:t xml:space="preserve">Пожилые пациенты </w:t>
      </w:r>
    </w:p>
    <w:p w14:paraId="31B4B22A" w14:textId="0EC3426C" w:rsidR="001B39D1" w:rsidRDefault="001B39D1" w:rsidP="00EE1D8E">
      <w:pPr>
        <w:pStyle w:val="affb"/>
        <w:spacing w:before="0" w:after="0" w:line="240" w:lineRule="auto"/>
        <w:ind w:firstLine="709"/>
        <w:rPr>
          <w:lang w:eastAsia="en-US"/>
        </w:rPr>
      </w:pPr>
      <w:r>
        <w:rPr>
          <w:lang w:eastAsia="en-US"/>
        </w:rPr>
        <w:t xml:space="preserve">Согласно результатам анализа популяционной фармакокинетики у пациентов с ВИЧ-инфекцией, фармакокинетика </w:t>
      </w:r>
      <w:r w:rsidR="00E43F4C" w:rsidRPr="00D322B0">
        <w:rPr>
          <w:color w:val="2B213A"/>
        </w:rPr>
        <w:t xml:space="preserve">этраверина </w:t>
      </w:r>
      <w:r>
        <w:rPr>
          <w:lang w:eastAsia="en-US"/>
        </w:rPr>
        <w:t>значительно не различалась в изученном возрастном диапазоне (от 18 до 77 лет), при этом 6 участников были в возрасте 65 лет или старше</w:t>
      </w:r>
      <w:r w:rsidR="0023211B">
        <w:rPr>
          <w:lang w:eastAsia="en-US"/>
        </w:rPr>
        <w:t xml:space="preserve"> </w:t>
      </w:r>
      <w:r w:rsidR="0023211B">
        <w:rPr>
          <w:lang w:eastAsia="en-US"/>
        </w:rPr>
        <w:fldChar w:fldCharType="begin"/>
      </w:r>
      <w:r w:rsidR="0023211B">
        <w:rPr>
          <w:lang w:eastAsia="en-US"/>
        </w:rPr>
        <w:instrText xml:space="preserve"> ADDIN ZOTERO_ITEM CSL_CITATION {"citationID":"4sP65BUp","properties":{"formattedCitation":"(23)","plainCitation":"(23)","noteIndex":0},"citationItems":[{"id":2588,"uris":["http://zotero.org/users/5483459/items/XZWGXXTF"],"itemData":{"id":2588,"type":"document","title":"European Medicines Agency INTELENCE®Summary of Product Characteristic. 2008.Doc.Ref.: EMEA/CHMP/43952/2008"}}],"schema":"https://github.com/citation-style-language/schema/raw/master/csl-citation.json"} </w:instrText>
      </w:r>
      <w:r w:rsidR="0023211B">
        <w:rPr>
          <w:lang w:eastAsia="en-US"/>
        </w:rPr>
        <w:fldChar w:fldCharType="separate"/>
      </w:r>
      <w:r w:rsidR="005E2B83" w:rsidRPr="005E2B83">
        <w:t>[</w:t>
      </w:r>
      <w:r w:rsidR="0023211B" w:rsidRPr="0023211B">
        <w:t>23</w:t>
      </w:r>
      <w:r w:rsidR="005E2B83" w:rsidRPr="005E2B83">
        <w:t>]</w:t>
      </w:r>
      <w:r w:rsidR="0023211B">
        <w:rPr>
          <w:lang w:eastAsia="en-US"/>
        </w:rPr>
        <w:fldChar w:fldCharType="end"/>
      </w:r>
      <w:r>
        <w:rPr>
          <w:lang w:eastAsia="en-US"/>
        </w:rPr>
        <w:t xml:space="preserve">. </w:t>
      </w:r>
    </w:p>
    <w:p w14:paraId="73D7F549" w14:textId="77777777" w:rsidR="00356AB0" w:rsidRDefault="00356AB0">
      <w:pPr>
        <w:pStyle w:val="affb"/>
        <w:spacing w:before="0" w:after="0" w:line="240" w:lineRule="auto"/>
        <w:ind w:firstLine="709"/>
        <w:rPr>
          <w:lang w:eastAsia="en-US"/>
        </w:rPr>
      </w:pPr>
    </w:p>
    <w:p w14:paraId="41BF0B54" w14:textId="58896760" w:rsidR="00356AB0" w:rsidRDefault="001B39D1" w:rsidP="00A76175">
      <w:pPr>
        <w:pStyle w:val="affb"/>
        <w:spacing w:before="0" w:after="0" w:line="240" w:lineRule="auto"/>
      </w:pPr>
      <w:r w:rsidRPr="00A76175">
        <w:rPr>
          <w:rStyle w:val="ac"/>
          <w:i/>
        </w:rPr>
        <w:t>Дети (1 год - &lt;18 лет)</w:t>
      </w:r>
    </w:p>
    <w:p w14:paraId="016E6A8E" w14:textId="40D8FFE9" w:rsidR="001B39D1" w:rsidRDefault="001B39D1">
      <w:pPr>
        <w:pStyle w:val="affb"/>
        <w:spacing w:before="0" w:after="0" w:line="240" w:lineRule="auto"/>
        <w:ind w:firstLine="709"/>
      </w:pPr>
      <w:r>
        <w:t xml:space="preserve">В </w:t>
      </w:r>
      <w:r w:rsidR="00127D69">
        <w:t xml:space="preserve">клиническом </w:t>
      </w:r>
      <w:r>
        <w:t xml:space="preserve">исследовании </w:t>
      </w:r>
      <w:r w:rsidR="0023211B">
        <w:t xml:space="preserve">I </w:t>
      </w:r>
      <w:r w:rsidR="00127D69">
        <w:t>/</w:t>
      </w:r>
      <w:r w:rsidR="0023211B">
        <w:t xml:space="preserve">II </w:t>
      </w:r>
      <w:r>
        <w:t xml:space="preserve">фазы изучалась фармакокинетика </w:t>
      </w:r>
      <w:r w:rsidR="0023211B" w:rsidRPr="00D322B0">
        <w:rPr>
          <w:color w:val="2B213A"/>
        </w:rPr>
        <w:t xml:space="preserve">этраверина </w:t>
      </w:r>
      <w:r>
        <w:t>у 21 ребенка с опытом терапии, разделенных на две когорты (когорта 1: возраст детей от 2 до &lt;6 лет; когорта 2: возраст</w:t>
      </w:r>
      <w:r w:rsidRPr="00FC5169">
        <w:t xml:space="preserve"> детей</w:t>
      </w:r>
      <w:r>
        <w:t xml:space="preserve"> от 1 до &lt;2 лет). Участники получали </w:t>
      </w:r>
      <w:r w:rsidR="0023211B" w:rsidRPr="00D322B0">
        <w:rPr>
          <w:color w:val="2B213A"/>
        </w:rPr>
        <w:t>этраверин</w:t>
      </w:r>
      <w:r w:rsidR="0023211B">
        <w:rPr>
          <w:color w:val="2B213A"/>
        </w:rPr>
        <w:t xml:space="preserve"> </w:t>
      </w:r>
      <w:r>
        <w:t xml:space="preserve">в зависимости от веса тела: 75 мг два раза в день (от 8 до &lt;10 кг); 100 мг два раза в день (от 10 до &lt;20 кг); или 125 мг два раза в день (от 20 до &lt;25 кг) </w:t>
      </w:r>
      <w:r>
        <w:fldChar w:fldCharType="begin"/>
      </w:r>
      <w:r w:rsidR="00824DA4">
        <w:instrText xml:space="preserve"> ADDIN ZOTERO_ITEM CSL_CITATION {"citationID":"ZTf2XJUP","properties":{"formattedCitation":"(10,33,34)","plainCitation":"(10,33,34)","noteIndex":0},"citationItems":[{"id":"iY4E1EKJ/f50FxBR2","uris":["http://zotero.org/users/1055192/items/M9MKCBKZ"],"itemData":{"id":30450,"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PMC7034776","page":"137-154","source":"PubMed","title":"Clinical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V."}],"issued":{"date-parts":[["2020",2]]}},"label":"page"},{"id":"iY4E1EKJ/j3fryB98","uris":["http://zotero.org/users/1055192/items/6IXTGWP3"],"itemData":{"id":31714,"type":"article","title":"Clinical and cross-discipline team leader review/addendum. NDA#22187/Supplement 024","URL":"https://www.fda.gov/media/115201/download","author":[{"family":"US FDA","given":""}],"accessed":{"date-parts":[["2021",11,26]]},"issued":{"date-parts":[["2018"]]}},"label":"page"},{"id":"iY4E1EKJ/QqbhmuQ6","uris":["http://zotero.org/users/1055192/items/AD3FEQQC"],"itemData":{"id":31715,"type":"paper-conference","abstract":"IMPAACT P1090 is a Phase I/II study of etravirine (ETR) pharmacokinetics (PK), dose- finding, and safety in antiretroviral (ARV) treatment-experienced HIV-infected children 1 to &lt;6 yrs from the U.S., South Africa (SA) and Brazil. Treatment-experienced children on a failing ARV regimen for ≥8 wk or on a treatment interruption for ≥4 wk with a history…","container-title":"CROI Conference","event":"The Conference on Retroviruses and Opportunistic Infections","event-place":"Boston, Massachusetts","language":"en-US","page":"Abstr. number 465","publisher-place":"Boston, Massachusetts","title":"ETRAVIRINE PHARMACOKINETICS IN TREATMENT-EXPERIENCED CHILDREN AGES 1-","URL":"https://www.croiconference.org/abstract/etravirine-pharmacokinetics-treatment-experienced-children-ages-1/","author":[{"family":"MacBrayne","given":"S.E."},{"family":"Rutstein","given":"R."},{"family":"Yogev","given":"R."}],"accessed":{"date-parts":[["2021",11,26]]},"issued":{"date-parts":[["2018",3,4]]}},"label":"page"}],"schema":"https://github.com/citation-style-language/schema/raw/master/csl-citation.json"} </w:instrText>
      </w:r>
      <w:r>
        <w:fldChar w:fldCharType="separate"/>
      </w:r>
      <w:r w:rsidR="005E2B83" w:rsidRPr="00B66676">
        <w:t>[</w:t>
      </w:r>
      <w:r w:rsidR="0023211B" w:rsidRPr="0023211B">
        <w:t>10,</w:t>
      </w:r>
      <w:r w:rsidR="00356AB0">
        <w:t xml:space="preserve"> </w:t>
      </w:r>
      <w:r w:rsidR="0023211B" w:rsidRPr="0023211B">
        <w:t>33,</w:t>
      </w:r>
      <w:r w:rsidR="00356AB0">
        <w:t xml:space="preserve"> </w:t>
      </w:r>
      <w:r w:rsidR="0023211B" w:rsidRPr="0023211B">
        <w:t>34</w:t>
      </w:r>
      <w:r w:rsidR="005E2B83" w:rsidRPr="00B66676">
        <w:t>]</w:t>
      </w:r>
      <w:r>
        <w:fldChar w:fldCharType="end"/>
      </w:r>
      <w:r>
        <w:t xml:space="preserve">. </w:t>
      </w:r>
      <w:r w:rsidR="0023211B">
        <w:rPr>
          <w:color w:val="2B213A"/>
        </w:rPr>
        <w:t>Э</w:t>
      </w:r>
      <w:r w:rsidR="0023211B" w:rsidRPr="00D322B0">
        <w:rPr>
          <w:color w:val="2B213A"/>
        </w:rPr>
        <w:t>траверин</w:t>
      </w:r>
      <w:r w:rsidR="0023211B">
        <w:rPr>
          <w:color w:val="2B213A"/>
        </w:rPr>
        <w:t xml:space="preserve"> </w:t>
      </w:r>
      <w:r>
        <w:t xml:space="preserve">использовался в сочетании с двумя другими АРВП, включая ИП, усиленный </w:t>
      </w:r>
      <w:r>
        <w:rPr>
          <w:lang w:val="en-US"/>
        </w:rPr>
        <w:t>RTV</w:t>
      </w:r>
      <w:r w:rsidR="00A003A8">
        <w:t xml:space="preserve"> (ритоновиром)</w:t>
      </w:r>
      <w:r>
        <w:t>. Среднее геометрическое (CV%) времени до достижения C</w:t>
      </w:r>
      <w:r w:rsidRPr="00D013C6">
        <w:rPr>
          <w:vertAlign w:val="subscript"/>
        </w:rPr>
        <w:t>max</w:t>
      </w:r>
      <w:r>
        <w:t xml:space="preserve"> (T</w:t>
      </w:r>
      <w:r w:rsidRPr="00D013C6">
        <w:rPr>
          <w:vertAlign w:val="subscript"/>
        </w:rPr>
        <w:t>max</w:t>
      </w:r>
      <w:r>
        <w:t>), C</w:t>
      </w:r>
      <w:r w:rsidRPr="00D013C6">
        <w:rPr>
          <w:vertAlign w:val="subscript"/>
        </w:rPr>
        <w:t>max</w:t>
      </w:r>
      <w:r>
        <w:t xml:space="preserve"> и AUC</w:t>
      </w:r>
      <w:r w:rsidRPr="00D013C6">
        <w:rPr>
          <w:vertAlign w:val="subscript"/>
        </w:rPr>
        <w:t xml:space="preserve">12ч </w:t>
      </w:r>
      <w:r>
        <w:t>для когорт 1 и 2 составили 4,5 часа (42%) против (</w:t>
      </w:r>
      <w:r>
        <w:rPr>
          <w:lang w:val="en-US"/>
        </w:rPr>
        <w:t>vs</w:t>
      </w:r>
      <w:r w:rsidRPr="00D013C6">
        <w:t>.</w:t>
      </w:r>
      <w:r>
        <w:t xml:space="preserve">) 2 часа (75%), 466 нг/мл (84%) </w:t>
      </w:r>
      <w:r>
        <w:rPr>
          <w:lang w:val="en-US"/>
        </w:rPr>
        <w:t>vs</w:t>
      </w:r>
      <w:r w:rsidRPr="00D013C6">
        <w:t xml:space="preserve">. </w:t>
      </w:r>
      <w:r>
        <w:t xml:space="preserve">390 нг/мл (89%) и 3823 нг/мл (95%) </w:t>
      </w:r>
      <w:r>
        <w:rPr>
          <w:lang w:val="en-US"/>
        </w:rPr>
        <w:t>vs</w:t>
      </w:r>
      <w:r w:rsidRPr="00D013C6">
        <w:t xml:space="preserve">. </w:t>
      </w:r>
      <w:r>
        <w:t>3328 нг/мл (94%), соответственно</w:t>
      </w:r>
      <w:r w:rsidRPr="00213E13">
        <w:t xml:space="preserve"> </w:t>
      </w:r>
      <w:r>
        <w:fldChar w:fldCharType="begin"/>
      </w:r>
      <w:r w:rsidR="00824DA4">
        <w:instrText xml:space="preserve"> ADDIN ZOTERO_ITEM CSL_CITATION {"citationID":"9TEsarkG","properties":{"formattedCitation":"(34)","plainCitation":"(34)","noteIndex":0},"citationItems":[{"id":"iY4E1EKJ/QqbhmuQ6","uris":["http://zotero.org/users/1055192/items/AD3FEQQC"],"itemData":{"id":31715,"type":"paper-conference","abstract":"IMPAACT P1090 is a Phase I/II study of etravirine (ETR) pharmacokinetics (PK), dose- finding, and safety in antiretroviral (ARV) treatment-experienced HIV-infected children 1 to &lt;6 yrs from the U.S., South Africa (SA) and Brazil. Treatment-experienced children on a failing ARV regimen for ≥8 wk or on a treatment interruption for ≥4 wk with a history…","container-title":"CROI Conference","event":"The Conference on Retroviruses and Opportunistic Infections","event-place":"Boston, Massachusetts","language":"en-US","page":"Abstr. number 465","publisher-place":"Boston, Massachusetts","title":"ETRAVIRINE PHARMACOKINETICS IN TREATMENT-EXPERIENCED CHILDREN AGES 1-","URL":"https://www.croiconference.org/abstract/etravirine-pharmacokinetics-treatment-experienced-children-ages-1/","author":[{"family":"MacBrayne","given":"S.E."},{"family":"Rutstein","given":"R."},{"family":"Yogev","given":"R."}],"accessed":{"date-parts":[["2021",11,26]]},"issued":{"date-parts":[["2018",3,4]]}}}],"schema":"https://github.com/citation-style-language/schema/raw/master/csl-citation.json"} </w:instrText>
      </w:r>
      <w:r>
        <w:fldChar w:fldCharType="separate"/>
      </w:r>
      <w:r w:rsidR="005E2B83" w:rsidRPr="005E2B83">
        <w:t>[</w:t>
      </w:r>
      <w:r w:rsidR="0023211B" w:rsidRPr="0023211B">
        <w:t>34</w:t>
      </w:r>
      <w:r w:rsidR="005E2B83" w:rsidRPr="005E2B83">
        <w:t>]</w:t>
      </w:r>
      <w:r>
        <w:fldChar w:fldCharType="end"/>
      </w:r>
      <w:r>
        <w:t xml:space="preserve">. </w:t>
      </w:r>
    </w:p>
    <w:p w14:paraId="03FA8575" w14:textId="502BF4FC" w:rsidR="001B39D1" w:rsidRDefault="001B39D1" w:rsidP="001C0A37">
      <w:pPr>
        <w:pStyle w:val="affb"/>
        <w:spacing w:before="0" w:after="0" w:line="240" w:lineRule="auto"/>
        <w:ind w:firstLine="709"/>
      </w:pPr>
      <w:r>
        <w:t xml:space="preserve">Исследование </w:t>
      </w:r>
      <w:r w:rsidR="00127D69">
        <w:t xml:space="preserve">I </w:t>
      </w:r>
      <w:r>
        <w:t xml:space="preserve">фазы с участием 21 пациента (&gt; 6–18 лет) включало два этапа дозирования </w:t>
      </w:r>
      <w:r w:rsidR="00A003A8" w:rsidRPr="00D322B0">
        <w:rPr>
          <w:color w:val="2B213A"/>
        </w:rPr>
        <w:t>этраверин</w:t>
      </w:r>
      <w:r>
        <w:t>: 4 мг/кг два раза в день и 5,2 мг/кг два раза в день. Среднее (SD) C</w:t>
      </w:r>
      <w:r w:rsidRPr="001F2246">
        <w:rPr>
          <w:vertAlign w:val="subscript"/>
        </w:rPr>
        <w:t>max</w:t>
      </w:r>
      <w:r>
        <w:t xml:space="preserve"> и AUC</w:t>
      </w:r>
      <w:r w:rsidRPr="001F2246">
        <w:rPr>
          <w:vertAlign w:val="subscript"/>
        </w:rPr>
        <w:t>12ч</w:t>
      </w:r>
      <w:r>
        <w:t xml:space="preserve"> составили 495 (453) </w:t>
      </w:r>
      <w:r>
        <w:rPr>
          <w:lang w:val="en-US"/>
        </w:rPr>
        <w:t>vs</w:t>
      </w:r>
      <w:r w:rsidRPr="001F2246">
        <w:t>.</w:t>
      </w:r>
      <w:r>
        <w:t xml:space="preserve"> 757 (680) нг/мл и 4050 (3602) </w:t>
      </w:r>
      <w:r>
        <w:rPr>
          <w:lang w:val="en-US"/>
        </w:rPr>
        <w:t>vs</w:t>
      </w:r>
      <w:r w:rsidRPr="001F2246">
        <w:t xml:space="preserve">. </w:t>
      </w:r>
      <w:r>
        <w:t>6141 (5586) нг/ч/мл для доз 4 мг/кг и 5,2 мг/кг</w:t>
      </w:r>
      <w:r w:rsidRPr="001F2246">
        <w:t xml:space="preserve"> </w:t>
      </w:r>
      <w:r>
        <w:fldChar w:fldCharType="begin"/>
      </w:r>
      <w:r w:rsidR="00824DA4">
        <w:instrText xml:space="preserve"> ADDIN ZOTERO_ITEM CSL_CITATION {"citationID":"UXh1RhgW","properties":{"formattedCitation":"(35)","plainCitation":"(35)","noteIndex":0},"citationItems":[{"id":"iY4E1EKJ/qE9sH7bz","uris":["http://zotero.org/users/1055192/items/UDFQDZDJ"],"itemData":{"id":20940,"type":"article-journal","abstract":"OBJECTIVES: To evaluate the pharmacokinetics, weight-based dose selection and short-term safety and tolerability of etravirine in HIV-1-infected children and adolescents.\nDESIGN: Phase I, nonrandomized, open-label study in two stages.\nMETHODS: Children and adolescents aged at least 6 years to 17 years or less on a stable lopinavir/ritonavir-based antiretroviral regimen with HIV-1 RNA plasma viral load less than 50 copies/ml were enrolled. In both stages, etravirine (4 mg/kg twice daily in stage I, 5.2 mg/kg twice daily in stage II), added to the existing antiretroviral regimen, was administered for 7 days followed by a morning dose and 12-h pharmacokinetic assessment on day 8. Pharmacokinetic parameters were determined using noncompartmental analysis. Data were compared with those previously established in HIV-1-infected adults on a similar etravirine (200 mg twice daily) combination antiretroviral regimen.\nRESULTS: Twenty-one patients were recruited to each stage; 19 and 20 had evaluable pharmacokinetics in stages I and II, respectively. Mean (SD) maximum plasma concentrations in stages I and II were 495 (453) and 757 ng/ml (680), respectively; area under the plasma concentration-time curve over 12 h was 4050 (3602) and 6141 ng h/ml (5586), respectively. Statistical/qualitative comparisons showed comparable exposures with adults in stage II; however, the upper 90% confidence interval fell outside the predefined range. Plasma viral load remained undetectable on day 8 in all patients, and etravirine was well tolerated at both doses.\nCONCLUSION: Etravirine 5.2 mg/kg was well tolerated in this study and this dose was selected for further investigation in clinical trials.","container-title":"AIDS (London, England)","DOI":"10.1097/QAD.0b013e32834f30b1","ISSN":"1473-5571","issue":"4","journalAbbreviation":"AIDS","language":"eng","note":"PMID: 22156961","page":"447-455","source":"PubMed","title":"Pharmacokinetics and short-term safety and tolerability of etravirine in treatment-experienced HIV-1-infected children and adolescents","volume":"26","author":[{"family":"Königs","given":"Christoph"},{"family":"Feiterna-Sperling","given":"Cornelia"},{"family":"Esposito","given":"Susanna"},{"family":"Viscoli","given":"Claudio"},{"family":"Rosso","given":"Raffaella"},{"family":"Kakuda","given":"Thomas N."},{"family":"Leemans","given":"Ruud"},{"family":"Peeters","given":"Monika"},{"family":"Mack","given":"Rebecca"},{"family":"Peeters","given":"Ingeborg"},{"family":"Sinha","given":"Rekha"},{"family":"Boven","given":"Katia"},{"family":"Giaquinto","given":"Carlo"}],"issued":{"date-parts":[["2012",2,20]]}}}],"schema":"https://github.com/citation-style-language/schema/raw/master/csl-citation.json"} </w:instrText>
      </w:r>
      <w:r>
        <w:fldChar w:fldCharType="separate"/>
      </w:r>
      <w:r w:rsidR="005E2B83" w:rsidRPr="00B66676">
        <w:t>[</w:t>
      </w:r>
      <w:r w:rsidR="0023211B" w:rsidRPr="0023211B">
        <w:t>35</w:t>
      </w:r>
      <w:r w:rsidR="005E2B83" w:rsidRPr="00B66676">
        <w:t>]</w:t>
      </w:r>
      <w:r>
        <w:fldChar w:fldCharType="end"/>
      </w:r>
      <w:r>
        <w:t xml:space="preserve">. В дозе 5,2 мг/кг экспозиция </w:t>
      </w:r>
      <w:r w:rsidR="00A003A8" w:rsidRPr="00D322B0">
        <w:rPr>
          <w:color w:val="2B213A"/>
        </w:rPr>
        <w:t>этраверин</w:t>
      </w:r>
      <w:r w:rsidR="00A003A8">
        <w:rPr>
          <w:color w:val="2B213A"/>
        </w:rPr>
        <w:t xml:space="preserve"> </w:t>
      </w:r>
      <w:r>
        <w:t xml:space="preserve">была сопоставима со взрослыми, получавшими его в дозе 200 мг два раза в день, поэтому эта доза и была выбрана для дальнейшего исследования у педиатрических пациентов. </w:t>
      </w:r>
    </w:p>
    <w:p w14:paraId="3CDE9200" w14:textId="5AFFC920" w:rsidR="001B39D1" w:rsidRDefault="001B39D1" w:rsidP="00EE1D8E">
      <w:pPr>
        <w:pStyle w:val="affb"/>
        <w:spacing w:before="0" w:after="0" w:line="240" w:lineRule="auto"/>
        <w:ind w:firstLine="709"/>
      </w:pPr>
      <w:r>
        <w:t>Таким образом, оценка</w:t>
      </w:r>
      <w:r w:rsidRPr="00891AFF">
        <w:t xml:space="preserve"> </w:t>
      </w:r>
      <w:r>
        <w:t>фармакокинетики</w:t>
      </w:r>
      <w:r w:rsidRPr="00891AFF">
        <w:t xml:space="preserve"> </w:t>
      </w:r>
      <w:r w:rsidR="00A003A8" w:rsidRPr="00D322B0">
        <w:rPr>
          <w:color w:val="2B213A"/>
        </w:rPr>
        <w:t>этраверин</w:t>
      </w:r>
      <w:r w:rsidR="00A003A8">
        <w:rPr>
          <w:color w:val="2B213A"/>
        </w:rPr>
        <w:t>а</w:t>
      </w:r>
      <w:r w:rsidR="004E2465">
        <w:rPr>
          <w:color w:val="2B213A"/>
        </w:rPr>
        <w:t xml:space="preserve"> </w:t>
      </w:r>
      <w:r>
        <w:t>у</w:t>
      </w:r>
      <w:r w:rsidRPr="00891AFF">
        <w:t xml:space="preserve"> 122 </w:t>
      </w:r>
      <w:r>
        <w:t>ВИЧ</w:t>
      </w:r>
      <w:r w:rsidRPr="00891AFF">
        <w:t>-1-</w:t>
      </w:r>
      <w:r>
        <w:t>инфицированного</w:t>
      </w:r>
      <w:r w:rsidRPr="00891AFF">
        <w:t xml:space="preserve"> </w:t>
      </w:r>
      <w:r>
        <w:t>ребенка в</w:t>
      </w:r>
      <w:r w:rsidRPr="00891AFF">
        <w:t xml:space="preserve"> </w:t>
      </w:r>
      <w:r>
        <w:t>возрасте</w:t>
      </w:r>
      <w:r w:rsidRPr="00891AFF">
        <w:t xml:space="preserve"> 1 </w:t>
      </w:r>
      <w:r>
        <w:t>год</w:t>
      </w:r>
      <w:r w:rsidRPr="00891AFF">
        <w:t xml:space="preserve"> - &lt; 18 </w:t>
      </w:r>
      <w:r>
        <w:t>лет</w:t>
      </w:r>
      <w:r w:rsidRPr="00891AFF">
        <w:t xml:space="preserve"> </w:t>
      </w:r>
      <w:r>
        <w:t>показала</w:t>
      </w:r>
      <w:r w:rsidRPr="00891AFF">
        <w:t xml:space="preserve">, </w:t>
      </w:r>
      <w:r>
        <w:t>что</w:t>
      </w:r>
      <w:r w:rsidRPr="00891AFF">
        <w:t xml:space="preserve"> </w:t>
      </w:r>
      <w:r>
        <w:t xml:space="preserve">дозирование </w:t>
      </w:r>
      <w:r w:rsidR="004E2465" w:rsidRPr="00D322B0">
        <w:rPr>
          <w:color w:val="2B213A"/>
        </w:rPr>
        <w:t>этраверин</w:t>
      </w:r>
      <w:r w:rsidR="004E2465">
        <w:rPr>
          <w:color w:val="2B213A"/>
        </w:rPr>
        <w:t xml:space="preserve">а </w:t>
      </w:r>
      <w:r>
        <w:t>в мг</w:t>
      </w:r>
      <w:r w:rsidRPr="00BF5DD3">
        <w:t>/</w:t>
      </w:r>
      <w:r>
        <w:t xml:space="preserve">кг веса тела приводит к экспозиции </w:t>
      </w:r>
      <w:r w:rsidR="004E2465" w:rsidRPr="00D322B0">
        <w:rPr>
          <w:color w:val="2B213A"/>
        </w:rPr>
        <w:t>этраверин</w:t>
      </w:r>
      <w:r w:rsidR="004E2465">
        <w:rPr>
          <w:color w:val="2B213A"/>
        </w:rPr>
        <w:t>а</w:t>
      </w:r>
      <w:r>
        <w:t xml:space="preserve">, сравнимой с таковой у взрослых пациентов, получающих </w:t>
      </w:r>
      <w:r w:rsidR="004E2465" w:rsidRPr="00D322B0">
        <w:rPr>
          <w:color w:val="2B213A"/>
        </w:rPr>
        <w:t>этраверин</w:t>
      </w:r>
      <w:r w:rsidR="004E2465">
        <w:rPr>
          <w:color w:val="2B213A"/>
        </w:rPr>
        <w:t xml:space="preserve"> </w:t>
      </w:r>
      <w:r>
        <w:t xml:space="preserve">в дозе </w:t>
      </w:r>
      <w:r w:rsidRPr="00891AFF">
        <w:t xml:space="preserve">200 </w:t>
      </w:r>
      <w:r>
        <w:t>мг дважды в день</w:t>
      </w:r>
      <w:r w:rsidRPr="00891AFF">
        <w:t xml:space="preserve">. </w:t>
      </w:r>
      <w:r>
        <w:t>Данные</w:t>
      </w:r>
      <w:r w:rsidRPr="00FC036E">
        <w:t xml:space="preserve"> </w:t>
      </w:r>
      <w:r>
        <w:t>оценки</w:t>
      </w:r>
      <w:r w:rsidRPr="00FC036E">
        <w:t xml:space="preserve"> </w:t>
      </w:r>
      <w:r>
        <w:t>популяционной</w:t>
      </w:r>
      <w:r w:rsidRPr="00FC036E">
        <w:t xml:space="preserve"> </w:t>
      </w:r>
      <w:r>
        <w:t>фармакокинетики</w:t>
      </w:r>
      <w:r w:rsidRPr="00FC036E">
        <w:t xml:space="preserve"> </w:t>
      </w:r>
      <w:r>
        <w:rPr>
          <w:lang w:val="en-US"/>
        </w:rPr>
        <w:t>ETR</w:t>
      </w:r>
      <w:r w:rsidRPr="00FC036E">
        <w:t xml:space="preserve"> </w:t>
      </w:r>
      <w:r w:rsidRPr="00C65A70">
        <w:rPr>
          <w:lang w:val="en-US"/>
        </w:rPr>
        <w:t>AUC</w:t>
      </w:r>
      <w:r w:rsidRPr="00FC036E">
        <w:rPr>
          <w:vertAlign w:val="subscript"/>
        </w:rPr>
        <w:t>12</w:t>
      </w:r>
      <w:r>
        <w:rPr>
          <w:vertAlign w:val="subscript"/>
        </w:rPr>
        <w:t>ч</w:t>
      </w:r>
      <w:r w:rsidRPr="00FC036E">
        <w:t xml:space="preserve"> </w:t>
      </w:r>
      <w:r>
        <w:t>и</w:t>
      </w:r>
      <w:r w:rsidRPr="00FC036E">
        <w:t xml:space="preserve"> </w:t>
      </w:r>
      <w:r w:rsidRPr="00C65A70">
        <w:rPr>
          <w:lang w:val="en-US"/>
        </w:rPr>
        <w:t>C</w:t>
      </w:r>
      <w:r w:rsidRPr="00FC036E">
        <w:rPr>
          <w:vertAlign w:val="subscript"/>
        </w:rPr>
        <w:t>0</w:t>
      </w:r>
      <w:r>
        <w:rPr>
          <w:vertAlign w:val="subscript"/>
        </w:rPr>
        <w:t>ч</w:t>
      </w:r>
      <w:r w:rsidRPr="00FC036E">
        <w:rPr>
          <w:vertAlign w:val="subscript"/>
        </w:rPr>
        <w:t xml:space="preserve"> </w:t>
      </w:r>
      <w:r>
        <w:t>суммированы</w:t>
      </w:r>
      <w:r w:rsidRPr="00FC036E">
        <w:t xml:space="preserve"> </w:t>
      </w:r>
      <w:r>
        <w:t>в</w:t>
      </w:r>
      <w:r w:rsidRPr="00FC036E">
        <w:t xml:space="preserve"> </w:t>
      </w:r>
      <w:r>
        <w:t>таблице</w:t>
      </w:r>
      <w:r w:rsidRPr="00FC036E">
        <w:t xml:space="preserve"> </w:t>
      </w:r>
      <w:r>
        <w:t>ниже</w:t>
      </w:r>
      <w:r w:rsidRPr="00FC036E">
        <w:t xml:space="preserve"> (</w:t>
      </w:r>
      <w:r>
        <w:fldChar w:fldCharType="begin"/>
      </w:r>
      <w:r w:rsidRPr="00FC036E">
        <w:instrText xml:space="preserve"> </w:instrText>
      </w:r>
      <w:r w:rsidRPr="0043492F">
        <w:instrText>REF</w:instrText>
      </w:r>
      <w:r w:rsidRPr="00FC036E">
        <w:instrText xml:space="preserve"> _</w:instrText>
      </w:r>
      <w:r w:rsidRPr="0043492F">
        <w:instrText>Ref</w:instrText>
      </w:r>
      <w:r w:rsidRPr="00FC036E">
        <w:instrText>88586734 \</w:instrText>
      </w:r>
      <w:r w:rsidRPr="0043492F">
        <w:instrText>h</w:instrText>
      </w:r>
      <w:r w:rsidRPr="00FC036E">
        <w:instrText xml:space="preserve"> </w:instrText>
      </w:r>
      <w:r>
        <w:instrText xml:space="preserve"> \* MERGEFORMAT </w:instrText>
      </w:r>
      <w:r>
        <w:fldChar w:fldCharType="separate"/>
      </w:r>
      <w:r w:rsidR="00C21413" w:rsidRPr="00C21413">
        <w:t>Таблица 4-</w:t>
      </w:r>
      <w:r>
        <w:fldChar w:fldCharType="end"/>
      </w:r>
      <w:r w:rsidR="001C0A37">
        <w:t>2</w:t>
      </w:r>
      <w:r w:rsidRPr="00FC036E">
        <w:t>)</w:t>
      </w:r>
      <w:r>
        <w:t xml:space="preserve"> </w:t>
      </w:r>
      <w:r>
        <w:fldChar w:fldCharType="begin"/>
      </w:r>
      <w:r w:rsidR="00824DA4">
        <w:instrText xml:space="preserve"> ADDIN ZOTERO_ITEM CSL_CITATION {"citationID":"ie370foR","properties":{"formattedCitation":"(26,27,36,37)","plainCitation":"(26,27,36,37)","noteIndex":0},"citationItems":[{"id":"iY4E1EKJ/4GOIfbGT","uris":["http://zotero.org/users/1055192/items/WGWKHZDW"],"itemData":{"id":20937,"type":"article","abstract":"Intelence","language":"en","title":"Intelence. Summary of product characteristics","URL":"https://www.ema.europa.eu/en/documents/product-information/intelence-epar-product-information_en.pdf","author":[{"family":"European Medicines Agency","given":""}],"accessed":{"date-parts":[["2021",3,11]]},"issued":{"date-parts":[["2018",9,17]]}},"label":"page"},{"id":"iY4E1EKJ/CPfMvdnN","uris":["http://zotero.org/users/1055192/items/PEHI4NXD"],"itemData":{"id":19596,"type":"article-journal","abstract":"The pharmacokinetics and pharmacodynamics of the antiretroviral agent etravirine were evaluated in two phase III clinical trials. Pharmacokinetic data were available in 577 patients randomized to receive etravirine. The mean (SD) population-pharmacokinetics-derived area under the concentration-time curve at 12 h (AUC(12 h)) and concentration at 0 h (C(0 h)) were 5,501 (4,544) ng·h/ml and 393 (378) ng/ml, respectively. Hepatitis C coinfection raised etravarine exposure, and concomitant use of tenofovir disoproxil fumarate lowered etravirine exposure, but these changes were not considered clinically relevant. Etravirine apparent oral clearance was not affected by age, weight, sex, race, hepatitis B coinfection status, creatinine clearance, or concomitant use of enfuvirtide. Virologic response (&lt;50 copies/ml) at week 24 was 59% in patients randomized to etravirine vs. 41% in those receiving placebo (P &lt; 0.0001). There was no apparent relationship between etravirine pharmacokinetics and either efficacy or safety. Factors other than the pharmacokinetics of etravirine such as the characteristics of the patients and the disease, as well as characteristics of the treatment regimen, predict virologic response.","container-title":"Clinical Pharmacology and Therapeutics","DOI":"10.1038/clpt.2010.181","ISSN":"1532-6535","issue":"5","journalAbbreviation":"Clin. Pharmacol. Ther.","language":"eng","note":"PMID: 20881958","page":"695-703","source":"PubMed","title":"Pharmacokinetics and pharmacodynamics of the non-nucleoside reverse-transcriptase inhibitor etravirine in treatment-experienced HIV-1-infected patients","volume":"88","author":[{"family":"Kakuda","given":"T. N."},{"family":"Wade","given":"J. R."},{"family":"Snoeck","given":"E."},{"family":"Vis","given":"P."},{"family":"Schöller-Gyüre","given":"M."},{"family":"Peeters","given":"M. P."},{"family":"Corbett","given":"C."},{"family":"Nijs","given":"S."},{"family":"Vingerhoets","given":"J."},{"family":"Leopold","given":"L."},{"family":"De Smedt","given":"G."},{"family":"Woodfall","given":"B. J."},{"family":"Hoetelmans","given":"R. M. W."}],"issued":{"date-parts":[["2010",11]]}},"label":"page"},{"id":"iY4E1EKJ/lmdrja9p","uris":["http://zotero.org/users/1055192/items/PN9QEH2E"],"itemData":{"id":30504,"type":"article-journal","abstract":"PIANO (NCT00665847) investigated etravirine pharmacokinetics, efficacy, and safety in children and adolescents. Treatment-experienced, HIV-1-infected patients (≥6 to &lt;18 years) received etravirine 5.2 mg/kg twice daily (maximum 200 mg twice daily) plus background antiretrovirals. A population pharmacokinetic model was developed, and etravirine C0h and AUC0-12h were estimated. Relationships among intrinsic/extrinsic factors and etravirine pharmacokinetics and pharmacokinetics with pharmacodynamics were assessed. The best model describing etravirine pharmacokinetics consisted of a single compartment with sequential zero- and first-order absorption following a lag time. Interindividual variability terms were included on clearance (CL/F) and the first-order input rate constant (KA). The final model estimates (coefficient of variation, %) for CL/F and KA were 46.3 (11) L/h and 1.07 (34) h-1 , respectively. Overall, median (range) estimated etravirine C0h and AUC0-12h were 287 (2-2276) ng/mL and 4560 (62-28,865) ng · h/mL, respectively. Exposure was slightly lower in adolescents vs children. Sex and adherence did not affect etravirine pharmacokinetics. Factors significantly affecting etravirine exposure were body weight (higher with lower weight), race (lower in Asians than in white or black patients), and the use of certain HIV protease inhibitors. Virologic response (&lt;50 copies/mL at week 48) was lower in the lowest etravirine AUC0-12h quartile vs the upper 3 quartiles (41% vs 67% to 76%). Rash occurred more frequently in the highest quartile than in the lower 3 quartiles (52% versus 8% to 20%). Etravirine 5.2 mg/kg twice daily in treatment-experienced, HIV-1-infected children and adolescents provides comparable exposure to that in adults receiving etravirine 200 mg twice daily and is the recommended dose for children and adolescents.","container-title":"Journal of Clinical Pharmacology","DOI":"10.1002/jcph.746","ISSN":"1552-4604","issue":"11","journalAbbreviation":"J Clin Pharmacol","language":"eng","note":"PMID: 27060341","page":"1395-1405","source":"PubMed","title":"Pharmacokinetics and Pharmacokinetic/Pharmacodynamic Relationships of Etravirine in HIV-1-Infected, Treatment-Experienced Children and Adolescents in PIANO","volume":"56","author":[{"family":"Kakuda","given":"Thomas N."},{"family":"Brochot","given":"Anne"},{"family":"Green","given":"Bruce"},{"family":"Nijs","given":"Steven"},{"family":"Vis","given":"Peter"},{"family":"Opsomer","given":"Magda"},{"family":"Tomaka","given":"Frank L."},{"family":"Hoetelmans","given":"Richard M. W."}],"issued":{"date-parts":[["2016",11]]}},"label":"page"},{"id":"iY4E1EKJ/VtujWpaB","uris":["http://zotero.org/users/1055192/items/ZP7M2RR5"],"itemData":{"id":24724,"type":"webpage","abstract":"A Phase I/II, Open-Label Trial to Evaluate the Safety, Tolerability, Pharmacokinetics and Antiviral Activity of Etravirine (ETR) in Antiretroviral Experienced HIV-1 Infected Infants and Children, Aged &gt;= 2 Months to &lt; 6 Years","language":"en","title":"P1090 / Safety, Tolerability, Pharmacokinetics and Antiviral Activity of Etravirine / A Phase I/II, Open-Label Trial to Evaluate the Safety, Tolerability, Pharmacokinetics and Antiviral Activity of Etravirine (ETR) in Antiretroviral Experienced HIV-1 Infected Infants and Children, Aged &gt;= 2 Months to &lt; 6 Years |","URL":"https://www.impaactnetwork.org/studies/p1090","author":[{"family":"IMPAACT","given":""}],"accessed":{"date-parts":[["2021",3,12]]}},"label":"page"}],"schema":"https://github.com/citation-style-language/schema/raw/master/csl-citation.json"} </w:instrText>
      </w:r>
      <w:r>
        <w:fldChar w:fldCharType="separate"/>
      </w:r>
      <w:r w:rsidR="005E2B83" w:rsidRPr="005E2B83">
        <w:t>[</w:t>
      </w:r>
      <w:r w:rsidR="0023211B" w:rsidRPr="0023211B">
        <w:t>26,</w:t>
      </w:r>
      <w:r w:rsidR="00356AB0">
        <w:t xml:space="preserve"> </w:t>
      </w:r>
      <w:r w:rsidR="0023211B" w:rsidRPr="0023211B">
        <w:t>27,</w:t>
      </w:r>
      <w:r w:rsidR="00356AB0">
        <w:t xml:space="preserve"> </w:t>
      </w:r>
      <w:r w:rsidR="0023211B" w:rsidRPr="0023211B">
        <w:t>36,</w:t>
      </w:r>
      <w:r w:rsidR="00356AB0">
        <w:t xml:space="preserve"> </w:t>
      </w:r>
      <w:r w:rsidR="0023211B" w:rsidRPr="0023211B">
        <w:t>37</w:t>
      </w:r>
      <w:r w:rsidR="005E2B83" w:rsidRPr="005E2B83">
        <w:t>]</w:t>
      </w:r>
      <w:r>
        <w:fldChar w:fldCharType="end"/>
      </w:r>
      <w:r>
        <w:t>.</w:t>
      </w:r>
      <w:r w:rsidRPr="00FC036E">
        <w:t xml:space="preserve"> </w:t>
      </w:r>
    </w:p>
    <w:p w14:paraId="124E8253" w14:textId="77777777" w:rsidR="00984745" w:rsidRPr="00FC036E" w:rsidRDefault="00984745">
      <w:pPr>
        <w:pStyle w:val="affb"/>
        <w:spacing w:before="0" w:after="0" w:line="240" w:lineRule="auto"/>
        <w:ind w:firstLine="709"/>
      </w:pPr>
    </w:p>
    <w:p w14:paraId="2170ACE7" w14:textId="77777777" w:rsidR="00421CA0" w:rsidRDefault="00421CA0" w:rsidP="008B0B82">
      <w:pPr>
        <w:pStyle w:val="aff1"/>
        <w:keepNext/>
        <w:spacing w:before="0"/>
        <w:rPr>
          <w:b/>
          <w:bCs/>
        </w:rPr>
        <w:sectPr w:rsidR="00421CA0" w:rsidSect="00AB01E2">
          <w:pgSz w:w="11906" w:h="16838"/>
          <w:pgMar w:top="1134" w:right="849" w:bottom="1134" w:left="1701" w:header="708" w:footer="709" w:gutter="0"/>
          <w:cols w:space="708"/>
          <w:docGrid w:linePitch="360"/>
        </w:sectPr>
      </w:pPr>
      <w:bookmarkStart w:id="150" w:name="_Ref88586734"/>
      <w:bookmarkStart w:id="151" w:name="_Toc90372768"/>
    </w:p>
    <w:p w14:paraId="7F5488ED" w14:textId="3F6BB0F6" w:rsidR="00D260AE" w:rsidRPr="004F0D23" w:rsidRDefault="001B39D1" w:rsidP="008B0B82">
      <w:pPr>
        <w:pStyle w:val="aff1"/>
        <w:keepNext/>
        <w:spacing w:before="0"/>
        <w:rPr>
          <w:b/>
          <w:bCs/>
        </w:rPr>
      </w:pPr>
      <w:r w:rsidRPr="00D260AE">
        <w:rPr>
          <w:b/>
          <w:bCs/>
        </w:rPr>
        <w:t xml:space="preserve">Таблица </w:t>
      </w:r>
      <w:r w:rsidR="00D260AE" w:rsidRPr="00D260AE">
        <w:rPr>
          <w:b/>
          <w:bCs/>
        </w:rPr>
        <w:t>4-</w:t>
      </w:r>
      <w:bookmarkEnd w:id="150"/>
      <w:r w:rsidR="00D260AE" w:rsidRPr="00D260AE">
        <w:rPr>
          <w:b/>
          <w:bCs/>
        </w:rPr>
        <w:t>2</w:t>
      </w:r>
      <w:r w:rsidR="001C0A37">
        <w:rPr>
          <w:b/>
          <w:bCs/>
        </w:rPr>
        <w:t>.</w:t>
      </w:r>
      <w:r w:rsidRPr="00D260AE">
        <w:rPr>
          <w:b/>
          <w:bCs/>
        </w:rPr>
        <w:t xml:space="preserve"> </w:t>
      </w:r>
      <w:r w:rsidRPr="001C0A37">
        <w:rPr>
          <w:bCs/>
        </w:rPr>
        <w:t xml:space="preserve">Фармакокинетические параметры этравирина у ВИЧ-1-инфицированных пациентов от 1 года до 18 лет с опытом предшествующей терапии </w:t>
      </w:r>
      <w:r w:rsidR="003564C5" w:rsidRPr="001C0A37">
        <w:rPr>
          <w:bCs/>
        </w:rPr>
        <w:t xml:space="preserve"> в исследовании </w:t>
      </w:r>
      <w:r w:rsidRPr="001C0A37">
        <w:rPr>
          <w:bCs/>
        </w:rPr>
        <w:t xml:space="preserve">TMC125-C234/IMPAACT P1090 </w:t>
      </w:r>
      <w:r w:rsidR="00CE5BEC" w:rsidRPr="001C0A37">
        <w:rPr>
          <w:bCs/>
        </w:rPr>
        <w:t>(</w:t>
      </w:r>
      <w:r w:rsidRPr="001C0A37">
        <w:rPr>
          <w:bCs/>
        </w:rPr>
        <w:t>48 недельный анализ, интенсивная фармакокинетика</w:t>
      </w:r>
      <w:r w:rsidR="00CE5BEC" w:rsidRPr="001C0A37">
        <w:rPr>
          <w:bCs/>
        </w:rPr>
        <w:t>)</w:t>
      </w:r>
      <w:r w:rsidRPr="001C0A37">
        <w:rPr>
          <w:bCs/>
        </w:rPr>
        <w:t xml:space="preserve"> и PIANO </w:t>
      </w:r>
      <w:r w:rsidR="00CE5BEC" w:rsidRPr="001C0A37">
        <w:rPr>
          <w:bCs/>
        </w:rPr>
        <w:t>(</w:t>
      </w:r>
      <w:r w:rsidRPr="001C0A37">
        <w:rPr>
          <w:bCs/>
        </w:rPr>
        <w:t xml:space="preserve">48 недельный анализ, популяционная фармакокинетика) </w:t>
      </w:r>
      <w:r w:rsidRPr="001C0A37">
        <w:rPr>
          <w:bCs/>
        </w:rPr>
        <w:fldChar w:fldCharType="begin"/>
      </w:r>
      <w:r w:rsidR="00824DA4" w:rsidRPr="001C0A37">
        <w:rPr>
          <w:bCs/>
        </w:rPr>
        <w:instrText xml:space="preserve"> ADDIN ZOTERO_ITEM CSL_CITATION {"citationID":"WfoFGJEp","properties":{"formattedCitation":"(36)","plainCitation":"(36)","noteIndex":0},"citationItems":[{"id":"iY4E1EKJ/4GOIfbGT","uris":["http://zotero.org/users/1055192/items/WGWKHZDW"],"itemData":{"id":20937,"type":"article","abstract":"Intelence","language":"en","title":"Intelence. Summary of product characteristics","URL":"https://www.ema.europa.eu/en/documents/product-information/intelence-epar-product-information_en.pdf","author":[{"family":"European Medicines Agency","given":""}],"accessed":{"date-parts":[["2021",3,11]]},"issued":{"date-parts":[["2018",9,17]]}}}],"schema":"https://github.com/citation-style-language/schema/raw/master/csl-citation.json"} </w:instrText>
      </w:r>
      <w:r w:rsidRPr="001C0A37">
        <w:rPr>
          <w:bCs/>
        </w:rPr>
        <w:fldChar w:fldCharType="separate"/>
      </w:r>
      <w:bookmarkEnd w:id="151"/>
      <w:r w:rsidR="005E2B83" w:rsidRPr="005E2B83">
        <w:rPr>
          <w:bCs/>
        </w:rPr>
        <w:t>[</w:t>
      </w:r>
      <w:r w:rsidR="0023211B" w:rsidRPr="001C0A37">
        <w:rPr>
          <w:bCs/>
        </w:rPr>
        <w:t>36</w:t>
      </w:r>
      <w:r w:rsidR="005E2B83" w:rsidRPr="005E2B83">
        <w:rPr>
          <w:bCs/>
        </w:rPr>
        <w:t>]</w:t>
      </w:r>
      <w:r w:rsidRPr="001C0A37">
        <w:rPr>
          <w:bCs/>
        </w:rPr>
        <w:fldChar w:fldCharType="end"/>
      </w:r>
      <w:r w:rsidR="00356AB0">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30"/>
        <w:gridCol w:w="2301"/>
        <w:gridCol w:w="2314"/>
        <w:gridCol w:w="2301"/>
      </w:tblGrid>
      <w:tr w:rsidR="001B39D1" w:rsidRPr="00D260AE" w14:paraId="6FCD045D" w14:textId="77777777" w:rsidTr="008B0B82">
        <w:trPr>
          <w:trHeight w:val="438"/>
          <w:tblHeader/>
        </w:trPr>
        <w:tc>
          <w:tcPr>
            <w:tcW w:w="1300" w:type="pct"/>
            <w:shd w:val="clear" w:color="auto" w:fill="D9D9D9" w:themeFill="background1" w:themeFillShade="D9"/>
          </w:tcPr>
          <w:p w14:paraId="631251CD" w14:textId="77777777" w:rsidR="001B39D1" w:rsidRPr="00D260AE" w:rsidRDefault="001B39D1" w:rsidP="003961D8">
            <w:pPr>
              <w:jc w:val="center"/>
              <w:rPr>
                <w:rFonts w:eastAsia="Times New Roman"/>
                <w:b/>
                <w:bCs/>
              </w:rPr>
            </w:pPr>
            <w:r w:rsidRPr="00D260AE">
              <w:rPr>
                <w:rFonts w:eastAsia="Times New Roman"/>
                <w:b/>
                <w:bCs/>
              </w:rPr>
              <w:t xml:space="preserve">Возраст (диапазон) </w:t>
            </w:r>
            <w:r w:rsidRPr="00D260AE">
              <w:rPr>
                <w:rFonts w:eastAsia="Times New Roman"/>
                <w:b/>
                <w:bCs/>
              </w:rPr>
              <w:br/>
              <w:t>(годы)</w:t>
            </w:r>
          </w:p>
        </w:tc>
        <w:tc>
          <w:tcPr>
            <w:tcW w:w="1231" w:type="pct"/>
            <w:shd w:val="clear" w:color="auto" w:fill="D9D9D9" w:themeFill="background1" w:themeFillShade="D9"/>
            <w:vAlign w:val="bottom"/>
          </w:tcPr>
          <w:p w14:paraId="50D90FA5" w14:textId="77777777" w:rsidR="001B39D1" w:rsidRPr="00D260AE" w:rsidRDefault="001B39D1" w:rsidP="003961D8">
            <w:pPr>
              <w:jc w:val="center"/>
              <w:rPr>
                <w:rFonts w:eastAsia="Times New Roman"/>
                <w:b/>
                <w:bCs/>
              </w:rPr>
            </w:pPr>
            <w:r w:rsidRPr="00D260AE">
              <w:rPr>
                <w:rFonts w:eastAsia="Times New Roman"/>
                <w:b/>
                <w:bCs/>
              </w:rPr>
              <w:t xml:space="preserve">&gt; 1 года &lt; 2 лет </w:t>
            </w:r>
            <w:r w:rsidRPr="00D260AE">
              <w:rPr>
                <w:rFonts w:eastAsia="Times New Roman"/>
                <w:b/>
                <w:bCs/>
              </w:rPr>
              <w:br/>
              <w:t>(Когорта II)</w:t>
            </w:r>
          </w:p>
        </w:tc>
        <w:tc>
          <w:tcPr>
            <w:tcW w:w="1238" w:type="pct"/>
            <w:shd w:val="clear" w:color="auto" w:fill="D9D9D9" w:themeFill="background1" w:themeFillShade="D9"/>
            <w:vAlign w:val="bottom"/>
          </w:tcPr>
          <w:p w14:paraId="323A158B" w14:textId="77777777" w:rsidR="001B39D1" w:rsidRPr="00D260AE" w:rsidRDefault="001B39D1" w:rsidP="003961D8">
            <w:pPr>
              <w:jc w:val="center"/>
              <w:rPr>
                <w:rFonts w:eastAsia="Times New Roman"/>
                <w:b/>
                <w:bCs/>
              </w:rPr>
            </w:pPr>
            <w:r w:rsidRPr="00D260AE">
              <w:rPr>
                <w:rFonts w:eastAsia="Times New Roman"/>
                <w:b/>
                <w:bCs/>
              </w:rPr>
              <w:t xml:space="preserve">&gt; 2 лет &lt; 6 лет </w:t>
            </w:r>
            <w:r w:rsidRPr="00D260AE">
              <w:rPr>
                <w:rFonts w:eastAsia="Times New Roman"/>
                <w:b/>
                <w:bCs/>
              </w:rPr>
              <w:br/>
              <w:t>(Когорта I)</w:t>
            </w:r>
          </w:p>
        </w:tc>
        <w:tc>
          <w:tcPr>
            <w:tcW w:w="1231" w:type="pct"/>
            <w:shd w:val="clear" w:color="auto" w:fill="D9D9D9" w:themeFill="background1" w:themeFillShade="D9"/>
          </w:tcPr>
          <w:p w14:paraId="79593ED9" w14:textId="77777777" w:rsidR="001B39D1" w:rsidRPr="00D260AE" w:rsidRDefault="001B39D1" w:rsidP="003961D8">
            <w:pPr>
              <w:jc w:val="center"/>
              <w:rPr>
                <w:rFonts w:eastAsia="Times New Roman"/>
                <w:b/>
                <w:bCs/>
              </w:rPr>
            </w:pPr>
            <w:r w:rsidRPr="00D260AE">
              <w:rPr>
                <w:rFonts w:eastAsia="Times New Roman"/>
                <w:b/>
                <w:bCs/>
              </w:rPr>
              <w:t>6 лет &lt; 18 лет</w:t>
            </w:r>
          </w:p>
        </w:tc>
      </w:tr>
      <w:tr w:rsidR="001B39D1" w:rsidRPr="00D260AE" w14:paraId="206884AE" w14:textId="77777777" w:rsidTr="00421CA0">
        <w:trPr>
          <w:trHeight w:val="426"/>
          <w:tblHeader/>
        </w:trPr>
        <w:tc>
          <w:tcPr>
            <w:tcW w:w="1300" w:type="pct"/>
            <w:shd w:val="clear" w:color="auto" w:fill="D9D9D9" w:themeFill="background1" w:themeFillShade="D9"/>
            <w:vAlign w:val="center"/>
          </w:tcPr>
          <w:p w14:paraId="272D559A" w14:textId="77777777" w:rsidR="001B39D1" w:rsidRPr="00D260AE" w:rsidRDefault="001B39D1" w:rsidP="00421CA0">
            <w:pPr>
              <w:jc w:val="center"/>
              <w:rPr>
                <w:rFonts w:eastAsia="Times New Roman"/>
                <w:b/>
                <w:bCs/>
              </w:rPr>
            </w:pPr>
            <w:r w:rsidRPr="00D260AE">
              <w:rPr>
                <w:rFonts w:eastAsia="Times New Roman"/>
                <w:b/>
                <w:bCs/>
              </w:rPr>
              <w:t>Параметр</w:t>
            </w:r>
          </w:p>
        </w:tc>
        <w:tc>
          <w:tcPr>
            <w:tcW w:w="1231" w:type="pct"/>
            <w:shd w:val="clear" w:color="auto" w:fill="D9D9D9" w:themeFill="background1" w:themeFillShade="D9"/>
            <w:vAlign w:val="center"/>
          </w:tcPr>
          <w:p w14:paraId="1139CB7E" w14:textId="1BB1A2C3" w:rsidR="001B39D1" w:rsidRPr="00D260AE" w:rsidRDefault="003961D8" w:rsidP="00421CA0">
            <w:pPr>
              <w:jc w:val="center"/>
              <w:rPr>
                <w:rFonts w:eastAsia="Times New Roman"/>
                <w:b/>
                <w:bCs/>
              </w:rPr>
            </w:pPr>
            <w:r w:rsidRPr="00D260AE">
              <w:rPr>
                <w:b/>
                <w:bCs/>
              </w:rPr>
              <w:t>этравирин</w:t>
            </w:r>
            <w:r w:rsidR="001B39D1" w:rsidRPr="00D260AE">
              <w:rPr>
                <w:rFonts w:eastAsia="Times New Roman"/>
                <w:b/>
                <w:bCs/>
                <w:lang w:val="en-US"/>
              </w:rPr>
              <w:br/>
              <w:t>n</w:t>
            </w:r>
            <w:r w:rsidR="001B39D1" w:rsidRPr="00D260AE">
              <w:rPr>
                <w:rFonts w:eastAsia="Times New Roman"/>
                <w:b/>
                <w:bCs/>
              </w:rPr>
              <w:t xml:space="preserve"> = 6</w:t>
            </w:r>
          </w:p>
        </w:tc>
        <w:tc>
          <w:tcPr>
            <w:tcW w:w="1238" w:type="pct"/>
            <w:shd w:val="clear" w:color="auto" w:fill="D9D9D9" w:themeFill="background1" w:themeFillShade="D9"/>
            <w:vAlign w:val="center"/>
          </w:tcPr>
          <w:p w14:paraId="71404C61" w14:textId="3A27C87D" w:rsidR="001B39D1" w:rsidRPr="00D260AE" w:rsidRDefault="003961D8" w:rsidP="00421CA0">
            <w:pPr>
              <w:jc w:val="center"/>
              <w:rPr>
                <w:rFonts w:eastAsia="Times New Roman"/>
                <w:b/>
                <w:bCs/>
              </w:rPr>
            </w:pPr>
            <w:r w:rsidRPr="00D260AE">
              <w:rPr>
                <w:b/>
                <w:bCs/>
              </w:rPr>
              <w:t>этравирин</w:t>
            </w:r>
            <w:r w:rsidR="001B39D1" w:rsidRPr="00D260AE">
              <w:rPr>
                <w:rFonts w:eastAsia="Times New Roman"/>
                <w:b/>
                <w:bCs/>
                <w:lang w:val="en-US"/>
              </w:rPr>
              <w:br/>
              <w:t>n</w:t>
            </w:r>
            <w:r w:rsidR="001B39D1" w:rsidRPr="00D260AE">
              <w:rPr>
                <w:rFonts w:eastAsia="Times New Roman"/>
                <w:b/>
                <w:bCs/>
              </w:rPr>
              <w:t xml:space="preserve"> = 15</w:t>
            </w:r>
          </w:p>
        </w:tc>
        <w:tc>
          <w:tcPr>
            <w:tcW w:w="1231" w:type="pct"/>
            <w:shd w:val="clear" w:color="auto" w:fill="D9D9D9" w:themeFill="background1" w:themeFillShade="D9"/>
            <w:vAlign w:val="center"/>
          </w:tcPr>
          <w:p w14:paraId="4ABF1A80" w14:textId="25E597F4" w:rsidR="001B39D1" w:rsidRPr="00D260AE" w:rsidRDefault="003961D8" w:rsidP="00421CA0">
            <w:pPr>
              <w:jc w:val="center"/>
              <w:rPr>
                <w:rFonts w:eastAsia="Times New Roman"/>
                <w:b/>
                <w:bCs/>
              </w:rPr>
            </w:pPr>
            <w:r w:rsidRPr="00D260AE">
              <w:rPr>
                <w:b/>
                <w:bCs/>
              </w:rPr>
              <w:t>этравирин</w:t>
            </w:r>
            <w:r w:rsidR="001B39D1" w:rsidRPr="00D260AE">
              <w:rPr>
                <w:rFonts w:eastAsia="Times New Roman"/>
                <w:b/>
                <w:bCs/>
                <w:lang w:val="en-US"/>
              </w:rPr>
              <w:br/>
              <w:t>n</w:t>
            </w:r>
            <w:r w:rsidR="001B39D1" w:rsidRPr="00D260AE">
              <w:rPr>
                <w:rFonts w:eastAsia="Times New Roman"/>
                <w:b/>
                <w:bCs/>
              </w:rPr>
              <w:t xml:space="preserve"> = 101</w:t>
            </w:r>
          </w:p>
        </w:tc>
      </w:tr>
      <w:tr w:rsidR="001B39D1" w:rsidRPr="00D260AE" w14:paraId="5D2F2CA3" w14:textId="77777777" w:rsidTr="00D260AE">
        <w:trPr>
          <w:trHeight w:val="225"/>
        </w:trPr>
        <w:tc>
          <w:tcPr>
            <w:tcW w:w="1300" w:type="pct"/>
            <w:shd w:val="clear" w:color="auto" w:fill="FFFFFF"/>
            <w:vAlign w:val="bottom"/>
          </w:tcPr>
          <w:p w14:paraId="64B6DB6E" w14:textId="77777777" w:rsidR="001B39D1" w:rsidRPr="00D260AE" w:rsidRDefault="001B39D1" w:rsidP="003961D8">
            <w:pPr>
              <w:rPr>
                <w:rFonts w:eastAsia="Times New Roman"/>
              </w:rPr>
            </w:pPr>
            <w:r w:rsidRPr="00D260AE">
              <w:rPr>
                <w:rFonts w:eastAsia="Times New Roman"/>
              </w:rPr>
              <w:t>AUC (нг*ч/мл)</w:t>
            </w:r>
          </w:p>
        </w:tc>
        <w:tc>
          <w:tcPr>
            <w:tcW w:w="1231" w:type="pct"/>
            <w:shd w:val="clear" w:color="auto" w:fill="FFFFFF"/>
          </w:tcPr>
          <w:p w14:paraId="560CEB18" w14:textId="77777777" w:rsidR="001B39D1" w:rsidRPr="00D260AE" w:rsidRDefault="001B39D1" w:rsidP="003961D8">
            <w:pPr>
              <w:jc w:val="center"/>
              <w:rPr>
                <w:rFonts w:eastAsia="Times New Roman"/>
              </w:rPr>
            </w:pPr>
          </w:p>
        </w:tc>
        <w:tc>
          <w:tcPr>
            <w:tcW w:w="1238" w:type="pct"/>
            <w:shd w:val="clear" w:color="auto" w:fill="FFFFFF"/>
          </w:tcPr>
          <w:p w14:paraId="48A3D348" w14:textId="77777777" w:rsidR="001B39D1" w:rsidRPr="00D260AE" w:rsidRDefault="001B39D1" w:rsidP="003961D8">
            <w:pPr>
              <w:jc w:val="center"/>
              <w:rPr>
                <w:rFonts w:eastAsia="Times New Roman"/>
              </w:rPr>
            </w:pPr>
          </w:p>
        </w:tc>
        <w:tc>
          <w:tcPr>
            <w:tcW w:w="1231" w:type="pct"/>
            <w:shd w:val="clear" w:color="auto" w:fill="FFFFFF"/>
          </w:tcPr>
          <w:p w14:paraId="4FED49A5" w14:textId="77777777" w:rsidR="001B39D1" w:rsidRPr="00D260AE" w:rsidRDefault="001B39D1" w:rsidP="003961D8">
            <w:pPr>
              <w:jc w:val="center"/>
              <w:rPr>
                <w:rFonts w:eastAsia="Times New Roman"/>
              </w:rPr>
            </w:pPr>
          </w:p>
        </w:tc>
      </w:tr>
      <w:tr w:rsidR="001B39D1" w:rsidRPr="00D260AE" w14:paraId="2680DC27" w14:textId="77777777" w:rsidTr="00D260AE">
        <w:trPr>
          <w:trHeight w:val="639"/>
        </w:trPr>
        <w:tc>
          <w:tcPr>
            <w:tcW w:w="1300" w:type="pct"/>
            <w:shd w:val="clear" w:color="auto" w:fill="FFFFFF"/>
          </w:tcPr>
          <w:p w14:paraId="75D0400E" w14:textId="77777777" w:rsidR="001B39D1" w:rsidRPr="00D260AE" w:rsidRDefault="001B39D1" w:rsidP="003961D8">
            <w:pPr>
              <w:rPr>
                <w:rFonts w:eastAsia="Times New Roman"/>
              </w:rPr>
            </w:pPr>
            <w:r w:rsidRPr="00D260AE">
              <w:rPr>
                <w:rFonts w:eastAsia="Times New Roman"/>
              </w:rPr>
              <w:t>Геометрическое среднее ± SD</w:t>
            </w:r>
          </w:p>
        </w:tc>
        <w:tc>
          <w:tcPr>
            <w:tcW w:w="1231" w:type="pct"/>
            <w:shd w:val="clear" w:color="auto" w:fill="FFFFFF"/>
          </w:tcPr>
          <w:p w14:paraId="513646EE" w14:textId="77777777" w:rsidR="001B39D1" w:rsidRPr="00D260AE" w:rsidRDefault="001B39D1" w:rsidP="003961D8">
            <w:pPr>
              <w:jc w:val="center"/>
              <w:rPr>
                <w:rFonts w:eastAsia="Times New Roman"/>
              </w:rPr>
            </w:pPr>
            <w:r w:rsidRPr="00D260AE">
              <w:rPr>
                <w:rFonts w:eastAsia="Times New Roman"/>
              </w:rPr>
              <w:t>3,328 ±3,138</w:t>
            </w:r>
          </w:p>
        </w:tc>
        <w:tc>
          <w:tcPr>
            <w:tcW w:w="1238" w:type="pct"/>
            <w:shd w:val="clear" w:color="auto" w:fill="FFFFFF"/>
          </w:tcPr>
          <w:p w14:paraId="2A4BFD64" w14:textId="77777777" w:rsidR="001B39D1" w:rsidRPr="00D260AE" w:rsidRDefault="001B39D1" w:rsidP="003961D8">
            <w:pPr>
              <w:jc w:val="center"/>
              <w:rPr>
                <w:rFonts w:eastAsia="Times New Roman"/>
              </w:rPr>
            </w:pPr>
            <w:r w:rsidRPr="00D260AE">
              <w:rPr>
                <w:rFonts w:eastAsia="Times New Roman"/>
              </w:rPr>
              <w:t>3,824 ±3,613</w:t>
            </w:r>
          </w:p>
        </w:tc>
        <w:tc>
          <w:tcPr>
            <w:tcW w:w="1231" w:type="pct"/>
            <w:shd w:val="clear" w:color="auto" w:fill="FFFFFF"/>
          </w:tcPr>
          <w:p w14:paraId="4044B281" w14:textId="77777777" w:rsidR="001B39D1" w:rsidRPr="00D260AE" w:rsidRDefault="001B39D1" w:rsidP="003961D8">
            <w:pPr>
              <w:jc w:val="center"/>
              <w:rPr>
                <w:rFonts w:eastAsia="Times New Roman"/>
              </w:rPr>
            </w:pPr>
            <w:r w:rsidRPr="00D260AE">
              <w:rPr>
                <w:rFonts w:eastAsia="Times New Roman"/>
              </w:rPr>
              <w:t>3,729 ± 4,305</w:t>
            </w:r>
          </w:p>
        </w:tc>
      </w:tr>
      <w:tr w:rsidR="001B39D1" w:rsidRPr="00D260AE" w14:paraId="2280C958" w14:textId="77777777" w:rsidTr="00D260AE">
        <w:trPr>
          <w:trHeight w:val="225"/>
        </w:trPr>
        <w:tc>
          <w:tcPr>
            <w:tcW w:w="1300" w:type="pct"/>
            <w:shd w:val="clear" w:color="auto" w:fill="FFFFFF"/>
            <w:vAlign w:val="bottom"/>
          </w:tcPr>
          <w:p w14:paraId="388A7D1D" w14:textId="77777777" w:rsidR="001B39D1" w:rsidRPr="00D260AE" w:rsidRDefault="001B39D1" w:rsidP="003961D8">
            <w:pPr>
              <w:rPr>
                <w:rFonts w:eastAsia="Times New Roman"/>
              </w:rPr>
            </w:pPr>
            <w:r w:rsidRPr="00D260AE">
              <w:rPr>
                <w:rFonts w:eastAsia="Times New Roman"/>
              </w:rPr>
              <w:t>Медана (диапазон)</w:t>
            </w:r>
          </w:p>
        </w:tc>
        <w:tc>
          <w:tcPr>
            <w:tcW w:w="1231" w:type="pct"/>
            <w:shd w:val="clear" w:color="auto" w:fill="FFFFFF"/>
            <w:vAlign w:val="bottom"/>
          </w:tcPr>
          <w:p w14:paraId="33EE9D2C" w14:textId="77777777" w:rsidR="001B39D1" w:rsidRPr="00D260AE" w:rsidRDefault="001B39D1" w:rsidP="003961D8">
            <w:pPr>
              <w:jc w:val="center"/>
              <w:rPr>
                <w:rFonts w:eastAsia="Times New Roman"/>
              </w:rPr>
            </w:pPr>
            <w:r w:rsidRPr="00D260AE">
              <w:rPr>
                <w:rFonts w:eastAsia="Times New Roman"/>
              </w:rPr>
              <w:t>3,390</w:t>
            </w:r>
            <w:r w:rsidRPr="00D260AE">
              <w:rPr>
                <w:rFonts w:eastAsia="Times New Roman"/>
                <w:lang w:val="en-US"/>
              </w:rPr>
              <w:t xml:space="preserve"> </w:t>
            </w:r>
            <w:r w:rsidRPr="00D260AE">
              <w:rPr>
                <w:rFonts w:eastAsia="Times New Roman"/>
              </w:rPr>
              <w:t>(1,148 – 9,989)</w:t>
            </w:r>
          </w:p>
        </w:tc>
        <w:tc>
          <w:tcPr>
            <w:tcW w:w="1238" w:type="pct"/>
            <w:shd w:val="clear" w:color="auto" w:fill="FFFFFF"/>
            <w:vAlign w:val="bottom"/>
          </w:tcPr>
          <w:p w14:paraId="64108071" w14:textId="77777777" w:rsidR="001B39D1" w:rsidRPr="00D260AE" w:rsidRDefault="001B39D1" w:rsidP="003961D8">
            <w:pPr>
              <w:jc w:val="center"/>
              <w:rPr>
                <w:rFonts w:eastAsia="Times New Roman"/>
              </w:rPr>
            </w:pPr>
            <w:r w:rsidRPr="00D260AE">
              <w:rPr>
                <w:rFonts w:eastAsia="Times New Roman"/>
              </w:rPr>
              <w:t>3,709 (1,221 – 12,999)</w:t>
            </w:r>
          </w:p>
        </w:tc>
        <w:tc>
          <w:tcPr>
            <w:tcW w:w="1231" w:type="pct"/>
            <w:shd w:val="clear" w:color="auto" w:fill="FFFFFF"/>
            <w:vAlign w:val="bottom"/>
          </w:tcPr>
          <w:p w14:paraId="681C589F" w14:textId="77777777" w:rsidR="001B39D1" w:rsidRPr="00D260AE" w:rsidRDefault="001B39D1" w:rsidP="003961D8">
            <w:pPr>
              <w:jc w:val="center"/>
              <w:rPr>
                <w:rFonts w:eastAsia="Times New Roman"/>
              </w:rPr>
            </w:pPr>
            <w:r w:rsidRPr="00D260AE">
              <w:rPr>
                <w:rFonts w:eastAsia="Times New Roman"/>
              </w:rPr>
              <w:t>4,560 (62 – 28,865)</w:t>
            </w:r>
          </w:p>
        </w:tc>
      </w:tr>
      <w:tr w:rsidR="001B39D1" w:rsidRPr="00D260AE" w14:paraId="574BE6D1" w14:textId="77777777" w:rsidTr="00D260AE">
        <w:trPr>
          <w:trHeight w:val="225"/>
        </w:trPr>
        <w:tc>
          <w:tcPr>
            <w:tcW w:w="1300" w:type="pct"/>
            <w:shd w:val="clear" w:color="auto" w:fill="FFFFFF"/>
            <w:vAlign w:val="bottom"/>
          </w:tcPr>
          <w:p w14:paraId="41B8F8EE" w14:textId="77777777" w:rsidR="001B39D1" w:rsidRPr="00D260AE" w:rsidRDefault="001B39D1" w:rsidP="003961D8">
            <w:pPr>
              <w:rPr>
                <w:rFonts w:eastAsia="Times New Roman"/>
              </w:rPr>
            </w:pPr>
            <w:r w:rsidRPr="00D260AE">
              <w:rPr>
                <w:rFonts w:eastAsia="Times New Roman"/>
              </w:rPr>
              <w:t>C</w:t>
            </w:r>
            <w:r w:rsidRPr="00D260AE">
              <w:rPr>
                <w:rFonts w:eastAsia="Times New Roman"/>
                <w:vertAlign w:val="subscript"/>
              </w:rPr>
              <w:t>0ч</w:t>
            </w:r>
            <w:r w:rsidRPr="00D260AE">
              <w:rPr>
                <w:rFonts w:eastAsia="Times New Roman"/>
              </w:rPr>
              <w:t xml:space="preserve"> (нг/мл)</w:t>
            </w:r>
          </w:p>
        </w:tc>
        <w:tc>
          <w:tcPr>
            <w:tcW w:w="1231" w:type="pct"/>
            <w:shd w:val="clear" w:color="auto" w:fill="FFFFFF"/>
            <w:vAlign w:val="bottom"/>
          </w:tcPr>
          <w:p w14:paraId="703292A2" w14:textId="77777777" w:rsidR="001B39D1" w:rsidRPr="00D260AE" w:rsidRDefault="001B39D1" w:rsidP="003961D8">
            <w:pPr>
              <w:jc w:val="center"/>
              <w:rPr>
                <w:rFonts w:eastAsia="Times New Roman"/>
              </w:rPr>
            </w:pPr>
          </w:p>
        </w:tc>
        <w:tc>
          <w:tcPr>
            <w:tcW w:w="1238" w:type="pct"/>
            <w:shd w:val="clear" w:color="auto" w:fill="FFFFFF"/>
            <w:vAlign w:val="bottom"/>
          </w:tcPr>
          <w:p w14:paraId="5F303853" w14:textId="77777777" w:rsidR="001B39D1" w:rsidRPr="00D260AE" w:rsidRDefault="001B39D1" w:rsidP="003961D8">
            <w:pPr>
              <w:jc w:val="center"/>
              <w:rPr>
                <w:rFonts w:eastAsia="Times New Roman"/>
              </w:rPr>
            </w:pPr>
          </w:p>
        </w:tc>
        <w:tc>
          <w:tcPr>
            <w:tcW w:w="1231" w:type="pct"/>
            <w:shd w:val="clear" w:color="auto" w:fill="FFFFFF"/>
            <w:vAlign w:val="bottom"/>
          </w:tcPr>
          <w:p w14:paraId="57EDC282" w14:textId="77777777" w:rsidR="001B39D1" w:rsidRPr="00D260AE" w:rsidRDefault="001B39D1" w:rsidP="003961D8">
            <w:pPr>
              <w:jc w:val="center"/>
              <w:rPr>
                <w:rFonts w:eastAsia="Times New Roman"/>
              </w:rPr>
            </w:pPr>
          </w:p>
        </w:tc>
      </w:tr>
      <w:tr w:rsidR="001B39D1" w:rsidRPr="00D260AE" w14:paraId="0FC9FD17" w14:textId="77777777" w:rsidTr="00D260AE">
        <w:trPr>
          <w:trHeight w:val="225"/>
        </w:trPr>
        <w:tc>
          <w:tcPr>
            <w:tcW w:w="1300" w:type="pct"/>
            <w:tcBorders>
              <w:top w:val="single" w:sz="4" w:space="0" w:color="auto"/>
              <w:left w:val="single" w:sz="4" w:space="0" w:color="auto"/>
              <w:bottom w:val="single" w:sz="4" w:space="0" w:color="auto"/>
              <w:right w:val="nil"/>
            </w:tcBorders>
            <w:shd w:val="clear" w:color="auto" w:fill="FFFFFF"/>
            <w:vAlign w:val="bottom"/>
          </w:tcPr>
          <w:p w14:paraId="15E2C7DB" w14:textId="77777777" w:rsidR="001B39D1" w:rsidRPr="00D260AE" w:rsidRDefault="001B39D1" w:rsidP="003961D8">
            <w:pPr>
              <w:rPr>
                <w:rFonts w:eastAsia="Times New Roman"/>
              </w:rPr>
            </w:pPr>
            <w:r w:rsidRPr="00D260AE">
              <w:rPr>
                <w:rFonts w:eastAsia="Times New Roman"/>
              </w:rPr>
              <w:t>Геометрическое среднее ± SD</w:t>
            </w:r>
          </w:p>
        </w:tc>
        <w:tc>
          <w:tcPr>
            <w:tcW w:w="1231" w:type="pct"/>
            <w:tcBorders>
              <w:top w:val="single" w:sz="4" w:space="0" w:color="auto"/>
              <w:left w:val="single" w:sz="4" w:space="0" w:color="auto"/>
              <w:bottom w:val="single" w:sz="4" w:space="0" w:color="auto"/>
              <w:right w:val="nil"/>
            </w:tcBorders>
            <w:shd w:val="clear" w:color="auto" w:fill="FFFFFF"/>
          </w:tcPr>
          <w:p w14:paraId="3819CD90" w14:textId="77777777" w:rsidR="001B39D1" w:rsidRPr="00D260AE" w:rsidRDefault="001B39D1" w:rsidP="003961D8">
            <w:pPr>
              <w:jc w:val="center"/>
              <w:rPr>
                <w:rFonts w:eastAsia="Times New Roman"/>
              </w:rPr>
            </w:pPr>
            <w:r w:rsidRPr="00D260AE">
              <w:rPr>
                <w:rFonts w:eastAsia="Times New Roman"/>
              </w:rPr>
              <w:t>193 ± 186</w:t>
            </w:r>
          </w:p>
        </w:tc>
        <w:tc>
          <w:tcPr>
            <w:tcW w:w="1238" w:type="pct"/>
            <w:tcBorders>
              <w:top w:val="single" w:sz="4" w:space="0" w:color="auto"/>
              <w:left w:val="single" w:sz="4" w:space="0" w:color="auto"/>
              <w:bottom w:val="single" w:sz="4" w:space="0" w:color="auto"/>
              <w:right w:val="nil"/>
            </w:tcBorders>
            <w:shd w:val="clear" w:color="auto" w:fill="FFFFFF"/>
          </w:tcPr>
          <w:p w14:paraId="50EFDF35" w14:textId="77777777" w:rsidR="001B39D1" w:rsidRPr="00D260AE" w:rsidRDefault="001B39D1" w:rsidP="003961D8">
            <w:pPr>
              <w:jc w:val="center"/>
              <w:rPr>
                <w:rFonts w:eastAsia="Times New Roman"/>
              </w:rPr>
            </w:pPr>
            <w:r w:rsidRPr="00D260AE">
              <w:rPr>
                <w:rFonts w:eastAsia="Times New Roman"/>
              </w:rPr>
              <w:t>203 ±280</w:t>
            </w:r>
          </w:p>
        </w:tc>
        <w:tc>
          <w:tcPr>
            <w:tcW w:w="1231" w:type="pct"/>
            <w:tcBorders>
              <w:top w:val="single" w:sz="4" w:space="0" w:color="auto"/>
              <w:left w:val="single" w:sz="4" w:space="0" w:color="auto"/>
              <w:bottom w:val="single" w:sz="4" w:space="0" w:color="auto"/>
              <w:right w:val="single" w:sz="4" w:space="0" w:color="auto"/>
            </w:tcBorders>
            <w:shd w:val="clear" w:color="auto" w:fill="FFFFFF"/>
          </w:tcPr>
          <w:p w14:paraId="1D52E28D" w14:textId="77777777" w:rsidR="001B39D1" w:rsidRPr="00D260AE" w:rsidRDefault="001B39D1" w:rsidP="003961D8">
            <w:pPr>
              <w:jc w:val="center"/>
              <w:rPr>
                <w:rFonts w:eastAsia="Times New Roman"/>
              </w:rPr>
            </w:pPr>
            <w:r w:rsidRPr="00D260AE">
              <w:rPr>
                <w:rFonts w:eastAsia="Times New Roman"/>
              </w:rPr>
              <w:t>205 ± 342</w:t>
            </w:r>
          </w:p>
        </w:tc>
      </w:tr>
      <w:tr w:rsidR="001B39D1" w:rsidRPr="00D260AE" w14:paraId="43F592C2" w14:textId="77777777" w:rsidTr="00D260AE">
        <w:trPr>
          <w:trHeight w:val="225"/>
        </w:trPr>
        <w:tc>
          <w:tcPr>
            <w:tcW w:w="1300" w:type="pct"/>
            <w:tcBorders>
              <w:top w:val="single" w:sz="4" w:space="0" w:color="auto"/>
              <w:left w:val="single" w:sz="4" w:space="0" w:color="auto"/>
              <w:bottom w:val="single" w:sz="4" w:space="0" w:color="auto"/>
              <w:right w:val="nil"/>
            </w:tcBorders>
            <w:shd w:val="clear" w:color="auto" w:fill="FFFFFF"/>
            <w:vAlign w:val="bottom"/>
          </w:tcPr>
          <w:p w14:paraId="52FF01DE" w14:textId="77777777" w:rsidR="001B39D1" w:rsidRPr="00D260AE" w:rsidRDefault="001B39D1" w:rsidP="003961D8">
            <w:pPr>
              <w:rPr>
                <w:rFonts w:eastAsia="Times New Roman"/>
              </w:rPr>
            </w:pPr>
            <w:r w:rsidRPr="00D260AE">
              <w:rPr>
                <w:rFonts w:eastAsia="Times New Roman"/>
              </w:rPr>
              <w:t>Медана (диапазон)</w:t>
            </w:r>
          </w:p>
        </w:tc>
        <w:tc>
          <w:tcPr>
            <w:tcW w:w="1231" w:type="pct"/>
            <w:tcBorders>
              <w:top w:val="single" w:sz="4" w:space="0" w:color="auto"/>
              <w:left w:val="single" w:sz="4" w:space="0" w:color="auto"/>
              <w:bottom w:val="single" w:sz="4" w:space="0" w:color="auto"/>
              <w:right w:val="nil"/>
            </w:tcBorders>
            <w:shd w:val="clear" w:color="auto" w:fill="FFFFFF"/>
            <w:vAlign w:val="bottom"/>
          </w:tcPr>
          <w:p w14:paraId="1BF7896D" w14:textId="77777777" w:rsidR="001B39D1" w:rsidRPr="00D260AE" w:rsidRDefault="001B39D1" w:rsidP="003961D8">
            <w:pPr>
              <w:jc w:val="center"/>
              <w:rPr>
                <w:rFonts w:eastAsia="Times New Roman"/>
              </w:rPr>
            </w:pPr>
            <w:r w:rsidRPr="00D260AE">
              <w:rPr>
                <w:rFonts w:eastAsia="Times New Roman"/>
              </w:rPr>
              <w:t>147 (0</w:t>
            </w:r>
            <w:r w:rsidRPr="00D260AE">
              <w:rPr>
                <w:rFonts w:eastAsia="Times New Roman"/>
                <w:vertAlign w:val="superscript"/>
              </w:rPr>
              <w:t>a</w:t>
            </w:r>
            <w:r w:rsidRPr="00D260AE">
              <w:rPr>
                <w:rFonts w:eastAsia="Times New Roman"/>
              </w:rPr>
              <w:t xml:space="preserve"> – 503)</w:t>
            </w:r>
          </w:p>
        </w:tc>
        <w:tc>
          <w:tcPr>
            <w:tcW w:w="1238" w:type="pct"/>
            <w:tcBorders>
              <w:top w:val="single" w:sz="4" w:space="0" w:color="auto"/>
              <w:left w:val="single" w:sz="4" w:space="0" w:color="auto"/>
              <w:bottom w:val="single" w:sz="4" w:space="0" w:color="auto"/>
              <w:right w:val="nil"/>
            </w:tcBorders>
            <w:shd w:val="clear" w:color="auto" w:fill="FFFFFF"/>
            <w:vAlign w:val="bottom"/>
          </w:tcPr>
          <w:p w14:paraId="025FE408" w14:textId="77777777" w:rsidR="001B39D1" w:rsidRPr="00D260AE" w:rsidRDefault="001B39D1" w:rsidP="003961D8">
            <w:pPr>
              <w:jc w:val="center"/>
              <w:rPr>
                <w:rFonts w:eastAsia="Times New Roman"/>
              </w:rPr>
            </w:pPr>
            <w:r w:rsidRPr="00D260AE">
              <w:rPr>
                <w:rFonts w:eastAsia="Times New Roman"/>
              </w:rPr>
              <w:t>180 (54 – 908)</w:t>
            </w:r>
          </w:p>
        </w:tc>
        <w:tc>
          <w:tcPr>
            <w:tcW w:w="1231" w:type="pct"/>
            <w:tcBorders>
              <w:top w:val="single" w:sz="4" w:space="0" w:color="auto"/>
              <w:left w:val="single" w:sz="4" w:space="0" w:color="auto"/>
              <w:bottom w:val="single" w:sz="4" w:space="0" w:color="auto"/>
              <w:right w:val="single" w:sz="4" w:space="0" w:color="auto"/>
            </w:tcBorders>
            <w:shd w:val="clear" w:color="auto" w:fill="FFFFFF"/>
            <w:vAlign w:val="bottom"/>
          </w:tcPr>
          <w:p w14:paraId="33BBBAAF" w14:textId="77777777" w:rsidR="001B39D1" w:rsidRPr="00D260AE" w:rsidRDefault="001B39D1" w:rsidP="003961D8">
            <w:pPr>
              <w:jc w:val="center"/>
              <w:rPr>
                <w:rFonts w:eastAsia="Times New Roman"/>
              </w:rPr>
            </w:pPr>
            <w:r w:rsidRPr="00D260AE">
              <w:rPr>
                <w:rFonts w:eastAsia="Times New Roman"/>
              </w:rPr>
              <w:t>287 (2 – 2,276)</w:t>
            </w:r>
          </w:p>
        </w:tc>
      </w:tr>
      <w:tr w:rsidR="00984745" w:rsidRPr="00D260AE" w14:paraId="387D0341" w14:textId="77777777" w:rsidTr="00984745">
        <w:trPr>
          <w:trHeight w:val="225"/>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vAlign w:val="bottom"/>
          </w:tcPr>
          <w:p w14:paraId="6D4CDB11" w14:textId="427CEEB0" w:rsidR="00984745" w:rsidRPr="00D260AE" w:rsidRDefault="00984745" w:rsidP="00984745">
            <w:pPr>
              <w:pStyle w:val="afff7"/>
              <w:rPr>
                <w:lang w:eastAsia="en-US"/>
              </w:rPr>
            </w:pPr>
            <w:r w:rsidRPr="001C0A37">
              <w:rPr>
                <w:b/>
                <w:lang w:eastAsia="en-US"/>
              </w:rPr>
              <w:t>Примечание:</w:t>
            </w:r>
            <w:r>
              <w:rPr>
                <w:vertAlign w:val="superscript"/>
                <w:lang w:eastAsia="en-US"/>
              </w:rPr>
              <w:t xml:space="preserve"> </w:t>
            </w:r>
            <w:r>
              <w:rPr>
                <w:vertAlign w:val="superscript"/>
                <w:lang w:eastAsia="en-US"/>
              </w:rPr>
              <w:br/>
            </w:r>
            <w:r w:rsidRPr="003961D8">
              <w:rPr>
                <w:lang w:eastAsia="en-US"/>
              </w:rPr>
              <w:t xml:space="preserve">У одного пациентов в когорте II начальные концентрации </w:t>
            </w:r>
            <w:r w:rsidRPr="003961D8">
              <w:t>этравирин</w:t>
            </w:r>
            <w:r w:rsidRPr="003961D8">
              <w:rPr>
                <w:lang w:eastAsia="en-US"/>
              </w:rPr>
              <w:t xml:space="preserve">а были ниже предела обнаружения во время визита оценки интенсивной фармакокинетики; </w:t>
            </w:r>
            <w:r w:rsidRPr="003961D8">
              <w:rPr>
                <w:lang w:val="en-US" w:eastAsia="en-US"/>
              </w:rPr>
              <w:t>SD</w:t>
            </w:r>
            <w:r w:rsidRPr="003961D8">
              <w:rPr>
                <w:lang w:eastAsia="en-US"/>
              </w:rPr>
              <w:t xml:space="preserve"> – среднеквадратичное отклонение.</w:t>
            </w:r>
          </w:p>
        </w:tc>
      </w:tr>
    </w:tbl>
    <w:p w14:paraId="4DDDBB77" w14:textId="77777777" w:rsidR="00984745" w:rsidRDefault="00984745" w:rsidP="008B0B82">
      <w:pPr>
        <w:pStyle w:val="affb"/>
        <w:spacing w:before="0" w:after="0" w:line="240" w:lineRule="auto"/>
        <w:rPr>
          <w:rStyle w:val="ac"/>
          <w:rFonts w:eastAsia="MS Mincho"/>
          <w:lang w:eastAsia="ja-JP"/>
        </w:rPr>
      </w:pPr>
    </w:p>
    <w:p w14:paraId="216FA829" w14:textId="2A4FC264" w:rsidR="00356AB0" w:rsidRPr="00A76175" w:rsidRDefault="00065D44" w:rsidP="00A76175">
      <w:pPr>
        <w:pStyle w:val="affb"/>
        <w:spacing w:before="0" w:after="0" w:line="240" w:lineRule="auto"/>
        <w:rPr>
          <w:i/>
          <w:lang w:eastAsia="en-US"/>
        </w:rPr>
      </w:pPr>
      <w:r w:rsidRPr="00A76175">
        <w:rPr>
          <w:rStyle w:val="ac"/>
          <w:i/>
        </w:rPr>
        <w:t xml:space="preserve">Влияние пола </w:t>
      </w:r>
    </w:p>
    <w:p w14:paraId="14FE37A0" w14:textId="6490C8AE" w:rsidR="00065D44" w:rsidRDefault="00065D44">
      <w:pPr>
        <w:pStyle w:val="affb"/>
        <w:spacing w:before="0" w:after="0" w:line="240" w:lineRule="auto"/>
        <w:ind w:firstLine="709"/>
        <w:rPr>
          <w:lang w:eastAsia="en-US"/>
        </w:rPr>
      </w:pPr>
      <w:r>
        <w:rPr>
          <w:lang w:eastAsia="en-US"/>
        </w:rPr>
        <w:t xml:space="preserve">Не выявлено значительной разницы фармакокинетических параметров </w:t>
      </w:r>
      <w:r w:rsidR="003A2336" w:rsidRPr="00D322B0">
        <w:rPr>
          <w:color w:val="2B213A"/>
        </w:rPr>
        <w:t>этраверин</w:t>
      </w:r>
      <w:r w:rsidR="003A2336">
        <w:rPr>
          <w:color w:val="2B213A"/>
        </w:rPr>
        <w:t xml:space="preserve">а </w:t>
      </w:r>
      <w:r>
        <w:rPr>
          <w:lang w:eastAsia="en-US"/>
        </w:rPr>
        <w:t xml:space="preserve">между мужчинами и женщинами, кроме того, в регистрационные клинические исследования было включено ограниченное число женщин, что значительно затрудняет оценку половых особенностей </w:t>
      </w:r>
      <w:r w:rsidR="003244D7">
        <w:rPr>
          <w:lang w:eastAsia="en-US"/>
        </w:rPr>
        <w:fldChar w:fldCharType="begin"/>
      </w:r>
      <w:r w:rsidR="008941C7">
        <w:rPr>
          <w:lang w:eastAsia="en-US"/>
        </w:rPr>
        <w:instrText xml:space="preserve"> ADDIN ZOTERO_ITEM CSL_CITATION {"citationID":"kgKDivLQ","properties":{"formattedCitation":"(7,38)","plainCitation":"(7,38)","noteIndex":0},"citationItems":[{"id":2610,"uris":["http://zotero.org/users/5483459/items/SLFDH84G"],"itemData":{"id":2610,"type":"article-journal","title":"Министерство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2021."},"label":"page"},{"id":2551,"uris":["http://zotero.org/users/5483459/items/PGUSIM2F"],"itemData":{"id":2551,"type":"article-journal","abstract":"Nonnucleoside reverse transcriptase inhibitors (NNRTIs) are potent inhibitors of human immunodeficiency virus type 1 (HIV-1); however, currently marketed NNRTIs rapidly select resistant virus, and cross-resistance within the class is extensive. A parallel screening strategy was applied to test candidates from a series of diarylpyrimidines against wild-type and resistant HIV strains carrying clinically relevant mutations. Serum protein binding and metabolic stability were addressed early in the selection process. The emerging clinical candidate, TMC125, was highly active against wild-type HIV-1 (50% effective concentration [EC50] = 1.4 to 4.8 nM) and showed some activity against HIV-2 (EC50 = 3.5 μM). TMC125 also inhibited a series of HIV-1 group M subtypes and circulating recombinant forms and a group O virus. Incubation of TMC125 with human liver microsomal fractions suggested good metabolic stability (15% decrease in drug concentration and 7% decrease in antiviral activity after 120 min). Although TMC125 is highly protein bound, its antiviral effect was not reduced by the presence of 45 mg of human serum albumin/ml, 1 mg of α1-acid glycoprotein/ml, or 50% human serum. In an initial screen for activity against a panel of 25 viruses carrying single and double reverse transcriptase amino acid substitutions associated with NNRTI resistance, the EC50 of TMC125 was &lt;5 nM for 19 viruses, including the double mutants K101E+K103N and K103N+Y181C. TMC125 also retained activity (EC50 &lt; 100 nM) against 97% of 1,081 recent clinically derived recombinant viruses resistant to at least one of the currently marketed NNRTIs. TMC125 is a potent next generation NNRTI, with the potential for use in individuals infected with NNRTI-resistant virus.","container-title":"Antimicrobial Agents and Chemotherapy","DOI":"10.1128/AAC.48.12.4680-4686.2004","ISSN":"0066-4804","issue":"12","journalAbbreviation":"Antimicrob Agents Chemother","note":"number: 12\nPMID: 15561844\nPMCID: PMC529207","page":"4680-4686","source":"PubMed Central","title":"TMC125, a Novel Next-Generation Nonnucleoside Reverse Transcriptase Inhibitor Active against Nonnucleoside Reverse Transcriptase Inhibitor-Resistant Human Immunodeficiency Virus Type 1","volume":"48","author":[{"family":"Andries","given":"Koen"},{"family":"Azijn","given":"Hilde"},{"family":"Thielemans","given":"Theo"},{"family":"Ludovici","given":"Donald"},{"family":"Kukla","given":"Michael"},{"family":"Heeres","given":"Jan"},{"family":"Janssen","given":"Paul"},{"family":"De Corte","given":"Bart"},{"family":"Vingerhoets","given":"Johan"},{"family":"Pauwels","given":"Rudi"},{"family":"Béthune","given":"Marie-Pierre","non-dropping-particle":"de"}],"issued":{"date-parts":[["2004",12]]}},"label":"page"}],"schema":"https://github.com/citation-style-language/schema/raw/master/csl-citation.json"} </w:instrText>
      </w:r>
      <w:r w:rsidR="003244D7">
        <w:rPr>
          <w:lang w:eastAsia="en-US"/>
        </w:rPr>
        <w:fldChar w:fldCharType="separate"/>
      </w:r>
      <w:r w:rsidR="005E2B83" w:rsidRPr="008B0B82">
        <w:t>[</w:t>
      </w:r>
      <w:r w:rsidR="008941C7" w:rsidRPr="008941C7">
        <w:t>7,</w:t>
      </w:r>
      <w:r w:rsidR="00356AB0">
        <w:t xml:space="preserve"> </w:t>
      </w:r>
      <w:r w:rsidR="008941C7" w:rsidRPr="008941C7">
        <w:t>38</w:t>
      </w:r>
      <w:r w:rsidR="005E2B83" w:rsidRPr="008B0B82">
        <w:t>]</w:t>
      </w:r>
      <w:r w:rsidR="003244D7">
        <w:rPr>
          <w:lang w:eastAsia="en-US"/>
        </w:rPr>
        <w:fldChar w:fldCharType="end"/>
      </w:r>
      <w:r w:rsidR="008941C7">
        <w:rPr>
          <w:lang w:eastAsia="en-US"/>
        </w:rPr>
        <w:t>.</w:t>
      </w:r>
    </w:p>
    <w:p w14:paraId="62592111" w14:textId="77777777" w:rsidR="00356AB0" w:rsidRDefault="00356AB0" w:rsidP="008B0B82">
      <w:pPr>
        <w:pStyle w:val="affb"/>
        <w:spacing w:before="0" w:after="0" w:line="240" w:lineRule="auto"/>
        <w:rPr>
          <w:rStyle w:val="ac"/>
        </w:rPr>
      </w:pPr>
    </w:p>
    <w:p w14:paraId="0B435494" w14:textId="50E13B1D" w:rsidR="00356AB0" w:rsidRDefault="00065D44" w:rsidP="00A76175">
      <w:pPr>
        <w:pStyle w:val="affb"/>
        <w:spacing w:before="0" w:after="0" w:line="240" w:lineRule="auto"/>
        <w:rPr>
          <w:lang w:eastAsia="en-US"/>
        </w:rPr>
      </w:pPr>
      <w:r w:rsidRPr="00A76175">
        <w:rPr>
          <w:rStyle w:val="ac"/>
          <w:i/>
        </w:rPr>
        <w:t xml:space="preserve">Влияние расы </w:t>
      </w:r>
    </w:p>
    <w:p w14:paraId="1B397A8D" w14:textId="0B8EB4EA" w:rsidR="00065D44" w:rsidRPr="00EE7ABB" w:rsidRDefault="00065D44">
      <w:pPr>
        <w:pStyle w:val="affb"/>
        <w:spacing w:before="0" w:after="0" w:line="240" w:lineRule="auto"/>
        <w:ind w:firstLine="709"/>
        <w:rPr>
          <w:lang w:eastAsia="en-US"/>
        </w:rPr>
      </w:pPr>
      <w:r>
        <w:rPr>
          <w:lang w:eastAsia="en-US"/>
        </w:rPr>
        <w:t xml:space="preserve">Согласно </w:t>
      </w:r>
      <w:r w:rsidR="00421CA0">
        <w:rPr>
          <w:lang w:eastAsia="en-US"/>
        </w:rPr>
        <w:t xml:space="preserve">результатам </w:t>
      </w:r>
      <w:r w:rsidR="00356AB0">
        <w:rPr>
          <w:lang w:eastAsia="en-US"/>
        </w:rPr>
        <w:t>анализа</w:t>
      </w:r>
      <w:r>
        <w:rPr>
          <w:lang w:eastAsia="en-US"/>
        </w:rPr>
        <w:t xml:space="preserve"> популяционной фармакокинетики </w:t>
      </w:r>
      <w:r w:rsidR="009E09CE" w:rsidRPr="00D322B0">
        <w:rPr>
          <w:color w:val="2B213A"/>
        </w:rPr>
        <w:t>этраверин</w:t>
      </w:r>
      <w:r w:rsidR="009E09CE">
        <w:rPr>
          <w:color w:val="2B213A"/>
        </w:rPr>
        <w:t xml:space="preserve">а </w:t>
      </w:r>
      <w:r>
        <w:rPr>
          <w:lang w:eastAsia="en-US"/>
        </w:rPr>
        <w:t xml:space="preserve">у пациентов с ВИЧ-инфекцией, раса не оказывала влияния на системную концентрацию </w:t>
      </w:r>
      <w:r w:rsidR="009E09CE" w:rsidRPr="00D322B0">
        <w:rPr>
          <w:color w:val="2B213A"/>
        </w:rPr>
        <w:t>этраверин</w:t>
      </w:r>
      <w:r w:rsidR="009E09CE">
        <w:rPr>
          <w:color w:val="2B213A"/>
        </w:rPr>
        <w:t xml:space="preserve">а </w:t>
      </w:r>
      <w:r>
        <w:rPr>
          <w:lang w:eastAsia="en-US"/>
        </w:rPr>
        <w:t>в плазме у представителей европеоидной и негроидной рас, а также латиноамериканцев. Фармакокинетика</w:t>
      </w:r>
      <w:r w:rsidRPr="00EE7ABB">
        <w:rPr>
          <w:lang w:eastAsia="en-US"/>
        </w:rPr>
        <w:t xml:space="preserve"> </w:t>
      </w:r>
      <w:r w:rsidR="00127D69">
        <w:rPr>
          <w:lang w:eastAsia="en-US"/>
        </w:rPr>
        <w:t>этраверина</w:t>
      </w:r>
      <w:r w:rsidRPr="00D42428">
        <w:rPr>
          <w:lang w:eastAsia="en-US"/>
        </w:rPr>
        <w:t xml:space="preserve"> </w:t>
      </w:r>
      <w:r>
        <w:rPr>
          <w:lang w:eastAsia="en-US"/>
        </w:rPr>
        <w:t>у</w:t>
      </w:r>
      <w:r w:rsidRPr="00EE7ABB">
        <w:rPr>
          <w:lang w:eastAsia="en-US"/>
        </w:rPr>
        <w:t xml:space="preserve"> </w:t>
      </w:r>
      <w:r>
        <w:rPr>
          <w:lang w:eastAsia="en-US"/>
        </w:rPr>
        <w:t>других</w:t>
      </w:r>
      <w:r w:rsidRPr="00EE7ABB">
        <w:rPr>
          <w:lang w:eastAsia="en-US"/>
        </w:rPr>
        <w:t xml:space="preserve"> </w:t>
      </w:r>
      <w:r>
        <w:rPr>
          <w:lang w:eastAsia="en-US"/>
        </w:rPr>
        <w:t>рас</w:t>
      </w:r>
      <w:r w:rsidRPr="00EE7ABB">
        <w:rPr>
          <w:lang w:eastAsia="en-US"/>
        </w:rPr>
        <w:t xml:space="preserve"> </w:t>
      </w:r>
      <w:r>
        <w:rPr>
          <w:lang w:eastAsia="en-US"/>
        </w:rPr>
        <w:t>изучена</w:t>
      </w:r>
      <w:r w:rsidRPr="00EE7ABB">
        <w:rPr>
          <w:lang w:eastAsia="en-US"/>
        </w:rPr>
        <w:t xml:space="preserve"> </w:t>
      </w:r>
      <w:r>
        <w:rPr>
          <w:lang w:eastAsia="en-US"/>
        </w:rPr>
        <w:t xml:space="preserve">недостаточно </w:t>
      </w:r>
      <w:r>
        <w:rPr>
          <w:lang w:eastAsia="en-US"/>
        </w:rPr>
        <w:fldChar w:fldCharType="begin"/>
      </w:r>
      <w:r w:rsidR="00824DA4">
        <w:rPr>
          <w:lang w:eastAsia="en-US"/>
        </w:rPr>
        <w:instrText xml:space="preserve"> ADDIN ZOTERO_ITEM CSL_CITATION {"citationID":"uu2TAht3","properties":{"formattedCitation":"(13,39)","plainCitation":"(13,39)","noteIndex":0},"citationItems":[{"id":"iY4E1EKJ/9Y8IvF0G","uris":["http://zotero.org/users/1055192/items/SMDFBMP5"],"itemData":{"id":24722,"type":"article","title":"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Росссия","author":[{"family":"Министерство здравоохранения Российской Федерации","given":""}],"issued":{"date-parts":[["2021",1,3]]}},"label":"page"},{"id":"iY4E1EKJ/riZt8DDa","uris":["http://zotero.org/users/1055192/items/YEYZVSPP"],"itemData":{"id":31689,"type":"article-journal","abstract":"Objectives. Evaluation of pharmacokinetics and pharmacodynamics of darunavir and etravirine among HIV-1-infected, treatment-experienced adults from GRACE, by sex and race. Methods. Patients received darunavir/ritonavir 600/100mg twice daily plus other antiretrovirals, which could include etravirine 200mg twice daily. Population pharmacokinetics for darunavir and etravirine were determined over 48 weeks and relationships assessed with virologic response and safety. Rich sampling for darunavir, etravirine, and ritonavir was collected in a substudy at weeks 4, 24, and 48. Results. Pharmacokinetics were estimated in 376 patients for darunavir and 190 patients for etravirine. Median darunavir AUC(12h) and C(0h) were 60,642ng·h/mL and 3624ng/mL, respectively; and for etravirine were 4183ng · h/mL and 280ng/mL, respectively. There were no differences in darunavir or etravirine AUC(12h) or C(0h) by sex or race. Age, body weight, or use of etravirine did not affect darunavir exposure. No relationships were seen between darunavir pharmacokinetics and efficacy or safety. Patients with etravirine exposure in the lowest quartile generally had lower response rates. Rich sampling showed no time-dependent relationship for darunavir, etravirine, or ritonavir exposure over 48 weeks. Conclusions. Population pharmacokinetics showed no relevant differences in darunavir or etravirine exposure by assessed covariates. Lower etravirine exposures were associated with lower response rates.","container-title":"AIDS research and treatment","DOI":"10.1155/2012/186987","ISSN":"2090-1259","journalAbbreviation":"AIDS Res Treat","language":"eng","note":"PMID: 22536495\nPMCID: PMC3318205","page":"186987","source":"PubMed","title":"Pharmacokinetics and Pharmacodynamics of Darunavir and Etravirine in HIV-1-Infected, Treatment-Experienced Patients in the Gender, Race, and Clinical Experience (GRACE) Trial","volume":"2012","author":[{"family":"Kakuda","given":"Thomas"},{"family":"Sekar","given":"Vanitha"},{"family":"Vis","given":"Peter"},{"family":"Coate","given":"Bruce"},{"family":"Ryan","given":"Robert"},{"family":"Anderson","given":"David"},{"family":"De La Rosa","given":"Guy"},{"family":"Mrus","given":"Joseph"}],"issued":{"date-parts":[["2012"]]}},"label":"page"}],"schema":"https://github.com/citation-style-language/schema/raw/master/csl-citation.json"} </w:instrText>
      </w:r>
      <w:r>
        <w:rPr>
          <w:lang w:eastAsia="en-US"/>
        </w:rPr>
        <w:fldChar w:fldCharType="separate"/>
      </w:r>
      <w:r w:rsidR="005E2B83" w:rsidRPr="00B66676">
        <w:t>[</w:t>
      </w:r>
      <w:r w:rsidR="008941C7" w:rsidRPr="008941C7">
        <w:t>13,</w:t>
      </w:r>
      <w:r w:rsidR="00356AB0">
        <w:t xml:space="preserve"> </w:t>
      </w:r>
      <w:r w:rsidR="008941C7" w:rsidRPr="008941C7">
        <w:t>39</w:t>
      </w:r>
      <w:r w:rsidR="005E2B83" w:rsidRPr="00B66676">
        <w:t>]</w:t>
      </w:r>
      <w:r>
        <w:rPr>
          <w:lang w:eastAsia="en-US"/>
        </w:rPr>
        <w:fldChar w:fldCharType="end"/>
      </w:r>
      <w:r w:rsidRPr="00EE7ABB">
        <w:rPr>
          <w:lang w:eastAsia="en-US"/>
        </w:rPr>
        <w:t xml:space="preserve">. </w:t>
      </w:r>
    </w:p>
    <w:p w14:paraId="0FF7F0EB" w14:textId="77777777" w:rsidR="00356AB0" w:rsidRDefault="00356AB0" w:rsidP="008B0B82">
      <w:pPr>
        <w:pStyle w:val="affb"/>
        <w:spacing w:before="0" w:after="0" w:line="240" w:lineRule="auto"/>
        <w:rPr>
          <w:rStyle w:val="ac"/>
        </w:rPr>
      </w:pPr>
    </w:p>
    <w:p w14:paraId="7425FD1B" w14:textId="6BA597A2" w:rsidR="00356AB0" w:rsidRPr="00A76175" w:rsidRDefault="00065D44" w:rsidP="00A76175">
      <w:pPr>
        <w:pStyle w:val="affb"/>
        <w:spacing w:before="0" w:after="0" w:line="240" w:lineRule="auto"/>
        <w:rPr>
          <w:i/>
          <w:lang w:eastAsia="en-US"/>
        </w:rPr>
      </w:pPr>
      <w:r w:rsidRPr="00A76175">
        <w:rPr>
          <w:rStyle w:val="ac"/>
          <w:i/>
        </w:rPr>
        <w:t>Фармакогеномика</w:t>
      </w:r>
    </w:p>
    <w:p w14:paraId="55554212" w14:textId="06F806B5" w:rsidR="00065D44" w:rsidRDefault="00065D44">
      <w:pPr>
        <w:pStyle w:val="affb"/>
        <w:spacing w:before="0" w:after="0" w:line="240" w:lineRule="auto"/>
        <w:ind w:firstLine="709"/>
        <w:rPr>
          <w:lang w:eastAsia="en-US"/>
        </w:rPr>
      </w:pPr>
      <w:r>
        <w:rPr>
          <w:lang w:eastAsia="en-US"/>
        </w:rPr>
        <w:t xml:space="preserve">Для оценки влияния генетических и негенетических факторов на метаболизм </w:t>
      </w:r>
      <w:r w:rsidR="008D5235" w:rsidRPr="00D322B0">
        <w:rPr>
          <w:color w:val="2B213A"/>
        </w:rPr>
        <w:t>этраверин</w:t>
      </w:r>
      <w:r w:rsidR="008D5235">
        <w:rPr>
          <w:color w:val="2B213A"/>
        </w:rPr>
        <w:t xml:space="preserve">а </w:t>
      </w:r>
      <w:r>
        <w:rPr>
          <w:lang w:eastAsia="en-US"/>
        </w:rPr>
        <w:t>выполнено двухэтапное фармакогенетическое популяционное исследование с участием ВИЧ-1-инфицированных пациентов. Среднее значение CL/F</w:t>
      </w:r>
      <w:r w:rsidR="0040330E">
        <w:rPr>
          <w:lang w:eastAsia="en-US"/>
        </w:rPr>
        <w:t xml:space="preserve"> (</w:t>
      </w:r>
      <w:r w:rsidR="0040330E">
        <w:rPr>
          <w:rFonts w:eastAsiaTheme="minorEastAsia"/>
        </w:rPr>
        <w:t>общий</w:t>
      </w:r>
      <w:r w:rsidR="0040330E" w:rsidRPr="00253505">
        <w:rPr>
          <w:rFonts w:eastAsiaTheme="minorEastAsia"/>
        </w:rPr>
        <w:t xml:space="preserve"> клиренс</w:t>
      </w:r>
      <w:r w:rsidR="0040330E">
        <w:rPr>
          <w:lang w:eastAsia="en-US"/>
        </w:rPr>
        <w:t>)</w:t>
      </w:r>
      <w:r>
        <w:rPr>
          <w:lang w:eastAsia="en-US"/>
        </w:rPr>
        <w:t>, V</w:t>
      </w:r>
      <w:r w:rsidRPr="003B5452">
        <w:rPr>
          <w:vertAlign w:val="subscript"/>
          <w:lang w:eastAsia="en-US"/>
        </w:rPr>
        <w:t>d</w:t>
      </w:r>
      <w:r>
        <w:rPr>
          <w:lang w:eastAsia="en-US"/>
        </w:rPr>
        <w:t xml:space="preserve"> </w:t>
      </w:r>
      <w:r w:rsidR="007D3CA1">
        <w:rPr>
          <w:lang w:eastAsia="en-US"/>
        </w:rPr>
        <w:t>(к</w:t>
      </w:r>
      <w:r w:rsidR="0040330E" w:rsidRPr="0040330E">
        <w:rPr>
          <w:lang w:eastAsia="en-US"/>
        </w:rPr>
        <w:t>ажущийся объем распределения</w:t>
      </w:r>
      <w:r w:rsidR="007D3CA1">
        <w:rPr>
          <w:lang w:eastAsia="en-US"/>
        </w:rPr>
        <w:t xml:space="preserve">) </w:t>
      </w:r>
      <w:r>
        <w:rPr>
          <w:lang w:eastAsia="en-US"/>
        </w:rPr>
        <w:t xml:space="preserve">и средняя продолжительность времени абсорбции </w:t>
      </w:r>
      <w:r w:rsidR="008D5235" w:rsidRPr="00D322B0">
        <w:rPr>
          <w:color w:val="2B213A"/>
        </w:rPr>
        <w:t>этраверин</w:t>
      </w:r>
      <w:r w:rsidR="008D5235">
        <w:rPr>
          <w:color w:val="2B213A"/>
        </w:rPr>
        <w:t xml:space="preserve">а </w:t>
      </w:r>
      <w:r>
        <w:rPr>
          <w:lang w:eastAsia="en-US"/>
        </w:rPr>
        <w:t>(D1) были определены в 289 образцах плазмы, полученных от 144 пациентов. Они составили: CL/F =41 л/ч (</w:t>
      </w:r>
      <w:r w:rsidRPr="0063500A">
        <w:rPr>
          <w:lang w:eastAsia="en-US"/>
        </w:rPr>
        <w:t>коэффициент вариации (CV)</w:t>
      </w:r>
      <w:r>
        <w:rPr>
          <w:lang w:eastAsia="en-US"/>
        </w:rPr>
        <w:t xml:space="preserve"> 51,1%); V</w:t>
      </w:r>
      <w:r w:rsidRPr="00AF3D16">
        <w:rPr>
          <w:vertAlign w:val="subscript"/>
          <w:lang w:eastAsia="en-US"/>
        </w:rPr>
        <w:t>d</w:t>
      </w:r>
      <w:r>
        <w:rPr>
          <w:lang w:eastAsia="en-US"/>
        </w:rPr>
        <w:t xml:space="preserve"> =1325</w:t>
      </w:r>
      <w:r w:rsidRPr="00AF3D16">
        <w:rPr>
          <w:lang w:eastAsia="en-US"/>
        </w:rPr>
        <w:t xml:space="preserve"> </w:t>
      </w:r>
      <w:r>
        <w:rPr>
          <w:lang w:eastAsia="en-US"/>
        </w:rPr>
        <w:t xml:space="preserve">л; </w:t>
      </w:r>
      <w:r w:rsidR="007D3CA1">
        <w:rPr>
          <w:lang w:eastAsia="en-US"/>
        </w:rPr>
        <w:t>D1</w:t>
      </w:r>
      <w:r>
        <w:rPr>
          <w:lang w:eastAsia="en-US"/>
        </w:rPr>
        <w:t xml:space="preserve"> = 1,2 ч. </w:t>
      </w:r>
    </w:p>
    <w:p w14:paraId="42D49D4E" w14:textId="488FA6EF" w:rsidR="00065D44" w:rsidRDefault="00065D44">
      <w:pPr>
        <w:ind w:firstLine="709"/>
        <w:rPr>
          <w:lang w:eastAsia="en-US"/>
        </w:rPr>
      </w:pPr>
      <w:r>
        <w:rPr>
          <w:lang w:eastAsia="en-US"/>
        </w:rPr>
        <w:t xml:space="preserve">Совместное применение </w:t>
      </w:r>
      <w:r w:rsidRPr="002017D3">
        <w:rPr>
          <w:lang w:eastAsia="en-US"/>
        </w:rPr>
        <w:t>DRV</w:t>
      </w:r>
      <w:r>
        <w:rPr>
          <w:lang w:eastAsia="en-US"/>
        </w:rPr>
        <w:t>/</w:t>
      </w:r>
      <w:r>
        <w:rPr>
          <w:lang w:val="en-US" w:eastAsia="en-US"/>
        </w:rPr>
        <w:t>r</w:t>
      </w:r>
      <w:r w:rsidRPr="00FD3605">
        <w:rPr>
          <w:lang w:eastAsia="en-US"/>
        </w:rPr>
        <w:t xml:space="preserve"> </w:t>
      </w:r>
      <w:r w:rsidR="0060466A" w:rsidRPr="000E64BF">
        <w:t>(</w:t>
      </w:r>
      <w:r w:rsidR="0060466A">
        <w:t>д</w:t>
      </w:r>
      <w:r w:rsidR="0060466A" w:rsidRPr="00DA2296">
        <w:t>арунавир</w:t>
      </w:r>
      <w:r w:rsidR="0060466A">
        <w:t>а</w:t>
      </w:r>
      <w:r w:rsidR="0060466A" w:rsidRPr="000E64BF">
        <w:t>/</w:t>
      </w:r>
      <w:r w:rsidR="0060466A" w:rsidRPr="000E64BF">
        <w:rPr>
          <w:sz w:val="22"/>
          <w:szCs w:val="22"/>
        </w:rPr>
        <w:t xml:space="preserve"> </w:t>
      </w:r>
      <w:r w:rsidR="0060466A" w:rsidRPr="003B194B">
        <w:t>ритонавир</w:t>
      </w:r>
      <w:r w:rsidR="0060466A">
        <w:t>а</w:t>
      </w:r>
      <w:r w:rsidR="0060466A" w:rsidRPr="000E64BF">
        <w:t>)</w:t>
      </w:r>
      <w:r w:rsidR="0060466A">
        <w:t xml:space="preserve"> </w:t>
      </w:r>
      <w:r>
        <w:rPr>
          <w:lang w:eastAsia="en-US"/>
        </w:rPr>
        <w:t xml:space="preserve">и </w:t>
      </w:r>
      <w:r>
        <w:rPr>
          <w:lang w:val="en-US" w:eastAsia="en-US"/>
        </w:rPr>
        <w:t>TDF</w:t>
      </w:r>
      <w:r w:rsidR="0026424E">
        <w:rPr>
          <w:lang w:eastAsia="en-US"/>
        </w:rPr>
        <w:t xml:space="preserve"> (</w:t>
      </w:r>
      <w:r w:rsidR="00356AB0">
        <w:rPr>
          <w:lang w:eastAsia="en-US"/>
        </w:rPr>
        <w:t>т</w:t>
      </w:r>
      <w:r w:rsidR="00356AB0" w:rsidRPr="0026424E">
        <w:rPr>
          <w:lang w:eastAsia="en-US"/>
        </w:rPr>
        <w:t>енофовир</w:t>
      </w:r>
      <w:r w:rsidR="00356AB0">
        <w:rPr>
          <w:lang w:eastAsia="en-US"/>
        </w:rPr>
        <w:t>а) были</w:t>
      </w:r>
      <w:r>
        <w:rPr>
          <w:lang w:eastAsia="en-US"/>
        </w:rPr>
        <w:t xml:space="preserve"> идентифицированы как негенетические факторы, связанные с увеличением CL/F </w:t>
      </w:r>
      <w:r w:rsidR="004F714F" w:rsidRPr="004F714F">
        <w:rPr>
          <w:lang w:eastAsia="en-US"/>
        </w:rPr>
        <w:t xml:space="preserve">этраверина </w:t>
      </w:r>
      <w:r>
        <w:rPr>
          <w:lang w:eastAsia="en-US"/>
        </w:rPr>
        <w:t xml:space="preserve">на 40% (95% ДИ 13–69%) и 42% (95% ДИ 17–68%), соответственно. </w:t>
      </w:r>
    </w:p>
    <w:p w14:paraId="71A3A155" w14:textId="01916F35" w:rsidR="00065D44" w:rsidRPr="0065629B" w:rsidRDefault="00065D44">
      <w:pPr>
        <w:pStyle w:val="affb"/>
        <w:spacing w:before="0" w:after="0" w:line="240" w:lineRule="auto"/>
        <w:ind w:firstLine="709"/>
        <w:rPr>
          <w:lang w:eastAsia="en-US"/>
        </w:rPr>
      </w:pPr>
      <w:r>
        <w:rPr>
          <w:lang w:eastAsia="en-US"/>
        </w:rPr>
        <w:t>Только один генетический фактор</w:t>
      </w:r>
      <w:r w:rsidRPr="002872E7">
        <w:rPr>
          <w:lang w:eastAsia="en-US"/>
        </w:rPr>
        <w:t xml:space="preserve"> </w:t>
      </w:r>
      <w:r>
        <w:rPr>
          <w:lang w:eastAsia="en-US"/>
        </w:rPr>
        <w:t xml:space="preserve">был связан с изменением CL/F </w:t>
      </w:r>
      <w:r w:rsidR="00501438" w:rsidRPr="00D322B0">
        <w:rPr>
          <w:color w:val="2B213A"/>
        </w:rPr>
        <w:t>этраверин</w:t>
      </w:r>
      <w:r w:rsidR="00501438">
        <w:rPr>
          <w:color w:val="2B213A"/>
        </w:rPr>
        <w:t xml:space="preserve">а </w:t>
      </w:r>
      <w:r w:rsidRPr="00E56E0A">
        <w:rPr>
          <w:lang w:eastAsia="en-US"/>
        </w:rPr>
        <w:t>– однонуклеотидный полиморфизм (SNP)</w:t>
      </w:r>
      <w:r>
        <w:rPr>
          <w:lang w:eastAsia="en-US"/>
        </w:rPr>
        <w:t xml:space="preserve"> rs4244285 (CYP2C19 * 2), что привело к снижению CL/F на 23% (95% ДИ 8–38%) </w:t>
      </w:r>
      <w:r>
        <w:rPr>
          <w:lang w:eastAsia="en-US"/>
        </w:rPr>
        <w:fldChar w:fldCharType="begin"/>
      </w:r>
      <w:r w:rsidR="00824DA4">
        <w:rPr>
          <w:lang w:eastAsia="en-US"/>
        </w:rPr>
        <w:instrText xml:space="preserve"> ADDIN ZOTERO_ITEM CSL_CITATION {"citationID":"sEbDhaiG","properties":{"formattedCitation":"(31)","plainCitation":"(31)","noteIndex":0},"citationItems":[{"id":"iY4E1EKJ/GnuKCzka","uris":["http://zotero.org/users/1055192/items/6MPMTVD8"],"itemData":{"id":30502,"type":"article-journal","abstract":"OBJECTIVES: Etravirine (ETV) is metabolized by cytochrome P450 (CYP) 3A, 2C9, and 2C19. Metabolites are glucuronidated by uridine diphosphate glucuronosyltransferases (UGT). To identify the potential impact of genetic and non-genetic factors involved in ETV metabolism, we carried out a two-step pharmacogenetics-based population pharmacokinetic study in HIV-1 infected individuals.\nMATERIALS AND METHODS: The study population included 144 individuals contributing 289 ETV plasma concentrations and four individuals contributing 23 ETV plasma concentrations collected in a rich sampling design. Genetic variants [n=125 single-nucleotide polymorphisms (SNPs)] in 34 genes with a predicted role in ETV metabolism were selected. A first step population pharmacokinetic model included non-genetic and known genetic factors (seven SNPs in CYP2C, one SNP in CYP3A5) as covariates. Post-hoc individual ETV clearance (CL) was used in a second (discovery) step, in which the effect of the remaining 98 SNPs in CYP3A, P450 cytochrome oxidoreductase (POR), nuclear receptor genes, and UGTs was investigated.\nRESULTS: A one-compartment model with zero-order absorption best characterized ETV pharmacokinetics. The average ETV CL was 41 (l/h) (CV 51.1%), the volume of distribution was 1325 l, and the mean absorption time was 1.2 h. The administration of darunavir/ritonavir or tenofovir was the only non-genetic covariate influencing ETV CL significantly, resulting in a 40% [95% confidence interval (CI): 13-69%] and a 42% (95% CI: 17-68%) increase in ETV CL, respectively. Carriers of rs4244285 (CYP2C19*2) had 23% (8-38%) lower ETV CL. Co-administered antiretroviral agents and genetic factors explained 16% of the variance in ETV concentrations. None of the SNPs in the discovery step influenced ETV CL.\nCONCLUSION: ETV concentrations are highly variable, and co-administered antiretroviral agents and genetic factors explained only a modest part of the interindividual variability in ETV elimination. Opposing effects of interacting drugs effectively abrogate genetic influences on ETV CL, and vice-versa.","container-title":"Pharmacogenetics and Genomics","DOI":"10.1097/FPC.0b013e32835ade82","ISSN":"1744-6880","issue":"1","journalAbbreviation":"Pharmacogenet Genomics","language":"eng","note":"PMID: 23111422","page":"9-18","source":"PubMed","title":"Pharmacogenetics-based population pharmacokinetic analysis of etravirine in HIV-1 infected individuals","volume":"23","author":[{"family":"Lubomirov","given":"Rubin"},{"family":"Arab-Alameddine","given":"Mona"},{"family":"Rotger","given":"Margalida"},{"family":"Fayet-Mello","given":"Aurélie"},{"family":"Martinez","given":"Raquel"},{"family":"Guidi","given":"Monia"},{"family":"Iulio","given":"Julia","non-dropping-particle":"di"},{"family":"Cavassini","given":"Matthias"},{"family":"Günthard","given":"Huldrych F."},{"family":"Furrer","given":"Hansjakob"},{"family":"Marzolini","given":"Catia"},{"family":"Bernasconi","given":"Enos"},{"family":"Calmy","given":"Alexandra"},{"family":"Buclin","given":"Thierry"},{"family":"Decosterd","given":"Laurent A."},{"family":"Csajka","given":"Chantal"},{"family":"Telenti","given":"Amalio"},{"literal":"Swiss HIV Cohort Study"}],"issued":{"date-parts":[["2013",1]]}}}],"schema":"https://github.com/citation-style-language/schema/raw/master/csl-citation.json"} </w:instrText>
      </w:r>
      <w:r>
        <w:rPr>
          <w:lang w:eastAsia="en-US"/>
        </w:rPr>
        <w:fldChar w:fldCharType="separate"/>
      </w:r>
      <w:r w:rsidR="005E2B83" w:rsidRPr="00B66676">
        <w:t>[</w:t>
      </w:r>
      <w:r w:rsidR="008941C7" w:rsidRPr="008941C7">
        <w:t>31</w:t>
      </w:r>
      <w:r w:rsidR="005E2B83" w:rsidRPr="00B66676">
        <w:t>]</w:t>
      </w:r>
      <w:r>
        <w:rPr>
          <w:lang w:eastAsia="en-US"/>
        </w:rPr>
        <w:fldChar w:fldCharType="end"/>
      </w:r>
      <w:r>
        <w:rPr>
          <w:lang w:eastAsia="en-US"/>
        </w:rPr>
        <w:t xml:space="preserve">. Влияние экспрессии полиморфизма CYP3A5*3 на концентрацию </w:t>
      </w:r>
      <w:r w:rsidRPr="002017D3">
        <w:rPr>
          <w:lang w:eastAsia="en-US"/>
        </w:rPr>
        <w:t>DRV</w:t>
      </w:r>
      <w:r w:rsidR="00501438">
        <w:rPr>
          <w:lang w:eastAsia="en-US"/>
        </w:rPr>
        <w:t xml:space="preserve"> (</w:t>
      </w:r>
      <w:r w:rsidR="00501438">
        <w:t>д</w:t>
      </w:r>
      <w:r w:rsidR="00501438" w:rsidRPr="00DA2296">
        <w:t>арунавир</w:t>
      </w:r>
      <w:r w:rsidR="00501438">
        <w:t>а</w:t>
      </w:r>
      <w:r w:rsidR="00501438">
        <w:rPr>
          <w:lang w:eastAsia="en-US"/>
        </w:rPr>
        <w:t>)</w:t>
      </w:r>
      <w:r w:rsidRPr="002017D3">
        <w:rPr>
          <w:lang w:eastAsia="en-US"/>
        </w:rPr>
        <w:t xml:space="preserve"> </w:t>
      </w:r>
      <w:r>
        <w:rPr>
          <w:lang w:eastAsia="en-US"/>
        </w:rPr>
        <w:t xml:space="preserve">в плазме оценивали с </w:t>
      </w:r>
      <w:r w:rsidR="00501438" w:rsidRPr="00D322B0">
        <w:rPr>
          <w:color w:val="2B213A"/>
        </w:rPr>
        <w:t>этраверин</w:t>
      </w:r>
      <w:r w:rsidR="00501438">
        <w:rPr>
          <w:color w:val="2B213A"/>
        </w:rPr>
        <w:t xml:space="preserve">ом </w:t>
      </w:r>
      <w:r>
        <w:rPr>
          <w:lang w:eastAsia="en-US"/>
        </w:rPr>
        <w:t xml:space="preserve">и без него. Концентрации </w:t>
      </w:r>
      <w:r w:rsidRPr="002017D3">
        <w:rPr>
          <w:lang w:eastAsia="en-US"/>
        </w:rPr>
        <w:t>DRV</w:t>
      </w:r>
      <w:r>
        <w:rPr>
          <w:lang w:eastAsia="en-US"/>
        </w:rPr>
        <w:t xml:space="preserve"> </w:t>
      </w:r>
      <w:r w:rsidR="00E04D07">
        <w:rPr>
          <w:lang w:eastAsia="en-US"/>
        </w:rPr>
        <w:t>(</w:t>
      </w:r>
      <w:r w:rsidR="00E04D07">
        <w:t>д</w:t>
      </w:r>
      <w:r w:rsidR="00E04D07" w:rsidRPr="00DA2296">
        <w:t>арунавир</w:t>
      </w:r>
      <w:r w:rsidR="00E04D07">
        <w:t>а</w:t>
      </w:r>
      <w:r w:rsidR="00E04D07">
        <w:rPr>
          <w:lang w:eastAsia="en-US"/>
        </w:rPr>
        <w:t>)</w:t>
      </w:r>
      <w:r w:rsidR="00E04D07" w:rsidRPr="002017D3">
        <w:rPr>
          <w:lang w:eastAsia="en-US"/>
        </w:rPr>
        <w:t xml:space="preserve"> </w:t>
      </w:r>
      <w:r>
        <w:rPr>
          <w:lang w:eastAsia="en-US"/>
        </w:rPr>
        <w:t xml:space="preserve">в присутствии сопутствующего </w:t>
      </w:r>
      <w:r w:rsidR="00E04D07" w:rsidRPr="004F714F">
        <w:rPr>
          <w:lang w:eastAsia="en-US"/>
        </w:rPr>
        <w:t xml:space="preserve">этраверина </w:t>
      </w:r>
      <w:r>
        <w:rPr>
          <w:lang w:eastAsia="en-US"/>
        </w:rPr>
        <w:t xml:space="preserve">(и </w:t>
      </w:r>
      <w:r w:rsidR="008738CC">
        <w:rPr>
          <w:lang w:eastAsia="en-US"/>
        </w:rPr>
        <w:t>р</w:t>
      </w:r>
      <w:r w:rsidR="008738CC" w:rsidRPr="008738CC">
        <w:rPr>
          <w:lang w:eastAsia="en-US"/>
        </w:rPr>
        <w:t>итонавир</w:t>
      </w:r>
      <w:r w:rsidR="008738CC">
        <w:rPr>
          <w:lang w:eastAsia="en-US"/>
        </w:rPr>
        <w:t>а</w:t>
      </w:r>
      <w:r>
        <w:rPr>
          <w:lang w:eastAsia="en-US"/>
        </w:rPr>
        <w:t xml:space="preserve">) были значительно ниже в двух подгруппах пациентов, экспрессирующих SNP CYP3A5*3 (n = 13), по сравнению с пациентами без SNP (n = 16): </w:t>
      </w:r>
      <w:r w:rsidRPr="002017D3">
        <w:rPr>
          <w:lang w:eastAsia="en-US"/>
        </w:rPr>
        <w:t>DRV</w:t>
      </w:r>
      <w:r>
        <w:rPr>
          <w:lang w:eastAsia="en-US"/>
        </w:rPr>
        <w:t>/</w:t>
      </w:r>
      <w:r>
        <w:rPr>
          <w:lang w:val="en-US" w:eastAsia="en-US"/>
        </w:rPr>
        <w:t>r</w:t>
      </w:r>
      <w:r w:rsidRPr="00B81F20">
        <w:rPr>
          <w:lang w:eastAsia="en-US"/>
        </w:rPr>
        <w:t xml:space="preserve"> </w:t>
      </w:r>
      <w:r w:rsidRPr="004C1E09">
        <w:rPr>
          <w:lang w:eastAsia="en-US"/>
        </w:rPr>
        <w:t>(</w:t>
      </w:r>
      <w:r>
        <w:rPr>
          <w:lang w:eastAsia="en-US"/>
        </w:rPr>
        <w:t>800/100 мг в день</w:t>
      </w:r>
      <w:r w:rsidRPr="004C1E09">
        <w:rPr>
          <w:lang w:eastAsia="en-US"/>
        </w:rPr>
        <w:t>)</w:t>
      </w:r>
      <w:r>
        <w:rPr>
          <w:lang w:eastAsia="en-US"/>
        </w:rPr>
        <w:t xml:space="preserve"> – 1385 нг/мл (95% ДИ 886–2165), по сравнению с 3141 нг/мл (95% ДИ 2042–4831); </w:t>
      </w:r>
      <w:r w:rsidRPr="002017D3">
        <w:rPr>
          <w:lang w:eastAsia="en-US"/>
        </w:rPr>
        <w:t>DRV</w:t>
      </w:r>
      <w:r>
        <w:rPr>
          <w:lang w:eastAsia="en-US"/>
        </w:rPr>
        <w:t>/</w:t>
      </w:r>
      <w:r>
        <w:rPr>
          <w:lang w:val="en-US" w:eastAsia="en-US"/>
        </w:rPr>
        <w:t>r</w:t>
      </w:r>
      <w:r>
        <w:rPr>
          <w:lang w:eastAsia="en-US"/>
        </w:rPr>
        <w:t xml:space="preserve"> (600/100 мг два раза в день) – 1486 нг/мл (95% ДИ 725–3044), по сравнению с 3141 нг/мл (95% ДИ 2042–4831) </w:t>
      </w:r>
      <w:r>
        <w:rPr>
          <w:lang w:eastAsia="en-US"/>
        </w:rPr>
        <w:fldChar w:fldCharType="begin"/>
      </w:r>
      <w:r w:rsidR="00824DA4">
        <w:rPr>
          <w:lang w:eastAsia="en-US"/>
        </w:rPr>
        <w:instrText xml:space="preserve"> ADDIN ZOTERO_ITEM CSL_CITATION {"citationID":"sA1bpPNw","properties":{"formattedCitation":"(40)","plainCitation":"(40)","noteIndex":0},"citationItems":[{"id":"iY4E1EKJ/oiRndngj","uris":["http://zotero.org/users/1055192/items/TU2M2KYA"],"itemData":{"id":30689,"type":"article-journal","abstract":"OBJECTIVES: To assess the impact of the loss-of-function CYP3A5*3 allele (rs776746, 6986A&gt;G SNP) on darunavir (DRV) plasma concentrations.\nMETHODS: 135 HIV-1 infected patients treated with DRV-based therapy were included in the study and plasma samples were obtained immediately before drug intake in order to determine DRV trough concentrations using an ultra performance liquid chromatography method (UPLC) with diode-array detection (DAD). Noteworthy is the fact that in 16 (11.9%) patients, etravirine (ETR) was combined with DRV. CYP3A5 genotypes were determined using real time PCR method (TaqMan® genotyping assay). The patients were then classified into CYP3A5 expressors (CYP3A5*1 allele carriers) and non-expressors (CYP3A5*3 homozygous). Subsequently, the association between DRV plasma trough concentration ([DRV]plasma) and CYP3A5 genotype-based expression status was analyzed.\nRESULTS: 45% of the patients were classified as CYP3A5 expressors. In the whole cohort, mean [DRV]plasma was not different between CYP3A5 expressors and non-expressors (1894ng/ml [CI95%: 1566-2290] versus 1737ng/ml [CI95%: 1468-2057], p = 0.43). However, in the subgroup of the 16 patients receiving DRV combined with ETR, a significantly lower [DRV]plasma was observed for CYP3A5 expressors when compared to non-expressors (1385ng/ml [CI95%:886.3-2165] versus 3141ng/ml [CI95%:2042-4831], p = 0.007).\nCONCLUSIONS: Interaction between DRV and ETR is partly mediated by CYP3A5 polymorphism with lower DRV plasma trough concentrations in CYP3A5 expressors suggesting a specific ETR-driven CYP3A5 activation only in CYP3A5 expressors. Consequently, these patients might be more at risk of infra-therapeutic [DRV]plasma. This potentially important observation is a good illustration of a genotype-based drug interaction, which could also have considerable consequences if translated to other CYP3A5-metabolized drugs. Further investigations are thus needed to confirm this association and to explore its clinical impact, mainly in the African population among whom CYP3A5 expressors are more frequent, before recommending systematic CYP3A5 pre-emptive genotyping for DRV-ETR co-administration.","container-title":"PloS One","DOI":"10.1371/journal.pone.0165631","ISSN":"1932-6203","issue":"10","journalAbbreviation":"PLoS One","language":"eng","note":"PMID: 27788239\nPMCID: PMC5082792","page":"e0165631","source":"PubMed","title":"Interaction between Darunavir and Etravirine Is Partly Mediated by CYP3A5 Polymorphism","volume":"11","author":[{"family":"Belkhir","given":"Leïla"},{"family":"Elens","given":"Laure"},{"family":"Zech","given":"Francis"},{"family":"Panin","given":"Nadtha"},{"family":"Vincent","given":"Anne"},{"family":"Yombi","given":"Jean Cyr"},{"family":"Vandercam","given":"Bernard"},{"family":"Haufroid","given":"Vincent"}],"issued":{"date-parts":[["2016"]]}}}],"schema":"https://github.com/citation-style-language/schema/raw/master/csl-citation.json"} </w:instrText>
      </w:r>
      <w:r>
        <w:rPr>
          <w:lang w:eastAsia="en-US"/>
        </w:rPr>
        <w:fldChar w:fldCharType="separate"/>
      </w:r>
      <w:r w:rsidR="005E2B83" w:rsidRPr="005E2B83">
        <w:t>[</w:t>
      </w:r>
      <w:r w:rsidR="008941C7" w:rsidRPr="008941C7">
        <w:t>40</w:t>
      </w:r>
      <w:r w:rsidR="005E2B83" w:rsidRPr="005E2B83">
        <w:t>]</w:t>
      </w:r>
      <w:r>
        <w:rPr>
          <w:lang w:eastAsia="en-US"/>
        </w:rPr>
        <w:fldChar w:fldCharType="end"/>
      </w:r>
      <w:r>
        <w:rPr>
          <w:lang w:eastAsia="en-US"/>
        </w:rPr>
        <w:t xml:space="preserve">. Популяционное фармакокинетическое исследование с использованием 4728 образцов плазмы, полученных от 817 взрослых пациентов из четырех клинических исследований, выявило более высокие концентрации </w:t>
      </w:r>
      <w:r w:rsidR="00174B01" w:rsidRPr="004F714F">
        <w:rPr>
          <w:lang w:eastAsia="en-US"/>
        </w:rPr>
        <w:t xml:space="preserve">этраверина </w:t>
      </w:r>
      <w:r>
        <w:rPr>
          <w:lang w:eastAsia="en-US"/>
        </w:rPr>
        <w:t xml:space="preserve">среди медленных метаболизеров CYP2C9 и CYP2C19 </w:t>
      </w:r>
      <w:r>
        <w:rPr>
          <w:lang w:eastAsia="en-US"/>
        </w:rPr>
        <w:fldChar w:fldCharType="begin"/>
      </w:r>
      <w:r w:rsidR="00824DA4">
        <w:rPr>
          <w:lang w:eastAsia="en-US"/>
        </w:rPr>
        <w:instrText xml:space="preserve"> ADDIN ZOTERO_ITEM CSL_CITATION {"citationID":"OANEVSKN","properties":{"formattedCitation":"(41)","plainCitation":"(41)","noteIndex":0},"citationItems":[{"id":"iY4E1EKJ/TZLTq0ep","uris":["http://zotero.org/users/1055192/items/2WDJ9MBE"],"itemData":{"id":30454,"type":"article-journal","abstract":"BACKGROUND: Etravirine is a non-nucleoside reverse transcriptase inhibitor indicated in combination with other antiretrovirals for treatment-experienced HIV patients ≥6 years of age. Etravirine is primarily metabolized by cytochrome P450 (CYP) 2C9, CYP2C19, and CYP3A. This analysis determined the impact of concomitant antiretrovirals and CYP2C9/CYP2C19 phenotype on the pharmacokinetics of etravirine.\nMETHODS: We used 4728 plasma concentrations from 817 adult subjects collected from four clinical studies to develop the population pharmacokinetic model. The presence of atazanavir/ritonavir, lopinavir/ritonavir, darunavir/ritonavir, tenofovir disoproxil fumarate, or enfuvirtide together with the CYP2C9 and CYP2C19 phenotype and other demographics were evaluated.\nRESULTS: A one-compartment model with first-order input and a lag-time best described the data. Estimates of apparent total clearance (CL/F), apparent central volume of distribution (V c/F), first-order absorption rate constant (k a), and absorption lag-time were 41.7 L/h, 972 L, 1.16 h, and 1.32 h, respectively. Estimates of between-subject variability on CL/F, V c/F, and relative bioavailability (F) were 39.4 %CV (percentage coefficient of variation), 35.9 %CV and 35.5 %CV, respectively. Between-occasion variability on F was estimated to be 30.0 %CV. CL/F increased non-linearly with body weight and creatinine clearance (CLCR), and also varied based on CYP2C9/CYP2C19 phenotype.\nCONCLUSIONS: In this analysis, body weight, CLCR, and CYP2C9/CYP2C19 phenotype were found to describe some of the variability in CL/F. It was not possible to show an impact of concomitant antiretrovirals on the pharmacokinetics of etravirine for adults predominantly taking coadministered boosted protease inhibitors as a background antiretroviral regimen.","container-title":"Clinical Pharmacokinetics","DOI":"10.1007/s40262-016-0454-8","ISSN":"1179-1926","issue":"5","journalAbbreviation":"Clin Pharmacokinet","language":"eng","note":"PMID: 27665573","page":"525-536","source":"PubMed","title":"Evaluation of Concomitant Antiretrovirals and CYP2C9/CYP2C19 Polymorphisms on the Pharmacokinetics of Etravirine","volume":"56","author":[{"family":"Green","given":"Bruce"},{"family":"Crauwels","given":"Herta"},{"family":"Kakuda","given":"Thomas N."},{"family":"Vanveggel","given":"Simon"},{"family":"Brochot","given":"Anne"}],"issued":{"date-parts":[["2017",5]]}}}],"schema":"https://github.com/citation-style-language/schema/raw/master/csl-citation.json"} </w:instrText>
      </w:r>
      <w:r>
        <w:rPr>
          <w:lang w:eastAsia="en-US"/>
        </w:rPr>
        <w:fldChar w:fldCharType="separate"/>
      </w:r>
      <w:r w:rsidR="005E2B83" w:rsidRPr="00FB4494">
        <w:t>[</w:t>
      </w:r>
      <w:r w:rsidR="008941C7" w:rsidRPr="0065629B">
        <w:t>41</w:t>
      </w:r>
      <w:r w:rsidR="005E2B83" w:rsidRPr="00FB4494">
        <w:t>]</w:t>
      </w:r>
      <w:r>
        <w:rPr>
          <w:lang w:eastAsia="en-US"/>
        </w:rPr>
        <w:fldChar w:fldCharType="end"/>
      </w:r>
      <w:r w:rsidRPr="0065629B">
        <w:rPr>
          <w:lang w:eastAsia="en-US"/>
        </w:rPr>
        <w:t>.</w:t>
      </w:r>
    </w:p>
    <w:p w14:paraId="4EE42555" w14:textId="77777777" w:rsidR="00075D7F" w:rsidRDefault="00075D7F" w:rsidP="00A76175"/>
    <w:p w14:paraId="6F3DC799" w14:textId="24CD501B" w:rsidR="00B47726" w:rsidRPr="00A76175" w:rsidRDefault="00075D7F" w:rsidP="00A76175">
      <w:pPr>
        <w:rPr>
          <w:i/>
        </w:rPr>
      </w:pPr>
      <w:r w:rsidRPr="00A76175">
        <w:rPr>
          <w:b/>
          <w:i/>
        </w:rPr>
        <w:t>Пациенты с нарушением функции почек</w:t>
      </w:r>
      <w:bookmarkEnd w:id="149"/>
    </w:p>
    <w:p w14:paraId="57656989" w14:textId="4DAC4C14" w:rsidR="00EE514F" w:rsidRDefault="00EE514F" w:rsidP="00EE1D8E">
      <w:pPr>
        <w:pStyle w:val="affb"/>
        <w:spacing w:before="0" w:after="0" w:line="240" w:lineRule="auto"/>
        <w:ind w:firstLine="709"/>
        <w:rPr>
          <w:lang w:eastAsia="en-US"/>
        </w:rPr>
      </w:pPr>
      <w:r>
        <w:rPr>
          <w:lang w:eastAsia="en-US"/>
        </w:rPr>
        <w:t xml:space="preserve">Фармакокинетика этравирина не изучалась у пациентов с почечной недостаточностью. Согласно результатам масс-балансового исследования </w:t>
      </w:r>
      <w:r w:rsidRPr="0040004A">
        <w:rPr>
          <w:vertAlign w:val="superscript"/>
          <w:lang w:eastAsia="en-US"/>
        </w:rPr>
        <w:t>14</w:t>
      </w:r>
      <w:r>
        <w:rPr>
          <w:lang w:eastAsia="en-US"/>
        </w:rPr>
        <w:t>С</w:t>
      </w:r>
      <w:r w:rsidRPr="00AE28CB">
        <w:rPr>
          <w:lang w:eastAsia="en-US"/>
        </w:rPr>
        <w:t>-</w:t>
      </w:r>
      <w:r w:rsidRPr="00EE514F">
        <w:t xml:space="preserve"> </w:t>
      </w:r>
      <w:r w:rsidRPr="00EE514F">
        <w:rPr>
          <w:lang w:eastAsia="en-US"/>
        </w:rPr>
        <w:t>этравирин</w:t>
      </w:r>
      <w:r>
        <w:rPr>
          <w:lang w:eastAsia="en-US"/>
        </w:rPr>
        <w:t xml:space="preserve">, с мочой выводится менее 1,2% введённой дозы этравирина. Неизменённый этравирин в моче не обнаруживался, поэтому нарушение почечной функции не должно оказывать значимого влияния на выведение </w:t>
      </w:r>
      <w:r w:rsidR="009F5646">
        <w:rPr>
          <w:lang w:eastAsia="en-US"/>
        </w:rPr>
        <w:t>этравирина</w:t>
      </w:r>
      <w:r>
        <w:rPr>
          <w:lang w:eastAsia="en-US"/>
        </w:rPr>
        <w:t xml:space="preserve">. Поскольку </w:t>
      </w:r>
      <w:r w:rsidR="009F5646">
        <w:rPr>
          <w:lang w:eastAsia="en-US"/>
        </w:rPr>
        <w:t xml:space="preserve">этравирин </w:t>
      </w:r>
      <w:r>
        <w:rPr>
          <w:lang w:eastAsia="en-US"/>
        </w:rPr>
        <w:t xml:space="preserve">в значительной степени связывается с белками плазмы, возможность его выведения с помощью гемодиализа или перитонеального диализа маловероятна </w:t>
      </w:r>
      <w:r w:rsidR="009F5646">
        <w:rPr>
          <w:lang w:eastAsia="en-US"/>
        </w:rPr>
        <w:fldChar w:fldCharType="begin"/>
      </w:r>
      <w:r w:rsidR="009A2D49">
        <w:rPr>
          <w:lang w:eastAsia="en-US"/>
        </w:rPr>
        <w:instrText xml:space="preserve"> ADDIN ZOTERO_ITEM CSL_CITATION {"citationID":"FSF7a6IZ","properties":{"unsorted":true,"formattedCitation":"(2,23)","plainCitation":"(2,23)","noteIndex":0},"citationItems":[{"id":2597,"uris":["http://zotero.org/users/5483459/items/2TM4VUMV"],"itemData":{"id":2597,"type":"article-journal","abstract":"Etravirine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rsidR="009F5646">
        <w:rPr>
          <w:lang w:eastAsia="en-US"/>
        </w:rPr>
        <w:fldChar w:fldCharType="separate"/>
      </w:r>
      <w:r w:rsidR="005E2B83" w:rsidRPr="00152BB2">
        <w:t>[</w:t>
      </w:r>
      <w:r w:rsidR="009A2D49" w:rsidRPr="009A2D49">
        <w:t>2,</w:t>
      </w:r>
      <w:r w:rsidR="00356AB0">
        <w:t xml:space="preserve"> </w:t>
      </w:r>
      <w:r w:rsidR="009A2D49" w:rsidRPr="009A2D49">
        <w:t>23</w:t>
      </w:r>
      <w:r w:rsidR="005E2B83" w:rsidRPr="00152BB2">
        <w:t>]</w:t>
      </w:r>
      <w:r w:rsidR="009F5646">
        <w:rPr>
          <w:lang w:eastAsia="en-US"/>
        </w:rPr>
        <w:fldChar w:fldCharType="end"/>
      </w:r>
      <w:r w:rsidR="009A2D49">
        <w:rPr>
          <w:lang w:eastAsia="en-US"/>
        </w:rPr>
        <w:t>.</w:t>
      </w:r>
    </w:p>
    <w:p w14:paraId="68923D82" w14:textId="77777777" w:rsidR="006D49DE" w:rsidRDefault="006D49DE" w:rsidP="00A76175">
      <w:pPr>
        <w:pStyle w:val="affb"/>
        <w:spacing w:before="0" w:after="0" w:line="240" w:lineRule="auto"/>
        <w:rPr>
          <w:b/>
          <w:i/>
        </w:rPr>
      </w:pPr>
    </w:p>
    <w:p w14:paraId="323493E6" w14:textId="2A59DF3B" w:rsidR="00356AB0" w:rsidRDefault="00075D7F" w:rsidP="00A76175">
      <w:pPr>
        <w:pStyle w:val="affb"/>
        <w:spacing w:before="0" w:after="0" w:line="240" w:lineRule="auto"/>
        <w:rPr>
          <w:lang w:eastAsia="en-US"/>
        </w:rPr>
      </w:pPr>
      <w:r w:rsidRPr="0075060E">
        <w:rPr>
          <w:b/>
          <w:i/>
        </w:rPr>
        <w:t xml:space="preserve">Пациенты с нарушением функции </w:t>
      </w:r>
      <w:r>
        <w:rPr>
          <w:b/>
          <w:i/>
        </w:rPr>
        <w:t>печени</w:t>
      </w:r>
    </w:p>
    <w:p w14:paraId="345BB1E8" w14:textId="3EC56144" w:rsidR="00397F26" w:rsidRPr="00E406A0" w:rsidRDefault="00397F26">
      <w:pPr>
        <w:pStyle w:val="affb"/>
        <w:spacing w:before="0" w:after="0" w:line="240" w:lineRule="auto"/>
        <w:ind w:firstLine="709"/>
        <w:rPr>
          <w:lang w:eastAsia="en-US"/>
        </w:rPr>
      </w:pPr>
      <w:r>
        <w:rPr>
          <w:lang w:eastAsia="en-US"/>
        </w:rPr>
        <w:t xml:space="preserve">Этравирин метаболизируется и выводится, главным образом, печенью. В исследовании, где проводилось сравнение 8 пациентов с нарушением функции печени легкой степени тяжести (класс A по шкале Чайлд-Пью) с 8 соответствующими контрольными участниками и 8 пациентов с нарушением функции печени средней степени тяжести (класс B по шкале Чайлд-Пью) с 8 соответствующими контрольными участниками, фармакокинетические показатели при использовании различных доз </w:t>
      </w:r>
      <w:bookmarkStart w:id="152" w:name="_Hlk112146865"/>
      <w:r>
        <w:rPr>
          <w:lang w:eastAsia="en-US"/>
        </w:rPr>
        <w:t xml:space="preserve">этравирина </w:t>
      </w:r>
      <w:bookmarkEnd w:id="152"/>
      <w:r>
        <w:rPr>
          <w:lang w:eastAsia="en-US"/>
        </w:rPr>
        <w:t xml:space="preserve">не отличались у пациентов с нарушением функции печени легкой и средней степени тяжести </w:t>
      </w:r>
      <w:r>
        <w:rPr>
          <w:lang w:eastAsia="en-US"/>
        </w:rPr>
        <w:fldChar w:fldCharType="begin"/>
      </w:r>
      <w:r>
        <w:rPr>
          <w:lang w:eastAsia="en-US"/>
        </w:rPr>
        <w:instrText xml:space="preserve"> ADDIN ZOTERO_ITEM CSL_CITATION {"citationID":"0CC0JWA8","properties":{"formattedCitation":"(2)","plainCitation":"(2)","noteIndex":0},"citationItems":[{"id":2597,"uris":["http://zotero.org/users/5483459/items/2TM4VUMV"],"itemData":{"id":2597,"type":"article-journal","abstract":"Etravirine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V"}],"issued":{"date-parts":[["2020",2,1]]}}}],"schema":"https://github.com/citation-style-language/schema/raw/master/csl-citation.json"} </w:instrText>
      </w:r>
      <w:r>
        <w:rPr>
          <w:lang w:eastAsia="en-US"/>
        </w:rPr>
        <w:fldChar w:fldCharType="separate"/>
      </w:r>
      <w:r w:rsidR="005E2B83" w:rsidRPr="00B66676">
        <w:t>[</w:t>
      </w:r>
      <w:r w:rsidRPr="006F53EF">
        <w:t>2</w:t>
      </w:r>
      <w:r w:rsidR="005E2B83" w:rsidRPr="00B66676">
        <w:t>]</w:t>
      </w:r>
      <w:r>
        <w:rPr>
          <w:lang w:eastAsia="en-US"/>
        </w:rPr>
        <w:fldChar w:fldCharType="end"/>
      </w:r>
      <w:r>
        <w:rPr>
          <w:lang w:eastAsia="en-US"/>
        </w:rPr>
        <w:t>. В</w:t>
      </w:r>
      <w:r w:rsidRPr="00665F2A">
        <w:rPr>
          <w:lang w:eastAsia="en-US"/>
        </w:rPr>
        <w:t xml:space="preserve"> </w:t>
      </w:r>
      <w:r>
        <w:rPr>
          <w:lang w:eastAsia="en-US"/>
        </w:rPr>
        <w:t>исследовании</w:t>
      </w:r>
      <w:r w:rsidRPr="00665F2A">
        <w:rPr>
          <w:lang w:eastAsia="en-US"/>
        </w:rPr>
        <w:t xml:space="preserve"> </w:t>
      </w:r>
      <w:r>
        <w:rPr>
          <w:lang w:eastAsia="en-US"/>
        </w:rPr>
        <w:t>ВИЧ-негативные добровольцы</w:t>
      </w:r>
      <w:r w:rsidRPr="00665F2A">
        <w:rPr>
          <w:lang w:eastAsia="en-US"/>
        </w:rPr>
        <w:t xml:space="preserve"> </w:t>
      </w:r>
      <w:r>
        <w:rPr>
          <w:lang w:eastAsia="en-US"/>
        </w:rPr>
        <w:t>получали</w:t>
      </w:r>
      <w:r w:rsidRPr="00665F2A">
        <w:rPr>
          <w:lang w:eastAsia="en-US"/>
        </w:rPr>
        <w:t xml:space="preserve"> </w:t>
      </w:r>
      <w:r>
        <w:rPr>
          <w:lang w:eastAsia="en-US"/>
        </w:rPr>
        <w:t xml:space="preserve">этравирин в дозе 200 мг два раза в сутки в течение 7 дней и утром 8 дня еще одну дозу. </w:t>
      </w:r>
      <w:r w:rsidRPr="00291FD4">
        <w:rPr>
          <w:lang w:val="en-US" w:eastAsia="en-US"/>
        </w:rPr>
        <w:t>AUC</w:t>
      </w:r>
      <w:r w:rsidRPr="00E406A0">
        <w:rPr>
          <w:vertAlign w:val="subscript"/>
          <w:lang w:eastAsia="en-US"/>
        </w:rPr>
        <w:t>12</w:t>
      </w:r>
      <w:r w:rsidRPr="00291FD4">
        <w:rPr>
          <w:vertAlign w:val="subscript"/>
          <w:lang w:eastAsia="en-US"/>
        </w:rPr>
        <w:t>ч</w:t>
      </w:r>
      <w:r w:rsidRPr="00E406A0">
        <w:rPr>
          <w:lang w:eastAsia="en-US"/>
        </w:rPr>
        <w:t xml:space="preserve"> </w:t>
      </w:r>
      <w:r>
        <w:rPr>
          <w:lang w:eastAsia="en-US"/>
        </w:rPr>
        <w:t>у</w:t>
      </w:r>
      <w:r w:rsidRPr="00E406A0">
        <w:rPr>
          <w:lang w:eastAsia="en-US"/>
        </w:rPr>
        <w:t xml:space="preserve"> </w:t>
      </w:r>
      <w:r>
        <w:rPr>
          <w:lang w:eastAsia="en-US"/>
        </w:rPr>
        <w:t>пациентов</w:t>
      </w:r>
      <w:r w:rsidRPr="00E406A0">
        <w:rPr>
          <w:lang w:eastAsia="en-US"/>
        </w:rPr>
        <w:t xml:space="preserve"> </w:t>
      </w:r>
      <w:r>
        <w:rPr>
          <w:lang w:eastAsia="en-US"/>
        </w:rPr>
        <w:t>с</w:t>
      </w:r>
      <w:r w:rsidRPr="00E406A0">
        <w:rPr>
          <w:lang w:eastAsia="en-US"/>
        </w:rPr>
        <w:t xml:space="preserve"> </w:t>
      </w:r>
      <w:r>
        <w:rPr>
          <w:lang w:eastAsia="en-US"/>
        </w:rPr>
        <w:t>нарушением</w:t>
      </w:r>
      <w:r w:rsidRPr="00E406A0">
        <w:rPr>
          <w:lang w:eastAsia="en-US"/>
        </w:rPr>
        <w:t xml:space="preserve"> </w:t>
      </w:r>
      <w:r>
        <w:rPr>
          <w:lang w:eastAsia="en-US"/>
        </w:rPr>
        <w:t>функции</w:t>
      </w:r>
      <w:r w:rsidRPr="00E406A0">
        <w:rPr>
          <w:lang w:eastAsia="en-US"/>
        </w:rPr>
        <w:t xml:space="preserve"> </w:t>
      </w:r>
      <w:r>
        <w:rPr>
          <w:lang w:eastAsia="en-US"/>
        </w:rPr>
        <w:t>печени</w:t>
      </w:r>
      <w:r w:rsidRPr="00E406A0">
        <w:rPr>
          <w:lang w:eastAsia="en-US"/>
        </w:rPr>
        <w:t xml:space="preserve"> </w:t>
      </w:r>
      <w:r>
        <w:rPr>
          <w:lang w:eastAsia="en-US"/>
        </w:rPr>
        <w:t>легкой</w:t>
      </w:r>
      <w:r w:rsidRPr="00E406A0">
        <w:rPr>
          <w:lang w:eastAsia="en-US"/>
        </w:rPr>
        <w:t xml:space="preserve"> - </w:t>
      </w:r>
      <w:r>
        <w:rPr>
          <w:lang w:eastAsia="en-US"/>
        </w:rPr>
        <w:t>средней</w:t>
      </w:r>
      <w:r w:rsidRPr="00E406A0">
        <w:rPr>
          <w:lang w:eastAsia="en-US"/>
        </w:rPr>
        <w:t xml:space="preserve"> </w:t>
      </w:r>
      <w:r>
        <w:rPr>
          <w:lang w:eastAsia="en-US"/>
        </w:rPr>
        <w:t>степени</w:t>
      </w:r>
      <w:r w:rsidRPr="00E406A0">
        <w:rPr>
          <w:lang w:eastAsia="en-US"/>
        </w:rPr>
        <w:t xml:space="preserve"> </w:t>
      </w:r>
      <w:r>
        <w:rPr>
          <w:lang w:eastAsia="en-US"/>
        </w:rPr>
        <w:t>тяжести была</w:t>
      </w:r>
      <w:r w:rsidRPr="00E406A0">
        <w:rPr>
          <w:lang w:eastAsia="en-US"/>
        </w:rPr>
        <w:t xml:space="preserve"> </w:t>
      </w:r>
      <w:r>
        <w:rPr>
          <w:lang w:eastAsia="en-US"/>
        </w:rPr>
        <w:t>на</w:t>
      </w:r>
      <w:r w:rsidRPr="00E406A0">
        <w:rPr>
          <w:lang w:eastAsia="en-US"/>
        </w:rPr>
        <w:t xml:space="preserve"> 13% </w:t>
      </w:r>
      <w:r>
        <w:rPr>
          <w:lang w:eastAsia="en-US"/>
        </w:rPr>
        <w:t>и</w:t>
      </w:r>
      <w:r w:rsidRPr="00E406A0">
        <w:rPr>
          <w:lang w:eastAsia="en-US"/>
        </w:rPr>
        <w:t xml:space="preserve"> 18% </w:t>
      </w:r>
      <w:r>
        <w:rPr>
          <w:lang w:eastAsia="en-US"/>
        </w:rPr>
        <w:t>ниже</w:t>
      </w:r>
      <w:r w:rsidRPr="00E406A0">
        <w:rPr>
          <w:lang w:eastAsia="en-US"/>
        </w:rPr>
        <w:t xml:space="preserve">, </w:t>
      </w:r>
      <w:r>
        <w:rPr>
          <w:lang w:eastAsia="en-US"/>
        </w:rPr>
        <w:t>соответственно</w:t>
      </w:r>
      <w:r w:rsidRPr="00E406A0">
        <w:rPr>
          <w:lang w:eastAsia="en-US"/>
        </w:rPr>
        <w:t xml:space="preserve">, </w:t>
      </w:r>
      <w:r>
        <w:rPr>
          <w:lang w:eastAsia="en-US"/>
        </w:rPr>
        <w:t xml:space="preserve">тогда как </w:t>
      </w:r>
      <w:r w:rsidRPr="00291FD4">
        <w:rPr>
          <w:lang w:val="en-US" w:eastAsia="en-US"/>
        </w:rPr>
        <w:t>C</w:t>
      </w:r>
      <w:r w:rsidRPr="00E406A0">
        <w:rPr>
          <w:vertAlign w:val="subscript"/>
          <w:lang w:val="en-US" w:eastAsia="en-US"/>
        </w:rPr>
        <w:t>max</w:t>
      </w:r>
      <w:r w:rsidRPr="00E406A0">
        <w:rPr>
          <w:lang w:eastAsia="en-US"/>
        </w:rPr>
        <w:t xml:space="preserve"> </w:t>
      </w:r>
      <w:r>
        <w:rPr>
          <w:lang w:eastAsia="en-US"/>
        </w:rPr>
        <w:t xml:space="preserve">– на </w:t>
      </w:r>
      <w:r w:rsidRPr="00E406A0">
        <w:rPr>
          <w:lang w:eastAsia="en-US"/>
        </w:rPr>
        <w:t xml:space="preserve">13% </w:t>
      </w:r>
      <w:r>
        <w:rPr>
          <w:lang w:eastAsia="en-US"/>
        </w:rPr>
        <w:t xml:space="preserve">и </w:t>
      </w:r>
      <w:r w:rsidRPr="00E406A0">
        <w:rPr>
          <w:lang w:eastAsia="en-US"/>
        </w:rPr>
        <w:t xml:space="preserve">2% </w:t>
      </w:r>
      <w:r>
        <w:rPr>
          <w:lang w:eastAsia="en-US"/>
        </w:rPr>
        <w:t>ниже, соответственно</w:t>
      </w:r>
      <w:r w:rsidRPr="00E406A0">
        <w:rPr>
          <w:lang w:eastAsia="en-US"/>
        </w:rPr>
        <w:t xml:space="preserve">, </w:t>
      </w:r>
      <w:r>
        <w:rPr>
          <w:lang w:eastAsia="en-US"/>
        </w:rPr>
        <w:t xml:space="preserve">по сравнению со здоровыми добровольцами </w:t>
      </w:r>
      <w:r>
        <w:rPr>
          <w:lang w:eastAsia="en-US"/>
        </w:rPr>
        <w:fldChar w:fldCharType="begin"/>
      </w:r>
      <w:r w:rsidR="00824DA4">
        <w:rPr>
          <w:lang w:eastAsia="en-US"/>
        </w:rPr>
        <w:instrText xml:space="preserve"> ADDIN ZOTERO_ITEM CSL_CITATION {"citationID":"jBk3Jk9F","properties":{"formattedCitation":"(10,42)","plainCitation":"(10,42)","noteIndex":0},"citationItems":[{"id":"iY4E1EKJ/f50FxBR2","uris":["http://zotero.org/users/1055192/items/M9MKCBKZ"],"itemData":{"id":30450,"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PMC7034776","page":"137-154","source":"PubMed","title":"Clinical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V."}],"issued":{"date-parts":[["2020",2]]}},"label":"page"},{"id":"iY4E1EKJ/UTOlY6vp","uris":["http://zotero.org/users/1055192/items/JBW653ZG"],"itemData":{"id":31712,"type":"paper-conference","container-title":"47th Interscience Conference on Antimicrobial Agents and Chemotherapy","page":"17–20","title":"Pharmacokinetics of TMC125 in HIV-negative volunteers with mild and moderate hepatic impairment","author":[{"family":"Schöller-Gyüre","given":"M"},{"family":"Kakuda","given":"TN"},{"family":"De Smedt","given":"G"},{"family":"Woodfall","given":"B"},{"family":"Berckmans","given":"C"},{"family":"Peeters","given":"M"},{"family":"Hoetelmans","given":"RM"}],"issued":{"date-parts":[["2007"]]}},"label":"page"}],"schema":"https://github.com/citation-style-language/schema/raw/master/csl-citation.json"} </w:instrText>
      </w:r>
      <w:r>
        <w:rPr>
          <w:lang w:eastAsia="en-US"/>
        </w:rPr>
        <w:fldChar w:fldCharType="separate"/>
      </w:r>
      <w:r w:rsidR="005E2B83" w:rsidRPr="005E2B83">
        <w:t>[</w:t>
      </w:r>
      <w:r w:rsidR="008941C7" w:rsidRPr="008941C7">
        <w:t>10,</w:t>
      </w:r>
      <w:r w:rsidR="00356AB0">
        <w:t xml:space="preserve"> </w:t>
      </w:r>
      <w:r w:rsidR="008941C7" w:rsidRPr="008941C7">
        <w:t>42</w:t>
      </w:r>
      <w:r w:rsidR="005E2B83" w:rsidRPr="005E2B83">
        <w:t>]</w:t>
      </w:r>
      <w:r>
        <w:rPr>
          <w:lang w:eastAsia="en-US"/>
        </w:rPr>
        <w:fldChar w:fldCharType="end"/>
      </w:r>
      <w:r w:rsidRPr="00E406A0">
        <w:rPr>
          <w:lang w:eastAsia="en-US"/>
        </w:rPr>
        <w:t>.</w:t>
      </w:r>
    </w:p>
    <w:p w14:paraId="3CC4EF2B" w14:textId="36837C8D" w:rsidR="00397F26" w:rsidRPr="009323F4" w:rsidRDefault="00397F26" w:rsidP="001C0A37">
      <w:pPr>
        <w:pStyle w:val="affb"/>
        <w:spacing w:before="0" w:after="0" w:line="240" w:lineRule="auto"/>
        <w:ind w:firstLine="709"/>
        <w:rPr>
          <w:lang w:eastAsia="en-US"/>
        </w:rPr>
      </w:pPr>
      <w:r>
        <w:rPr>
          <w:lang w:eastAsia="en-US"/>
        </w:rPr>
        <w:t>Коррекция дозы у пациентов с нарушением функции печени легкой и средней степени не требуется, однако, следует соблюдать осторожность у пациентов с нарушением функции печени средней степени</w:t>
      </w:r>
      <w:r w:rsidRPr="00CB792F">
        <w:t xml:space="preserve"> </w:t>
      </w:r>
      <w:r>
        <w:rPr>
          <w:lang w:eastAsia="en-US"/>
        </w:rPr>
        <w:fldChar w:fldCharType="begin"/>
      </w:r>
      <w:r w:rsidR="00824DA4">
        <w:rPr>
          <w:lang w:eastAsia="en-US"/>
        </w:rPr>
        <w:instrText xml:space="preserve"> ADDIN ZOTERO_ITEM CSL_CITATION {"citationID":"HFlRQ0bW","properties":{"formattedCitation":"(11,42)","plainCitation":"(11,42)","noteIndex":0},"citationItems":[{"id":"iY4E1EKJ/ZoOZ8oLw","uris":["http://zotero.org/users/1055192/items/CKQRFGAT"],"itemData":{"id":30739,"type":"article","title":"Intelence. Tablets: 25 mg, 100 mg, and 200 mg. Summary of product characteristics","URL":"https://www.janssenlabels.com/package-insert/product-monograph/prescribing-information/INTELENCE-pi.pdf","author":[{"family":"Janssen Pharmaceutical Companie","given":""}],"accessed":{"date-parts":[["2021",10,14]]},"issued":{"date-parts":[["2019",7]]}},"label":"page"},{"id":"iY4E1EKJ/UTOlY6vp","uris":["http://zotero.org/users/1055192/items/JBW653ZG"],"itemData":{"id":31712,"type":"paper-conference","container-title":"47th Interscience Conference on Antimicrobial Agents and Chemotherapy","page":"17–20","title":"Pharmacokinetics of TMC125 in HIV-negative volunteers with mild and moderate hepatic impairment","author":[{"family":"Schöller-Gyüre","given":"M"},{"family":"Kakuda","given":"TN"},{"family":"De Smedt","given":"G"},{"family":"Woodfall","given":"B"},{"family":"Berckmans","given":"C"},{"family":"Peeters","given":"M"},{"family":"Hoetelmans","given":"RM"}],"issued":{"date-parts":[["2007"]]}},"label":"page"}],"schema":"https://github.com/citation-style-language/schema/raw/master/csl-citation.json"} </w:instrText>
      </w:r>
      <w:r>
        <w:rPr>
          <w:lang w:eastAsia="en-US"/>
        </w:rPr>
        <w:fldChar w:fldCharType="separate"/>
      </w:r>
      <w:r w:rsidR="005E2B83" w:rsidRPr="005E2B83">
        <w:t>[</w:t>
      </w:r>
      <w:r w:rsidR="008941C7" w:rsidRPr="008941C7">
        <w:t>11,</w:t>
      </w:r>
      <w:r w:rsidR="00356AB0">
        <w:t xml:space="preserve"> </w:t>
      </w:r>
      <w:r w:rsidR="008941C7" w:rsidRPr="008941C7">
        <w:t>42</w:t>
      </w:r>
      <w:r w:rsidR="005E2B83" w:rsidRPr="005E2B83">
        <w:t>]</w:t>
      </w:r>
      <w:r>
        <w:rPr>
          <w:lang w:eastAsia="en-US"/>
        </w:rPr>
        <w:fldChar w:fldCharType="end"/>
      </w:r>
      <w:r w:rsidRPr="00CB792F">
        <w:rPr>
          <w:lang w:eastAsia="en-US"/>
        </w:rPr>
        <w:t>.</w:t>
      </w:r>
      <w:r w:rsidRPr="00665F2A">
        <w:t xml:space="preserve"> </w:t>
      </w:r>
    </w:p>
    <w:p w14:paraId="6A180EF3" w14:textId="4C5AFFF0" w:rsidR="00397F26" w:rsidRDefault="00397F26" w:rsidP="00EE1D8E">
      <w:pPr>
        <w:pStyle w:val="affb"/>
        <w:spacing w:before="0" w:after="0" w:line="240" w:lineRule="auto"/>
        <w:ind w:firstLine="709"/>
        <w:rPr>
          <w:lang w:eastAsia="en-US"/>
        </w:rPr>
      </w:pPr>
      <w:r>
        <w:rPr>
          <w:lang w:eastAsia="en-US"/>
        </w:rPr>
        <w:t xml:space="preserve">Фармакокинетика этравирина не изучалась у лиц с тяжёлым нарушением функции печени (класс C по шкале Чайлд-Пью) и поэтому препарат противопоказан </w:t>
      </w:r>
      <w:r>
        <w:rPr>
          <w:lang w:eastAsia="en-US"/>
        </w:rPr>
        <w:fldChar w:fldCharType="begin"/>
      </w:r>
      <w:r w:rsidR="00824DA4">
        <w:rPr>
          <w:lang w:eastAsia="en-US"/>
        </w:rPr>
        <w:instrText xml:space="preserve"> ADDIN ZOTERO_ITEM CSL_CITATION {"citationID":"2IfUYufg","properties":{"formattedCitation":"(11)","plainCitation":"(11)","noteIndex":0},"citationItems":[{"id":"iY4E1EKJ/ZoOZ8oLw","uris":["http://zotero.org/users/1055192/items/CKQRFGAT"],"itemData":{"id":30739,"type":"article","title":"Intelence. Tablets: 25 mg, 100 mg, and 200 mg. Summary of product characteristics","URL":"https://www.janssenlabels.com/package-insert/product-monograph/prescribing-information/INTELENCE-pi.pdf","author":[{"family":"Janssen Pharmaceutical Companie","given":""}],"accessed":{"date-parts":[["2021",10,14]]},"issued":{"date-parts":[["2019",7]]}}}],"schema":"https://github.com/citation-style-language/schema/raw/master/csl-citation.json"} </w:instrText>
      </w:r>
      <w:r>
        <w:rPr>
          <w:lang w:eastAsia="en-US"/>
        </w:rPr>
        <w:fldChar w:fldCharType="separate"/>
      </w:r>
      <w:r w:rsidR="005E2B83" w:rsidRPr="005E2B83">
        <w:t>[</w:t>
      </w:r>
      <w:r w:rsidRPr="006F53EF">
        <w:t>11</w:t>
      </w:r>
      <w:r w:rsidR="005E2B83" w:rsidRPr="005E2B83">
        <w:t>]</w:t>
      </w:r>
      <w:r>
        <w:rPr>
          <w:lang w:eastAsia="en-US"/>
        </w:rPr>
        <w:fldChar w:fldCharType="end"/>
      </w:r>
      <w:r>
        <w:rPr>
          <w:lang w:eastAsia="en-US"/>
        </w:rPr>
        <w:t xml:space="preserve">. </w:t>
      </w:r>
    </w:p>
    <w:p w14:paraId="5A1978F8" w14:textId="77777777" w:rsidR="00356AB0" w:rsidRDefault="00356AB0">
      <w:pPr>
        <w:pStyle w:val="affb"/>
        <w:spacing w:before="0" w:after="0" w:line="240" w:lineRule="auto"/>
        <w:ind w:firstLine="709"/>
        <w:rPr>
          <w:lang w:eastAsia="en-US"/>
        </w:rPr>
      </w:pPr>
    </w:p>
    <w:p w14:paraId="49C4DFB7" w14:textId="21B47E2B" w:rsidR="00356AB0" w:rsidRDefault="00075D7F" w:rsidP="00A76175">
      <w:r>
        <w:rPr>
          <w:b/>
          <w:bCs/>
          <w:i/>
        </w:rPr>
        <w:t>Пациенты с к</w:t>
      </w:r>
      <w:r w:rsidRPr="00A76175">
        <w:rPr>
          <w:b/>
          <w:bCs/>
          <w:i/>
        </w:rPr>
        <w:t>оинфекци</w:t>
      </w:r>
      <w:r>
        <w:rPr>
          <w:b/>
          <w:bCs/>
          <w:i/>
        </w:rPr>
        <w:t>ей</w:t>
      </w:r>
      <w:r w:rsidRPr="00A76175">
        <w:rPr>
          <w:b/>
          <w:bCs/>
          <w:i/>
        </w:rPr>
        <w:t xml:space="preserve"> </w:t>
      </w:r>
      <w:r w:rsidR="00397F26" w:rsidRPr="00A76175">
        <w:rPr>
          <w:b/>
          <w:bCs/>
          <w:i/>
        </w:rPr>
        <w:t xml:space="preserve">вирусами гепатита B и/или C </w:t>
      </w:r>
    </w:p>
    <w:p w14:paraId="4D75FDEE" w14:textId="03E24543" w:rsidR="00595B64" w:rsidRDefault="00397F26">
      <w:pPr>
        <w:ind w:firstLine="709"/>
      </w:pPr>
      <w:r>
        <w:t xml:space="preserve">Согласно результатам анализа популяционной фармакокинетики в исследованиях DUET-1 и DUET-2, у пациентов с инфекцией ВИЧ-1 и коинфекцией вирусами гепатита B и/или C отмечалось снижение клиренса (потенциально приводящее к повышению экспозиции и изменению профиля безопасности) </w:t>
      </w:r>
      <w:r w:rsidR="00A32ED7">
        <w:rPr>
          <w:lang w:eastAsia="en-US"/>
        </w:rPr>
        <w:t>этравирина</w:t>
      </w:r>
      <w:r>
        <w:t xml:space="preserve">. В связи с тем, что данные о применении у пациентов с коинфекцией вирусами гепатита B и/или C ограничены, следует соблюдать осторожность при применении </w:t>
      </w:r>
      <w:r w:rsidR="00A32ED7">
        <w:rPr>
          <w:lang w:eastAsia="en-US"/>
        </w:rPr>
        <w:t>этравирина</w:t>
      </w:r>
      <w:r w:rsidR="00A32ED7">
        <w:t xml:space="preserve"> </w:t>
      </w:r>
      <w:r>
        <w:t xml:space="preserve">у указанных групп пациентов </w:t>
      </w:r>
      <w:r w:rsidR="00A32ED7">
        <w:fldChar w:fldCharType="begin"/>
      </w:r>
      <w:r w:rsidR="00C501FC">
        <w:instrText xml:space="preserve"> ADDIN ZOTERO_ITEM CSL_CITATION {"citationID":"MbNg6u9B","properties":{"formattedCitation":"(2,20)","plainCitation":"(2,20)","noteIndex":0},"citationItems":[{"id":2597,"uris":["http://zotero.org/users/5483459/items/2TM4VUMV"],"itemData":{"id":2597,"type":"article-journal","abstract":"Etravirine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PMC7034776","page":"137-154","source":"Europe PMC","title":"Clinical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V"}],"issued":{"date-parts":[["2020",2,1]]}},"label":"page"},{"id":2618,"uris":["http://zotero.org/users/5483459/items/YIUK3STA"],"itemData":{"id":2618,"type":"article-journal","title":"Scholler-Gyure M, Raoof A, Mannens G, others. Mass-balance of 14C-labelled TMC125 in healthy volunteers [abstract no. 78]. In: 8th International Workshop of Clinical Pharmacology of HIV Therapy. 2007. p. 16–8."},"label":"page"}],"schema":"https://github.com/citation-style-language/schema/raw/master/csl-citation.json"} </w:instrText>
      </w:r>
      <w:r w:rsidR="00A32ED7">
        <w:fldChar w:fldCharType="separate"/>
      </w:r>
      <w:r w:rsidR="005E2B83" w:rsidRPr="00152BB2">
        <w:t>[</w:t>
      </w:r>
      <w:r w:rsidR="00C501FC" w:rsidRPr="00C501FC">
        <w:t>2,</w:t>
      </w:r>
      <w:r w:rsidR="00356AB0">
        <w:t xml:space="preserve"> </w:t>
      </w:r>
      <w:r w:rsidR="00C501FC" w:rsidRPr="00C501FC">
        <w:t>20</w:t>
      </w:r>
      <w:r w:rsidR="005E2B83" w:rsidRPr="00152BB2">
        <w:t>]</w:t>
      </w:r>
      <w:r w:rsidR="00A32ED7">
        <w:fldChar w:fldCharType="end"/>
      </w:r>
      <w:r w:rsidR="00C501FC">
        <w:t>.</w:t>
      </w:r>
    </w:p>
    <w:p w14:paraId="1A87DF61" w14:textId="77777777" w:rsidR="006D49DE" w:rsidRDefault="006D49DE">
      <w:pPr>
        <w:ind w:firstLine="709"/>
      </w:pPr>
    </w:p>
    <w:p w14:paraId="5B148DF2" w14:textId="77777777" w:rsidR="00421CA0" w:rsidRDefault="00421CA0" w:rsidP="00A76175">
      <w:pPr>
        <w:rPr>
          <w:b/>
        </w:rPr>
        <w:sectPr w:rsidR="00421CA0" w:rsidSect="00AB01E2">
          <w:pgSz w:w="11906" w:h="16838"/>
          <w:pgMar w:top="1134" w:right="849" w:bottom="1134" w:left="1701" w:header="708" w:footer="709" w:gutter="0"/>
          <w:cols w:space="708"/>
          <w:docGrid w:linePitch="360"/>
        </w:sectPr>
      </w:pPr>
    </w:p>
    <w:p w14:paraId="208EB84F" w14:textId="29F29A42" w:rsidR="00F42555" w:rsidRPr="00A76175" w:rsidRDefault="00F42555" w:rsidP="00A76175">
      <w:pPr>
        <w:rPr>
          <w:b/>
        </w:rPr>
      </w:pPr>
      <w:r w:rsidRPr="00A76175">
        <w:rPr>
          <w:b/>
        </w:rPr>
        <w:t>Фармакокинетические лекарственные взаимодействия</w:t>
      </w:r>
    </w:p>
    <w:p w14:paraId="3D1BFDC7" w14:textId="77777777" w:rsidR="006D49DE" w:rsidRDefault="006D49DE">
      <w:pPr>
        <w:pStyle w:val="affb"/>
        <w:spacing w:before="0" w:after="0" w:line="240" w:lineRule="auto"/>
        <w:ind w:firstLine="709"/>
        <w:rPr>
          <w:lang w:eastAsia="en-US"/>
        </w:rPr>
      </w:pPr>
    </w:p>
    <w:p w14:paraId="1169BA93" w14:textId="54117756" w:rsidR="003F732B" w:rsidRPr="0065629B" w:rsidRDefault="003F732B">
      <w:pPr>
        <w:pStyle w:val="affb"/>
        <w:spacing w:before="0" w:after="0" w:line="240" w:lineRule="auto"/>
        <w:ind w:firstLine="709"/>
        <w:rPr>
          <w:lang w:val="en-US" w:eastAsia="en-US"/>
        </w:rPr>
      </w:pPr>
      <w:r w:rsidRPr="00E211A8">
        <w:rPr>
          <w:lang w:eastAsia="en-US"/>
        </w:rPr>
        <w:t xml:space="preserve">Межлекарственные взаимодействия </w:t>
      </w:r>
      <w:r w:rsidRPr="00B319E5">
        <w:rPr>
          <w:lang w:eastAsia="en-US"/>
        </w:rPr>
        <w:t xml:space="preserve">не наблюдались при </w:t>
      </w:r>
      <w:r>
        <w:rPr>
          <w:lang w:eastAsia="en-US"/>
        </w:rPr>
        <w:t xml:space="preserve">одновременном применении </w:t>
      </w:r>
      <w:r w:rsidR="0065629B">
        <w:rPr>
          <w:lang w:eastAsia="en-US"/>
        </w:rPr>
        <w:t>этравирина</w:t>
      </w:r>
      <w:r w:rsidR="0065629B">
        <w:t xml:space="preserve"> </w:t>
      </w:r>
      <w:r>
        <w:rPr>
          <w:lang w:val="en-US" w:eastAsia="en-US"/>
        </w:rPr>
        <w:t>c</w:t>
      </w:r>
      <w:r w:rsidRPr="00AB53A8">
        <w:rPr>
          <w:lang w:eastAsia="en-US"/>
        </w:rPr>
        <w:t xml:space="preserve"> </w:t>
      </w:r>
      <w:r w:rsidRPr="00B319E5">
        <w:rPr>
          <w:lang w:eastAsia="en-US"/>
        </w:rPr>
        <w:t>ранитидин</w:t>
      </w:r>
      <w:r>
        <w:rPr>
          <w:lang w:eastAsia="en-US"/>
        </w:rPr>
        <w:t xml:space="preserve">ом, повышающим </w:t>
      </w:r>
      <w:r w:rsidRPr="00B319E5">
        <w:rPr>
          <w:lang w:val="en-US" w:eastAsia="en-US"/>
        </w:rPr>
        <w:t>pH</w:t>
      </w:r>
      <w:r w:rsidRPr="00B319E5">
        <w:rPr>
          <w:lang w:eastAsia="en-US"/>
        </w:rPr>
        <w:t xml:space="preserve"> желудочного сока. </w:t>
      </w:r>
      <w:r>
        <w:rPr>
          <w:lang w:eastAsia="en-US"/>
        </w:rPr>
        <w:t>Однако у</w:t>
      </w:r>
      <w:r w:rsidRPr="00B319E5">
        <w:rPr>
          <w:lang w:eastAsia="en-US"/>
        </w:rPr>
        <w:t xml:space="preserve">величение </w:t>
      </w:r>
      <w:r>
        <w:rPr>
          <w:lang w:eastAsia="en-US"/>
        </w:rPr>
        <w:t xml:space="preserve">экспозиции </w:t>
      </w:r>
      <w:r w:rsidR="00127D69">
        <w:rPr>
          <w:lang w:eastAsia="en-US"/>
        </w:rPr>
        <w:t>этравирина</w:t>
      </w:r>
      <w:r w:rsidR="00127D69">
        <w:t xml:space="preserve"> </w:t>
      </w:r>
      <w:r>
        <w:rPr>
          <w:lang w:eastAsia="en-US"/>
        </w:rPr>
        <w:t>выявлено</w:t>
      </w:r>
      <w:r w:rsidRPr="00B319E5">
        <w:rPr>
          <w:lang w:eastAsia="en-US"/>
        </w:rPr>
        <w:t xml:space="preserve"> при </w:t>
      </w:r>
      <w:r>
        <w:rPr>
          <w:lang w:eastAsia="en-US"/>
        </w:rPr>
        <w:t xml:space="preserve">одновременном </w:t>
      </w:r>
      <w:r w:rsidRPr="00B319E5">
        <w:rPr>
          <w:lang w:eastAsia="en-US"/>
        </w:rPr>
        <w:t xml:space="preserve">приеме </w:t>
      </w:r>
      <w:r>
        <w:rPr>
          <w:lang w:eastAsia="en-US"/>
        </w:rPr>
        <w:t xml:space="preserve">с ингибитором протонной помпы - </w:t>
      </w:r>
      <w:r w:rsidRPr="00B319E5">
        <w:rPr>
          <w:lang w:eastAsia="en-US"/>
        </w:rPr>
        <w:t>омепразол</w:t>
      </w:r>
      <w:r>
        <w:rPr>
          <w:lang w:eastAsia="en-US"/>
        </w:rPr>
        <w:t>ом</w:t>
      </w:r>
      <w:r w:rsidRPr="00B319E5">
        <w:rPr>
          <w:lang w:eastAsia="en-US"/>
        </w:rPr>
        <w:t xml:space="preserve">; </w:t>
      </w:r>
      <w:r>
        <w:rPr>
          <w:lang w:eastAsia="en-US"/>
        </w:rPr>
        <w:t>но</w:t>
      </w:r>
      <w:r w:rsidRPr="00B319E5">
        <w:rPr>
          <w:lang w:eastAsia="en-US"/>
        </w:rPr>
        <w:t xml:space="preserve"> </w:t>
      </w:r>
      <w:r>
        <w:rPr>
          <w:lang w:eastAsia="en-US"/>
        </w:rPr>
        <w:t>в основе этого эффекта</w:t>
      </w:r>
      <w:r w:rsidRPr="00B319E5">
        <w:rPr>
          <w:lang w:eastAsia="en-US"/>
        </w:rPr>
        <w:t xml:space="preserve"> </w:t>
      </w:r>
      <w:r>
        <w:rPr>
          <w:lang w:eastAsia="en-US"/>
        </w:rPr>
        <w:t xml:space="preserve">лежит не влияние на </w:t>
      </w:r>
      <w:r>
        <w:rPr>
          <w:lang w:val="en-US" w:eastAsia="en-US"/>
        </w:rPr>
        <w:t>pH</w:t>
      </w:r>
      <w:r>
        <w:rPr>
          <w:lang w:eastAsia="en-US"/>
        </w:rPr>
        <w:t>, а</w:t>
      </w:r>
      <w:r w:rsidRPr="006C1A08">
        <w:rPr>
          <w:lang w:eastAsia="en-US"/>
        </w:rPr>
        <w:t xml:space="preserve"> </w:t>
      </w:r>
      <w:r>
        <w:rPr>
          <w:lang w:eastAsia="en-US"/>
        </w:rPr>
        <w:t xml:space="preserve">угнетение </w:t>
      </w:r>
      <w:r w:rsidRPr="00B319E5">
        <w:rPr>
          <w:lang w:eastAsia="en-US"/>
        </w:rPr>
        <w:t xml:space="preserve">метаболизма </w:t>
      </w:r>
      <w:r w:rsidR="003A4F5D">
        <w:rPr>
          <w:lang w:eastAsia="en-US"/>
        </w:rPr>
        <w:t>этравирина</w:t>
      </w:r>
      <w:r w:rsidR="003A4F5D">
        <w:t xml:space="preserve"> </w:t>
      </w:r>
      <w:r>
        <w:rPr>
          <w:lang w:eastAsia="en-US"/>
        </w:rPr>
        <w:t xml:space="preserve">на </w:t>
      </w:r>
      <w:r w:rsidRPr="00B319E5">
        <w:rPr>
          <w:lang w:val="en-US" w:eastAsia="en-US"/>
        </w:rPr>
        <w:t>CYP</w:t>
      </w:r>
      <w:r w:rsidRPr="00B319E5">
        <w:rPr>
          <w:lang w:eastAsia="en-US"/>
        </w:rPr>
        <w:t>2</w:t>
      </w:r>
      <w:r w:rsidRPr="00B319E5">
        <w:rPr>
          <w:lang w:val="en-US" w:eastAsia="en-US"/>
        </w:rPr>
        <w:t>C</w:t>
      </w:r>
      <w:r w:rsidRPr="00B319E5">
        <w:rPr>
          <w:lang w:eastAsia="en-US"/>
        </w:rPr>
        <w:t xml:space="preserve">19 </w:t>
      </w:r>
      <w:r w:rsidR="0065629B">
        <w:rPr>
          <w:lang w:eastAsia="en-US"/>
        </w:rPr>
        <w:fldChar w:fldCharType="begin"/>
      </w:r>
      <w:r w:rsidR="0065629B">
        <w:rPr>
          <w:lang w:eastAsia="en-US"/>
        </w:rPr>
        <w:instrText xml:space="preserve"> ADDIN ZOTERO_ITEM CSL_CITATION {"citationID":"wzuX8qEV","properties":{"formattedCitation":"(22,43)","plainCitation":"(22,43)","noteIndex":0},"citationItems":[{"id":2620,"uris":["http://zotero.org/users/5483459/items/VCUERI2M"],"itemData":{"id":2620,"type":"article-journal","abstract":"Etravirine is a next-generation non-nucleoside reverse transcriptase inhibitor (NNRTI) developed for the treatment of HIV-1 infection. It has a high genetic barrier to the emergence of viral resistance, and maintains its antiviral activity in the presence of common NNRTI mutations. The pharmacokinetics of etravirine in HIV-infected patients at the recommended dosage of 200 mg twice daily demonstrates moderate intersubject variability and no time dependency. Due to substantially lower exposures when taken on an empty stomach, etravirine should be administered following a meal. The drug is highly protein bound (99.9%) to albumin and alpha(1)-acid glycoprotein and shows a relatively long elimination half-life of 30-40 hours. Etravirine is metabolized by cytochrome P450 (CYP) 3A, 2C9 and 2C19; the metabolites are subsequently glucuronidated by uridine diphosphate glucuronosyltransferase. Renal elimination of etravirine is negligible. Etravirine has the potential for interactions by inducing CYP3A and inhibiting CYP2C9 and 2C19; it is a mild inhibitor of P-glycoprotein but not a substrate. The drug interaction profile of etravirine has been well characterized and is manageable. No dosage adjustments are needed in patients with renal impairment or mild to moderate hepatic impairment. Race, sex, bodyweight and age do not affect the pharmacokinetics of etravirine. In the two phase III trials DUET-1 and DUET-2, no relationship was demonstrated between the pharmacokinetics of etravirine and the primary efficacy endpoint of viral load below 50 copies/mL or the safety profile of etravirine.","container-title":"Clinical Pharmacokinetics","DOI":"10.2165/10895940-000000000-00000","ISSN":"1179-1926","issue":"9","journalAbbreviation":"Clin Pharmacokinet","language":"eng","note":"PMID: 19725591","page":"561-574","source":"PubMed","title":"Clinical pharmacokinetics and pharmacodynamics of etravirine","volume":"48","author":[{"family":"Schöller-Gyüre","given":"Monika"},{"family":"Kakuda","given":"Thomas N."},{"family":"Raoof","given":"Araz"},{"family":"De Smedt","given":"Goedele"},{"family":"Hoetelmans","given":"Richard M. W."}],"issued":{"date-parts":[["2009"]]}},"label":"page"},{"id":2623,"uris":["http://zotero.org/users/5483459/items/MJEBU3SE"],"itemData":{"id":2623,"type":"article-journal","abstract":"Etravirine (formerly TMC125) is a non-nucleoside reverse transcriptase inhibitor (NNRTI) with activity against wild-type and NNRTI-resistant strains of HIV-1. Etravirine has been approved in several countries for use as part of highly active antiretroviral therapy in treatment-experienced patients. In vivo, etravirine is a substrate for, and weak inducer of, the hepatic cytochrome P450 (CYP) isoenzyme 3A4 and a substrate and weak inhibitor of CYP2C9 and CYP2C19. Etravirine is also a weak inhibitor of P-glycoprotein. An extensive drug-drug interaction programme in HIV-negative subjects has been carried out to assess the potential for pharmacokinetic interactions between etravirine and a variety of non-antiretroviral drugs. Effects of atorvastatin, clarithromycin, methadone, omeprazole, oral contraceptives, paroxetine, ranitidine and sildenafil on the pharmacokinetic disposition of etravirine were of no clinical relevance. Likewise, etravirine had no clinically significant effect on the pharmacokinetics of fluconazole, methadone, oral contraceptives, paroxetine or voriconazole. No clinically relevant interactions are expected between etravirine and azithromycin or ribavirin, therefore, etravirine can be combined with these agents without dose adjustment. Fluconazole and voriconazole increased etravirine exposure 1.9- and 1.4-fold, respectively, in healthy subjects, however, no increase in the incidence of adverse effects was observed in patients receiving etravirine and fluconazole during clinical trials, therefore, etravirine can be combined with these antifungals although caution is advised. Digoxin plasma exposure was slightly increased when co-administered with etravirine. No dose adjustments of digoxin are needed when used in combination with etravirine, however, it is recommended that digoxin levels should be monitored. Caution should be exercised in combining rifabutin with etravirine in the presence of certain boosted HIV protease inhibitors due to the risk of decreased exposure to etravirine. Although adjustments to the dose of clarithromycin are unnecessary for the treatment of most infections, the use of an alternative macrolide (e.g. azithromycin) is recommended for the treatment of Mycobacterium avium complex infection since the overall activity of clarithromycin against this pathogen may be altered when co-administered with etravirine. Dosage adjustments based on clinical response are recommended for clopidogrel, HMG-CoA reductase inhibitors (e.g. atorvastatin) and for phosphodiesterase type-5 inhibitors (e.g. sildenafil) because changes in the exposure of these medications in the presence of co-administered etravirine may occur. When co-administered with etravirine, a dose reduction or alternative to diazepam is recommended. When combining etravirine with warfarin, the international normalized ratio (INR) should be monitored. Systemic dexamethasone should be co-administered with caution, or an alternative to dexamethasone be found as dexamethasone induces CYP3A4. Caution is also warranted when co-administering etravirine with some antiarrhythmics, calcineurin inhibitors (e.g. ciclosporin)</w:instrText>
      </w:r>
      <w:r w:rsidR="0065629B" w:rsidRPr="0065629B">
        <w:rPr>
          <w:lang w:val="en-US" w:eastAsia="en-US"/>
        </w:rPr>
        <w:instrText xml:space="preserve"> and antidepressants (e.g. citalopram). Co-administration of etravirine with some antiepileptics (e.g. carbamazepine and phenytoin), rifampicin (rifampin), rifapentine or preparations containing St John's wort (Hypericum perforatum) is currently not recommended as these are potent inducers of CYP3A and/or CYP2C and may potentially decrease etravirine exposure. Antiepileptics that are less likely to interact based on their known pharmacological properties include gabapentin, lamotrigine, levetiracetam and pregabalin. Overall, pharmacokinetic and clinical data show etravirine to be well tolerated and generally safe when given in combination with non-antiretroviral agents, with minimal clinically significant drug interactions and no need for dosage adjustments of etravirine in any of the cases, or of the non-antiretroviral agent in the majority of cases studied.","container-title":"Clinical Pharmacokinetics","DOI":"10.2165/11534740-000000000-00000","ISSN":"1179-1926","issue":"1","journalAbbreviation":"Clin Pharmacokinet","language":"eng","note":"PMID: 21142266","page":"25-39","source":"PubMed","title":"Pharmacokinetic interactions between etravirine and non-antiretroviral drugs","volume":"50","author":[{"family":"Kakuda","given":"Thomas N."},{"family":"Schöller-Gyüre","given":"Monika"},{"family":"Hoetelmans","given":"Richard M. W."}],"issued":{"date-parts":[["2011",1]]}},"label":"page"}],"schema":"https://github.com/citation-style-language/schema/raw/master/csl-citation.json"} </w:instrText>
      </w:r>
      <w:r w:rsidR="0065629B">
        <w:rPr>
          <w:lang w:eastAsia="en-US"/>
        </w:rPr>
        <w:fldChar w:fldCharType="separate"/>
      </w:r>
      <w:r w:rsidR="005E2B83">
        <w:rPr>
          <w:lang w:val="en-US"/>
        </w:rPr>
        <w:t>[</w:t>
      </w:r>
      <w:r w:rsidR="0065629B" w:rsidRPr="0065629B">
        <w:rPr>
          <w:lang w:val="en-US"/>
        </w:rPr>
        <w:t>22,</w:t>
      </w:r>
      <w:r w:rsidR="00292F12" w:rsidRPr="008A297D">
        <w:rPr>
          <w:lang w:val="en-US"/>
        </w:rPr>
        <w:t xml:space="preserve"> </w:t>
      </w:r>
      <w:r w:rsidR="0065629B" w:rsidRPr="0065629B">
        <w:rPr>
          <w:lang w:val="en-US"/>
        </w:rPr>
        <w:t>43</w:t>
      </w:r>
      <w:r w:rsidR="005E2B83">
        <w:rPr>
          <w:lang w:val="en-US"/>
        </w:rPr>
        <w:t>].</w:t>
      </w:r>
      <w:r w:rsidR="0065629B">
        <w:rPr>
          <w:lang w:eastAsia="en-US"/>
        </w:rPr>
        <w:fldChar w:fldCharType="end"/>
      </w:r>
    </w:p>
    <w:p w14:paraId="2027671B" w14:textId="22418D25" w:rsidR="003F732B" w:rsidRDefault="003F732B" w:rsidP="001C0A37">
      <w:pPr>
        <w:pStyle w:val="affb"/>
        <w:spacing w:before="0" w:after="0" w:line="240" w:lineRule="auto"/>
        <w:ind w:firstLine="709"/>
        <w:rPr>
          <w:lang w:eastAsia="en-US"/>
        </w:rPr>
      </w:pPr>
      <w:r w:rsidRPr="00B319E5">
        <w:rPr>
          <w:lang w:val="en-US" w:eastAsia="en-US"/>
        </w:rPr>
        <w:t>Scholler</w:t>
      </w:r>
      <w:r w:rsidRPr="000C05B1">
        <w:rPr>
          <w:lang w:val="en-US" w:eastAsia="en-US"/>
        </w:rPr>
        <w:t>-</w:t>
      </w:r>
      <w:r w:rsidRPr="00B319E5">
        <w:rPr>
          <w:lang w:val="en-US" w:eastAsia="en-US"/>
        </w:rPr>
        <w:t>Gyure</w:t>
      </w:r>
      <w:r w:rsidRPr="000C05B1">
        <w:rPr>
          <w:lang w:val="en-US" w:eastAsia="en-US"/>
        </w:rPr>
        <w:t xml:space="preserve"> </w:t>
      </w:r>
      <w:r>
        <w:rPr>
          <w:lang w:val="en-US" w:eastAsia="en-US"/>
        </w:rPr>
        <w:t>M</w:t>
      </w:r>
      <w:r w:rsidRPr="000C05B1">
        <w:rPr>
          <w:lang w:val="en-US" w:eastAsia="en-US"/>
        </w:rPr>
        <w:t xml:space="preserve">. </w:t>
      </w:r>
      <w:r>
        <w:rPr>
          <w:lang w:eastAsia="en-US"/>
        </w:rPr>
        <w:t>и</w:t>
      </w:r>
      <w:r w:rsidRPr="000C05B1">
        <w:rPr>
          <w:lang w:val="en-US" w:eastAsia="en-US"/>
        </w:rPr>
        <w:t xml:space="preserve"> </w:t>
      </w:r>
      <w:r>
        <w:rPr>
          <w:lang w:eastAsia="en-US"/>
        </w:rPr>
        <w:t>соавт</w:t>
      </w:r>
      <w:r w:rsidRPr="000C05B1">
        <w:rPr>
          <w:lang w:val="en-US" w:eastAsia="en-US"/>
        </w:rPr>
        <w:t xml:space="preserve">. </w:t>
      </w:r>
      <w:r w:rsidRPr="00EE0E5D">
        <w:rPr>
          <w:lang w:val="en-US" w:eastAsia="en-US"/>
        </w:rPr>
        <w:t xml:space="preserve">(2009) </w:t>
      </w:r>
      <w:r>
        <w:rPr>
          <w:lang w:eastAsia="en-US"/>
        </w:rPr>
        <w:fldChar w:fldCharType="begin"/>
      </w:r>
      <w:r w:rsidR="00824DA4" w:rsidRPr="00EE0E5D">
        <w:rPr>
          <w:lang w:val="en-US" w:eastAsia="en-US"/>
        </w:rPr>
        <w:instrText xml:space="preserve"> </w:instrText>
      </w:r>
      <w:r w:rsidR="00824DA4">
        <w:rPr>
          <w:lang w:val="en-US" w:eastAsia="en-US"/>
        </w:rPr>
        <w:instrText>ADDIN</w:instrText>
      </w:r>
      <w:r w:rsidR="00824DA4" w:rsidRPr="00EE0E5D">
        <w:rPr>
          <w:lang w:val="en-US" w:eastAsia="en-US"/>
        </w:rPr>
        <w:instrText xml:space="preserve"> </w:instrText>
      </w:r>
      <w:r w:rsidR="00824DA4">
        <w:rPr>
          <w:lang w:val="en-US" w:eastAsia="en-US"/>
        </w:rPr>
        <w:instrText>ZOTERO</w:instrText>
      </w:r>
      <w:r w:rsidR="00824DA4" w:rsidRPr="00EE0E5D">
        <w:rPr>
          <w:lang w:val="en-US" w:eastAsia="en-US"/>
        </w:rPr>
        <w:instrText>_</w:instrText>
      </w:r>
      <w:r w:rsidR="00824DA4">
        <w:rPr>
          <w:lang w:val="en-US" w:eastAsia="en-US"/>
        </w:rPr>
        <w:instrText>ITEM</w:instrText>
      </w:r>
      <w:r w:rsidR="00824DA4" w:rsidRPr="00EE0E5D">
        <w:rPr>
          <w:lang w:val="en-US" w:eastAsia="en-US"/>
        </w:rPr>
        <w:instrText xml:space="preserve"> </w:instrText>
      </w:r>
      <w:r w:rsidR="00824DA4">
        <w:rPr>
          <w:lang w:val="en-US" w:eastAsia="en-US"/>
        </w:rPr>
        <w:instrText>CSL</w:instrText>
      </w:r>
      <w:r w:rsidR="00824DA4" w:rsidRPr="00EE0E5D">
        <w:rPr>
          <w:lang w:val="en-US" w:eastAsia="en-US"/>
        </w:rPr>
        <w:instrText>_</w:instrText>
      </w:r>
      <w:r w:rsidR="00824DA4">
        <w:rPr>
          <w:lang w:val="en-US" w:eastAsia="en-US"/>
        </w:rPr>
        <w:instrText>CITATION</w:instrText>
      </w:r>
      <w:r w:rsidR="00824DA4" w:rsidRPr="00EE0E5D">
        <w:rPr>
          <w:lang w:val="en-US" w:eastAsia="en-US"/>
        </w:rPr>
        <w:instrText xml:space="preserve"> {"</w:instrText>
      </w:r>
      <w:r w:rsidR="00824DA4">
        <w:rPr>
          <w:lang w:val="en-US" w:eastAsia="en-US"/>
        </w:rPr>
        <w:instrText>citationID</w:instrText>
      </w:r>
      <w:r w:rsidR="00824DA4" w:rsidRPr="00EE0E5D">
        <w:rPr>
          <w:lang w:val="en-US" w:eastAsia="en-US"/>
        </w:rPr>
        <w:instrText>":"</w:instrText>
      </w:r>
      <w:r w:rsidR="00824DA4">
        <w:rPr>
          <w:lang w:val="en-US" w:eastAsia="en-US"/>
        </w:rPr>
        <w:instrText>tpUg</w:instrText>
      </w:r>
      <w:r w:rsidR="00824DA4" w:rsidRPr="00EE0E5D">
        <w:rPr>
          <w:lang w:val="en-US" w:eastAsia="en-US"/>
        </w:rPr>
        <w:instrText>0</w:instrText>
      </w:r>
      <w:r w:rsidR="00824DA4">
        <w:rPr>
          <w:lang w:val="en-US" w:eastAsia="en-US"/>
        </w:rPr>
        <w:instrText>KLD</w:instrText>
      </w:r>
      <w:r w:rsidR="00824DA4" w:rsidRPr="00EE0E5D">
        <w:rPr>
          <w:lang w:val="en-US" w:eastAsia="en-US"/>
        </w:rPr>
        <w:instrText>","</w:instrText>
      </w:r>
      <w:r w:rsidR="00824DA4">
        <w:rPr>
          <w:lang w:val="en-US" w:eastAsia="en-US"/>
        </w:rPr>
        <w:instrText>properties</w:instrText>
      </w:r>
      <w:r w:rsidR="00824DA4" w:rsidRPr="00EE0E5D">
        <w:rPr>
          <w:lang w:val="en-US" w:eastAsia="en-US"/>
        </w:rPr>
        <w:instrText>":{"</w:instrText>
      </w:r>
      <w:r w:rsidR="00824DA4">
        <w:rPr>
          <w:lang w:val="en-US" w:eastAsia="en-US"/>
        </w:rPr>
        <w:instrText>formattedCitation</w:instrText>
      </w:r>
      <w:r w:rsidR="00824DA4" w:rsidRPr="00EE0E5D">
        <w:rPr>
          <w:lang w:val="en-US" w:eastAsia="en-US"/>
        </w:rPr>
        <w:instrText>":"(44)","</w:instrText>
      </w:r>
      <w:r w:rsidR="00824DA4">
        <w:rPr>
          <w:lang w:val="en-US" w:eastAsia="en-US"/>
        </w:rPr>
        <w:instrText>plainCitation</w:instrText>
      </w:r>
      <w:r w:rsidR="00824DA4" w:rsidRPr="00EE0E5D">
        <w:rPr>
          <w:lang w:val="en-US" w:eastAsia="en-US"/>
        </w:rPr>
        <w:instrText>":"(44)","</w:instrText>
      </w:r>
      <w:r w:rsidR="00824DA4">
        <w:rPr>
          <w:lang w:val="en-US" w:eastAsia="en-US"/>
        </w:rPr>
        <w:instrText>noteIndex</w:instrText>
      </w:r>
      <w:r w:rsidR="00824DA4" w:rsidRPr="00EE0E5D">
        <w:rPr>
          <w:lang w:val="en-US" w:eastAsia="en-US"/>
        </w:rPr>
        <w:instrText>":0},"</w:instrText>
      </w:r>
      <w:r w:rsidR="00824DA4">
        <w:rPr>
          <w:lang w:val="en-US" w:eastAsia="en-US"/>
        </w:rPr>
        <w:instrText>citationItems</w:instrText>
      </w:r>
      <w:r w:rsidR="00824DA4" w:rsidRPr="00EE0E5D">
        <w:rPr>
          <w:lang w:val="en-US" w:eastAsia="en-US"/>
        </w:rPr>
        <w:instrText>":[{"</w:instrText>
      </w:r>
      <w:r w:rsidR="00824DA4">
        <w:rPr>
          <w:lang w:val="en-US" w:eastAsia="en-US"/>
        </w:rPr>
        <w:instrText>id</w:instrText>
      </w:r>
      <w:r w:rsidR="00824DA4" w:rsidRPr="00EE0E5D">
        <w:rPr>
          <w:lang w:val="en-US" w:eastAsia="en-US"/>
        </w:rPr>
        <w:instrText>":"</w:instrText>
      </w:r>
      <w:r w:rsidR="00824DA4">
        <w:rPr>
          <w:lang w:val="en-US" w:eastAsia="en-US"/>
        </w:rPr>
        <w:instrText>iY</w:instrText>
      </w:r>
      <w:r w:rsidR="00824DA4" w:rsidRPr="00EE0E5D">
        <w:rPr>
          <w:lang w:val="en-US" w:eastAsia="en-US"/>
        </w:rPr>
        <w:instrText>4</w:instrText>
      </w:r>
      <w:r w:rsidR="00824DA4">
        <w:rPr>
          <w:lang w:val="en-US" w:eastAsia="en-US"/>
        </w:rPr>
        <w:instrText>E</w:instrText>
      </w:r>
      <w:r w:rsidR="00824DA4" w:rsidRPr="00EE0E5D">
        <w:rPr>
          <w:lang w:val="en-US" w:eastAsia="en-US"/>
        </w:rPr>
        <w:instrText>1</w:instrText>
      </w:r>
      <w:r w:rsidR="00824DA4">
        <w:rPr>
          <w:lang w:val="en-US" w:eastAsia="en-US"/>
        </w:rPr>
        <w:instrText>EKJ</w:instrText>
      </w:r>
      <w:r w:rsidR="00824DA4" w:rsidRPr="00EE0E5D">
        <w:rPr>
          <w:lang w:val="en-US" w:eastAsia="en-US"/>
        </w:rPr>
        <w:instrText>/</w:instrText>
      </w:r>
      <w:r w:rsidR="00824DA4">
        <w:rPr>
          <w:lang w:val="en-US" w:eastAsia="en-US"/>
        </w:rPr>
        <w:instrText>TO</w:instrText>
      </w:r>
      <w:r w:rsidR="00824DA4" w:rsidRPr="00EE0E5D">
        <w:rPr>
          <w:lang w:val="en-US" w:eastAsia="en-US"/>
        </w:rPr>
        <w:instrText>8</w:instrText>
      </w:r>
      <w:r w:rsidR="00824DA4">
        <w:rPr>
          <w:lang w:val="en-US" w:eastAsia="en-US"/>
        </w:rPr>
        <w:instrText>qO</w:instrText>
      </w:r>
      <w:r w:rsidR="00824DA4" w:rsidRPr="00EE0E5D">
        <w:rPr>
          <w:lang w:val="en-US" w:eastAsia="en-US"/>
        </w:rPr>
        <w:instrText>8</w:instrText>
      </w:r>
      <w:r w:rsidR="00824DA4">
        <w:rPr>
          <w:lang w:val="en-US" w:eastAsia="en-US"/>
        </w:rPr>
        <w:instrText>wU</w:instrText>
      </w:r>
      <w:r w:rsidR="00824DA4" w:rsidRPr="00EE0E5D">
        <w:rPr>
          <w:lang w:val="en-US" w:eastAsia="en-US"/>
        </w:rPr>
        <w:instrText>","</w:instrText>
      </w:r>
      <w:r w:rsidR="00824DA4">
        <w:rPr>
          <w:lang w:val="en-US" w:eastAsia="en-US"/>
        </w:rPr>
        <w:instrText>uris</w:instrText>
      </w:r>
      <w:r w:rsidR="00824DA4" w:rsidRPr="00EE0E5D">
        <w:rPr>
          <w:lang w:val="en-US" w:eastAsia="en-US"/>
        </w:rPr>
        <w:instrText>":["</w:instrText>
      </w:r>
      <w:r w:rsidR="00824DA4">
        <w:rPr>
          <w:lang w:val="en-US" w:eastAsia="en-US"/>
        </w:rPr>
        <w:instrText>http</w:instrText>
      </w:r>
      <w:r w:rsidR="00824DA4" w:rsidRPr="00EE0E5D">
        <w:rPr>
          <w:lang w:val="en-US" w:eastAsia="en-US"/>
        </w:rPr>
        <w:instrText>://</w:instrText>
      </w:r>
      <w:r w:rsidR="00824DA4">
        <w:rPr>
          <w:lang w:val="en-US" w:eastAsia="en-US"/>
        </w:rPr>
        <w:instrText>zotero</w:instrText>
      </w:r>
      <w:r w:rsidR="00824DA4" w:rsidRPr="00EE0E5D">
        <w:rPr>
          <w:lang w:val="en-US" w:eastAsia="en-US"/>
        </w:rPr>
        <w:instrText>.</w:instrText>
      </w:r>
      <w:r w:rsidR="00824DA4">
        <w:rPr>
          <w:lang w:val="en-US" w:eastAsia="en-US"/>
        </w:rPr>
        <w:instrText>org</w:instrText>
      </w:r>
      <w:r w:rsidR="00824DA4" w:rsidRPr="00EE0E5D">
        <w:rPr>
          <w:lang w:val="en-US" w:eastAsia="en-US"/>
        </w:rPr>
        <w:instrText>/</w:instrText>
      </w:r>
      <w:r w:rsidR="00824DA4">
        <w:rPr>
          <w:lang w:val="en-US" w:eastAsia="en-US"/>
        </w:rPr>
        <w:instrText>users</w:instrText>
      </w:r>
      <w:r w:rsidR="00824DA4" w:rsidRPr="00EE0E5D">
        <w:rPr>
          <w:lang w:val="en-US" w:eastAsia="en-US"/>
        </w:rPr>
        <w:instrText>/1055192/</w:instrText>
      </w:r>
      <w:r w:rsidR="00824DA4">
        <w:rPr>
          <w:lang w:val="en-US" w:eastAsia="en-US"/>
        </w:rPr>
        <w:instrText>items</w:instrText>
      </w:r>
      <w:r w:rsidR="00824DA4" w:rsidRPr="00EE0E5D">
        <w:rPr>
          <w:lang w:val="en-US" w:eastAsia="en-US"/>
        </w:rPr>
        <w:instrText>/</w:instrText>
      </w:r>
      <w:r w:rsidR="00824DA4">
        <w:rPr>
          <w:lang w:val="en-US" w:eastAsia="en-US"/>
        </w:rPr>
        <w:instrText>HJAEJI</w:instrText>
      </w:r>
      <w:r w:rsidR="00824DA4" w:rsidRPr="00EE0E5D">
        <w:rPr>
          <w:lang w:val="en-US" w:eastAsia="en-US"/>
        </w:rPr>
        <w:instrText>64"],"</w:instrText>
      </w:r>
      <w:r w:rsidR="00824DA4">
        <w:rPr>
          <w:lang w:val="en-US" w:eastAsia="en-US"/>
        </w:rPr>
        <w:instrText>itemData</w:instrText>
      </w:r>
      <w:r w:rsidR="00824DA4" w:rsidRPr="00EE0E5D">
        <w:rPr>
          <w:lang w:val="en-US" w:eastAsia="en-US"/>
        </w:rPr>
        <w:instrText>":{"</w:instrText>
      </w:r>
      <w:r w:rsidR="00824DA4">
        <w:rPr>
          <w:lang w:val="en-US" w:eastAsia="en-US"/>
        </w:rPr>
        <w:instrText>id</w:instrText>
      </w:r>
      <w:r w:rsidR="00824DA4" w:rsidRPr="00EE0E5D">
        <w:rPr>
          <w:lang w:val="en-US" w:eastAsia="en-US"/>
        </w:rPr>
        <w:instrText>":30458,"</w:instrText>
      </w:r>
      <w:r w:rsidR="00824DA4">
        <w:rPr>
          <w:lang w:val="en-US" w:eastAsia="en-US"/>
        </w:rPr>
        <w:instrText>type</w:instrText>
      </w:r>
      <w:r w:rsidR="00824DA4" w:rsidRPr="00EE0E5D">
        <w:rPr>
          <w:lang w:val="en-US" w:eastAsia="en-US"/>
        </w:rPr>
        <w:instrText>":"</w:instrText>
      </w:r>
      <w:r w:rsidR="00824DA4">
        <w:rPr>
          <w:lang w:val="en-US" w:eastAsia="en-US"/>
        </w:rPr>
        <w:instrText>article</w:instrText>
      </w:r>
      <w:r w:rsidR="00824DA4" w:rsidRPr="00EE0E5D">
        <w:rPr>
          <w:lang w:val="en-US" w:eastAsia="en-US"/>
        </w:rPr>
        <w:instrText>-</w:instrText>
      </w:r>
      <w:r w:rsidR="00824DA4">
        <w:rPr>
          <w:lang w:val="en-US" w:eastAsia="en-US"/>
        </w:rPr>
        <w:instrText>journal</w:instrText>
      </w:r>
      <w:r w:rsidR="00824DA4" w:rsidRPr="00EE0E5D">
        <w:rPr>
          <w:lang w:val="en-US" w:eastAsia="en-US"/>
        </w:rPr>
        <w:instrText>","</w:instrText>
      </w:r>
      <w:r w:rsidR="00824DA4">
        <w:rPr>
          <w:lang w:val="en-US" w:eastAsia="en-US"/>
        </w:rPr>
        <w:instrText>abstract</w:instrText>
      </w:r>
      <w:r w:rsidR="00824DA4" w:rsidRPr="00EE0E5D">
        <w:rPr>
          <w:lang w:val="en-US" w:eastAsia="en-US"/>
        </w:rPr>
        <w:instrText>":"</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is</w:instrText>
      </w:r>
      <w:r w:rsidR="00824DA4" w:rsidRPr="00EE0E5D">
        <w:rPr>
          <w:lang w:val="en-US" w:eastAsia="en-US"/>
        </w:rPr>
        <w:instrText xml:space="preserve"> </w:instrText>
      </w:r>
      <w:r w:rsidR="00824DA4">
        <w:rPr>
          <w:lang w:val="en-US" w:eastAsia="en-US"/>
        </w:rPr>
        <w:instrText>a</w:instrText>
      </w:r>
      <w:r w:rsidR="00824DA4" w:rsidRPr="00EE0E5D">
        <w:rPr>
          <w:lang w:val="en-US" w:eastAsia="en-US"/>
        </w:rPr>
        <w:instrText xml:space="preserve"> </w:instrText>
      </w:r>
      <w:r w:rsidR="00824DA4">
        <w:rPr>
          <w:lang w:val="en-US" w:eastAsia="en-US"/>
        </w:rPr>
        <w:instrText>next</w:instrText>
      </w:r>
      <w:r w:rsidR="00824DA4" w:rsidRPr="00EE0E5D">
        <w:rPr>
          <w:lang w:val="en-US" w:eastAsia="en-US"/>
        </w:rPr>
        <w:instrText>-</w:instrText>
      </w:r>
      <w:r w:rsidR="00824DA4">
        <w:rPr>
          <w:lang w:val="en-US" w:eastAsia="en-US"/>
        </w:rPr>
        <w:instrText>generation</w:instrText>
      </w:r>
      <w:r w:rsidR="00824DA4" w:rsidRPr="00EE0E5D">
        <w:rPr>
          <w:lang w:val="en-US" w:eastAsia="en-US"/>
        </w:rPr>
        <w:instrText xml:space="preserve"> </w:instrText>
      </w:r>
      <w:r w:rsidR="00824DA4">
        <w:rPr>
          <w:lang w:val="en-US" w:eastAsia="en-US"/>
        </w:rPr>
        <w:instrText>non</w:instrText>
      </w:r>
      <w:r w:rsidR="00824DA4" w:rsidRPr="00EE0E5D">
        <w:rPr>
          <w:lang w:val="en-US" w:eastAsia="en-US"/>
        </w:rPr>
        <w:instrText>-</w:instrText>
      </w:r>
      <w:r w:rsidR="00824DA4">
        <w:rPr>
          <w:lang w:val="en-US" w:eastAsia="en-US"/>
        </w:rPr>
        <w:instrText>nucleoside</w:instrText>
      </w:r>
      <w:r w:rsidR="00824DA4" w:rsidRPr="00EE0E5D">
        <w:rPr>
          <w:lang w:val="en-US" w:eastAsia="en-US"/>
        </w:rPr>
        <w:instrText xml:space="preserve"> </w:instrText>
      </w:r>
      <w:r w:rsidR="00824DA4">
        <w:rPr>
          <w:lang w:val="en-US" w:eastAsia="en-US"/>
        </w:rPr>
        <w:instrText>reverse</w:instrText>
      </w:r>
      <w:r w:rsidR="00824DA4" w:rsidRPr="00EE0E5D">
        <w:rPr>
          <w:lang w:val="en-US" w:eastAsia="en-US"/>
        </w:rPr>
        <w:instrText xml:space="preserve"> </w:instrText>
      </w:r>
      <w:r w:rsidR="00824DA4">
        <w:rPr>
          <w:lang w:val="en-US" w:eastAsia="en-US"/>
        </w:rPr>
        <w:instrText>transcriptase</w:instrText>
      </w:r>
      <w:r w:rsidR="00824DA4" w:rsidRPr="00EE0E5D">
        <w:rPr>
          <w:lang w:val="en-US" w:eastAsia="en-US"/>
        </w:rPr>
        <w:instrText xml:space="preserve"> </w:instrText>
      </w:r>
      <w:r w:rsidR="00824DA4">
        <w:rPr>
          <w:lang w:val="en-US" w:eastAsia="en-US"/>
        </w:rPr>
        <w:instrText>inhibitor</w:instrText>
      </w:r>
      <w:r w:rsidR="00824DA4" w:rsidRPr="00EE0E5D">
        <w:rPr>
          <w:lang w:val="en-US" w:eastAsia="en-US"/>
        </w:rPr>
        <w:instrText xml:space="preserve"> (</w:instrText>
      </w:r>
      <w:r w:rsidR="00824DA4">
        <w:rPr>
          <w:lang w:val="en-US" w:eastAsia="en-US"/>
        </w:rPr>
        <w:instrText>NNRTI</w:instrText>
      </w:r>
      <w:r w:rsidR="00824DA4" w:rsidRPr="00EE0E5D">
        <w:rPr>
          <w:lang w:val="en-US" w:eastAsia="en-US"/>
        </w:rPr>
        <w:instrText xml:space="preserve">) </w:instrText>
      </w:r>
      <w:r w:rsidR="00824DA4">
        <w:rPr>
          <w:lang w:val="en-US" w:eastAsia="en-US"/>
        </w:rPr>
        <w:instrText>developed</w:instrText>
      </w:r>
      <w:r w:rsidR="00824DA4" w:rsidRPr="00EE0E5D">
        <w:rPr>
          <w:lang w:val="en-US" w:eastAsia="en-US"/>
        </w:rPr>
        <w:instrText xml:space="preserve"> </w:instrText>
      </w:r>
      <w:r w:rsidR="00824DA4">
        <w:rPr>
          <w:lang w:val="en-US" w:eastAsia="en-US"/>
        </w:rPr>
        <w:instrText>for</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treatment</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HIV</w:instrText>
      </w:r>
      <w:r w:rsidR="00824DA4" w:rsidRPr="00EE0E5D">
        <w:rPr>
          <w:lang w:val="en-US" w:eastAsia="en-US"/>
        </w:rPr>
        <w:instrText xml:space="preserve">-1 </w:instrText>
      </w:r>
      <w:r w:rsidR="00824DA4">
        <w:rPr>
          <w:lang w:val="en-US" w:eastAsia="en-US"/>
        </w:rPr>
        <w:instrText>infection</w:instrText>
      </w:r>
      <w:r w:rsidR="00824DA4" w:rsidRPr="00EE0E5D">
        <w:rPr>
          <w:lang w:val="en-US" w:eastAsia="en-US"/>
        </w:rPr>
        <w:instrText xml:space="preserve">. </w:instrText>
      </w:r>
      <w:r w:rsidR="00824DA4">
        <w:rPr>
          <w:lang w:val="en-US" w:eastAsia="en-US"/>
        </w:rPr>
        <w:instrText>It</w:instrText>
      </w:r>
      <w:r w:rsidR="00824DA4" w:rsidRPr="00EE0E5D">
        <w:rPr>
          <w:lang w:val="en-US" w:eastAsia="en-US"/>
        </w:rPr>
        <w:instrText xml:space="preserve"> </w:instrText>
      </w:r>
      <w:r w:rsidR="00824DA4">
        <w:rPr>
          <w:lang w:val="en-US" w:eastAsia="en-US"/>
        </w:rPr>
        <w:instrText>has</w:instrText>
      </w:r>
      <w:r w:rsidR="00824DA4" w:rsidRPr="00EE0E5D">
        <w:rPr>
          <w:lang w:val="en-US" w:eastAsia="en-US"/>
        </w:rPr>
        <w:instrText xml:space="preserve"> </w:instrText>
      </w:r>
      <w:r w:rsidR="00824DA4">
        <w:rPr>
          <w:lang w:val="en-US" w:eastAsia="en-US"/>
        </w:rPr>
        <w:instrText>a</w:instrText>
      </w:r>
      <w:r w:rsidR="00824DA4" w:rsidRPr="00EE0E5D">
        <w:rPr>
          <w:lang w:val="en-US" w:eastAsia="en-US"/>
        </w:rPr>
        <w:instrText xml:space="preserve"> </w:instrText>
      </w:r>
      <w:r w:rsidR="00824DA4">
        <w:rPr>
          <w:lang w:val="en-US" w:eastAsia="en-US"/>
        </w:rPr>
        <w:instrText>high</w:instrText>
      </w:r>
      <w:r w:rsidR="00824DA4" w:rsidRPr="00EE0E5D">
        <w:rPr>
          <w:lang w:val="en-US" w:eastAsia="en-US"/>
        </w:rPr>
        <w:instrText xml:space="preserve"> </w:instrText>
      </w:r>
      <w:r w:rsidR="00824DA4">
        <w:rPr>
          <w:lang w:val="en-US" w:eastAsia="en-US"/>
        </w:rPr>
        <w:instrText>genetic</w:instrText>
      </w:r>
      <w:r w:rsidR="00824DA4" w:rsidRPr="00EE0E5D">
        <w:rPr>
          <w:lang w:val="en-US" w:eastAsia="en-US"/>
        </w:rPr>
        <w:instrText xml:space="preserve"> </w:instrText>
      </w:r>
      <w:r w:rsidR="00824DA4">
        <w:rPr>
          <w:lang w:val="en-US" w:eastAsia="en-US"/>
        </w:rPr>
        <w:instrText>barrier</w:instrText>
      </w:r>
      <w:r w:rsidR="00824DA4" w:rsidRPr="00EE0E5D">
        <w:rPr>
          <w:lang w:val="en-US" w:eastAsia="en-US"/>
        </w:rPr>
        <w:instrText xml:space="preserve"> </w:instrText>
      </w:r>
      <w:r w:rsidR="00824DA4">
        <w:rPr>
          <w:lang w:val="en-US" w:eastAsia="en-US"/>
        </w:rPr>
        <w:instrText>to</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emergence</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viral</w:instrText>
      </w:r>
      <w:r w:rsidR="00824DA4" w:rsidRPr="00EE0E5D">
        <w:rPr>
          <w:lang w:val="en-US" w:eastAsia="en-US"/>
        </w:rPr>
        <w:instrText xml:space="preserve"> </w:instrText>
      </w:r>
      <w:r w:rsidR="00824DA4">
        <w:rPr>
          <w:lang w:val="en-US" w:eastAsia="en-US"/>
        </w:rPr>
        <w:instrText>resistance</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maintains</w:instrText>
      </w:r>
      <w:r w:rsidR="00824DA4" w:rsidRPr="00EE0E5D">
        <w:rPr>
          <w:lang w:val="en-US" w:eastAsia="en-US"/>
        </w:rPr>
        <w:instrText xml:space="preserve"> </w:instrText>
      </w:r>
      <w:r w:rsidR="00824DA4">
        <w:rPr>
          <w:lang w:val="en-US" w:eastAsia="en-US"/>
        </w:rPr>
        <w:instrText>its</w:instrText>
      </w:r>
      <w:r w:rsidR="00824DA4" w:rsidRPr="00EE0E5D">
        <w:rPr>
          <w:lang w:val="en-US" w:eastAsia="en-US"/>
        </w:rPr>
        <w:instrText xml:space="preserve"> </w:instrText>
      </w:r>
      <w:r w:rsidR="00824DA4">
        <w:rPr>
          <w:lang w:val="en-US" w:eastAsia="en-US"/>
        </w:rPr>
        <w:instrText>antiviral</w:instrText>
      </w:r>
      <w:r w:rsidR="00824DA4" w:rsidRPr="00EE0E5D">
        <w:rPr>
          <w:lang w:val="en-US" w:eastAsia="en-US"/>
        </w:rPr>
        <w:instrText xml:space="preserve"> </w:instrText>
      </w:r>
      <w:r w:rsidR="00824DA4">
        <w:rPr>
          <w:lang w:val="en-US" w:eastAsia="en-US"/>
        </w:rPr>
        <w:instrText>activity</w:instrText>
      </w:r>
      <w:r w:rsidR="00824DA4" w:rsidRPr="00EE0E5D">
        <w:rPr>
          <w:lang w:val="en-US" w:eastAsia="en-US"/>
        </w:rPr>
        <w:instrText xml:space="preserve"> </w:instrText>
      </w:r>
      <w:r w:rsidR="00824DA4">
        <w:rPr>
          <w:lang w:val="en-US" w:eastAsia="en-US"/>
        </w:rPr>
        <w:instrText>in</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presence</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common</w:instrText>
      </w:r>
      <w:r w:rsidR="00824DA4" w:rsidRPr="00EE0E5D">
        <w:rPr>
          <w:lang w:val="en-US" w:eastAsia="en-US"/>
        </w:rPr>
        <w:instrText xml:space="preserve"> </w:instrText>
      </w:r>
      <w:r w:rsidR="00824DA4">
        <w:rPr>
          <w:lang w:val="en-US" w:eastAsia="en-US"/>
        </w:rPr>
        <w:instrText>NNRTI</w:instrText>
      </w:r>
      <w:r w:rsidR="00824DA4" w:rsidRPr="00EE0E5D">
        <w:rPr>
          <w:lang w:val="en-US" w:eastAsia="en-US"/>
        </w:rPr>
        <w:instrText xml:space="preserve"> </w:instrText>
      </w:r>
      <w:r w:rsidR="00824DA4">
        <w:rPr>
          <w:lang w:val="en-US" w:eastAsia="en-US"/>
        </w:rPr>
        <w:instrText>mutations</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pharmacokinetics</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in</w:instrText>
      </w:r>
      <w:r w:rsidR="00824DA4" w:rsidRPr="00EE0E5D">
        <w:rPr>
          <w:lang w:val="en-US" w:eastAsia="en-US"/>
        </w:rPr>
        <w:instrText xml:space="preserve"> </w:instrText>
      </w:r>
      <w:r w:rsidR="00824DA4">
        <w:rPr>
          <w:lang w:val="en-US" w:eastAsia="en-US"/>
        </w:rPr>
        <w:instrText>HIV</w:instrText>
      </w:r>
      <w:r w:rsidR="00824DA4" w:rsidRPr="00EE0E5D">
        <w:rPr>
          <w:lang w:val="en-US" w:eastAsia="en-US"/>
        </w:rPr>
        <w:instrText>-</w:instrText>
      </w:r>
      <w:r w:rsidR="00824DA4">
        <w:rPr>
          <w:lang w:val="en-US" w:eastAsia="en-US"/>
        </w:rPr>
        <w:instrText>infected</w:instrText>
      </w:r>
      <w:r w:rsidR="00824DA4" w:rsidRPr="00EE0E5D">
        <w:rPr>
          <w:lang w:val="en-US" w:eastAsia="en-US"/>
        </w:rPr>
        <w:instrText xml:space="preserve"> </w:instrText>
      </w:r>
      <w:r w:rsidR="00824DA4">
        <w:rPr>
          <w:lang w:val="en-US" w:eastAsia="en-US"/>
        </w:rPr>
        <w:instrText>patients</w:instrText>
      </w:r>
      <w:r w:rsidR="00824DA4" w:rsidRPr="00EE0E5D">
        <w:rPr>
          <w:lang w:val="en-US" w:eastAsia="en-US"/>
        </w:rPr>
        <w:instrText xml:space="preserve"> </w:instrText>
      </w:r>
      <w:r w:rsidR="00824DA4">
        <w:rPr>
          <w:lang w:val="en-US" w:eastAsia="en-US"/>
        </w:rPr>
        <w:instrText>at</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recommended</w:instrText>
      </w:r>
      <w:r w:rsidR="00824DA4" w:rsidRPr="00EE0E5D">
        <w:rPr>
          <w:lang w:val="en-US" w:eastAsia="en-US"/>
        </w:rPr>
        <w:instrText xml:space="preserve"> </w:instrText>
      </w:r>
      <w:r w:rsidR="00824DA4">
        <w:rPr>
          <w:lang w:val="en-US" w:eastAsia="en-US"/>
        </w:rPr>
        <w:instrText>dosage</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200 </w:instrText>
      </w:r>
      <w:r w:rsidR="00824DA4">
        <w:rPr>
          <w:lang w:val="en-US" w:eastAsia="en-US"/>
        </w:rPr>
        <w:instrText>mg</w:instrText>
      </w:r>
      <w:r w:rsidR="00824DA4" w:rsidRPr="00EE0E5D">
        <w:rPr>
          <w:lang w:val="en-US" w:eastAsia="en-US"/>
        </w:rPr>
        <w:instrText xml:space="preserve"> </w:instrText>
      </w:r>
      <w:r w:rsidR="00824DA4">
        <w:rPr>
          <w:lang w:val="en-US" w:eastAsia="en-US"/>
        </w:rPr>
        <w:instrText>twice</w:instrText>
      </w:r>
      <w:r w:rsidR="00824DA4" w:rsidRPr="00EE0E5D">
        <w:rPr>
          <w:lang w:val="en-US" w:eastAsia="en-US"/>
        </w:rPr>
        <w:instrText xml:space="preserve"> </w:instrText>
      </w:r>
      <w:r w:rsidR="00824DA4">
        <w:rPr>
          <w:lang w:val="en-US" w:eastAsia="en-US"/>
        </w:rPr>
        <w:instrText>daily</w:instrText>
      </w:r>
      <w:r w:rsidR="00824DA4" w:rsidRPr="00EE0E5D">
        <w:rPr>
          <w:lang w:val="en-US" w:eastAsia="en-US"/>
        </w:rPr>
        <w:instrText xml:space="preserve"> </w:instrText>
      </w:r>
      <w:r w:rsidR="00824DA4">
        <w:rPr>
          <w:lang w:val="en-US" w:eastAsia="en-US"/>
        </w:rPr>
        <w:instrText>demonstrates</w:instrText>
      </w:r>
      <w:r w:rsidR="00824DA4" w:rsidRPr="00EE0E5D">
        <w:rPr>
          <w:lang w:val="en-US" w:eastAsia="en-US"/>
        </w:rPr>
        <w:instrText xml:space="preserve"> </w:instrText>
      </w:r>
      <w:r w:rsidR="00824DA4">
        <w:rPr>
          <w:lang w:val="en-US" w:eastAsia="en-US"/>
        </w:rPr>
        <w:instrText>moderate</w:instrText>
      </w:r>
      <w:r w:rsidR="00824DA4" w:rsidRPr="00EE0E5D">
        <w:rPr>
          <w:lang w:val="en-US" w:eastAsia="en-US"/>
        </w:rPr>
        <w:instrText xml:space="preserve"> </w:instrText>
      </w:r>
      <w:r w:rsidR="00824DA4">
        <w:rPr>
          <w:lang w:val="en-US" w:eastAsia="en-US"/>
        </w:rPr>
        <w:instrText>intersubject</w:instrText>
      </w:r>
      <w:r w:rsidR="00824DA4" w:rsidRPr="00EE0E5D">
        <w:rPr>
          <w:lang w:val="en-US" w:eastAsia="en-US"/>
        </w:rPr>
        <w:instrText xml:space="preserve"> </w:instrText>
      </w:r>
      <w:r w:rsidR="00824DA4">
        <w:rPr>
          <w:lang w:val="en-US" w:eastAsia="en-US"/>
        </w:rPr>
        <w:instrText>variability</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no</w:instrText>
      </w:r>
      <w:r w:rsidR="00824DA4" w:rsidRPr="00EE0E5D">
        <w:rPr>
          <w:lang w:val="en-US" w:eastAsia="en-US"/>
        </w:rPr>
        <w:instrText xml:space="preserve"> </w:instrText>
      </w:r>
      <w:r w:rsidR="00824DA4">
        <w:rPr>
          <w:lang w:val="en-US" w:eastAsia="en-US"/>
        </w:rPr>
        <w:instrText>time</w:instrText>
      </w:r>
      <w:r w:rsidR="00824DA4" w:rsidRPr="00EE0E5D">
        <w:rPr>
          <w:lang w:val="en-US" w:eastAsia="en-US"/>
        </w:rPr>
        <w:instrText xml:space="preserve"> </w:instrText>
      </w:r>
      <w:r w:rsidR="00824DA4">
        <w:rPr>
          <w:lang w:val="en-US" w:eastAsia="en-US"/>
        </w:rPr>
        <w:instrText>dependency</w:instrText>
      </w:r>
      <w:r w:rsidR="00824DA4" w:rsidRPr="00EE0E5D">
        <w:rPr>
          <w:lang w:val="en-US" w:eastAsia="en-US"/>
        </w:rPr>
        <w:instrText xml:space="preserve">. </w:instrText>
      </w:r>
      <w:r w:rsidR="00824DA4">
        <w:rPr>
          <w:lang w:val="en-US" w:eastAsia="en-US"/>
        </w:rPr>
        <w:instrText>Due</w:instrText>
      </w:r>
      <w:r w:rsidR="00824DA4" w:rsidRPr="00EE0E5D">
        <w:rPr>
          <w:lang w:val="en-US" w:eastAsia="en-US"/>
        </w:rPr>
        <w:instrText xml:space="preserve"> </w:instrText>
      </w:r>
      <w:r w:rsidR="00824DA4">
        <w:rPr>
          <w:lang w:val="en-US" w:eastAsia="en-US"/>
        </w:rPr>
        <w:instrText>to</w:instrText>
      </w:r>
      <w:r w:rsidR="00824DA4" w:rsidRPr="00EE0E5D">
        <w:rPr>
          <w:lang w:val="en-US" w:eastAsia="en-US"/>
        </w:rPr>
        <w:instrText xml:space="preserve"> </w:instrText>
      </w:r>
      <w:r w:rsidR="00824DA4">
        <w:rPr>
          <w:lang w:val="en-US" w:eastAsia="en-US"/>
        </w:rPr>
        <w:instrText>substantially</w:instrText>
      </w:r>
      <w:r w:rsidR="00824DA4" w:rsidRPr="00EE0E5D">
        <w:rPr>
          <w:lang w:val="en-US" w:eastAsia="en-US"/>
        </w:rPr>
        <w:instrText xml:space="preserve"> </w:instrText>
      </w:r>
      <w:r w:rsidR="00824DA4">
        <w:rPr>
          <w:lang w:val="en-US" w:eastAsia="en-US"/>
        </w:rPr>
        <w:instrText>lower</w:instrText>
      </w:r>
      <w:r w:rsidR="00824DA4" w:rsidRPr="00EE0E5D">
        <w:rPr>
          <w:lang w:val="en-US" w:eastAsia="en-US"/>
        </w:rPr>
        <w:instrText xml:space="preserve"> </w:instrText>
      </w:r>
      <w:r w:rsidR="00824DA4">
        <w:rPr>
          <w:lang w:val="en-US" w:eastAsia="en-US"/>
        </w:rPr>
        <w:instrText>exposures</w:instrText>
      </w:r>
      <w:r w:rsidR="00824DA4" w:rsidRPr="00EE0E5D">
        <w:rPr>
          <w:lang w:val="en-US" w:eastAsia="en-US"/>
        </w:rPr>
        <w:instrText xml:space="preserve"> </w:instrText>
      </w:r>
      <w:r w:rsidR="00824DA4">
        <w:rPr>
          <w:lang w:val="en-US" w:eastAsia="en-US"/>
        </w:rPr>
        <w:instrText>when</w:instrText>
      </w:r>
      <w:r w:rsidR="00824DA4" w:rsidRPr="00EE0E5D">
        <w:rPr>
          <w:lang w:val="en-US" w:eastAsia="en-US"/>
        </w:rPr>
        <w:instrText xml:space="preserve"> </w:instrText>
      </w:r>
      <w:r w:rsidR="00824DA4">
        <w:rPr>
          <w:lang w:val="en-US" w:eastAsia="en-US"/>
        </w:rPr>
        <w:instrText>taken</w:instrText>
      </w:r>
      <w:r w:rsidR="00824DA4" w:rsidRPr="00EE0E5D">
        <w:rPr>
          <w:lang w:val="en-US" w:eastAsia="en-US"/>
        </w:rPr>
        <w:instrText xml:space="preserve"> </w:instrText>
      </w:r>
      <w:r w:rsidR="00824DA4">
        <w:rPr>
          <w:lang w:val="en-US" w:eastAsia="en-US"/>
        </w:rPr>
        <w:instrText>on</w:instrText>
      </w:r>
      <w:r w:rsidR="00824DA4" w:rsidRPr="00EE0E5D">
        <w:rPr>
          <w:lang w:val="en-US" w:eastAsia="en-US"/>
        </w:rPr>
        <w:instrText xml:space="preserve"> </w:instrText>
      </w:r>
      <w:r w:rsidR="00824DA4">
        <w:rPr>
          <w:lang w:val="en-US" w:eastAsia="en-US"/>
        </w:rPr>
        <w:instrText>an</w:instrText>
      </w:r>
      <w:r w:rsidR="00824DA4" w:rsidRPr="00EE0E5D">
        <w:rPr>
          <w:lang w:val="en-US" w:eastAsia="en-US"/>
        </w:rPr>
        <w:instrText xml:space="preserve"> </w:instrText>
      </w:r>
      <w:r w:rsidR="00824DA4">
        <w:rPr>
          <w:lang w:val="en-US" w:eastAsia="en-US"/>
        </w:rPr>
        <w:instrText>empty</w:instrText>
      </w:r>
      <w:r w:rsidR="00824DA4" w:rsidRPr="00EE0E5D">
        <w:rPr>
          <w:lang w:val="en-US" w:eastAsia="en-US"/>
        </w:rPr>
        <w:instrText xml:space="preserve"> </w:instrText>
      </w:r>
      <w:r w:rsidR="00824DA4">
        <w:rPr>
          <w:lang w:val="en-US" w:eastAsia="en-US"/>
        </w:rPr>
        <w:instrText>stomach</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should</w:instrText>
      </w:r>
      <w:r w:rsidR="00824DA4" w:rsidRPr="00EE0E5D">
        <w:rPr>
          <w:lang w:val="en-US" w:eastAsia="en-US"/>
        </w:rPr>
        <w:instrText xml:space="preserve"> </w:instrText>
      </w:r>
      <w:r w:rsidR="00824DA4">
        <w:rPr>
          <w:lang w:val="en-US" w:eastAsia="en-US"/>
        </w:rPr>
        <w:instrText>be</w:instrText>
      </w:r>
      <w:r w:rsidR="00824DA4" w:rsidRPr="00EE0E5D">
        <w:rPr>
          <w:lang w:val="en-US" w:eastAsia="en-US"/>
        </w:rPr>
        <w:instrText xml:space="preserve"> </w:instrText>
      </w:r>
      <w:r w:rsidR="00824DA4">
        <w:rPr>
          <w:lang w:val="en-US" w:eastAsia="en-US"/>
        </w:rPr>
        <w:instrText>administered</w:instrText>
      </w:r>
      <w:r w:rsidR="00824DA4" w:rsidRPr="00EE0E5D">
        <w:rPr>
          <w:lang w:val="en-US" w:eastAsia="en-US"/>
        </w:rPr>
        <w:instrText xml:space="preserve"> </w:instrText>
      </w:r>
      <w:r w:rsidR="00824DA4">
        <w:rPr>
          <w:lang w:val="en-US" w:eastAsia="en-US"/>
        </w:rPr>
        <w:instrText>following</w:instrText>
      </w:r>
      <w:r w:rsidR="00824DA4" w:rsidRPr="00EE0E5D">
        <w:rPr>
          <w:lang w:val="en-US" w:eastAsia="en-US"/>
        </w:rPr>
        <w:instrText xml:space="preserve"> </w:instrText>
      </w:r>
      <w:r w:rsidR="00824DA4">
        <w:rPr>
          <w:lang w:val="en-US" w:eastAsia="en-US"/>
        </w:rPr>
        <w:instrText>a</w:instrText>
      </w:r>
      <w:r w:rsidR="00824DA4" w:rsidRPr="00EE0E5D">
        <w:rPr>
          <w:lang w:val="en-US" w:eastAsia="en-US"/>
        </w:rPr>
        <w:instrText xml:space="preserve"> </w:instrText>
      </w:r>
      <w:r w:rsidR="00824DA4">
        <w:rPr>
          <w:lang w:val="en-US" w:eastAsia="en-US"/>
        </w:rPr>
        <w:instrText>meal</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drug</w:instrText>
      </w:r>
      <w:r w:rsidR="00824DA4" w:rsidRPr="00EE0E5D">
        <w:rPr>
          <w:lang w:val="en-US" w:eastAsia="en-US"/>
        </w:rPr>
        <w:instrText xml:space="preserve"> </w:instrText>
      </w:r>
      <w:r w:rsidR="00824DA4">
        <w:rPr>
          <w:lang w:val="en-US" w:eastAsia="en-US"/>
        </w:rPr>
        <w:instrText>is</w:instrText>
      </w:r>
      <w:r w:rsidR="00824DA4" w:rsidRPr="00EE0E5D">
        <w:rPr>
          <w:lang w:val="en-US" w:eastAsia="en-US"/>
        </w:rPr>
        <w:instrText xml:space="preserve"> </w:instrText>
      </w:r>
      <w:r w:rsidR="00824DA4">
        <w:rPr>
          <w:lang w:val="en-US" w:eastAsia="en-US"/>
        </w:rPr>
        <w:instrText>highly</w:instrText>
      </w:r>
      <w:r w:rsidR="00824DA4" w:rsidRPr="00EE0E5D">
        <w:rPr>
          <w:lang w:val="en-US" w:eastAsia="en-US"/>
        </w:rPr>
        <w:instrText xml:space="preserve"> </w:instrText>
      </w:r>
      <w:r w:rsidR="00824DA4">
        <w:rPr>
          <w:lang w:val="en-US" w:eastAsia="en-US"/>
        </w:rPr>
        <w:instrText>protein</w:instrText>
      </w:r>
      <w:r w:rsidR="00824DA4" w:rsidRPr="00EE0E5D">
        <w:rPr>
          <w:lang w:val="en-US" w:eastAsia="en-US"/>
        </w:rPr>
        <w:instrText xml:space="preserve"> </w:instrText>
      </w:r>
      <w:r w:rsidR="00824DA4">
        <w:rPr>
          <w:lang w:val="en-US" w:eastAsia="en-US"/>
        </w:rPr>
        <w:instrText>bound</w:instrText>
      </w:r>
      <w:r w:rsidR="00824DA4" w:rsidRPr="00EE0E5D">
        <w:rPr>
          <w:lang w:val="en-US" w:eastAsia="en-US"/>
        </w:rPr>
        <w:instrText xml:space="preserve"> (99.9%) </w:instrText>
      </w:r>
      <w:r w:rsidR="00824DA4">
        <w:rPr>
          <w:lang w:val="en-US" w:eastAsia="en-US"/>
        </w:rPr>
        <w:instrText>to</w:instrText>
      </w:r>
      <w:r w:rsidR="00824DA4" w:rsidRPr="00EE0E5D">
        <w:rPr>
          <w:lang w:val="en-US" w:eastAsia="en-US"/>
        </w:rPr>
        <w:instrText xml:space="preserve"> </w:instrText>
      </w:r>
      <w:r w:rsidR="00824DA4">
        <w:rPr>
          <w:lang w:val="en-US" w:eastAsia="en-US"/>
        </w:rPr>
        <w:instrText>albumin</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alpha</w:instrText>
      </w:r>
      <w:r w:rsidR="00824DA4" w:rsidRPr="00EE0E5D">
        <w:rPr>
          <w:lang w:val="en-US" w:eastAsia="en-US"/>
        </w:rPr>
        <w:instrText>(1)-</w:instrText>
      </w:r>
      <w:r w:rsidR="00824DA4">
        <w:rPr>
          <w:lang w:val="en-US" w:eastAsia="en-US"/>
        </w:rPr>
        <w:instrText>acid</w:instrText>
      </w:r>
      <w:r w:rsidR="00824DA4" w:rsidRPr="00EE0E5D">
        <w:rPr>
          <w:lang w:val="en-US" w:eastAsia="en-US"/>
        </w:rPr>
        <w:instrText xml:space="preserve"> </w:instrText>
      </w:r>
      <w:r w:rsidR="00824DA4">
        <w:rPr>
          <w:lang w:val="en-US" w:eastAsia="en-US"/>
        </w:rPr>
        <w:instrText>glycoprotein</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shows</w:instrText>
      </w:r>
      <w:r w:rsidR="00824DA4" w:rsidRPr="00EE0E5D">
        <w:rPr>
          <w:lang w:val="en-US" w:eastAsia="en-US"/>
        </w:rPr>
        <w:instrText xml:space="preserve"> </w:instrText>
      </w:r>
      <w:r w:rsidR="00824DA4">
        <w:rPr>
          <w:lang w:val="en-US" w:eastAsia="en-US"/>
        </w:rPr>
        <w:instrText>a</w:instrText>
      </w:r>
      <w:r w:rsidR="00824DA4" w:rsidRPr="00EE0E5D">
        <w:rPr>
          <w:lang w:val="en-US" w:eastAsia="en-US"/>
        </w:rPr>
        <w:instrText xml:space="preserve"> </w:instrText>
      </w:r>
      <w:r w:rsidR="00824DA4">
        <w:rPr>
          <w:lang w:val="en-US" w:eastAsia="en-US"/>
        </w:rPr>
        <w:instrText>relatively</w:instrText>
      </w:r>
      <w:r w:rsidR="00824DA4" w:rsidRPr="00EE0E5D">
        <w:rPr>
          <w:lang w:val="en-US" w:eastAsia="en-US"/>
        </w:rPr>
        <w:instrText xml:space="preserve"> </w:instrText>
      </w:r>
      <w:r w:rsidR="00824DA4">
        <w:rPr>
          <w:lang w:val="en-US" w:eastAsia="en-US"/>
        </w:rPr>
        <w:instrText>long</w:instrText>
      </w:r>
      <w:r w:rsidR="00824DA4" w:rsidRPr="00EE0E5D">
        <w:rPr>
          <w:lang w:val="en-US" w:eastAsia="en-US"/>
        </w:rPr>
        <w:instrText xml:space="preserve"> </w:instrText>
      </w:r>
      <w:r w:rsidR="00824DA4">
        <w:rPr>
          <w:lang w:val="en-US" w:eastAsia="en-US"/>
        </w:rPr>
        <w:instrText>elimination</w:instrText>
      </w:r>
      <w:r w:rsidR="00824DA4" w:rsidRPr="00EE0E5D">
        <w:rPr>
          <w:lang w:val="en-US" w:eastAsia="en-US"/>
        </w:rPr>
        <w:instrText xml:space="preserve"> </w:instrText>
      </w:r>
      <w:r w:rsidR="00824DA4">
        <w:rPr>
          <w:lang w:val="en-US" w:eastAsia="en-US"/>
        </w:rPr>
        <w:instrText>half</w:instrText>
      </w:r>
      <w:r w:rsidR="00824DA4" w:rsidRPr="00EE0E5D">
        <w:rPr>
          <w:lang w:val="en-US" w:eastAsia="en-US"/>
        </w:rPr>
        <w:instrText>-</w:instrText>
      </w:r>
      <w:r w:rsidR="00824DA4">
        <w:rPr>
          <w:lang w:val="en-US" w:eastAsia="en-US"/>
        </w:rPr>
        <w:instrText>life</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30-40 </w:instrText>
      </w:r>
      <w:r w:rsidR="00824DA4">
        <w:rPr>
          <w:lang w:val="en-US" w:eastAsia="en-US"/>
        </w:rPr>
        <w:instrText>hours</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is</w:instrText>
      </w:r>
      <w:r w:rsidR="00824DA4" w:rsidRPr="00EE0E5D">
        <w:rPr>
          <w:lang w:val="en-US" w:eastAsia="en-US"/>
        </w:rPr>
        <w:instrText xml:space="preserve"> </w:instrText>
      </w:r>
      <w:r w:rsidR="00824DA4">
        <w:rPr>
          <w:lang w:val="en-US" w:eastAsia="en-US"/>
        </w:rPr>
        <w:instrText>metabolized</w:instrText>
      </w:r>
      <w:r w:rsidR="00824DA4" w:rsidRPr="00EE0E5D">
        <w:rPr>
          <w:lang w:val="en-US" w:eastAsia="en-US"/>
        </w:rPr>
        <w:instrText xml:space="preserve"> </w:instrText>
      </w:r>
      <w:r w:rsidR="00824DA4">
        <w:rPr>
          <w:lang w:val="en-US" w:eastAsia="en-US"/>
        </w:rPr>
        <w:instrText>by</w:instrText>
      </w:r>
      <w:r w:rsidR="00824DA4" w:rsidRPr="00EE0E5D">
        <w:rPr>
          <w:lang w:val="en-US" w:eastAsia="en-US"/>
        </w:rPr>
        <w:instrText xml:space="preserve"> </w:instrText>
      </w:r>
      <w:r w:rsidR="00824DA4">
        <w:rPr>
          <w:lang w:val="en-US" w:eastAsia="en-US"/>
        </w:rPr>
        <w:instrText>cytochrome</w:instrText>
      </w:r>
      <w:r w:rsidR="00824DA4" w:rsidRPr="00EE0E5D">
        <w:rPr>
          <w:lang w:val="en-US" w:eastAsia="en-US"/>
        </w:rPr>
        <w:instrText xml:space="preserve"> </w:instrText>
      </w:r>
      <w:r w:rsidR="00824DA4">
        <w:rPr>
          <w:lang w:val="en-US" w:eastAsia="en-US"/>
        </w:rPr>
        <w:instrText>P</w:instrText>
      </w:r>
      <w:r w:rsidR="00824DA4" w:rsidRPr="00EE0E5D">
        <w:rPr>
          <w:lang w:val="en-US" w:eastAsia="en-US"/>
        </w:rPr>
        <w:instrText>450 (</w:instrText>
      </w:r>
      <w:r w:rsidR="00824DA4">
        <w:rPr>
          <w:lang w:val="en-US" w:eastAsia="en-US"/>
        </w:rPr>
        <w:instrText>CYP</w:instrText>
      </w:r>
      <w:r w:rsidR="00824DA4" w:rsidRPr="00EE0E5D">
        <w:rPr>
          <w:lang w:val="en-US" w:eastAsia="en-US"/>
        </w:rPr>
        <w:instrText>) 3</w:instrText>
      </w:r>
      <w:r w:rsidR="00824DA4">
        <w:rPr>
          <w:lang w:val="en-US" w:eastAsia="en-US"/>
        </w:rPr>
        <w:instrText>A</w:instrText>
      </w:r>
      <w:r w:rsidR="00824DA4" w:rsidRPr="00EE0E5D">
        <w:rPr>
          <w:lang w:val="en-US" w:eastAsia="en-US"/>
        </w:rPr>
        <w:instrText>, 2</w:instrText>
      </w:r>
      <w:r w:rsidR="00824DA4">
        <w:rPr>
          <w:lang w:val="en-US" w:eastAsia="en-US"/>
        </w:rPr>
        <w:instrText>C</w:instrText>
      </w:r>
      <w:r w:rsidR="00824DA4" w:rsidRPr="00EE0E5D">
        <w:rPr>
          <w:lang w:val="en-US" w:eastAsia="en-US"/>
        </w:rPr>
        <w:instrText xml:space="preserve">9 </w:instrText>
      </w:r>
      <w:r w:rsidR="00824DA4">
        <w:rPr>
          <w:lang w:val="en-US" w:eastAsia="en-US"/>
        </w:rPr>
        <w:instrText>and</w:instrText>
      </w:r>
      <w:r w:rsidR="00824DA4" w:rsidRPr="00EE0E5D">
        <w:rPr>
          <w:lang w:val="en-US" w:eastAsia="en-US"/>
        </w:rPr>
        <w:instrText xml:space="preserve"> 2</w:instrText>
      </w:r>
      <w:r w:rsidR="00824DA4">
        <w:rPr>
          <w:lang w:val="en-US" w:eastAsia="en-US"/>
        </w:rPr>
        <w:instrText>C</w:instrText>
      </w:r>
      <w:r w:rsidR="00824DA4" w:rsidRPr="00EE0E5D">
        <w:rPr>
          <w:lang w:val="en-US" w:eastAsia="en-US"/>
        </w:rPr>
        <w:instrText xml:space="preserve">19;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metabolites</w:instrText>
      </w:r>
      <w:r w:rsidR="00824DA4" w:rsidRPr="00EE0E5D">
        <w:rPr>
          <w:lang w:val="en-US" w:eastAsia="en-US"/>
        </w:rPr>
        <w:instrText xml:space="preserve"> </w:instrText>
      </w:r>
      <w:r w:rsidR="00824DA4">
        <w:rPr>
          <w:lang w:val="en-US" w:eastAsia="en-US"/>
        </w:rPr>
        <w:instrText>are</w:instrText>
      </w:r>
      <w:r w:rsidR="00824DA4" w:rsidRPr="00EE0E5D">
        <w:rPr>
          <w:lang w:val="en-US" w:eastAsia="en-US"/>
        </w:rPr>
        <w:instrText xml:space="preserve"> </w:instrText>
      </w:r>
      <w:r w:rsidR="00824DA4">
        <w:rPr>
          <w:lang w:val="en-US" w:eastAsia="en-US"/>
        </w:rPr>
        <w:instrText>subsequently</w:instrText>
      </w:r>
      <w:r w:rsidR="00824DA4" w:rsidRPr="00EE0E5D">
        <w:rPr>
          <w:lang w:val="en-US" w:eastAsia="en-US"/>
        </w:rPr>
        <w:instrText xml:space="preserve"> </w:instrText>
      </w:r>
      <w:r w:rsidR="00824DA4">
        <w:rPr>
          <w:lang w:val="en-US" w:eastAsia="en-US"/>
        </w:rPr>
        <w:instrText>glucuronidated</w:instrText>
      </w:r>
      <w:r w:rsidR="00824DA4" w:rsidRPr="00EE0E5D">
        <w:rPr>
          <w:lang w:val="en-US" w:eastAsia="en-US"/>
        </w:rPr>
        <w:instrText xml:space="preserve"> </w:instrText>
      </w:r>
      <w:r w:rsidR="00824DA4">
        <w:rPr>
          <w:lang w:val="en-US" w:eastAsia="en-US"/>
        </w:rPr>
        <w:instrText>by</w:instrText>
      </w:r>
      <w:r w:rsidR="00824DA4" w:rsidRPr="00EE0E5D">
        <w:rPr>
          <w:lang w:val="en-US" w:eastAsia="en-US"/>
        </w:rPr>
        <w:instrText xml:space="preserve"> </w:instrText>
      </w:r>
      <w:r w:rsidR="00824DA4">
        <w:rPr>
          <w:lang w:val="en-US" w:eastAsia="en-US"/>
        </w:rPr>
        <w:instrText>uridine</w:instrText>
      </w:r>
      <w:r w:rsidR="00824DA4" w:rsidRPr="00EE0E5D">
        <w:rPr>
          <w:lang w:val="en-US" w:eastAsia="en-US"/>
        </w:rPr>
        <w:instrText xml:space="preserve"> </w:instrText>
      </w:r>
      <w:r w:rsidR="00824DA4">
        <w:rPr>
          <w:lang w:val="en-US" w:eastAsia="en-US"/>
        </w:rPr>
        <w:instrText>diphosphate</w:instrText>
      </w:r>
      <w:r w:rsidR="00824DA4" w:rsidRPr="00EE0E5D">
        <w:rPr>
          <w:lang w:val="en-US" w:eastAsia="en-US"/>
        </w:rPr>
        <w:instrText xml:space="preserve"> </w:instrText>
      </w:r>
      <w:r w:rsidR="00824DA4">
        <w:rPr>
          <w:lang w:val="en-US" w:eastAsia="en-US"/>
        </w:rPr>
        <w:instrText>glucuronosyltransferase</w:instrText>
      </w:r>
      <w:r w:rsidR="00824DA4" w:rsidRPr="00EE0E5D">
        <w:rPr>
          <w:lang w:val="en-US" w:eastAsia="en-US"/>
        </w:rPr>
        <w:instrText xml:space="preserve">. </w:instrText>
      </w:r>
      <w:r w:rsidR="00824DA4">
        <w:rPr>
          <w:lang w:val="en-US" w:eastAsia="en-US"/>
        </w:rPr>
        <w:instrText>Renal</w:instrText>
      </w:r>
      <w:r w:rsidR="00824DA4" w:rsidRPr="00EE0E5D">
        <w:rPr>
          <w:lang w:val="en-US" w:eastAsia="en-US"/>
        </w:rPr>
        <w:instrText xml:space="preserve"> </w:instrText>
      </w:r>
      <w:r w:rsidR="00824DA4">
        <w:rPr>
          <w:lang w:val="en-US" w:eastAsia="en-US"/>
        </w:rPr>
        <w:instrText>elimination</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is</w:instrText>
      </w:r>
      <w:r w:rsidR="00824DA4" w:rsidRPr="00EE0E5D">
        <w:rPr>
          <w:lang w:val="en-US" w:eastAsia="en-US"/>
        </w:rPr>
        <w:instrText xml:space="preserve"> </w:instrText>
      </w:r>
      <w:r w:rsidR="00824DA4">
        <w:rPr>
          <w:lang w:val="en-US" w:eastAsia="en-US"/>
        </w:rPr>
        <w:instrText>negligible</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has</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potential</w:instrText>
      </w:r>
      <w:r w:rsidR="00824DA4" w:rsidRPr="00EE0E5D">
        <w:rPr>
          <w:lang w:val="en-US" w:eastAsia="en-US"/>
        </w:rPr>
        <w:instrText xml:space="preserve"> </w:instrText>
      </w:r>
      <w:r w:rsidR="00824DA4">
        <w:rPr>
          <w:lang w:val="en-US" w:eastAsia="en-US"/>
        </w:rPr>
        <w:instrText>for</w:instrText>
      </w:r>
      <w:r w:rsidR="00824DA4" w:rsidRPr="00EE0E5D">
        <w:rPr>
          <w:lang w:val="en-US" w:eastAsia="en-US"/>
        </w:rPr>
        <w:instrText xml:space="preserve"> </w:instrText>
      </w:r>
      <w:r w:rsidR="00824DA4">
        <w:rPr>
          <w:lang w:val="en-US" w:eastAsia="en-US"/>
        </w:rPr>
        <w:instrText>interactions</w:instrText>
      </w:r>
      <w:r w:rsidR="00824DA4" w:rsidRPr="00EE0E5D">
        <w:rPr>
          <w:lang w:val="en-US" w:eastAsia="en-US"/>
        </w:rPr>
        <w:instrText xml:space="preserve"> </w:instrText>
      </w:r>
      <w:r w:rsidR="00824DA4">
        <w:rPr>
          <w:lang w:val="en-US" w:eastAsia="en-US"/>
        </w:rPr>
        <w:instrText>by</w:instrText>
      </w:r>
      <w:r w:rsidR="00824DA4" w:rsidRPr="00EE0E5D">
        <w:rPr>
          <w:lang w:val="en-US" w:eastAsia="en-US"/>
        </w:rPr>
        <w:instrText xml:space="preserve"> </w:instrText>
      </w:r>
      <w:r w:rsidR="00824DA4">
        <w:rPr>
          <w:lang w:val="en-US" w:eastAsia="en-US"/>
        </w:rPr>
        <w:instrText>inducing</w:instrText>
      </w:r>
      <w:r w:rsidR="00824DA4" w:rsidRPr="00EE0E5D">
        <w:rPr>
          <w:lang w:val="en-US" w:eastAsia="en-US"/>
        </w:rPr>
        <w:instrText xml:space="preserve"> </w:instrText>
      </w:r>
      <w:r w:rsidR="00824DA4">
        <w:rPr>
          <w:lang w:val="en-US" w:eastAsia="en-US"/>
        </w:rPr>
        <w:instrText>CYP</w:instrText>
      </w:r>
      <w:r w:rsidR="00824DA4" w:rsidRPr="00EE0E5D">
        <w:rPr>
          <w:lang w:val="en-US" w:eastAsia="en-US"/>
        </w:rPr>
        <w:instrText>3</w:instrText>
      </w:r>
      <w:r w:rsidR="00824DA4">
        <w:rPr>
          <w:lang w:val="en-US" w:eastAsia="en-US"/>
        </w:rPr>
        <w:instrText>A</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inhibiting</w:instrText>
      </w:r>
      <w:r w:rsidR="00824DA4" w:rsidRPr="00EE0E5D">
        <w:rPr>
          <w:lang w:val="en-US" w:eastAsia="en-US"/>
        </w:rPr>
        <w:instrText xml:space="preserve"> </w:instrText>
      </w:r>
      <w:r w:rsidR="00824DA4">
        <w:rPr>
          <w:lang w:val="en-US" w:eastAsia="en-US"/>
        </w:rPr>
        <w:instrText>CYP</w:instrText>
      </w:r>
      <w:r w:rsidR="00824DA4" w:rsidRPr="00EE0E5D">
        <w:rPr>
          <w:lang w:val="en-US" w:eastAsia="en-US"/>
        </w:rPr>
        <w:instrText>2</w:instrText>
      </w:r>
      <w:r w:rsidR="00824DA4">
        <w:rPr>
          <w:lang w:val="en-US" w:eastAsia="en-US"/>
        </w:rPr>
        <w:instrText>C</w:instrText>
      </w:r>
      <w:r w:rsidR="00824DA4" w:rsidRPr="00EE0E5D">
        <w:rPr>
          <w:lang w:val="en-US" w:eastAsia="en-US"/>
        </w:rPr>
        <w:instrText xml:space="preserve">9 </w:instrText>
      </w:r>
      <w:r w:rsidR="00824DA4">
        <w:rPr>
          <w:lang w:val="en-US" w:eastAsia="en-US"/>
        </w:rPr>
        <w:instrText>and</w:instrText>
      </w:r>
      <w:r w:rsidR="00824DA4" w:rsidRPr="00EE0E5D">
        <w:rPr>
          <w:lang w:val="en-US" w:eastAsia="en-US"/>
        </w:rPr>
        <w:instrText xml:space="preserve"> 2</w:instrText>
      </w:r>
      <w:r w:rsidR="00824DA4">
        <w:rPr>
          <w:lang w:val="en-US" w:eastAsia="en-US"/>
        </w:rPr>
        <w:instrText>C</w:instrText>
      </w:r>
      <w:r w:rsidR="00824DA4" w:rsidRPr="00EE0E5D">
        <w:rPr>
          <w:lang w:val="en-US" w:eastAsia="en-US"/>
        </w:rPr>
        <w:instrText xml:space="preserve">19; </w:instrText>
      </w:r>
      <w:r w:rsidR="00824DA4">
        <w:rPr>
          <w:lang w:val="en-US" w:eastAsia="en-US"/>
        </w:rPr>
        <w:instrText>it</w:instrText>
      </w:r>
      <w:r w:rsidR="00824DA4" w:rsidRPr="00EE0E5D">
        <w:rPr>
          <w:lang w:val="en-US" w:eastAsia="en-US"/>
        </w:rPr>
        <w:instrText xml:space="preserve"> </w:instrText>
      </w:r>
      <w:r w:rsidR="00824DA4">
        <w:rPr>
          <w:lang w:val="en-US" w:eastAsia="en-US"/>
        </w:rPr>
        <w:instrText>is</w:instrText>
      </w:r>
      <w:r w:rsidR="00824DA4" w:rsidRPr="00EE0E5D">
        <w:rPr>
          <w:lang w:val="en-US" w:eastAsia="en-US"/>
        </w:rPr>
        <w:instrText xml:space="preserve"> </w:instrText>
      </w:r>
      <w:r w:rsidR="00824DA4">
        <w:rPr>
          <w:lang w:val="en-US" w:eastAsia="en-US"/>
        </w:rPr>
        <w:instrText>a</w:instrText>
      </w:r>
      <w:r w:rsidR="00824DA4" w:rsidRPr="00EE0E5D">
        <w:rPr>
          <w:lang w:val="en-US" w:eastAsia="en-US"/>
        </w:rPr>
        <w:instrText xml:space="preserve"> </w:instrText>
      </w:r>
      <w:r w:rsidR="00824DA4">
        <w:rPr>
          <w:lang w:val="en-US" w:eastAsia="en-US"/>
        </w:rPr>
        <w:instrText>mild</w:instrText>
      </w:r>
      <w:r w:rsidR="00824DA4" w:rsidRPr="00EE0E5D">
        <w:rPr>
          <w:lang w:val="en-US" w:eastAsia="en-US"/>
        </w:rPr>
        <w:instrText xml:space="preserve"> </w:instrText>
      </w:r>
      <w:r w:rsidR="00824DA4">
        <w:rPr>
          <w:lang w:val="en-US" w:eastAsia="en-US"/>
        </w:rPr>
        <w:instrText>inhibitor</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P</w:instrText>
      </w:r>
      <w:r w:rsidR="00824DA4" w:rsidRPr="00EE0E5D">
        <w:rPr>
          <w:lang w:val="en-US" w:eastAsia="en-US"/>
        </w:rPr>
        <w:instrText>-</w:instrText>
      </w:r>
      <w:r w:rsidR="00824DA4">
        <w:rPr>
          <w:lang w:val="en-US" w:eastAsia="en-US"/>
        </w:rPr>
        <w:instrText>glycoprotein</w:instrText>
      </w:r>
      <w:r w:rsidR="00824DA4" w:rsidRPr="00EE0E5D">
        <w:rPr>
          <w:lang w:val="en-US" w:eastAsia="en-US"/>
        </w:rPr>
        <w:instrText xml:space="preserve"> </w:instrText>
      </w:r>
      <w:r w:rsidR="00824DA4">
        <w:rPr>
          <w:lang w:val="en-US" w:eastAsia="en-US"/>
        </w:rPr>
        <w:instrText>but</w:instrText>
      </w:r>
      <w:r w:rsidR="00824DA4" w:rsidRPr="00EE0E5D">
        <w:rPr>
          <w:lang w:val="en-US" w:eastAsia="en-US"/>
        </w:rPr>
        <w:instrText xml:space="preserve"> </w:instrText>
      </w:r>
      <w:r w:rsidR="00824DA4">
        <w:rPr>
          <w:lang w:val="en-US" w:eastAsia="en-US"/>
        </w:rPr>
        <w:instrText>not</w:instrText>
      </w:r>
      <w:r w:rsidR="00824DA4" w:rsidRPr="00EE0E5D">
        <w:rPr>
          <w:lang w:val="en-US" w:eastAsia="en-US"/>
        </w:rPr>
        <w:instrText xml:space="preserve"> </w:instrText>
      </w:r>
      <w:r w:rsidR="00824DA4">
        <w:rPr>
          <w:lang w:val="en-US" w:eastAsia="en-US"/>
        </w:rPr>
        <w:instrText>a</w:instrText>
      </w:r>
      <w:r w:rsidR="00824DA4" w:rsidRPr="00EE0E5D">
        <w:rPr>
          <w:lang w:val="en-US" w:eastAsia="en-US"/>
        </w:rPr>
        <w:instrText xml:space="preserve"> </w:instrText>
      </w:r>
      <w:r w:rsidR="00824DA4">
        <w:rPr>
          <w:lang w:val="en-US" w:eastAsia="en-US"/>
        </w:rPr>
        <w:instrText>substrate</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drug</w:instrText>
      </w:r>
      <w:r w:rsidR="00824DA4" w:rsidRPr="00EE0E5D">
        <w:rPr>
          <w:lang w:val="en-US" w:eastAsia="en-US"/>
        </w:rPr>
        <w:instrText xml:space="preserve"> </w:instrText>
      </w:r>
      <w:r w:rsidR="00824DA4">
        <w:rPr>
          <w:lang w:val="en-US" w:eastAsia="en-US"/>
        </w:rPr>
        <w:instrText>interaction</w:instrText>
      </w:r>
      <w:r w:rsidR="00824DA4" w:rsidRPr="00EE0E5D">
        <w:rPr>
          <w:lang w:val="en-US" w:eastAsia="en-US"/>
        </w:rPr>
        <w:instrText xml:space="preserve"> </w:instrText>
      </w:r>
      <w:r w:rsidR="00824DA4">
        <w:rPr>
          <w:lang w:val="en-US" w:eastAsia="en-US"/>
        </w:rPr>
        <w:instrText>profile</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has</w:instrText>
      </w:r>
      <w:r w:rsidR="00824DA4" w:rsidRPr="00EE0E5D">
        <w:rPr>
          <w:lang w:val="en-US" w:eastAsia="en-US"/>
        </w:rPr>
        <w:instrText xml:space="preserve"> </w:instrText>
      </w:r>
      <w:r w:rsidR="00824DA4">
        <w:rPr>
          <w:lang w:val="en-US" w:eastAsia="en-US"/>
        </w:rPr>
        <w:instrText>been</w:instrText>
      </w:r>
      <w:r w:rsidR="00824DA4" w:rsidRPr="00EE0E5D">
        <w:rPr>
          <w:lang w:val="en-US" w:eastAsia="en-US"/>
        </w:rPr>
        <w:instrText xml:space="preserve"> </w:instrText>
      </w:r>
      <w:r w:rsidR="00824DA4">
        <w:rPr>
          <w:lang w:val="en-US" w:eastAsia="en-US"/>
        </w:rPr>
        <w:instrText>well</w:instrText>
      </w:r>
      <w:r w:rsidR="00824DA4" w:rsidRPr="00EE0E5D">
        <w:rPr>
          <w:lang w:val="en-US" w:eastAsia="en-US"/>
        </w:rPr>
        <w:instrText xml:space="preserve"> </w:instrText>
      </w:r>
      <w:r w:rsidR="00824DA4">
        <w:rPr>
          <w:lang w:val="en-US" w:eastAsia="en-US"/>
        </w:rPr>
        <w:instrText>characterized</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is</w:instrText>
      </w:r>
      <w:r w:rsidR="00824DA4" w:rsidRPr="00EE0E5D">
        <w:rPr>
          <w:lang w:val="en-US" w:eastAsia="en-US"/>
        </w:rPr>
        <w:instrText xml:space="preserve"> </w:instrText>
      </w:r>
      <w:r w:rsidR="00824DA4">
        <w:rPr>
          <w:lang w:val="en-US" w:eastAsia="en-US"/>
        </w:rPr>
        <w:instrText>manageable</w:instrText>
      </w:r>
      <w:r w:rsidR="00824DA4" w:rsidRPr="00EE0E5D">
        <w:rPr>
          <w:lang w:val="en-US" w:eastAsia="en-US"/>
        </w:rPr>
        <w:instrText xml:space="preserve">. </w:instrText>
      </w:r>
      <w:r w:rsidR="00824DA4">
        <w:rPr>
          <w:lang w:val="en-US" w:eastAsia="en-US"/>
        </w:rPr>
        <w:instrText>No</w:instrText>
      </w:r>
      <w:r w:rsidR="00824DA4" w:rsidRPr="00EE0E5D">
        <w:rPr>
          <w:lang w:val="en-US" w:eastAsia="en-US"/>
        </w:rPr>
        <w:instrText xml:space="preserve"> </w:instrText>
      </w:r>
      <w:r w:rsidR="00824DA4">
        <w:rPr>
          <w:lang w:val="en-US" w:eastAsia="en-US"/>
        </w:rPr>
        <w:instrText>dosage</w:instrText>
      </w:r>
      <w:r w:rsidR="00824DA4" w:rsidRPr="00EE0E5D">
        <w:rPr>
          <w:lang w:val="en-US" w:eastAsia="en-US"/>
        </w:rPr>
        <w:instrText xml:space="preserve"> </w:instrText>
      </w:r>
      <w:r w:rsidR="00824DA4">
        <w:rPr>
          <w:lang w:val="en-US" w:eastAsia="en-US"/>
        </w:rPr>
        <w:instrText>adjustments</w:instrText>
      </w:r>
      <w:r w:rsidR="00824DA4" w:rsidRPr="00EE0E5D">
        <w:rPr>
          <w:lang w:val="en-US" w:eastAsia="en-US"/>
        </w:rPr>
        <w:instrText xml:space="preserve"> </w:instrText>
      </w:r>
      <w:r w:rsidR="00824DA4">
        <w:rPr>
          <w:lang w:val="en-US" w:eastAsia="en-US"/>
        </w:rPr>
        <w:instrText>are</w:instrText>
      </w:r>
      <w:r w:rsidR="00824DA4" w:rsidRPr="00EE0E5D">
        <w:rPr>
          <w:lang w:val="en-US" w:eastAsia="en-US"/>
        </w:rPr>
        <w:instrText xml:space="preserve"> </w:instrText>
      </w:r>
      <w:r w:rsidR="00824DA4">
        <w:rPr>
          <w:lang w:val="en-US" w:eastAsia="en-US"/>
        </w:rPr>
        <w:instrText>needed</w:instrText>
      </w:r>
      <w:r w:rsidR="00824DA4" w:rsidRPr="00EE0E5D">
        <w:rPr>
          <w:lang w:val="en-US" w:eastAsia="en-US"/>
        </w:rPr>
        <w:instrText xml:space="preserve"> </w:instrText>
      </w:r>
      <w:r w:rsidR="00824DA4">
        <w:rPr>
          <w:lang w:val="en-US" w:eastAsia="en-US"/>
        </w:rPr>
        <w:instrText>in</w:instrText>
      </w:r>
      <w:r w:rsidR="00824DA4" w:rsidRPr="00EE0E5D">
        <w:rPr>
          <w:lang w:val="en-US" w:eastAsia="en-US"/>
        </w:rPr>
        <w:instrText xml:space="preserve"> </w:instrText>
      </w:r>
      <w:r w:rsidR="00824DA4">
        <w:rPr>
          <w:lang w:val="en-US" w:eastAsia="en-US"/>
        </w:rPr>
        <w:instrText>patients</w:instrText>
      </w:r>
      <w:r w:rsidR="00824DA4" w:rsidRPr="00EE0E5D">
        <w:rPr>
          <w:lang w:val="en-US" w:eastAsia="en-US"/>
        </w:rPr>
        <w:instrText xml:space="preserve"> </w:instrText>
      </w:r>
      <w:r w:rsidR="00824DA4">
        <w:rPr>
          <w:lang w:val="en-US" w:eastAsia="en-US"/>
        </w:rPr>
        <w:instrText>with</w:instrText>
      </w:r>
      <w:r w:rsidR="00824DA4" w:rsidRPr="00EE0E5D">
        <w:rPr>
          <w:lang w:val="en-US" w:eastAsia="en-US"/>
        </w:rPr>
        <w:instrText xml:space="preserve"> </w:instrText>
      </w:r>
      <w:r w:rsidR="00824DA4">
        <w:rPr>
          <w:lang w:val="en-US" w:eastAsia="en-US"/>
        </w:rPr>
        <w:instrText>renal</w:instrText>
      </w:r>
      <w:r w:rsidR="00824DA4" w:rsidRPr="00EE0E5D">
        <w:rPr>
          <w:lang w:val="en-US" w:eastAsia="en-US"/>
        </w:rPr>
        <w:instrText xml:space="preserve"> </w:instrText>
      </w:r>
      <w:r w:rsidR="00824DA4">
        <w:rPr>
          <w:lang w:val="en-US" w:eastAsia="en-US"/>
        </w:rPr>
        <w:instrText>impairment</w:instrText>
      </w:r>
      <w:r w:rsidR="00824DA4" w:rsidRPr="00EE0E5D">
        <w:rPr>
          <w:lang w:val="en-US" w:eastAsia="en-US"/>
        </w:rPr>
        <w:instrText xml:space="preserve"> </w:instrText>
      </w:r>
      <w:r w:rsidR="00824DA4">
        <w:rPr>
          <w:lang w:val="en-US" w:eastAsia="en-US"/>
        </w:rPr>
        <w:instrText>or</w:instrText>
      </w:r>
      <w:r w:rsidR="00824DA4" w:rsidRPr="00EE0E5D">
        <w:rPr>
          <w:lang w:val="en-US" w:eastAsia="en-US"/>
        </w:rPr>
        <w:instrText xml:space="preserve"> </w:instrText>
      </w:r>
      <w:r w:rsidR="00824DA4">
        <w:rPr>
          <w:lang w:val="en-US" w:eastAsia="en-US"/>
        </w:rPr>
        <w:instrText>mild</w:instrText>
      </w:r>
      <w:r w:rsidR="00824DA4" w:rsidRPr="00EE0E5D">
        <w:rPr>
          <w:lang w:val="en-US" w:eastAsia="en-US"/>
        </w:rPr>
        <w:instrText xml:space="preserve"> </w:instrText>
      </w:r>
      <w:r w:rsidR="00824DA4">
        <w:rPr>
          <w:lang w:val="en-US" w:eastAsia="en-US"/>
        </w:rPr>
        <w:instrText>to</w:instrText>
      </w:r>
      <w:r w:rsidR="00824DA4" w:rsidRPr="00EE0E5D">
        <w:rPr>
          <w:lang w:val="en-US" w:eastAsia="en-US"/>
        </w:rPr>
        <w:instrText xml:space="preserve"> </w:instrText>
      </w:r>
      <w:r w:rsidR="00824DA4">
        <w:rPr>
          <w:lang w:val="en-US" w:eastAsia="en-US"/>
        </w:rPr>
        <w:instrText>moderate</w:instrText>
      </w:r>
      <w:r w:rsidR="00824DA4" w:rsidRPr="00EE0E5D">
        <w:rPr>
          <w:lang w:val="en-US" w:eastAsia="en-US"/>
        </w:rPr>
        <w:instrText xml:space="preserve"> </w:instrText>
      </w:r>
      <w:r w:rsidR="00824DA4">
        <w:rPr>
          <w:lang w:val="en-US" w:eastAsia="en-US"/>
        </w:rPr>
        <w:instrText>hepatic</w:instrText>
      </w:r>
      <w:r w:rsidR="00824DA4" w:rsidRPr="00EE0E5D">
        <w:rPr>
          <w:lang w:val="en-US" w:eastAsia="en-US"/>
        </w:rPr>
        <w:instrText xml:space="preserve"> </w:instrText>
      </w:r>
      <w:r w:rsidR="00824DA4">
        <w:rPr>
          <w:lang w:val="en-US" w:eastAsia="en-US"/>
        </w:rPr>
        <w:instrText>impairment</w:instrText>
      </w:r>
      <w:r w:rsidR="00824DA4" w:rsidRPr="00EE0E5D">
        <w:rPr>
          <w:lang w:val="en-US" w:eastAsia="en-US"/>
        </w:rPr>
        <w:instrText xml:space="preserve">. </w:instrText>
      </w:r>
      <w:r w:rsidR="00824DA4">
        <w:rPr>
          <w:lang w:val="en-US" w:eastAsia="en-US"/>
        </w:rPr>
        <w:instrText>Race</w:instrText>
      </w:r>
      <w:r w:rsidR="00824DA4" w:rsidRPr="00EE0E5D">
        <w:rPr>
          <w:lang w:val="en-US" w:eastAsia="en-US"/>
        </w:rPr>
        <w:instrText xml:space="preserve">, </w:instrText>
      </w:r>
      <w:r w:rsidR="00824DA4">
        <w:rPr>
          <w:lang w:val="en-US" w:eastAsia="en-US"/>
        </w:rPr>
        <w:instrText>sex</w:instrText>
      </w:r>
      <w:r w:rsidR="00824DA4" w:rsidRPr="00EE0E5D">
        <w:rPr>
          <w:lang w:val="en-US" w:eastAsia="en-US"/>
        </w:rPr>
        <w:instrText xml:space="preserve">, </w:instrText>
      </w:r>
      <w:r w:rsidR="00824DA4">
        <w:rPr>
          <w:lang w:val="en-US" w:eastAsia="en-US"/>
        </w:rPr>
        <w:instrText>bodyweight</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age</w:instrText>
      </w:r>
      <w:r w:rsidR="00824DA4" w:rsidRPr="00EE0E5D">
        <w:rPr>
          <w:lang w:val="en-US" w:eastAsia="en-US"/>
        </w:rPr>
        <w:instrText xml:space="preserve"> </w:instrText>
      </w:r>
      <w:r w:rsidR="00824DA4">
        <w:rPr>
          <w:lang w:val="en-US" w:eastAsia="en-US"/>
        </w:rPr>
        <w:instrText>do</w:instrText>
      </w:r>
      <w:r w:rsidR="00824DA4" w:rsidRPr="00EE0E5D">
        <w:rPr>
          <w:lang w:val="en-US" w:eastAsia="en-US"/>
        </w:rPr>
        <w:instrText xml:space="preserve"> </w:instrText>
      </w:r>
      <w:r w:rsidR="00824DA4">
        <w:rPr>
          <w:lang w:val="en-US" w:eastAsia="en-US"/>
        </w:rPr>
        <w:instrText>not</w:instrText>
      </w:r>
      <w:r w:rsidR="00824DA4" w:rsidRPr="00EE0E5D">
        <w:rPr>
          <w:lang w:val="en-US" w:eastAsia="en-US"/>
        </w:rPr>
        <w:instrText xml:space="preserve"> </w:instrText>
      </w:r>
      <w:r w:rsidR="00824DA4">
        <w:rPr>
          <w:lang w:val="en-US" w:eastAsia="en-US"/>
        </w:rPr>
        <w:instrText>affect</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pharmacokinetics</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In</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two</w:instrText>
      </w:r>
      <w:r w:rsidR="00824DA4" w:rsidRPr="00EE0E5D">
        <w:rPr>
          <w:lang w:val="en-US" w:eastAsia="en-US"/>
        </w:rPr>
        <w:instrText xml:space="preserve"> </w:instrText>
      </w:r>
      <w:r w:rsidR="00824DA4">
        <w:rPr>
          <w:lang w:val="en-US" w:eastAsia="en-US"/>
        </w:rPr>
        <w:instrText>phase</w:instrText>
      </w:r>
      <w:r w:rsidR="00824DA4" w:rsidRPr="00EE0E5D">
        <w:rPr>
          <w:lang w:val="en-US" w:eastAsia="en-US"/>
        </w:rPr>
        <w:instrText xml:space="preserve"> </w:instrText>
      </w:r>
      <w:r w:rsidR="00824DA4">
        <w:rPr>
          <w:lang w:val="en-US" w:eastAsia="en-US"/>
        </w:rPr>
        <w:instrText>III</w:instrText>
      </w:r>
      <w:r w:rsidR="00824DA4" w:rsidRPr="00EE0E5D">
        <w:rPr>
          <w:lang w:val="en-US" w:eastAsia="en-US"/>
        </w:rPr>
        <w:instrText xml:space="preserve"> </w:instrText>
      </w:r>
      <w:r w:rsidR="00824DA4">
        <w:rPr>
          <w:lang w:val="en-US" w:eastAsia="en-US"/>
        </w:rPr>
        <w:instrText>trials</w:instrText>
      </w:r>
      <w:r w:rsidR="00824DA4" w:rsidRPr="00EE0E5D">
        <w:rPr>
          <w:lang w:val="en-US" w:eastAsia="en-US"/>
        </w:rPr>
        <w:instrText xml:space="preserve"> </w:instrText>
      </w:r>
      <w:r w:rsidR="00824DA4">
        <w:rPr>
          <w:lang w:val="en-US" w:eastAsia="en-US"/>
        </w:rPr>
        <w:instrText>DUET</w:instrText>
      </w:r>
      <w:r w:rsidR="00824DA4" w:rsidRPr="00EE0E5D">
        <w:rPr>
          <w:lang w:val="en-US" w:eastAsia="en-US"/>
        </w:rPr>
        <w:instrText xml:space="preserve">-1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DUET</w:instrText>
      </w:r>
      <w:r w:rsidR="00824DA4" w:rsidRPr="00EE0E5D">
        <w:rPr>
          <w:lang w:val="en-US" w:eastAsia="en-US"/>
        </w:rPr>
        <w:instrText xml:space="preserve">-2, </w:instrText>
      </w:r>
      <w:r w:rsidR="00824DA4">
        <w:rPr>
          <w:lang w:val="en-US" w:eastAsia="en-US"/>
        </w:rPr>
        <w:instrText>no</w:instrText>
      </w:r>
      <w:r w:rsidR="00824DA4" w:rsidRPr="00EE0E5D">
        <w:rPr>
          <w:lang w:val="en-US" w:eastAsia="en-US"/>
        </w:rPr>
        <w:instrText xml:space="preserve"> </w:instrText>
      </w:r>
      <w:r w:rsidR="00824DA4">
        <w:rPr>
          <w:lang w:val="en-US" w:eastAsia="en-US"/>
        </w:rPr>
        <w:instrText>relationship</w:instrText>
      </w:r>
      <w:r w:rsidR="00824DA4" w:rsidRPr="00EE0E5D">
        <w:rPr>
          <w:lang w:val="en-US" w:eastAsia="en-US"/>
        </w:rPr>
        <w:instrText xml:space="preserve"> </w:instrText>
      </w:r>
      <w:r w:rsidR="00824DA4">
        <w:rPr>
          <w:lang w:val="en-US" w:eastAsia="en-US"/>
        </w:rPr>
        <w:instrText>was</w:instrText>
      </w:r>
      <w:r w:rsidR="00824DA4" w:rsidRPr="00EE0E5D">
        <w:rPr>
          <w:lang w:val="en-US" w:eastAsia="en-US"/>
        </w:rPr>
        <w:instrText xml:space="preserve"> </w:instrText>
      </w:r>
      <w:r w:rsidR="00824DA4">
        <w:rPr>
          <w:lang w:val="en-US" w:eastAsia="en-US"/>
        </w:rPr>
        <w:instrText>demonstrated</w:instrText>
      </w:r>
      <w:r w:rsidR="00824DA4" w:rsidRPr="00EE0E5D">
        <w:rPr>
          <w:lang w:val="en-US" w:eastAsia="en-US"/>
        </w:rPr>
        <w:instrText xml:space="preserve"> </w:instrText>
      </w:r>
      <w:r w:rsidR="00824DA4">
        <w:rPr>
          <w:lang w:val="en-US" w:eastAsia="en-US"/>
        </w:rPr>
        <w:instrText>between</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pharmacokinetics</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primary</w:instrText>
      </w:r>
      <w:r w:rsidR="00824DA4" w:rsidRPr="00EE0E5D">
        <w:rPr>
          <w:lang w:val="en-US" w:eastAsia="en-US"/>
        </w:rPr>
        <w:instrText xml:space="preserve"> </w:instrText>
      </w:r>
      <w:r w:rsidR="00824DA4">
        <w:rPr>
          <w:lang w:val="en-US" w:eastAsia="en-US"/>
        </w:rPr>
        <w:instrText>efficacy</w:instrText>
      </w:r>
      <w:r w:rsidR="00824DA4" w:rsidRPr="00EE0E5D">
        <w:rPr>
          <w:lang w:val="en-US" w:eastAsia="en-US"/>
        </w:rPr>
        <w:instrText xml:space="preserve"> </w:instrText>
      </w:r>
      <w:r w:rsidR="00824DA4">
        <w:rPr>
          <w:lang w:val="en-US" w:eastAsia="en-US"/>
        </w:rPr>
        <w:instrText>endpoint</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viral</w:instrText>
      </w:r>
      <w:r w:rsidR="00824DA4" w:rsidRPr="00EE0E5D">
        <w:rPr>
          <w:lang w:val="en-US" w:eastAsia="en-US"/>
        </w:rPr>
        <w:instrText xml:space="preserve"> </w:instrText>
      </w:r>
      <w:r w:rsidR="00824DA4">
        <w:rPr>
          <w:lang w:val="en-US" w:eastAsia="en-US"/>
        </w:rPr>
        <w:instrText>load</w:instrText>
      </w:r>
      <w:r w:rsidR="00824DA4" w:rsidRPr="00EE0E5D">
        <w:rPr>
          <w:lang w:val="en-US" w:eastAsia="en-US"/>
        </w:rPr>
        <w:instrText xml:space="preserve"> </w:instrText>
      </w:r>
      <w:r w:rsidR="00824DA4">
        <w:rPr>
          <w:lang w:val="en-US" w:eastAsia="en-US"/>
        </w:rPr>
        <w:instrText>below</w:instrText>
      </w:r>
      <w:r w:rsidR="00824DA4" w:rsidRPr="00EE0E5D">
        <w:rPr>
          <w:lang w:val="en-US" w:eastAsia="en-US"/>
        </w:rPr>
        <w:instrText xml:space="preserve"> 50 </w:instrText>
      </w:r>
      <w:r w:rsidR="00824DA4">
        <w:rPr>
          <w:lang w:val="en-US" w:eastAsia="en-US"/>
        </w:rPr>
        <w:instrText>copies</w:instrText>
      </w:r>
      <w:r w:rsidR="00824DA4" w:rsidRPr="00EE0E5D">
        <w:rPr>
          <w:lang w:val="en-US" w:eastAsia="en-US"/>
        </w:rPr>
        <w:instrText>/</w:instrText>
      </w:r>
      <w:r w:rsidR="00824DA4">
        <w:rPr>
          <w:lang w:val="en-US" w:eastAsia="en-US"/>
        </w:rPr>
        <w:instrText>mL</w:instrText>
      </w:r>
      <w:r w:rsidR="00824DA4" w:rsidRPr="00EE0E5D">
        <w:rPr>
          <w:lang w:val="en-US" w:eastAsia="en-US"/>
        </w:rPr>
        <w:instrText xml:space="preserve"> </w:instrText>
      </w:r>
      <w:r w:rsidR="00824DA4">
        <w:rPr>
          <w:lang w:val="en-US" w:eastAsia="en-US"/>
        </w:rPr>
        <w:instrText>or</w:instrText>
      </w:r>
      <w:r w:rsidR="00824DA4" w:rsidRPr="00EE0E5D">
        <w:rPr>
          <w:lang w:val="en-US" w:eastAsia="en-US"/>
        </w:rPr>
        <w:instrText xml:space="preserve"> </w:instrText>
      </w:r>
      <w:r w:rsidR="00824DA4">
        <w:rPr>
          <w:lang w:val="en-US" w:eastAsia="en-US"/>
        </w:rPr>
        <w:instrText>the</w:instrText>
      </w:r>
      <w:r w:rsidR="00824DA4" w:rsidRPr="00EE0E5D">
        <w:rPr>
          <w:lang w:val="en-US" w:eastAsia="en-US"/>
        </w:rPr>
        <w:instrText xml:space="preserve"> </w:instrText>
      </w:r>
      <w:r w:rsidR="00824DA4">
        <w:rPr>
          <w:lang w:val="en-US" w:eastAsia="en-US"/>
        </w:rPr>
        <w:instrText>safety</w:instrText>
      </w:r>
      <w:r w:rsidR="00824DA4" w:rsidRPr="00EE0E5D">
        <w:rPr>
          <w:lang w:val="en-US" w:eastAsia="en-US"/>
        </w:rPr>
        <w:instrText xml:space="preserve"> </w:instrText>
      </w:r>
      <w:r w:rsidR="00824DA4">
        <w:rPr>
          <w:lang w:val="en-US" w:eastAsia="en-US"/>
        </w:rPr>
        <w:instrText>profile</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w:instrText>
      </w:r>
      <w:r w:rsidR="00824DA4">
        <w:rPr>
          <w:lang w:val="en-US" w:eastAsia="en-US"/>
        </w:rPr>
        <w:instrText>container</w:instrText>
      </w:r>
      <w:r w:rsidR="00824DA4" w:rsidRPr="00EE0E5D">
        <w:rPr>
          <w:lang w:val="en-US" w:eastAsia="en-US"/>
        </w:rPr>
        <w:instrText>-</w:instrText>
      </w:r>
      <w:r w:rsidR="00824DA4">
        <w:rPr>
          <w:lang w:val="en-US" w:eastAsia="en-US"/>
        </w:rPr>
        <w:instrText>title</w:instrText>
      </w:r>
      <w:r w:rsidR="00824DA4" w:rsidRPr="00EE0E5D">
        <w:rPr>
          <w:lang w:val="en-US" w:eastAsia="en-US"/>
        </w:rPr>
        <w:instrText>":"</w:instrText>
      </w:r>
      <w:r w:rsidR="00824DA4">
        <w:rPr>
          <w:lang w:val="en-US" w:eastAsia="en-US"/>
        </w:rPr>
        <w:instrText>Clinical</w:instrText>
      </w:r>
      <w:r w:rsidR="00824DA4" w:rsidRPr="00EE0E5D">
        <w:rPr>
          <w:lang w:val="en-US" w:eastAsia="en-US"/>
        </w:rPr>
        <w:instrText xml:space="preserve"> </w:instrText>
      </w:r>
      <w:r w:rsidR="00824DA4">
        <w:rPr>
          <w:lang w:val="en-US" w:eastAsia="en-US"/>
        </w:rPr>
        <w:instrText>Pharmacokinetics</w:instrText>
      </w:r>
      <w:r w:rsidR="00824DA4" w:rsidRPr="00EE0E5D">
        <w:rPr>
          <w:lang w:val="en-US" w:eastAsia="en-US"/>
        </w:rPr>
        <w:instrText>","</w:instrText>
      </w:r>
      <w:r w:rsidR="00824DA4">
        <w:rPr>
          <w:lang w:val="en-US" w:eastAsia="en-US"/>
        </w:rPr>
        <w:instrText>DOI</w:instrText>
      </w:r>
      <w:r w:rsidR="00824DA4" w:rsidRPr="00EE0E5D">
        <w:rPr>
          <w:lang w:val="en-US" w:eastAsia="en-US"/>
        </w:rPr>
        <w:instrText>":"10.2165/10895940-000000000-00000","</w:instrText>
      </w:r>
      <w:r w:rsidR="00824DA4">
        <w:rPr>
          <w:lang w:val="en-US" w:eastAsia="en-US"/>
        </w:rPr>
        <w:instrText>ISSN</w:instrText>
      </w:r>
      <w:r w:rsidR="00824DA4" w:rsidRPr="00EE0E5D">
        <w:rPr>
          <w:lang w:val="en-US" w:eastAsia="en-US"/>
        </w:rPr>
        <w:instrText>":"1179-1926","</w:instrText>
      </w:r>
      <w:r w:rsidR="00824DA4">
        <w:rPr>
          <w:lang w:val="en-US" w:eastAsia="en-US"/>
        </w:rPr>
        <w:instrText>issue</w:instrText>
      </w:r>
      <w:r w:rsidR="00824DA4" w:rsidRPr="00EE0E5D">
        <w:rPr>
          <w:lang w:val="en-US" w:eastAsia="en-US"/>
        </w:rPr>
        <w:instrText>":"9","</w:instrText>
      </w:r>
      <w:r w:rsidR="00824DA4">
        <w:rPr>
          <w:lang w:val="en-US" w:eastAsia="en-US"/>
        </w:rPr>
        <w:instrText>journalAbbreviation</w:instrText>
      </w:r>
      <w:r w:rsidR="00824DA4" w:rsidRPr="00EE0E5D">
        <w:rPr>
          <w:lang w:val="en-US" w:eastAsia="en-US"/>
        </w:rPr>
        <w:instrText>":"</w:instrText>
      </w:r>
      <w:r w:rsidR="00824DA4">
        <w:rPr>
          <w:lang w:val="en-US" w:eastAsia="en-US"/>
        </w:rPr>
        <w:instrText>Clin</w:instrText>
      </w:r>
      <w:r w:rsidR="00824DA4" w:rsidRPr="00EE0E5D">
        <w:rPr>
          <w:lang w:val="en-US" w:eastAsia="en-US"/>
        </w:rPr>
        <w:instrText xml:space="preserve"> </w:instrText>
      </w:r>
      <w:r w:rsidR="00824DA4">
        <w:rPr>
          <w:lang w:val="en-US" w:eastAsia="en-US"/>
        </w:rPr>
        <w:instrText>Pharmacokinet</w:instrText>
      </w:r>
      <w:r w:rsidR="00824DA4" w:rsidRPr="00EE0E5D">
        <w:rPr>
          <w:lang w:val="en-US" w:eastAsia="en-US"/>
        </w:rPr>
        <w:instrText>","</w:instrText>
      </w:r>
      <w:r w:rsidR="00824DA4">
        <w:rPr>
          <w:lang w:val="en-US" w:eastAsia="en-US"/>
        </w:rPr>
        <w:instrText>language</w:instrText>
      </w:r>
      <w:r w:rsidR="00824DA4" w:rsidRPr="00EE0E5D">
        <w:rPr>
          <w:lang w:val="en-US" w:eastAsia="en-US"/>
        </w:rPr>
        <w:instrText>":"</w:instrText>
      </w:r>
      <w:r w:rsidR="00824DA4">
        <w:rPr>
          <w:lang w:val="en-US" w:eastAsia="en-US"/>
        </w:rPr>
        <w:instrText>eng</w:instrText>
      </w:r>
      <w:r w:rsidR="00824DA4" w:rsidRPr="00EE0E5D">
        <w:rPr>
          <w:lang w:val="en-US" w:eastAsia="en-US"/>
        </w:rPr>
        <w:instrText>","</w:instrText>
      </w:r>
      <w:r w:rsidR="00824DA4">
        <w:rPr>
          <w:lang w:val="en-US" w:eastAsia="en-US"/>
        </w:rPr>
        <w:instrText>note</w:instrText>
      </w:r>
      <w:r w:rsidR="00824DA4" w:rsidRPr="00EE0E5D">
        <w:rPr>
          <w:lang w:val="en-US" w:eastAsia="en-US"/>
        </w:rPr>
        <w:instrText>":"</w:instrText>
      </w:r>
      <w:r w:rsidR="00824DA4">
        <w:rPr>
          <w:lang w:val="en-US" w:eastAsia="en-US"/>
        </w:rPr>
        <w:instrText>PMID</w:instrText>
      </w:r>
      <w:r w:rsidR="00824DA4" w:rsidRPr="00EE0E5D">
        <w:rPr>
          <w:lang w:val="en-US" w:eastAsia="en-US"/>
        </w:rPr>
        <w:instrText>: 19725591","</w:instrText>
      </w:r>
      <w:r w:rsidR="00824DA4">
        <w:rPr>
          <w:lang w:val="en-US" w:eastAsia="en-US"/>
        </w:rPr>
        <w:instrText>page</w:instrText>
      </w:r>
      <w:r w:rsidR="00824DA4" w:rsidRPr="00EE0E5D">
        <w:rPr>
          <w:lang w:val="en-US" w:eastAsia="en-US"/>
        </w:rPr>
        <w:instrText>":"561-574","</w:instrText>
      </w:r>
      <w:r w:rsidR="00824DA4">
        <w:rPr>
          <w:lang w:val="en-US" w:eastAsia="en-US"/>
        </w:rPr>
        <w:instrText>source</w:instrText>
      </w:r>
      <w:r w:rsidR="00824DA4" w:rsidRPr="00EE0E5D">
        <w:rPr>
          <w:lang w:val="en-US" w:eastAsia="en-US"/>
        </w:rPr>
        <w:instrText>":"</w:instrText>
      </w:r>
      <w:r w:rsidR="00824DA4">
        <w:rPr>
          <w:lang w:val="en-US" w:eastAsia="en-US"/>
        </w:rPr>
        <w:instrText>PubMed</w:instrText>
      </w:r>
      <w:r w:rsidR="00824DA4" w:rsidRPr="00EE0E5D">
        <w:rPr>
          <w:lang w:val="en-US" w:eastAsia="en-US"/>
        </w:rPr>
        <w:instrText>","</w:instrText>
      </w:r>
      <w:r w:rsidR="00824DA4">
        <w:rPr>
          <w:lang w:val="en-US" w:eastAsia="en-US"/>
        </w:rPr>
        <w:instrText>title</w:instrText>
      </w:r>
      <w:r w:rsidR="00824DA4" w:rsidRPr="00EE0E5D">
        <w:rPr>
          <w:lang w:val="en-US" w:eastAsia="en-US"/>
        </w:rPr>
        <w:instrText>":"</w:instrText>
      </w:r>
      <w:r w:rsidR="00824DA4">
        <w:rPr>
          <w:lang w:val="en-US" w:eastAsia="en-US"/>
        </w:rPr>
        <w:instrText>Clinical</w:instrText>
      </w:r>
      <w:r w:rsidR="00824DA4" w:rsidRPr="00EE0E5D">
        <w:rPr>
          <w:lang w:val="en-US" w:eastAsia="en-US"/>
        </w:rPr>
        <w:instrText xml:space="preserve"> </w:instrText>
      </w:r>
      <w:r w:rsidR="00824DA4">
        <w:rPr>
          <w:lang w:val="en-US" w:eastAsia="en-US"/>
        </w:rPr>
        <w:instrText>pharmacokinetics</w:instrText>
      </w:r>
      <w:r w:rsidR="00824DA4" w:rsidRPr="00EE0E5D">
        <w:rPr>
          <w:lang w:val="en-US" w:eastAsia="en-US"/>
        </w:rPr>
        <w:instrText xml:space="preserve"> </w:instrText>
      </w:r>
      <w:r w:rsidR="00824DA4">
        <w:rPr>
          <w:lang w:val="en-US" w:eastAsia="en-US"/>
        </w:rPr>
        <w:instrText>and</w:instrText>
      </w:r>
      <w:r w:rsidR="00824DA4" w:rsidRPr="00EE0E5D">
        <w:rPr>
          <w:lang w:val="en-US" w:eastAsia="en-US"/>
        </w:rPr>
        <w:instrText xml:space="preserve"> </w:instrText>
      </w:r>
      <w:r w:rsidR="00824DA4">
        <w:rPr>
          <w:lang w:val="en-US" w:eastAsia="en-US"/>
        </w:rPr>
        <w:instrText>pharmacodynamics</w:instrText>
      </w:r>
      <w:r w:rsidR="00824DA4" w:rsidRPr="00EE0E5D">
        <w:rPr>
          <w:lang w:val="en-US" w:eastAsia="en-US"/>
        </w:rPr>
        <w:instrText xml:space="preserve"> </w:instrText>
      </w:r>
      <w:r w:rsidR="00824DA4">
        <w:rPr>
          <w:lang w:val="en-US" w:eastAsia="en-US"/>
        </w:rPr>
        <w:instrText>of</w:instrText>
      </w:r>
      <w:r w:rsidR="00824DA4" w:rsidRPr="00EE0E5D">
        <w:rPr>
          <w:lang w:val="en-US" w:eastAsia="en-US"/>
        </w:rPr>
        <w:instrText xml:space="preserve"> </w:instrText>
      </w:r>
      <w:r w:rsidR="00824DA4">
        <w:rPr>
          <w:lang w:val="en-US" w:eastAsia="en-US"/>
        </w:rPr>
        <w:instrText>etravirine</w:instrText>
      </w:r>
      <w:r w:rsidR="00824DA4" w:rsidRPr="00EE0E5D">
        <w:rPr>
          <w:lang w:val="en-US" w:eastAsia="en-US"/>
        </w:rPr>
        <w:instrText>","</w:instrText>
      </w:r>
      <w:r w:rsidR="00824DA4">
        <w:rPr>
          <w:lang w:val="en-US" w:eastAsia="en-US"/>
        </w:rPr>
        <w:instrText>volume</w:instrText>
      </w:r>
      <w:r w:rsidR="00824DA4" w:rsidRPr="00EE0E5D">
        <w:rPr>
          <w:lang w:val="en-US" w:eastAsia="en-US"/>
        </w:rPr>
        <w:instrText>":"48","</w:instrText>
      </w:r>
      <w:r w:rsidR="00824DA4">
        <w:rPr>
          <w:lang w:val="en-US" w:eastAsia="en-US"/>
        </w:rPr>
        <w:instrText>author</w:instrText>
      </w:r>
      <w:r w:rsidR="00824DA4" w:rsidRPr="00EE0E5D">
        <w:rPr>
          <w:lang w:val="en-US" w:eastAsia="en-US"/>
        </w:rPr>
        <w:instrText>":[{"</w:instrText>
      </w:r>
      <w:r w:rsidR="00824DA4">
        <w:rPr>
          <w:lang w:val="en-US" w:eastAsia="en-US"/>
        </w:rPr>
        <w:instrText>family</w:instrText>
      </w:r>
      <w:r w:rsidR="00824DA4" w:rsidRPr="00EE0E5D">
        <w:rPr>
          <w:lang w:val="en-US" w:eastAsia="en-US"/>
        </w:rPr>
        <w:instrText>":"</w:instrText>
      </w:r>
      <w:r w:rsidR="00824DA4">
        <w:rPr>
          <w:lang w:val="en-US" w:eastAsia="en-US"/>
        </w:rPr>
        <w:instrText>Sch</w:instrText>
      </w:r>
      <w:r w:rsidR="00824DA4" w:rsidRPr="00EE0E5D">
        <w:rPr>
          <w:lang w:val="en-US" w:eastAsia="en-US"/>
        </w:rPr>
        <w:instrText>ö</w:instrText>
      </w:r>
      <w:r w:rsidR="00824DA4">
        <w:rPr>
          <w:lang w:val="en-US" w:eastAsia="en-US"/>
        </w:rPr>
        <w:instrText>ller</w:instrText>
      </w:r>
      <w:r w:rsidR="00824DA4" w:rsidRPr="00EE0E5D">
        <w:rPr>
          <w:lang w:val="en-US" w:eastAsia="en-US"/>
        </w:rPr>
        <w:instrText>-</w:instrText>
      </w:r>
      <w:r w:rsidR="00824DA4">
        <w:rPr>
          <w:lang w:val="en-US" w:eastAsia="en-US"/>
        </w:rPr>
        <w:instrText>Gy</w:instrText>
      </w:r>
      <w:r w:rsidR="00824DA4" w:rsidRPr="00EE0E5D">
        <w:rPr>
          <w:lang w:val="en-US" w:eastAsia="en-US"/>
        </w:rPr>
        <w:instrText>ü</w:instrText>
      </w:r>
      <w:r w:rsidR="00824DA4">
        <w:rPr>
          <w:lang w:val="en-US" w:eastAsia="en-US"/>
        </w:rPr>
        <w:instrText>re</w:instrText>
      </w:r>
      <w:r w:rsidR="00824DA4" w:rsidRPr="00EE0E5D">
        <w:rPr>
          <w:lang w:val="en-US" w:eastAsia="en-US"/>
        </w:rPr>
        <w:instrText>","</w:instrText>
      </w:r>
      <w:r w:rsidR="00824DA4">
        <w:rPr>
          <w:lang w:val="en-US" w:eastAsia="en-US"/>
        </w:rPr>
        <w:instrText>given</w:instrText>
      </w:r>
      <w:r w:rsidR="00824DA4" w:rsidRPr="00EE0E5D">
        <w:rPr>
          <w:lang w:val="en-US" w:eastAsia="en-US"/>
        </w:rPr>
        <w:instrText>":"</w:instrText>
      </w:r>
      <w:r w:rsidR="00824DA4">
        <w:rPr>
          <w:lang w:val="en-US" w:eastAsia="en-US"/>
        </w:rPr>
        <w:instrText>Monika</w:instrText>
      </w:r>
      <w:r w:rsidR="00824DA4" w:rsidRPr="00EE0E5D">
        <w:rPr>
          <w:lang w:val="en-US" w:eastAsia="en-US"/>
        </w:rPr>
        <w:instrText>"},{"</w:instrText>
      </w:r>
      <w:r w:rsidR="00824DA4">
        <w:rPr>
          <w:lang w:val="en-US" w:eastAsia="en-US"/>
        </w:rPr>
        <w:instrText>family</w:instrText>
      </w:r>
      <w:r w:rsidR="00824DA4" w:rsidRPr="00EE0E5D">
        <w:rPr>
          <w:lang w:val="en-US" w:eastAsia="en-US"/>
        </w:rPr>
        <w:instrText>":"</w:instrText>
      </w:r>
      <w:r w:rsidR="00824DA4">
        <w:rPr>
          <w:lang w:val="en-US" w:eastAsia="en-US"/>
        </w:rPr>
        <w:instrText>Kakuda</w:instrText>
      </w:r>
      <w:r w:rsidR="00824DA4" w:rsidRPr="00EE0E5D">
        <w:rPr>
          <w:lang w:val="en-US" w:eastAsia="en-US"/>
        </w:rPr>
        <w:instrText>","</w:instrText>
      </w:r>
      <w:r w:rsidR="00824DA4">
        <w:rPr>
          <w:lang w:val="en-US" w:eastAsia="en-US"/>
        </w:rPr>
        <w:instrText>given</w:instrText>
      </w:r>
      <w:r w:rsidR="00824DA4" w:rsidRPr="00EE0E5D">
        <w:rPr>
          <w:lang w:val="en-US" w:eastAsia="en-US"/>
        </w:rPr>
        <w:instrText>":"</w:instrText>
      </w:r>
      <w:r w:rsidR="00824DA4">
        <w:rPr>
          <w:lang w:val="en-US" w:eastAsia="en-US"/>
        </w:rPr>
        <w:instrText>Thomas</w:instrText>
      </w:r>
      <w:r w:rsidR="00824DA4" w:rsidRPr="00EE0E5D">
        <w:rPr>
          <w:lang w:val="en-US" w:eastAsia="en-US"/>
        </w:rPr>
        <w:instrText xml:space="preserve"> </w:instrText>
      </w:r>
      <w:r w:rsidR="00824DA4">
        <w:rPr>
          <w:lang w:val="en-US" w:eastAsia="en-US"/>
        </w:rPr>
        <w:instrText>N</w:instrText>
      </w:r>
      <w:r w:rsidR="00824DA4" w:rsidRPr="00EE0E5D">
        <w:rPr>
          <w:lang w:val="en-US" w:eastAsia="en-US"/>
        </w:rPr>
        <w:instrText>."},{"</w:instrText>
      </w:r>
      <w:r w:rsidR="00824DA4">
        <w:rPr>
          <w:lang w:val="en-US" w:eastAsia="en-US"/>
        </w:rPr>
        <w:instrText>family</w:instrText>
      </w:r>
      <w:r w:rsidR="00824DA4" w:rsidRPr="00EE0E5D">
        <w:rPr>
          <w:lang w:val="en-US" w:eastAsia="en-US"/>
        </w:rPr>
        <w:instrText>":"</w:instrText>
      </w:r>
      <w:r w:rsidR="00824DA4">
        <w:rPr>
          <w:lang w:val="en-US" w:eastAsia="en-US"/>
        </w:rPr>
        <w:instrText>Raoof</w:instrText>
      </w:r>
      <w:r w:rsidR="00824DA4" w:rsidRPr="00EE0E5D">
        <w:rPr>
          <w:lang w:val="en-US" w:eastAsia="en-US"/>
        </w:rPr>
        <w:instrText>","</w:instrText>
      </w:r>
      <w:r w:rsidR="00824DA4">
        <w:rPr>
          <w:lang w:val="en-US" w:eastAsia="en-US"/>
        </w:rPr>
        <w:instrText>given</w:instrText>
      </w:r>
      <w:r w:rsidR="00824DA4" w:rsidRPr="00EE0E5D">
        <w:rPr>
          <w:lang w:val="en-US" w:eastAsia="en-US"/>
        </w:rPr>
        <w:instrText>":"</w:instrText>
      </w:r>
      <w:r w:rsidR="00824DA4">
        <w:rPr>
          <w:lang w:val="en-US" w:eastAsia="en-US"/>
        </w:rPr>
        <w:instrText>Araz</w:instrText>
      </w:r>
      <w:r w:rsidR="00824DA4" w:rsidRPr="00EE0E5D">
        <w:rPr>
          <w:lang w:val="en-US" w:eastAsia="en-US"/>
        </w:rPr>
        <w:instrText>"},{"</w:instrText>
      </w:r>
      <w:r w:rsidR="00824DA4">
        <w:rPr>
          <w:lang w:val="en-US" w:eastAsia="en-US"/>
        </w:rPr>
        <w:instrText>family</w:instrText>
      </w:r>
      <w:r w:rsidR="00824DA4" w:rsidRPr="00EE0E5D">
        <w:rPr>
          <w:lang w:val="en-US" w:eastAsia="en-US"/>
        </w:rPr>
        <w:instrText>":"</w:instrText>
      </w:r>
      <w:r w:rsidR="00824DA4">
        <w:rPr>
          <w:lang w:val="en-US" w:eastAsia="en-US"/>
        </w:rPr>
        <w:instrText>De</w:instrText>
      </w:r>
      <w:r w:rsidR="00824DA4" w:rsidRPr="00EE0E5D">
        <w:rPr>
          <w:lang w:val="en-US" w:eastAsia="en-US"/>
        </w:rPr>
        <w:instrText xml:space="preserve"> </w:instrText>
      </w:r>
      <w:r w:rsidR="00824DA4">
        <w:rPr>
          <w:lang w:val="en-US" w:eastAsia="en-US"/>
        </w:rPr>
        <w:instrText>Smedt</w:instrText>
      </w:r>
      <w:r w:rsidR="00824DA4" w:rsidRPr="00EE0E5D">
        <w:rPr>
          <w:lang w:val="en-US" w:eastAsia="en-US"/>
        </w:rPr>
        <w:instrText>","</w:instrText>
      </w:r>
      <w:r w:rsidR="00824DA4">
        <w:rPr>
          <w:lang w:val="en-US" w:eastAsia="en-US"/>
        </w:rPr>
        <w:instrText>given</w:instrText>
      </w:r>
      <w:r w:rsidR="00824DA4" w:rsidRPr="00EE0E5D">
        <w:rPr>
          <w:lang w:val="en-US" w:eastAsia="en-US"/>
        </w:rPr>
        <w:instrText>":"</w:instrText>
      </w:r>
      <w:r w:rsidR="00824DA4">
        <w:rPr>
          <w:lang w:val="en-US" w:eastAsia="en-US"/>
        </w:rPr>
        <w:instrText>Goedele</w:instrText>
      </w:r>
      <w:r w:rsidR="00824DA4" w:rsidRPr="00EE0E5D">
        <w:rPr>
          <w:lang w:val="en-US" w:eastAsia="en-US"/>
        </w:rPr>
        <w:instrText>"},{"</w:instrText>
      </w:r>
      <w:r w:rsidR="00824DA4">
        <w:rPr>
          <w:lang w:val="en-US" w:eastAsia="en-US"/>
        </w:rPr>
        <w:instrText>family</w:instrText>
      </w:r>
      <w:r w:rsidR="00824DA4" w:rsidRPr="00EE0E5D">
        <w:rPr>
          <w:lang w:val="en-US" w:eastAsia="en-US"/>
        </w:rPr>
        <w:instrText>":"</w:instrText>
      </w:r>
      <w:r w:rsidR="00824DA4">
        <w:rPr>
          <w:lang w:val="en-US" w:eastAsia="en-US"/>
        </w:rPr>
        <w:instrText>Hoetelmans</w:instrText>
      </w:r>
      <w:r w:rsidR="00824DA4" w:rsidRPr="00EE0E5D">
        <w:rPr>
          <w:lang w:val="en-US" w:eastAsia="en-US"/>
        </w:rPr>
        <w:instrText>","</w:instrText>
      </w:r>
      <w:r w:rsidR="00824DA4">
        <w:rPr>
          <w:lang w:val="en-US" w:eastAsia="en-US"/>
        </w:rPr>
        <w:instrText>given</w:instrText>
      </w:r>
      <w:r w:rsidR="00824DA4" w:rsidRPr="00EE0E5D">
        <w:rPr>
          <w:lang w:val="en-US" w:eastAsia="en-US"/>
        </w:rPr>
        <w:instrText>":"</w:instrText>
      </w:r>
      <w:r w:rsidR="00824DA4">
        <w:rPr>
          <w:lang w:val="en-US" w:eastAsia="en-US"/>
        </w:rPr>
        <w:instrText>Richard</w:instrText>
      </w:r>
      <w:r w:rsidR="00824DA4" w:rsidRPr="00EE0E5D">
        <w:rPr>
          <w:lang w:val="en-US" w:eastAsia="en-US"/>
        </w:rPr>
        <w:instrText xml:space="preserve"> </w:instrText>
      </w:r>
      <w:r w:rsidR="00824DA4">
        <w:rPr>
          <w:lang w:val="en-US" w:eastAsia="en-US"/>
        </w:rPr>
        <w:instrText>M</w:instrText>
      </w:r>
      <w:r w:rsidR="00824DA4" w:rsidRPr="00EE0E5D">
        <w:rPr>
          <w:lang w:val="en-US" w:eastAsia="en-US"/>
        </w:rPr>
        <w:instrText xml:space="preserve">. </w:instrText>
      </w:r>
      <w:r w:rsidR="00824DA4">
        <w:rPr>
          <w:lang w:val="en-US" w:eastAsia="en-US"/>
        </w:rPr>
        <w:instrText>W</w:instrText>
      </w:r>
      <w:r w:rsidR="00824DA4" w:rsidRPr="00EE0E5D">
        <w:rPr>
          <w:lang w:val="en-US" w:eastAsia="en-US"/>
        </w:rPr>
        <w:instrText>."}],"</w:instrText>
      </w:r>
      <w:r w:rsidR="00824DA4">
        <w:rPr>
          <w:lang w:val="en-US" w:eastAsia="en-US"/>
        </w:rPr>
        <w:instrText>issued</w:instrText>
      </w:r>
      <w:r w:rsidR="00824DA4" w:rsidRPr="00EE0E5D">
        <w:rPr>
          <w:lang w:val="en-US" w:eastAsia="en-US"/>
        </w:rPr>
        <w:instrText>":{"</w:instrText>
      </w:r>
      <w:r w:rsidR="00824DA4">
        <w:rPr>
          <w:lang w:val="en-US" w:eastAsia="en-US"/>
        </w:rPr>
        <w:instrText>date</w:instrText>
      </w:r>
      <w:r w:rsidR="00824DA4" w:rsidRPr="00EE0E5D">
        <w:rPr>
          <w:lang w:val="en-US" w:eastAsia="en-US"/>
        </w:rPr>
        <w:instrText>-</w:instrText>
      </w:r>
      <w:r w:rsidR="00824DA4">
        <w:rPr>
          <w:lang w:val="en-US" w:eastAsia="en-US"/>
        </w:rPr>
        <w:instrText>parts</w:instrText>
      </w:r>
      <w:r w:rsidR="00824DA4" w:rsidRPr="00EE0E5D">
        <w:rPr>
          <w:lang w:val="en-US" w:eastAsia="en-US"/>
        </w:rPr>
        <w:instrText>":[["2009"]]}}}],"</w:instrText>
      </w:r>
      <w:r w:rsidR="00824DA4">
        <w:rPr>
          <w:lang w:val="en-US" w:eastAsia="en-US"/>
        </w:rPr>
        <w:instrText>schema</w:instrText>
      </w:r>
      <w:r w:rsidR="00824DA4" w:rsidRPr="00EE0E5D">
        <w:rPr>
          <w:lang w:val="en-US" w:eastAsia="en-US"/>
        </w:rPr>
        <w:instrText>":"</w:instrText>
      </w:r>
      <w:r w:rsidR="00824DA4">
        <w:rPr>
          <w:lang w:val="en-US" w:eastAsia="en-US"/>
        </w:rPr>
        <w:instrText>https</w:instrText>
      </w:r>
      <w:r w:rsidR="00824DA4" w:rsidRPr="00EE0E5D">
        <w:rPr>
          <w:lang w:val="en-US" w:eastAsia="en-US"/>
        </w:rPr>
        <w:instrText>://</w:instrText>
      </w:r>
      <w:r w:rsidR="00824DA4">
        <w:rPr>
          <w:lang w:val="en-US" w:eastAsia="en-US"/>
        </w:rPr>
        <w:instrText>github</w:instrText>
      </w:r>
      <w:r w:rsidR="00824DA4" w:rsidRPr="00EE0E5D">
        <w:rPr>
          <w:lang w:val="en-US" w:eastAsia="en-US"/>
        </w:rPr>
        <w:instrText>.</w:instrText>
      </w:r>
      <w:r w:rsidR="00824DA4">
        <w:rPr>
          <w:lang w:val="en-US" w:eastAsia="en-US"/>
        </w:rPr>
        <w:instrText>com</w:instrText>
      </w:r>
      <w:r w:rsidR="00824DA4" w:rsidRPr="00EE0E5D">
        <w:rPr>
          <w:lang w:val="en-US" w:eastAsia="en-US"/>
        </w:rPr>
        <w:instrText>/</w:instrText>
      </w:r>
      <w:r w:rsidR="00824DA4">
        <w:rPr>
          <w:lang w:val="en-US" w:eastAsia="en-US"/>
        </w:rPr>
        <w:instrText>citation</w:instrText>
      </w:r>
      <w:r w:rsidR="00824DA4" w:rsidRPr="00EE0E5D">
        <w:rPr>
          <w:lang w:val="en-US" w:eastAsia="en-US"/>
        </w:rPr>
        <w:instrText>-</w:instrText>
      </w:r>
      <w:r w:rsidR="00824DA4">
        <w:rPr>
          <w:lang w:val="en-US" w:eastAsia="en-US"/>
        </w:rPr>
        <w:instrText>style</w:instrText>
      </w:r>
      <w:r w:rsidR="00824DA4" w:rsidRPr="00EE0E5D">
        <w:rPr>
          <w:lang w:val="en-US" w:eastAsia="en-US"/>
        </w:rPr>
        <w:instrText>-</w:instrText>
      </w:r>
      <w:r w:rsidR="00824DA4">
        <w:rPr>
          <w:lang w:val="en-US" w:eastAsia="en-US"/>
        </w:rPr>
        <w:instrText>language</w:instrText>
      </w:r>
      <w:r w:rsidR="00824DA4" w:rsidRPr="00EE0E5D">
        <w:rPr>
          <w:lang w:val="en-US" w:eastAsia="en-US"/>
        </w:rPr>
        <w:instrText>/</w:instrText>
      </w:r>
      <w:r w:rsidR="00824DA4">
        <w:rPr>
          <w:lang w:val="en-US" w:eastAsia="en-US"/>
        </w:rPr>
        <w:instrText>schema</w:instrText>
      </w:r>
      <w:r w:rsidR="00824DA4" w:rsidRPr="00EE0E5D">
        <w:rPr>
          <w:lang w:val="en-US" w:eastAsia="en-US"/>
        </w:rPr>
        <w:instrText>/</w:instrText>
      </w:r>
      <w:r w:rsidR="00824DA4">
        <w:rPr>
          <w:lang w:val="en-US" w:eastAsia="en-US"/>
        </w:rPr>
        <w:instrText>raw</w:instrText>
      </w:r>
      <w:r w:rsidR="00824DA4" w:rsidRPr="00EE0E5D">
        <w:rPr>
          <w:lang w:val="en-US" w:eastAsia="en-US"/>
        </w:rPr>
        <w:instrText>/</w:instrText>
      </w:r>
      <w:r w:rsidR="00824DA4">
        <w:rPr>
          <w:lang w:val="en-US" w:eastAsia="en-US"/>
        </w:rPr>
        <w:instrText>master</w:instrText>
      </w:r>
      <w:r w:rsidR="00824DA4" w:rsidRPr="00EE0E5D">
        <w:rPr>
          <w:lang w:val="en-US" w:eastAsia="en-US"/>
        </w:rPr>
        <w:instrText>/</w:instrText>
      </w:r>
      <w:r w:rsidR="00824DA4">
        <w:rPr>
          <w:lang w:val="en-US" w:eastAsia="en-US"/>
        </w:rPr>
        <w:instrText>csl</w:instrText>
      </w:r>
      <w:r w:rsidR="00824DA4" w:rsidRPr="00EE0E5D">
        <w:rPr>
          <w:lang w:val="en-US" w:eastAsia="en-US"/>
        </w:rPr>
        <w:instrText>-</w:instrText>
      </w:r>
      <w:r w:rsidR="00824DA4">
        <w:rPr>
          <w:lang w:val="en-US" w:eastAsia="en-US"/>
        </w:rPr>
        <w:instrText>citation</w:instrText>
      </w:r>
      <w:r w:rsidR="00824DA4" w:rsidRPr="00EE0E5D">
        <w:rPr>
          <w:lang w:val="en-US" w:eastAsia="en-US"/>
        </w:rPr>
        <w:instrText>.</w:instrText>
      </w:r>
      <w:r w:rsidR="00824DA4">
        <w:rPr>
          <w:lang w:val="en-US" w:eastAsia="en-US"/>
        </w:rPr>
        <w:instrText>json</w:instrText>
      </w:r>
      <w:r w:rsidR="00824DA4" w:rsidRPr="00EE0E5D">
        <w:rPr>
          <w:lang w:val="en-US" w:eastAsia="en-US"/>
        </w:rPr>
        <w:instrText xml:space="preserve">"} </w:instrText>
      </w:r>
      <w:r>
        <w:rPr>
          <w:lang w:eastAsia="en-US"/>
        </w:rPr>
        <w:fldChar w:fldCharType="separate"/>
      </w:r>
      <w:r w:rsidR="005E2B83" w:rsidRPr="00EE0E5D">
        <w:rPr>
          <w:lang w:val="en-US"/>
        </w:rPr>
        <w:t>[</w:t>
      </w:r>
      <w:r w:rsidR="0065629B" w:rsidRPr="00EE0E5D">
        <w:rPr>
          <w:lang w:val="en-US"/>
        </w:rPr>
        <w:t>44</w:t>
      </w:r>
      <w:r w:rsidR="005E2B83" w:rsidRPr="00EE0E5D">
        <w:rPr>
          <w:lang w:val="en-US"/>
        </w:rPr>
        <w:t>]</w:t>
      </w:r>
      <w:r>
        <w:rPr>
          <w:lang w:eastAsia="en-US"/>
        </w:rPr>
        <w:fldChar w:fldCharType="end"/>
      </w:r>
      <w:r w:rsidRPr="00EE0E5D">
        <w:rPr>
          <w:lang w:val="en-US" w:eastAsia="en-US"/>
        </w:rPr>
        <w:t xml:space="preserve"> </w:t>
      </w:r>
      <w:r>
        <w:rPr>
          <w:lang w:eastAsia="en-US"/>
        </w:rPr>
        <w:t>в</w:t>
      </w:r>
      <w:r w:rsidRPr="00EE0E5D">
        <w:rPr>
          <w:lang w:val="en-US" w:eastAsia="en-US"/>
        </w:rPr>
        <w:t xml:space="preserve"> </w:t>
      </w:r>
      <w:r>
        <w:rPr>
          <w:lang w:eastAsia="en-US"/>
        </w:rPr>
        <w:t>обзоре</w:t>
      </w:r>
      <w:r w:rsidRPr="00EE0E5D">
        <w:rPr>
          <w:lang w:val="en-US" w:eastAsia="en-US"/>
        </w:rPr>
        <w:t xml:space="preserve"> </w:t>
      </w:r>
      <w:r w:rsidRPr="00B319E5">
        <w:rPr>
          <w:lang w:eastAsia="en-US"/>
        </w:rPr>
        <w:t>обобщил</w:t>
      </w:r>
      <w:r w:rsidRPr="00EE0E5D">
        <w:rPr>
          <w:lang w:val="en-US" w:eastAsia="en-US"/>
        </w:rPr>
        <w:t xml:space="preserve"> </w:t>
      </w:r>
      <w:r w:rsidRPr="00B319E5">
        <w:rPr>
          <w:lang w:eastAsia="en-US"/>
        </w:rPr>
        <w:t>результаты</w:t>
      </w:r>
      <w:r w:rsidRPr="00EE0E5D">
        <w:rPr>
          <w:lang w:val="en-US" w:eastAsia="en-US"/>
        </w:rPr>
        <w:t xml:space="preserve"> </w:t>
      </w:r>
      <w:r w:rsidRPr="007F6A22">
        <w:rPr>
          <w:i/>
          <w:iCs/>
          <w:lang w:val="en-US" w:eastAsia="en-US"/>
        </w:rPr>
        <w:t>in</w:t>
      </w:r>
      <w:r w:rsidRPr="00EE0E5D">
        <w:rPr>
          <w:i/>
          <w:iCs/>
          <w:lang w:val="en-US" w:eastAsia="en-US"/>
        </w:rPr>
        <w:t xml:space="preserve"> </w:t>
      </w:r>
      <w:r w:rsidRPr="007F6A22">
        <w:rPr>
          <w:i/>
          <w:iCs/>
          <w:lang w:val="en-US" w:eastAsia="en-US"/>
        </w:rPr>
        <w:t>vitro</w:t>
      </w:r>
      <w:r w:rsidRPr="00EE0E5D">
        <w:rPr>
          <w:i/>
          <w:iCs/>
          <w:lang w:val="en-US" w:eastAsia="en-US"/>
        </w:rPr>
        <w:t xml:space="preserve"> </w:t>
      </w:r>
      <w:r w:rsidRPr="00557A1A">
        <w:rPr>
          <w:lang w:eastAsia="en-US"/>
        </w:rPr>
        <w:t>и</w:t>
      </w:r>
      <w:r w:rsidRPr="00EE0E5D">
        <w:rPr>
          <w:i/>
          <w:iCs/>
          <w:lang w:val="en-US" w:eastAsia="en-US"/>
        </w:rPr>
        <w:t xml:space="preserve"> </w:t>
      </w:r>
      <w:r w:rsidRPr="007F6A22">
        <w:rPr>
          <w:i/>
          <w:iCs/>
          <w:lang w:val="en-US" w:eastAsia="en-US"/>
        </w:rPr>
        <w:t>in</w:t>
      </w:r>
      <w:r w:rsidRPr="00EE0E5D">
        <w:rPr>
          <w:i/>
          <w:iCs/>
          <w:lang w:val="en-US" w:eastAsia="en-US"/>
        </w:rPr>
        <w:t xml:space="preserve"> </w:t>
      </w:r>
      <w:r w:rsidRPr="007F6A22">
        <w:rPr>
          <w:i/>
          <w:iCs/>
          <w:lang w:val="en-US" w:eastAsia="en-US"/>
        </w:rPr>
        <w:t>vivo</w:t>
      </w:r>
      <w:r w:rsidRPr="00EE0E5D">
        <w:rPr>
          <w:lang w:val="en-US" w:eastAsia="en-US"/>
        </w:rPr>
        <w:t xml:space="preserve"> </w:t>
      </w:r>
      <w:r>
        <w:rPr>
          <w:lang w:eastAsia="en-US"/>
        </w:rPr>
        <w:t>исследований</w:t>
      </w:r>
      <w:r w:rsidRPr="00EE0E5D">
        <w:rPr>
          <w:lang w:val="en-US" w:eastAsia="en-US"/>
        </w:rPr>
        <w:t xml:space="preserve"> </w:t>
      </w:r>
      <w:r w:rsidRPr="00B319E5">
        <w:rPr>
          <w:lang w:eastAsia="en-US"/>
        </w:rPr>
        <w:t>модифицированного</w:t>
      </w:r>
      <w:r w:rsidRPr="00EE0E5D">
        <w:rPr>
          <w:lang w:val="en-US" w:eastAsia="en-US"/>
        </w:rPr>
        <w:t xml:space="preserve"> </w:t>
      </w:r>
      <w:r w:rsidRPr="00B319E5">
        <w:rPr>
          <w:lang w:eastAsia="en-US"/>
        </w:rPr>
        <w:t>куперстаунского</w:t>
      </w:r>
      <w:r w:rsidRPr="00EE0E5D">
        <w:rPr>
          <w:lang w:val="en-US" w:eastAsia="en-US"/>
        </w:rPr>
        <w:t xml:space="preserve"> </w:t>
      </w:r>
      <w:r w:rsidRPr="00B319E5">
        <w:rPr>
          <w:lang w:eastAsia="en-US"/>
        </w:rPr>
        <w:t>коктейля</w:t>
      </w:r>
      <w:r w:rsidRPr="00EE0E5D">
        <w:rPr>
          <w:lang w:val="en-US" w:eastAsia="en-US"/>
        </w:rPr>
        <w:t xml:space="preserve"> 5 + 1, </w:t>
      </w:r>
      <w:r w:rsidRPr="00B319E5">
        <w:rPr>
          <w:lang w:eastAsia="en-US"/>
        </w:rPr>
        <w:t>показав</w:t>
      </w:r>
      <w:r w:rsidRPr="00EE0E5D">
        <w:rPr>
          <w:lang w:val="en-US" w:eastAsia="en-US"/>
        </w:rPr>
        <w:t xml:space="preserve">, </w:t>
      </w:r>
      <w:r w:rsidRPr="00B319E5">
        <w:rPr>
          <w:lang w:eastAsia="en-US"/>
        </w:rPr>
        <w:t>что</w:t>
      </w:r>
      <w:r w:rsidRPr="00EE0E5D">
        <w:rPr>
          <w:lang w:val="en-US" w:eastAsia="en-US"/>
        </w:rPr>
        <w:t xml:space="preserve"> </w:t>
      </w:r>
      <w:r w:rsidR="003A4F5D">
        <w:rPr>
          <w:lang w:eastAsia="en-US"/>
        </w:rPr>
        <w:t>этравирин</w:t>
      </w:r>
      <w:r w:rsidR="003A4F5D" w:rsidRPr="00EE0E5D">
        <w:rPr>
          <w:lang w:val="en-US" w:eastAsia="en-US"/>
        </w:rPr>
        <w:t xml:space="preserve"> </w:t>
      </w:r>
      <w:r w:rsidRPr="00B319E5">
        <w:rPr>
          <w:lang w:eastAsia="en-US"/>
        </w:rPr>
        <w:t>является</w:t>
      </w:r>
      <w:r w:rsidRPr="00EE0E5D">
        <w:rPr>
          <w:lang w:val="en-US" w:eastAsia="en-US"/>
        </w:rPr>
        <w:t xml:space="preserve"> </w:t>
      </w:r>
      <w:r>
        <w:rPr>
          <w:lang w:eastAsia="en-US"/>
        </w:rPr>
        <w:t>одновременно</w:t>
      </w:r>
      <w:r w:rsidRPr="00EE0E5D">
        <w:rPr>
          <w:lang w:val="en-US" w:eastAsia="en-US"/>
        </w:rPr>
        <w:t xml:space="preserve"> </w:t>
      </w:r>
      <w:r w:rsidRPr="00B319E5">
        <w:rPr>
          <w:lang w:eastAsia="en-US"/>
        </w:rPr>
        <w:t>индуктором</w:t>
      </w:r>
      <w:r w:rsidRPr="00EE0E5D">
        <w:rPr>
          <w:lang w:val="en-US" w:eastAsia="en-US"/>
        </w:rPr>
        <w:t xml:space="preserve"> </w:t>
      </w:r>
      <w:r w:rsidRPr="00B319E5">
        <w:rPr>
          <w:lang w:val="en-US" w:eastAsia="en-US"/>
        </w:rPr>
        <w:t>CYP</w:t>
      </w:r>
      <w:r w:rsidRPr="00EE0E5D">
        <w:rPr>
          <w:lang w:val="en-US" w:eastAsia="en-US"/>
        </w:rPr>
        <w:t>3</w:t>
      </w:r>
      <w:r w:rsidRPr="00B319E5">
        <w:rPr>
          <w:lang w:val="en-US" w:eastAsia="en-US"/>
        </w:rPr>
        <w:t>A</w:t>
      </w:r>
      <w:r w:rsidRPr="00EE0E5D">
        <w:rPr>
          <w:lang w:val="en-US" w:eastAsia="en-US"/>
        </w:rPr>
        <w:t xml:space="preserve"> </w:t>
      </w:r>
      <w:r w:rsidRPr="00B319E5">
        <w:rPr>
          <w:lang w:eastAsia="en-US"/>
        </w:rPr>
        <w:t>и</w:t>
      </w:r>
      <w:r w:rsidRPr="00EE0E5D">
        <w:rPr>
          <w:lang w:val="en-US" w:eastAsia="en-US"/>
        </w:rPr>
        <w:t xml:space="preserve"> </w:t>
      </w:r>
      <w:r w:rsidRPr="00B319E5">
        <w:rPr>
          <w:lang w:eastAsia="en-US"/>
        </w:rPr>
        <w:t>ингибитором</w:t>
      </w:r>
      <w:r w:rsidRPr="00EE0E5D">
        <w:rPr>
          <w:lang w:val="en-US" w:eastAsia="en-US"/>
        </w:rPr>
        <w:t xml:space="preserve"> </w:t>
      </w:r>
      <w:r w:rsidRPr="00B319E5">
        <w:rPr>
          <w:lang w:val="en-US" w:eastAsia="en-US"/>
        </w:rPr>
        <w:t>CYP</w:t>
      </w:r>
      <w:r w:rsidRPr="00EE0E5D">
        <w:rPr>
          <w:lang w:val="en-US" w:eastAsia="en-US"/>
        </w:rPr>
        <w:t>2</w:t>
      </w:r>
      <w:r w:rsidRPr="00B319E5">
        <w:rPr>
          <w:lang w:val="en-US" w:eastAsia="en-US"/>
        </w:rPr>
        <w:t>C</w:t>
      </w:r>
      <w:r w:rsidRPr="00EE0E5D">
        <w:rPr>
          <w:lang w:val="en-US" w:eastAsia="en-US"/>
        </w:rPr>
        <w:t>9/</w:t>
      </w:r>
      <w:r w:rsidRPr="00B319E5">
        <w:rPr>
          <w:lang w:val="en-US" w:eastAsia="en-US"/>
        </w:rPr>
        <w:t>CYP</w:t>
      </w:r>
      <w:r w:rsidRPr="00EE0E5D">
        <w:rPr>
          <w:lang w:val="en-US" w:eastAsia="en-US"/>
        </w:rPr>
        <w:t>2</w:t>
      </w:r>
      <w:r w:rsidRPr="00B319E5">
        <w:rPr>
          <w:lang w:val="en-US" w:eastAsia="en-US"/>
        </w:rPr>
        <w:t>C</w:t>
      </w:r>
      <w:r w:rsidRPr="00EE0E5D">
        <w:rPr>
          <w:lang w:val="en-US" w:eastAsia="en-US"/>
        </w:rPr>
        <w:t xml:space="preserve">19 </w:t>
      </w:r>
      <w:r>
        <w:rPr>
          <w:lang w:eastAsia="en-US"/>
        </w:rPr>
        <w:t>изоформ</w:t>
      </w:r>
      <w:r w:rsidRPr="00EE0E5D">
        <w:rPr>
          <w:lang w:val="en-US" w:eastAsia="en-US"/>
        </w:rPr>
        <w:t xml:space="preserve"> </w:t>
      </w:r>
      <w:r>
        <w:rPr>
          <w:lang w:eastAsia="en-US"/>
        </w:rPr>
        <w:fldChar w:fldCharType="begin"/>
      </w:r>
      <w:r w:rsidR="00824DA4" w:rsidRPr="00EE0E5D">
        <w:rPr>
          <w:lang w:val="en-US" w:eastAsia="en-US"/>
        </w:rPr>
        <w:instrText xml:space="preserve"> </w:instrText>
      </w:r>
      <w:r w:rsidR="00824DA4">
        <w:rPr>
          <w:lang w:val="en-US" w:eastAsia="en-US"/>
        </w:rPr>
        <w:instrText>ADDIN</w:instrText>
      </w:r>
      <w:r w:rsidR="00824DA4" w:rsidRPr="00EE0E5D">
        <w:rPr>
          <w:lang w:val="en-US" w:eastAsia="en-US"/>
        </w:rPr>
        <w:instrText xml:space="preserve"> </w:instrText>
      </w:r>
      <w:r w:rsidR="00824DA4">
        <w:rPr>
          <w:lang w:val="en-US" w:eastAsia="en-US"/>
        </w:rPr>
        <w:instrText>ZOTERO</w:instrText>
      </w:r>
      <w:r w:rsidR="00824DA4" w:rsidRPr="00EE0E5D">
        <w:rPr>
          <w:lang w:val="en-US" w:eastAsia="en-US"/>
        </w:rPr>
        <w:instrText>_</w:instrText>
      </w:r>
      <w:r w:rsidR="00824DA4">
        <w:rPr>
          <w:lang w:val="en-US" w:eastAsia="en-US"/>
        </w:rPr>
        <w:instrText>ITEM</w:instrText>
      </w:r>
      <w:r w:rsidR="00824DA4" w:rsidRPr="00EE0E5D">
        <w:rPr>
          <w:lang w:val="en-US" w:eastAsia="en-US"/>
        </w:rPr>
        <w:instrText xml:space="preserve"> </w:instrText>
      </w:r>
      <w:r w:rsidR="00824DA4">
        <w:rPr>
          <w:lang w:val="en-US" w:eastAsia="en-US"/>
        </w:rPr>
        <w:instrText>CSL</w:instrText>
      </w:r>
      <w:r w:rsidR="00824DA4" w:rsidRPr="00EE0E5D">
        <w:rPr>
          <w:lang w:val="en-US" w:eastAsia="en-US"/>
        </w:rPr>
        <w:instrText>_</w:instrText>
      </w:r>
      <w:r w:rsidR="00824DA4">
        <w:rPr>
          <w:lang w:val="en-US" w:eastAsia="en-US"/>
        </w:rPr>
        <w:instrText>CITATION</w:instrText>
      </w:r>
      <w:r w:rsidR="00824DA4" w:rsidRPr="00EE0E5D">
        <w:rPr>
          <w:lang w:val="en-US" w:eastAsia="en-US"/>
        </w:rPr>
        <w:instrText xml:space="preserve"> {"</w:instrText>
      </w:r>
      <w:r w:rsidR="00824DA4">
        <w:rPr>
          <w:lang w:val="en-US" w:eastAsia="en-US"/>
        </w:rPr>
        <w:instrText>citationID</w:instrText>
      </w:r>
      <w:r w:rsidR="00824DA4" w:rsidRPr="00EE0E5D">
        <w:rPr>
          <w:lang w:val="en-US" w:eastAsia="en-US"/>
        </w:rPr>
        <w:instrText>":"</w:instrText>
      </w:r>
      <w:r w:rsidR="00824DA4">
        <w:rPr>
          <w:lang w:val="en-US" w:eastAsia="en-US"/>
        </w:rPr>
        <w:instrText>apbTzJzK</w:instrText>
      </w:r>
      <w:r w:rsidR="00824DA4" w:rsidRPr="00EE0E5D">
        <w:rPr>
          <w:lang w:val="en-US" w:eastAsia="en-US"/>
        </w:rPr>
        <w:instrText>","</w:instrText>
      </w:r>
      <w:r w:rsidR="00824DA4">
        <w:rPr>
          <w:lang w:val="en-US" w:eastAsia="en-US"/>
        </w:rPr>
        <w:instrText>properties</w:instrText>
      </w:r>
      <w:r w:rsidR="00824DA4" w:rsidRPr="00EE0E5D">
        <w:rPr>
          <w:lang w:val="en-US" w:eastAsia="en-US"/>
        </w:rPr>
        <w:instrText>":{"</w:instrText>
      </w:r>
      <w:r w:rsidR="00824DA4">
        <w:rPr>
          <w:lang w:val="en-US" w:eastAsia="en-US"/>
        </w:rPr>
        <w:instrText>formattedCitation</w:instrText>
      </w:r>
      <w:r w:rsidR="00824DA4" w:rsidRPr="00EE0E5D">
        <w:rPr>
          <w:lang w:val="en-US" w:eastAsia="en-US"/>
        </w:rPr>
        <w:instrText>":"(45)","</w:instrText>
      </w:r>
      <w:r w:rsidR="00824DA4">
        <w:rPr>
          <w:lang w:val="en-US" w:eastAsia="en-US"/>
        </w:rPr>
        <w:instrText>plainCitation</w:instrText>
      </w:r>
      <w:r w:rsidR="00824DA4" w:rsidRPr="00EE0E5D">
        <w:rPr>
          <w:lang w:val="en-US" w:eastAsia="en-US"/>
        </w:rPr>
        <w:instrText>":"(45)","</w:instrText>
      </w:r>
      <w:r w:rsidR="00824DA4">
        <w:rPr>
          <w:lang w:val="en-US" w:eastAsia="en-US"/>
        </w:rPr>
        <w:instrText>noteIndex</w:instrText>
      </w:r>
      <w:r w:rsidR="00824DA4" w:rsidRPr="00EE0E5D">
        <w:rPr>
          <w:lang w:val="en-US" w:eastAsia="en-US"/>
        </w:rPr>
        <w:instrText>":0},"</w:instrText>
      </w:r>
      <w:r w:rsidR="00824DA4">
        <w:rPr>
          <w:lang w:val="en-US" w:eastAsia="en-US"/>
        </w:rPr>
        <w:instrText>citationItems</w:instrText>
      </w:r>
      <w:r w:rsidR="00824DA4" w:rsidRPr="00EE0E5D">
        <w:rPr>
          <w:lang w:val="en-US" w:eastAsia="en-US"/>
        </w:rPr>
        <w:instrText>":[{"</w:instrText>
      </w:r>
      <w:r w:rsidR="00824DA4">
        <w:rPr>
          <w:lang w:val="en-US" w:eastAsia="en-US"/>
        </w:rPr>
        <w:instrText>id</w:instrText>
      </w:r>
      <w:r w:rsidR="00824DA4" w:rsidRPr="00EE0E5D">
        <w:rPr>
          <w:lang w:val="en-US" w:eastAsia="en-US"/>
        </w:rPr>
        <w:instrText>":"</w:instrText>
      </w:r>
      <w:r w:rsidR="00824DA4">
        <w:rPr>
          <w:lang w:val="en-US" w:eastAsia="en-US"/>
        </w:rPr>
        <w:instrText>iY</w:instrText>
      </w:r>
      <w:r w:rsidR="00824DA4" w:rsidRPr="00EE0E5D">
        <w:rPr>
          <w:lang w:val="en-US" w:eastAsia="en-US"/>
        </w:rPr>
        <w:instrText>4</w:instrText>
      </w:r>
      <w:r w:rsidR="00824DA4">
        <w:rPr>
          <w:lang w:val="en-US" w:eastAsia="en-US"/>
        </w:rPr>
        <w:instrText>E</w:instrText>
      </w:r>
      <w:r w:rsidR="00824DA4" w:rsidRPr="00EE0E5D">
        <w:rPr>
          <w:lang w:val="en-US" w:eastAsia="en-US"/>
        </w:rPr>
        <w:instrText>1</w:instrText>
      </w:r>
      <w:r w:rsidR="00824DA4">
        <w:rPr>
          <w:lang w:val="en-US" w:eastAsia="en-US"/>
        </w:rPr>
        <w:instrText>EKJ</w:instrText>
      </w:r>
      <w:r w:rsidR="00824DA4" w:rsidRPr="00EE0E5D">
        <w:rPr>
          <w:lang w:val="en-US" w:eastAsia="en-US"/>
        </w:rPr>
        <w:instrText>/7</w:instrText>
      </w:r>
      <w:r w:rsidR="00824DA4">
        <w:rPr>
          <w:lang w:val="en-US" w:eastAsia="en-US"/>
        </w:rPr>
        <w:instrText>lkCFDvm","uris":["http://zotero.org/users/1055192/items/4URBS4DF"],"itemData":{"id":30566,"type":"article-journal","abstract":"Etravirine (formerly TMC125) is a non-nucleoside reverse transcriptase inhibitor (NNRTI) with activity against wild-type and NNRTI-resistant strains of HIV-1. Etravirine has been approved in several countries for use as part of highly active antiretroviral therapy in treatment-experienced patients. In vivo, etravirine is a substrate for, and weak inducer of, the hepatic cytochrome P450 (CYP) isoenzyme 3A4 and a substrate and weak inhibitor of CYP2C9 and CYP2C19. Etravirine is also a weak inhibitor of P-glycoprotein. An extensive drug-drug interaction programme in HIV-negative subjects has been carried out to assess the potential for pharmacokinetic interactions between etravirine and a variety of non-antiretroviral drugs. Effects of atorvastatin, clarithromycin, methadone, omeprazole, oral contraceptives, paroxetine, ranitidine and sildenafil on the pharmacokinetic disposition of etravirine were of no clinical relevance. Likewise, etravirine had no clinically significant effect on the pharmacokinetics of fluconazole, methadone, oral contraceptives, paroxetine or voriconazole. No clinically relevant interactions are expected between etravirine and azithromycin or ribavirin, therefore, etravirine can be combined with these agents without dose adjustment. Fluconazole and voriconazole increased etravirine exposure 1.9- and 1.4-fold, respectively, in healthy subjects, however, no increase in the incidence of adverse effects was observed in patients receiving etravirine and fluconazole during clinical trials, therefore, etravirine can be combined with these antifungals although caution is advised. Digoxin plasma exposure was slightly increased when co-administered with etravirine. No dose adjustments of digoxin are needed when used in combination with etravirine, however, it is recommended that digoxin levels should be monitored. Caution should be exercised in combining rifabutin with etravirine in the presence of certain boosted HIV protease inhibitors due to the risk of decreased exposure to etravirine. Although adjustments to the dose of clarithromycin are unnecessary for the treatment of most infections, the use of an alternative macrolide (e.g. azithromycin) is recommended for the treatment of Mycobacterium avium complex infection since the overall activity of clarithromycin against this pathogen may be altered when co-administered with etravirine. Dosage adjustments based on clinical response are recommended for clopidogrel, HMG-CoA reductase inhibitors (e.g. atorvastatin) and for phosphodiesterase type-5 inhibitors (e.g. sildenafil) because changes in the exposure of these medications in the presence of co-administered etravirine may occur. When co-administered with etravirine, a dose reduction or alternative to diazepam is recommended. When combining etravirine with warfarin, the international normalized ratio (INR) should be monitored. Systemic dexamethasone should be co-administered with caution, or an alternative to dexamethasone be found as dexamethasone induces CYP3A4. Caution is also warranted when co-administering etravirine with some antiarrhythmics, calcineurin inhibitors (e.g</w:instrText>
      </w:r>
      <w:r w:rsidR="00824DA4" w:rsidRPr="00824DA4">
        <w:rPr>
          <w:lang w:eastAsia="en-US"/>
        </w:rPr>
        <w:instrText xml:space="preserve">. </w:instrText>
      </w:r>
      <w:r w:rsidR="00824DA4">
        <w:rPr>
          <w:lang w:val="en-US" w:eastAsia="en-US"/>
        </w:rPr>
        <w:instrText>ciclosporin</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antidepressants</w:instrText>
      </w:r>
      <w:r w:rsidR="00824DA4" w:rsidRPr="00824DA4">
        <w:rPr>
          <w:lang w:eastAsia="en-US"/>
        </w:rPr>
        <w:instrText xml:space="preserve"> (</w:instrText>
      </w:r>
      <w:r w:rsidR="00824DA4">
        <w:rPr>
          <w:lang w:val="en-US" w:eastAsia="en-US"/>
        </w:rPr>
        <w:instrText>e</w:instrText>
      </w:r>
      <w:r w:rsidR="00824DA4" w:rsidRPr="00824DA4">
        <w:rPr>
          <w:lang w:eastAsia="en-US"/>
        </w:rPr>
        <w:instrText>.</w:instrText>
      </w:r>
      <w:r w:rsidR="00824DA4">
        <w:rPr>
          <w:lang w:val="en-US" w:eastAsia="en-US"/>
        </w:rPr>
        <w:instrText>g</w:instrText>
      </w:r>
      <w:r w:rsidR="00824DA4" w:rsidRPr="00824DA4">
        <w:rPr>
          <w:lang w:eastAsia="en-US"/>
        </w:rPr>
        <w:instrText xml:space="preserve">. </w:instrText>
      </w:r>
      <w:r w:rsidR="00824DA4">
        <w:rPr>
          <w:lang w:val="en-US" w:eastAsia="en-US"/>
        </w:rPr>
        <w:instrText>citalopram</w:instrText>
      </w:r>
      <w:r w:rsidR="00824DA4" w:rsidRPr="00824DA4">
        <w:rPr>
          <w:lang w:eastAsia="en-US"/>
        </w:rPr>
        <w:instrText xml:space="preserve">). </w:instrText>
      </w:r>
      <w:r w:rsidR="00824DA4">
        <w:rPr>
          <w:lang w:val="en-US" w:eastAsia="en-US"/>
        </w:rPr>
        <w:instrText>Co</w:instrText>
      </w:r>
      <w:r w:rsidR="00824DA4" w:rsidRPr="00824DA4">
        <w:rPr>
          <w:lang w:eastAsia="en-US"/>
        </w:rPr>
        <w:instrText>-</w:instrText>
      </w:r>
      <w:r w:rsidR="00824DA4">
        <w:rPr>
          <w:lang w:val="en-US" w:eastAsia="en-US"/>
        </w:rPr>
        <w:instrText>administration</w:instrText>
      </w:r>
      <w:r w:rsidR="00824DA4" w:rsidRPr="00824DA4">
        <w:rPr>
          <w:lang w:eastAsia="en-US"/>
        </w:rPr>
        <w:instrText xml:space="preserve"> </w:instrText>
      </w:r>
      <w:r w:rsidR="00824DA4">
        <w:rPr>
          <w:lang w:val="en-US" w:eastAsia="en-US"/>
        </w:rPr>
        <w:instrText>of</w:instrText>
      </w:r>
      <w:r w:rsidR="00824DA4" w:rsidRPr="00824DA4">
        <w:rPr>
          <w:lang w:eastAsia="en-US"/>
        </w:rPr>
        <w:instrText xml:space="preserve"> </w:instrText>
      </w:r>
      <w:r w:rsidR="00824DA4">
        <w:rPr>
          <w:lang w:val="en-US" w:eastAsia="en-US"/>
        </w:rPr>
        <w:instrText>etravirine</w:instrText>
      </w:r>
      <w:r w:rsidR="00824DA4" w:rsidRPr="00824DA4">
        <w:rPr>
          <w:lang w:eastAsia="en-US"/>
        </w:rPr>
        <w:instrText xml:space="preserve"> </w:instrText>
      </w:r>
      <w:r w:rsidR="00824DA4">
        <w:rPr>
          <w:lang w:val="en-US" w:eastAsia="en-US"/>
        </w:rPr>
        <w:instrText>with</w:instrText>
      </w:r>
      <w:r w:rsidR="00824DA4" w:rsidRPr="00824DA4">
        <w:rPr>
          <w:lang w:eastAsia="en-US"/>
        </w:rPr>
        <w:instrText xml:space="preserve"> </w:instrText>
      </w:r>
      <w:r w:rsidR="00824DA4">
        <w:rPr>
          <w:lang w:val="en-US" w:eastAsia="en-US"/>
        </w:rPr>
        <w:instrText>some</w:instrText>
      </w:r>
      <w:r w:rsidR="00824DA4" w:rsidRPr="00824DA4">
        <w:rPr>
          <w:lang w:eastAsia="en-US"/>
        </w:rPr>
        <w:instrText xml:space="preserve"> </w:instrText>
      </w:r>
      <w:r w:rsidR="00824DA4">
        <w:rPr>
          <w:lang w:val="en-US" w:eastAsia="en-US"/>
        </w:rPr>
        <w:instrText>antiepileptics</w:instrText>
      </w:r>
      <w:r w:rsidR="00824DA4" w:rsidRPr="00824DA4">
        <w:rPr>
          <w:lang w:eastAsia="en-US"/>
        </w:rPr>
        <w:instrText xml:space="preserve"> (</w:instrText>
      </w:r>
      <w:r w:rsidR="00824DA4">
        <w:rPr>
          <w:lang w:val="en-US" w:eastAsia="en-US"/>
        </w:rPr>
        <w:instrText>e</w:instrText>
      </w:r>
      <w:r w:rsidR="00824DA4" w:rsidRPr="00824DA4">
        <w:rPr>
          <w:lang w:eastAsia="en-US"/>
        </w:rPr>
        <w:instrText>.</w:instrText>
      </w:r>
      <w:r w:rsidR="00824DA4">
        <w:rPr>
          <w:lang w:val="en-US" w:eastAsia="en-US"/>
        </w:rPr>
        <w:instrText>g</w:instrText>
      </w:r>
      <w:r w:rsidR="00824DA4" w:rsidRPr="00824DA4">
        <w:rPr>
          <w:lang w:eastAsia="en-US"/>
        </w:rPr>
        <w:instrText xml:space="preserve">. </w:instrText>
      </w:r>
      <w:r w:rsidR="00824DA4">
        <w:rPr>
          <w:lang w:val="en-US" w:eastAsia="en-US"/>
        </w:rPr>
        <w:instrText>carbamazepine</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phenytoin</w:instrText>
      </w:r>
      <w:r w:rsidR="00824DA4" w:rsidRPr="00824DA4">
        <w:rPr>
          <w:lang w:eastAsia="en-US"/>
        </w:rPr>
        <w:instrText xml:space="preserve">), </w:instrText>
      </w:r>
      <w:r w:rsidR="00824DA4">
        <w:rPr>
          <w:lang w:val="en-US" w:eastAsia="en-US"/>
        </w:rPr>
        <w:instrText>rifampicin</w:instrText>
      </w:r>
      <w:r w:rsidR="00824DA4" w:rsidRPr="00824DA4">
        <w:rPr>
          <w:lang w:eastAsia="en-US"/>
        </w:rPr>
        <w:instrText xml:space="preserve"> (</w:instrText>
      </w:r>
      <w:r w:rsidR="00824DA4">
        <w:rPr>
          <w:lang w:val="en-US" w:eastAsia="en-US"/>
        </w:rPr>
        <w:instrText>rifampin</w:instrText>
      </w:r>
      <w:r w:rsidR="00824DA4" w:rsidRPr="00824DA4">
        <w:rPr>
          <w:lang w:eastAsia="en-US"/>
        </w:rPr>
        <w:instrText xml:space="preserve">), </w:instrText>
      </w:r>
      <w:r w:rsidR="00824DA4">
        <w:rPr>
          <w:lang w:val="en-US" w:eastAsia="en-US"/>
        </w:rPr>
        <w:instrText>rifapentine</w:instrText>
      </w:r>
      <w:r w:rsidR="00824DA4" w:rsidRPr="00824DA4">
        <w:rPr>
          <w:lang w:eastAsia="en-US"/>
        </w:rPr>
        <w:instrText xml:space="preserve"> </w:instrText>
      </w:r>
      <w:r w:rsidR="00824DA4">
        <w:rPr>
          <w:lang w:val="en-US" w:eastAsia="en-US"/>
        </w:rPr>
        <w:instrText>or</w:instrText>
      </w:r>
      <w:r w:rsidR="00824DA4" w:rsidRPr="00824DA4">
        <w:rPr>
          <w:lang w:eastAsia="en-US"/>
        </w:rPr>
        <w:instrText xml:space="preserve"> </w:instrText>
      </w:r>
      <w:r w:rsidR="00824DA4">
        <w:rPr>
          <w:lang w:val="en-US" w:eastAsia="en-US"/>
        </w:rPr>
        <w:instrText>preparations</w:instrText>
      </w:r>
      <w:r w:rsidR="00824DA4" w:rsidRPr="00824DA4">
        <w:rPr>
          <w:lang w:eastAsia="en-US"/>
        </w:rPr>
        <w:instrText xml:space="preserve"> </w:instrText>
      </w:r>
      <w:r w:rsidR="00824DA4">
        <w:rPr>
          <w:lang w:val="en-US" w:eastAsia="en-US"/>
        </w:rPr>
        <w:instrText>containing</w:instrText>
      </w:r>
      <w:r w:rsidR="00824DA4" w:rsidRPr="00824DA4">
        <w:rPr>
          <w:lang w:eastAsia="en-US"/>
        </w:rPr>
        <w:instrText xml:space="preserve"> </w:instrText>
      </w:r>
      <w:r w:rsidR="00824DA4">
        <w:rPr>
          <w:lang w:val="en-US" w:eastAsia="en-US"/>
        </w:rPr>
        <w:instrText>St</w:instrText>
      </w:r>
      <w:r w:rsidR="00824DA4" w:rsidRPr="00824DA4">
        <w:rPr>
          <w:lang w:eastAsia="en-US"/>
        </w:rPr>
        <w:instrText xml:space="preserve"> </w:instrText>
      </w:r>
      <w:r w:rsidR="00824DA4">
        <w:rPr>
          <w:lang w:val="en-US" w:eastAsia="en-US"/>
        </w:rPr>
        <w:instrText>John</w:instrText>
      </w:r>
      <w:r w:rsidR="00824DA4" w:rsidRPr="00824DA4">
        <w:rPr>
          <w:lang w:eastAsia="en-US"/>
        </w:rPr>
        <w:instrText>'</w:instrText>
      </w:r>
      <w:r w:rsidR="00824DA4">
        <w:rPr>
          <w:lang w:val="en-US" w:eastAsia="en-US"/>
        </w:rPr>
        <w:instrText>s</w:instrText>
      </w:r>
      <w:r w:rsidR="00824DA4" w:rsidRPr="00824DA4">
        <w:rPr>
          <w:lang w:eastAsia="en-US"/>
        </w:rPr>
        <w:instrText xml:space="preserve"> </w:instrText>
      </w:r>
      <w:r w:rsidR="00824DA4">
        <w:rPr>
          <w:lang w:val="en-US" w:eastAsia="en-US"/>
        </w:rPr>
        <w:instrText>wort</w:instrText>
      </w:r>
      <w:r w:rsidR="00824DA4" w:rsidRPr="00824DA4">
        <w:rPr>
          <w:lang w:eastAsia="en-US"/>
        </w:rPr>
        <w:instrText xml:space="preserve"> (</w:instrText>
      </w:r>
      <w:r w:rsidR="00824DA4">
        <w:rPr>
          <w:lang w:val="en-US" w:eastAsia="en-US"/>
        </w:rPr>
        <w:instrText>Hypericum</w:instrText>
      </w:r>
      <w:r w:rsidR="00824DA4" w:rsidRPr="00824DA4">
        <w:rPr>
          <w:lang w:eastAsia="en-US"/>
        </w:rPr>
        <w:instrText xml:space="preserve"> </w:instrText>
      </w:r>
      <w:r w:rsidR="00824DA4">
        <w:rPr>
          <w:lang w:val="en-US" w:eastAsia="en-US"/>
        </w:rPr>
        <w:instrText>perforatum</w:instrText>
      </w:r>
      <w:r w:rsidR="00824DA4" w:rsidRPr="00824DA4">
        <w:rPr>
          <w:lang w:eastAsia="en-US"/>
        </w:rPr>
        <w:instrText xml:space="preserve">) </w:instrText>
      </w:r>
      <w:r w:rsidR="00824DA4">
        <w:rPr>
          <w:lang w:val="en-US" w:eastAsia="en-US"/>
        </w:rPr>
        <w:instrText>is</w:instrText>
      </w:r>
      <w:r w:rsidR="00824DA4" w:rsidRPr="00824DA4">
        <w:rPr>
          <w:lang w:eastAsia="en-US"/>
        </w:rPr>
        <w:instrText xml:space="preserve"> </w:instrText>
      </w:r>
      <w:r w:rsidR="00824DA4">
        <w:rPr>
          <w:lang w:val="en-US" w:eastAsia="en-US"/>
        </w:rPr>
        <w:instrText>currently</w:instrText>
      </w:r>
      <w:r w:rsidR="00824DA4" w:rsidRPr="00824DA4">
        <w:rPr>
          <w:lang w:eastAsia="en-US"/>
        </w:rPr>
        <w:instrText xml:space="preserve"> </w:instrText>
      </w:r>
      <w:r w:rsidR="00824DA4">
        <w:rPr>
          <w:lang w:val="en-US" w:eastAsia="en-US"/>
        </w:rPr>
        <w:instrText>not</w:instrText>
      </w:r>
      <w:r w:rsidR="00824DA4" w:rsidRPr="00824DA4">
        <w:rPr>
          <w:lang w:eastAsia="en-US"/>
        </w:rPr>
        <w:instrText xml:space="preserve"> </w:instrText>
      </w:r>
      <w:r w:rsidR="00824DA4">
        <w:rPr>
          <w:lang w:val="en-US" w:eastAsia="en-US"/>
        </w:rPr>
        <w:instrText>recommended</w:instrText>
      </w:r>
      <w:r w:rsidR="00824DA4" w:rsidRPr="00824DA4">
        <w:rPr>
          <w:lang w:eastAsia="en-US"/>
        </w:rPr>
        <w:instrText xml:space="preserve"> </w:instrText>
      </w:r>
      <w:r w:rsidR="00824DA4">
        <w:rPr>
          <w:lang w:val="en-US" w:eastAsia="en-US"/>
        </w:rPr>
        <w:instrText>as</w:instrText>
      </w:r>
      <w:r w:rsidR="00824DA4" w:rsidRPr="00824DA4">
        <w:rPr>
          <w:lang w:eastAsia="en-US"/>
        </w:rPr>
        <w:instrText xml:space="preserve"> </w:instrText>
      </w:r>
      <w:r w:rsidR="00824DA4">
        <w:rPr>
          <w:lang w:val="en-US" w:eastAsia="en-US"/>
        </w:rPr>
        <w:instrText>these</w:instrText>
      </w:r>
      <w:r w:rsidR="00824DA4" w:rsidRPr="00824DA4">
        <w:rPr>
          <w:lang w:eastAsia="en-US"/>
        </w:rPr>
        <w:instrText xml:space="preserve"> </w:instrText>
      </w:r>
      <w:r w:rsidR="00824DA4">
        <w:rPr>
          <w:lang w:val="en-US" w:eastAsia="en-US"/>
        </w:rPr>
        <w:instrText>are</w:instrText>
      </w:r>
      <w:r w:rsidR="00824DA4" w:rsidRPr="00824DA4">
        <w:rPr>
          <w:lang w:eastAsia="en-US"/>
        </w:rPr>
        <w:instrText xml:space="preserve"> </w:instrText>
      </w:r>
      <w:r w:rsidR="00824DA4">
        <w:rPr>
          <w:lang w:val="en-US" w:eastAsia="en-US"/>
        </w:rPr>
        <w:instrText>potent</w:instrText>
      </w:r>
      <w:r w:rsidR="00824DA4" w:rsidRPr="00824DA4">
        <w:rPr>
          <w:lang w:eastAsia="en-US"/>
        </w:rPr>
        <w:instrText xml:space="preserve"> </w:instrText>
      </w:r>
      <w:r w:rsidR="00824DA4">
        <w:rPr>
          <w:lang w:val="en-US" w:eastAsia="en-US"/>
        </w:rPr>
        <w:instrText>inducers</w:instrText>
      </w:r>
      <w:r w:rsidR="00824DA4" w:rsidRPr="00824DA4">
        <w:rPr>
          <w:lang w:eastAsia="en-US"/>
        </w:rPr>
        <w:instrText xml:space="preserve"> </w:instrText>
      </w:r>
      <w:r w:rsidR="00824DA4">
        <w:rPr>
          <w:lang w:val="en-US" w:eastAsia="en-US"/>
        </w:rPr>
        <w:instrText>of</w:instrText>
      </w:r>
      <w:r w:rsidR="00824DA4" w:rsidRPr="00824DA4">
        <w:rPr>
          <w:lang w:eastAsia="en-US"/>
        </w:rPr>
        <w:instrText xml:space="preserve"> </w:instrText>
      </w:r>
      <w:r w:rsidR="00824DA4">
        <w:rPr>
          <w:lang w:val="en-US" w:eastAsia="en-US"/>
        </w:rPr>
        <w:instrText>CYP</w:instrText>
      </w:r>
      <w:r w:rsidR="00824DA4" w:rsidRPr="00824DA4">
        <w:rPr>
          <w:lang w:eastAsia="en-US"/>
        </w:rPr>
        <w:instrText>3</w:instrText>
      </w:r>
      <w:r w:rsidR="00824DA4">
        <w:rPr>
          <w:lang w:val="en-US" w:eastAsia="en-US"/>
        </w:rPr>
        <w:instrText>A</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w:instrText>
      </w:r>
      <w:r w:rsidR="00824DA4">
        <w:rPr>
          <w:lang w:val="en-US" w:eastAsia="en-US"/>
        </w:rPr>
        <w:instrText>or</w:instrText>
      </w:r>
      <w:r w:rsidR="00824DA4" w:rsidRPr="00824DA4">
        <w:rPr>
          <w:lang w:eastAsia="en-US"/>
        </w:rPr>
        <w:instrText xml:space="preserve"> </w:instrText>
      </w:r>
      <w:r w:rsidR="00824DA4">
        <w:rPr>
          <w:lang w:val="en-US" w:eastAsia="en-US"/>
        </w:rPr>
        <w:instrText>CYP</w:instrText>
      </w:r>
      <w:r w:rsidR="00824DA4" w:rsidRPr="00824DA4">
        <w:rPr>
          <w:lang w:eastAsia="en-US"/>
        </w:rPr>
        <w:instrText>2</w:instrText>
      </w:r>
      <w:r w:rsidR="00824DA4">
        <w:rPr>
          <w:lang w:val="en-US" w:eastAsia="en-US"/>
        </w:rPr>
        <w:instrText>C</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may</w:instrText>
      </w:r>
      <w:r w:rsidR="00824DA4" w:rsidRPr="00824DA4">
        <w:rPr>
          <w:lang w:eastAsia="en-US"/>
        </w:rPr>
        <w:instrText xml:space="preserve"> </w:instrText>
      </w:r>
      <w:r w:rsidR="00824DA4">
        <w:rPr>
          <w:lang w:val="en-US" w:eastAsia="en-US"/>
        </w:rPr>
        <w:instrText>potentially</w:instrText>
      </w:r>
      <w:r w:rsidR="00824DA4" w:rsidRPr="00824DA4">
        <w:rPr>
          <w:lang w:eastAsia="en-US"/>
        </w:rPr>
        <w:instrText xml:space="preserve"> </w:instrText>
      </w:r>
      <w:r w:rsidR="00824DA4">
        <w:rPr>
          <w:lang w:val="en-US" w:eastAsia="en-US"/>
        </w:rPr>
        <w:instrText>decrease</w:instrText>
      </w:r>
      <w:r w:rsidR="00824DA4" w:rsidRPr="00824DA4">
        <w:rPr>
          <w:lang w:eastAsia="en-US"/>
        </w:rPr>
        <w:instrText xml:space="preserve"> </w:instrText>
      </w:r>
      <w:r w:rsidR="00824DA4">
        <w:rPr>
          <w:lang w:val="en-US" w:eastAsia="en-US"/>
        </w:rPr>
        <w:instrText>etravirine</w:instrText>
      </w:r>
      <w:r w:rsidR="00824DA4" w:rsidRPr="00824DA4">
        <w:rPr>
          <w:lang w:eastAsia="en-US"/>
        </w:rPr>
        <w:instrText xml:space="preserve"> </w:instrText>
      </w:r>
      <w:r w:rsidR="00824DA4">
        <w:rPr>
          <w:lang w:val="en-US" w:eastAsia="en-US"/>
        </w:rPr>
        <w:instrText>exposure</w:instrText>
      </w:r>
      <w:r w:rsidR="00824DA4" w:rsidRPr="00824DA4">
        <w:rPr>
          <w:lang w:eastAsia="en-US"/>
        </w:rPr>
        <w:instrText xml:space="preserve">. </w:instrText>
      </w:r>
      <w:r w:rsidR="00824DA4">
        <w:rPr>
          <w:lang w:val="en-US" w:eastAsia="en-US"/>
        </w:rPr>
        <w:instrText>Antiepileptics</w:instrText>
      </w:r>
      <w:r w:rsidR="00824DA4" w:rsidRPr="00824DA4">
        <w:rPr>
          <w:lang w:eastAsia="en-US"/>
        </w:rPr>
        <w:instrText xml:space="preserve"> </w:instrText>
      </w:r>
      <w:r w:rsidR="00824DA4">
        <w:rPr>
          <w:lang w:val="en-US" w:eastAsia="en-US"/>
        </w:rPr>
        <w:instrText>that</w:instrText>
      </w:r>
      <w:r w:rsidR="00824DA4" w:rsidRPr="00824DA4">
        <w:rPr>
          <w:lang w:eastAsia="en-US"/>
        </w:rPr>
        <w:instrText xml:space="preserve"> </w:instrText>
      </w:r>
      <w:r w:rsidR="00824DA4">
        <w:rPr>
          <w:lang w:val="en-US" w:eastAsia="en-US"/>
        </w:rPr>
        <w:instrText>are</w:instrText>
      </w:r>
      <w:r w:rsidR="00824DA4" w:rsidRPr="00824DA4">
        <w:rPr>
          <w:lang w:eastAsia="en-US"/>
        </w:rPr>
        <w:instrText xml:space="preserve"> </w:instrText>
      </w:r>
      <w:r w:rsidR="00824DA4">
        <w:rPr>
          <w:lang w:val="en-US" w:eastAsia="en-US"/>
        </w:rPr>
        <w:instrText>less</w:instrText>
      </w:r>
      <w:r w:rsidR="00824DA4" w:rsidRPr="00824DA4">
        <w:rPr>
          <w:lang w:eastAsia="en-US"/>
        </w:rPr>
        <w:instrText xml:space="preserve"> </w:instrText>
      </w:r>
      <w:r w:rsidR="00824DA4">
        <w:rPr>
          <w:lang w:val="en-US" w:eastAsia="en-US"/>
        </w:rPr>
        <w:instrText>likely</w:instrText>
      </w:r>
      <w:r w:rsidR="00824DA4" w:rsidRPr="00824DA4">
        <w:rPr>
          <w:lang w:eastAsia="en-US"/>
        </w:rPr>
        <w:instrText xml:space="preserve"> </w:instrText>
      </w:r>
      <w:r w:rsidR="00824DA4">
        <w:rPr>
          <w:lang w:val="en-US" w:eastAsia="en-US"/>
        </w:rPr>
        <w:instrText>to</w:instrText>
      </w:r>
      <w:r w:rsidR="00824DA4" w:rsidRPr="00824DA4">
        <w:rPr>
          <w:lang w:eastAsia="en-US"/>
        </w:rPr>
        <w:instrText xml:space="preserve"> </w:instrText>
      </w:r>
      <w:r w:rsidR="00824DA4">
        <w:rPr>
          <w:lang w:val="en-US" w:eastAsia="en-US"/>
        </w:rPr>
        <w:instrText>interact</w:instrText>
      </w:r>
      <w:r w:rsidR="00824DA4" w:rsidRPr="00824DA4">
        <w:rPr>
          <w:lang w:eastAsia="en-US"/>
        </w:rPr>
        <w:instrText xml:space="preserve"> </w:instrText>
      </w:r>
      <w:r w:rsidR="00824DA4">
        <w:rPr>
          <w:lang w:val="en-US" w:eastAsia="en-US"/>
        </w:rPr>
        <w:instrText>based</w:instrText>
      </w:r>
      <w:r w:rsidR="00824DA4" w:rsidRPr="00824DA4">
        <w:rPr>
          <w:lang w:eastAsia="en-US"/>
        </w:rPr>
        <w:instrText xml:space="preserve"> </w:instrText>
      </w:r>
      <w:r w:rsidR="00824DA4">
        <w:rPr>
          <w:lang w:val="en-US" w:eastAsia="en-US"/>
        </w:rPr>
        <w:instrText>on</w:instrText>
      </w:r>
      <w:r w:rsidR="00824DA4" w:rsidRPr="00824DA4">
        <w:rPr>
          <w:lang w:eastAsia="en-US"/>
        </w:rPr>
        <w:instrText xml:space="preserve"> </w:instrText>
      </w:r>
      <w:r w:rsidR="00824DA4">
        <w:rPr>
          <w:lang w:val="en-US" w:eastAsia="en-US"/>
        </w:rPr>
        <w:instrText>their</w:instrText>
      </w:r>
      <w:r w:rsidR="00824DA4" w:rsidRPr="00824DA4">
        <w:rPr>
          <w:lang w:eastAsia="en-US"/>
        </w:rPr>
        <w:instrText xml:space="preserve"> </w:instrText>
      </w:r>
      <w:r w:rsidR="00824DA4">
        <w:rPr>
          <w:lang w:val="en-US" w:eastAsia="en-US"/>
        </w:rPr>
        <w:instrText>known</w:instrText>
      </w:r>
      <w:r w:rsidR="00824DA4" w:rsidRPr="00824DA4">
        <w:rPr>
          <w:lang w:eastAsia="en-US"/>
        </w:rPr>
        <w:instrText xml:space="preserve"> </w:instrText>
      </w:r>
      <w:r w:rsidR="00824DA4">
        <w:rPr>
          <w:lang w:val="en-US" w:eastAsia="en-US"/>
        </w:rPr>
        <w:instrText>pharmacological</w:instrText>
      </w:r>
      <w:r w:rsidR="00824DA4" w:rsidRPr="00824DA4">
        <w:rPr>
          <w:lang w:eastAsia="en-US"/>
        </w:rPr>
        <w:instrText xml:space="preserve"> </w:instrText>
      </w:r>
      <w:r w:rsidR="00824DA4">
        <w:rPr>
          <w:lang w:val="en-US" w:eastAsia="en-US"/>
        </w:rPr>
        <w:instrText>properties</w:instrText>
      </w:r>
      <w:r w:rsidR="00824DA4" w:rsidRPr="00824DA4">
        <w:rPr>
          <w:lang w:eastAsia="en-US"/>
        </w:rPr>
        <w:instrText xml:space="preserve"> </w:instrText>
      </w:r>
      <w:r w:rsidR="00824DA4">
        <w:rPr>
          <w:lang w:val="en-US" w:eastAsia="en-US"/>
        </w:rPr>
        <w:instrText>include</w:instrText>
      </w:r>
      <w:r w:rsidR="00824DA4" w:rsidRPr="00824DA4">
        <w:rPr>
          <w:lang w:eastAsia="en-US"/>
        </w:rPr>
        <w:instrText xml:space="preserve"> </w:instrText>
      </w:r>
      <w:r w:rsidR="00824DA4">
        <w:rPr>
          <w:lang w:val="en-US" w:eastAsia="en-US"/>
        </w:rPr>
        <w:instrText>gabapentin</w:instrText>
      </w:r>
      <w:r w:rsidR="00824DA4" w:rsidRPr="00824DA4">
        <w:rPr>
          <w:lang w:eastAsia="en-US"/>
        </w:rPr>
        <w:instrText xml:space="preserve">, </w:instrText>
      </w:r>
      <w:r w:rsidR="00824DA4">
        <w:rPr>
          <w:lang w:val="en-US" w:eastAsia="en-US"/>
        </w:rPr>
        <w:instrText>lamotrigine</w:instrText>
      </w:r>
      <w:r w:rsidR="00824DA4" w:rsidRPr="00824DA4">
        <w:rPr>
          <w:lang w:eastAsia="en-US"/>
        </w:rPr>
        <w:instrText xml:space="preserve">, </w:instrText>
      </w:r>
      <w:r w:rsidR="00824DA4">
        <w:rPr>
          <w:lang w:val="en-US" w:eastAsia="en-US"/>
        </w:rPr>
        <w:instrText>levetiracetam</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pregabalin</w:instrText>
      </w:r>
      <w:r w:rsidR="00824DA4" w:rsidRPr="00824DA4">
        <w:rPr>
          <w:lang w:eastAsia="en-US"/>
        </w:rPr>
        <w:instrText xml:space="preserve">. </w:instrText>
      </w:r>
      <w:r w:rsidR="00824DA4">
        <w:rPr>
          <w:lang w:val="en-US" w:eastAsia="en-US"/>
        </w:rPr>
        <w:instrText>Overall</w:instrText>
      </w:r>
      <w:r w:rsidR="00824DA4" w:rsidRPr="00824DA4">
        <w:rPr>
          <w:lang w:eastAsia="en-US"/>
        </w:rPr>
        <w:instrText xml:space="preserve">, </w:instrText>
      </w:r>
      <w:r w:rsidR="00824DA4">
        <w:rPr>
          <w:lang w:val="en-US" w:eastAsia="en-US"/>
        </w:rPr>
        <w:instrText>pharmacokinetic</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clinical</w:instrText>
      </w:r>
      <w:r w:rsidR="00824DA4" w:rsidRPr="00824DA4">
        <w:rPr>
          <w:lang w:eastAsia="en-US"/>
        </w:rPr>
        <w:instrText xml:space="preserve"> </w:instrText>
      </w:r>
      <w:r w:rsidR="00824DA4">
        <w:rPr>
          <w:lang w:val="en-US" w:eastAsia="en-US"/>
        </w:rPr>
        <w:instrText>data</w:instrText>
      </w:r>
      <w:r w:rsidR="00824DA4" w:rsidRPr="00824DA4">
        <w:rPr>
          <w:lang w:eastAsia="en-US"/>
        </w:rPr>
        <w:instrText xml:space="preserve"> </w:instrText>
      </w:r>
      <w:r w:rsidR="00824DA4">
        <w:rPr>
          <w:lang w:val="en-US" w:eastAsia="en-US"/>
        </w:rPr>
        <w:instrText>show</w:instrText>
      </w:r>
      <w:r w:rsidR="00824DA4" w:rsidRPr="00824DA4">
        <w:rPr>
          <w:lang w:eastAsia="en-US"/>
        </w:rPr>
        <w:instrText xml:space="preserve"> </w:instrText>
      </w:r>
      <w:r w:rsidR="00824DA4">
        <w:rPr>
          <w:lang w:val="en-US" w:eastAsia="en-US"/>
        </w:rPr>
        <w:instrText>etravirine</w:instrText>
      </w:r>
      <w:r w:rsidR="00824DA4" w:rsidRPr="00824DA4">
        <w:rPr>
          <w:lang w:eastAsia="en-US"/>
        </w:rPr>
        <w:instrText xml:space="preserve"> </w:instrText>
      </w:r>
      <w:r w:rsidR="00824DA4">
        <w:rPr>
          <w:lang w:val="en-US" w:eastAsia="en-US"/>
        </w:rPr>
        <w:instrText>to</w:instrText>
      </w:r>
      <w:r w:rsidR="00824DA4" w:rsidRPr="00824DA4">
        <w:rPr>
          <w:lang w:eastAsia="en-US"/>
        </w:rPr>
        <w:instrText xml:space="preserve"> </w:instrText>
      </w:r>
      <w:r w:rsidR="00824DA4">
        <w:rPr>
          <w:lang w:val="en-US" w:eastAsia="en-US"/>
        </w:rPr>
        <w:instrText>be</w:instrText>
      </w:r>
      <w:r w:rsidR="00824DA4" w:rsidRPr="00824DA4">
        <w:rPr>
          <w:lang w:eastAsia="en-US"/>
        </w:rPr>
        <w:instrText xml:space="preserve"> </w:instrText>
      </w:r>
      <w:r w:rsidR="00824DA4">
        <w:rPr>
          <w:lang w:val="en-US" w:eastAsia="en-US"/>
        </w:rPr>
        <w:instrText>well</w:instrText>
      </w:r>
      <w:r w:rsidR="00824DA4" w:rsidRPr="00824DA4">
        <w:rPr>
          <w:lang w:eastAsia="en-US"/>
        </w:rPr>
        <w:instrText xml:space="preserve"> </w:instrText>
      </w:r>
      <w:r w:rsidR="00824DA4">
        <w:rPr>
          <w:lang w:val="en-US" w:eastAsia="en-US"/>
        </w:rPr>
        <w:instrText>tolerated</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generally</w:instrText>
      </w:r>
      <w:r w:rsidR="00824DA4" w:rsidRPr="00824DA4">
        <w:rPr>
          <w:lang w:eastAsia="en-US"/>
        </w:rPr>
        <w:instrText xml:space="preserve"> </w:instrText>
      </w:r>
      <w:r w:rsidR="00824DA4">
        <w:rPr>
          <w:lang w:val="en-US" w:eastAsia="en-US"/>
        </w:rPr>
        <w:instrText>safe</w:instrText>
      </w:r>
      <w:r w:rsidR="00824DA4" w:rsidRPr="00824DA4">
        <w:rPr>
          <w:lang w:eastAsia="en-US"/>
        </w:rPr>
        <w:instrText xml:space="preserve"> </w:instrText>
      </w:r>
      <w:r w:rsidR="00824DA4">
        <w:rPr>
          <w:lang w:val="en-US" w:eastAsia="en-US"/>
        </w:rPr>
        <w:instrText>when</w:instrText>
      </w:r>
      <w:r w:rsidR="00824DA4" w:rsidRPr="00824DA4">
        <w:rPr>
          <w:lang w:eastAsia="en-US"/>
        </w:rPr>
        <w:instrText xml:space="preserve"> </w:instrText>
      </w:r>
      <w:r w:rsidR="00824DA4">
        <w:rPr>
          <w:lang w:val="en-US" w:eastAsia="en-US"/>
        </w:rPr>
        <w:instrText>given</w:instrText>
      </w:r>
      <w:r w:rsidR="00824DA4" w:rsidRPr="00824DA4">
        <w:rPr>
          <w:lang w:eastAsia="en-US"/>
        </w:rPr>
        <w:instrText xml:space="preserve"> </w:instrText>
      </w:r>
      <w:r w:rsidR="00824DA4">
        <w:rPr>
          <w:lang w:val="en-US" w:eastAsia="en-US"/>
        </w:rPr>
        <w:instrText>in</w:instrText>
      </w:r>
      <w:r w:rsidR="00824DA4" w:rsidRPr="00824DA4">
        <w:rPr>
          <w:lang w:eastAsia="en-US"/>
        </w:rPr>
        <w:instrText xml:space="preserve"> </w:instrText>
      </w:r>
      <w:r w:rsidR="00824DA4">
        <w:rPr>
          <w:lang w:val="en-US" w:eastAsia="en-US"/>
        </w:rPr>
        <w:instrText>combination</w:instrText>
      </w:r>
      <w:r w:rsidR="00824DA4" w:rsidRPr="00824DA4">
        <w:rPr>
          <w:lang w:eastAsia="en-US"/>
        </w:rPr>
        <w:instrText xml:space="preserve"> </w:instrText>
      </w:r>
      <w:r w:rsidR="00824DA4">
        <w:rPr>
          <w:lang w:val="en-US" w:eastAsia="en-US"/>
        </w:rPr>
        <w:instrText>with</w:instrText>
      </w:r>
      <w:r w:rsidR="00824DA4" w:rsidRPr="00824DA4">
        <w:rPr>
          <w:lang w:eastAsia="en-US"/>
        </w:rPr>
        <w:instrText xml:space="preserve"> </w:instrText>
      </w:r>
      <w:r w:rsidR="00824DA4">
        <w:rPr>
          <w:lang w:val="en-US" w:eastAsia="en-US"/>
        </w:rPr>
        <w:instrText>non</w:instrText>
      </w:r>
      <w:r w:rsidR="00824DA4" w:rsidRPr="00824DA4">
        <w:rPr>
          <w:lang w:eastAsia="en-US"/>
        </w:rPr>
        <w:instrText>-</w:instrText>
      </w:r>
      <w:r w:rsidR="00824DA4">
        <w:rPr>
          <w:lang w:val="en-US" w:eastAsia="en-US"/>
        </w:rPr>
        <w:instrText>antiretroviral</w:instrText>
      </w:r>
      <w:r w:rsidR="00824DA4" w:rsidRPr="00824DA4">
        <w:rPr>
          <w:lang w:eastAsia="en-US"/>
        </w:rPr>
        <w:instrText xml:space="preserve"> </w:instrText>
      </w:r>
      <w:r w:rsidR="00824DA4">
        <w:rPr>
          <w:lang w:val="en-US" w:eastAsia="en-US"/>
        </w:rPr>
        <w:instrText>agents</w:instrText>
      </w:r>
      <w:r w:rsidR="00824DA4" w:rsidRPr="00824DA4">
        <w:rPr>
          <w:lang w:eastAsia="en-US"/>
        </w:rPr>
        <w:instrText xml:space="preserve">, </w:instrText>
      </w:r>
      <w:r w:rsidR="00824DA4">
        <w:rPr>
          <w:lang w:val="en-US" w:eastAsia="en-US"/>
        </w:rPr>
        <w:instrText>with</w:instrText>
      </w:r>
      <w:r w:rsidR="00824DA4" w:rsidRPr="00824DA4">
        <w:rPr>
          <w:lang w:eastAsia="en-US"/>
        </w:rPr>
        <w:instrText xml:space="preserve"> </w:instrText>
      </w:r>
      <w:r w:rsidR="00824DA4">
        <w:rPr>
          <w:lang w:val="en-US" w:eastAsia="en-US"/>
        </w:rPr>
        <w:instrText>minimal</w:instrText>
      </w:r>
      <w:r w:rsidR="00824DA4" w:rsidRPr="00824DA4">
        <w:rPr>
          <w:lang w:eastAsia="en-US"/>
        </w:rPr>
        <w:instrText xml:space="preserve"> </w:instrText>
      </w:r>
      <w:r w:rsidR="00824DA4">
        <w:rPr>
          <w:lang w:val="en-US" w:eastAsia="en-US"/>
        </w:rPr>
        <w:instrText>clinically</w:instrText>
      </w:r>
      <w:r w:rsidR="00824DA4" w:rsidRPr="00824DA4">
        <w:rPr>
          <w:lang w:eastAsia="en-US"/>
        </w:rPr>
        <w:instrText xml:space="preserve"> </w:instrText>
      </w:r>
      <w:r w:rsidR="00824DA4">
        <w:rPr>
          <w:lang w:val="en-US" w:eastAsia="en-US"/>
        </w:rPr>
        <w:instrText>significant</w:instrText>
      </w:r>
      <w:r w:rsidR="00824DA4" w:rsidRPr="00824DA4">
        <w:rPr>
          <w:lang w:eastAsia="en-US"/>
        </w:rPr>
        <w:instrText xml:space="preserve"> </w:instrText>
      </w:r>
      <w:r w:rsidR="00824DA4">
        <w:rPr>
          <w:lang w:val="en-US" w:eastAsia="en-US"/>
        </w:rPr>
        <w:instrText>drug</w:instrText>
      </w:r>
      <w:r w:rsidR="00824DA4" w:rsidRPr="00824DA4">
        <w:rPr>
          <w:lang w:eastAsia="en-US"/>
        </w:rPr>
        <w:instrText xml:space="preserve"> </w:instrText>
      </w:r>
      <w:r w:rsidR="00824DA4">
        <w:rPr>
          <w:lang w:val="en-US" w:eastAsia="en-US"/>
        </w:rPr>
        <w:instrText>interactions</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no</w:instrText>
      </w:r>
      <w:r w:rsidR="00824DA4" w:rsidRPr="00824DA4">
        <w:rPr>
          <w:lang w:eastAsia="en-US"/>
        </w:rPr>
        <w:instrText xml:space="preserve"> </w:instrText>
      </w:r>
      <w:r w:rsidR="00824DA4">
        <w:rPr>
          <w:lang w:val="en-US" w:eastAsia="en-US"/>
        </w:rPr>
        <w:instrText>need</w:instrText>
      </w:r>
      <w:r w:rsidR="00824DA4" w:rsidRPr="00824DA4">
        <w:rPr>
          <w:lang w:eastAsia="en-US"/>
        </w:rPr>
        <w:instrText xml:space="preserve"> </w:instrText>
      </w:r>
      <w:r w:rsidR="00824DA4">
        <w:rPr>
          <w:lang w:val="en-US" w:eastAsia="en-US"/>
        </w:rPr>
        <w:instrText>for</w:instrText>
      </w:r>
      <w:r w:rsidR="00824DA4" w:rsidRPr="00824DA4">
        <w:rPr>
          <w:lang w:eastAsia="en-US"/>
        </w:rPr>
        <w:instrText xml:space="preserve"> </w:instrText>
      </w:r>
      <w:r w:rsidR="00824DA4">
        <w:rPr>
          <w:lang w:val="en-US" w:eastAsia="en-US"/>
        </w:rPr>
        <w:instrText>dosage</w:instrText>
      </w:r>
      <w:r w:rsidR="00824DA4" w:rsidRPr="00824DA4">
        <w:rPr>
          <w:lang w:eastAsia="en-US"/>
        </w:rPr>
        <w:instrText xml:space="preserve"> </w:instrText>
      </w:r>
      <w:r w:rsidR="00824DA4">
        <w:rPr>
          <w:lang w:val="en-US" w:eastAsia="en-US"/>
        </w:rPr>
        <w:instrText>adjustments</w:instrText>
      </w:r>
      <w:r w:rsidR="00824DA4" w:rsidRPr="00824DA4">
        <w:rPr>
          <w:lang w:eastAsia="en-US"/>
        </w:rPr>
        <w:instrText xml:space="preserve"> </w:instrText>
      </w:r>
      <w:r w:rsidR="00824DA4">
        <w:rPr>
          <w:lang w:val="en-US" w:eastAsia="en-US"/>
        </w:rPr>
        <w:instrText>of</w:instrText>
      </w:r>
      <w:r w:rsidR="00824DA4" w:rsidRPr="00824DA4">
        <w:rPr>
          <w:lang w:eastAsia="en-US"/>
        </w:rPr>
        <w:instrText xml:space="preserve"> </w:instrText>
      </w:r>
      <w:r w:rsidR="00824DA4">
        <w:rPr>
          <w:lang w:val="en-US" w:eastAsia="en-US"/>
        </w:rPr>
        <w:instrText>etravirine</w:instrText>
      </w:r>
      <w:r w:rsidR="00824DA4" w:rsidRPr="00824DA4">
        <w:rPr>
          <w:lang w:eastAsia="en-US"/>
        </w:rPr>
        <w:instrText xml:space="preserve"> </w:instrText>
      </w:r>
      <w:r w:rsidR="00824DA4">
        <w:rPr>
          <w:lang w:val="en-US" w:eastAsia="en-US"/>
        </w:rPr>
        <w:instrText>in</w:instrText>
      </w:r>
      <w:r w:rsidR="00824DA4" w:rsidRPr="00824DA4">
        <w:rPr>
          <w:lang w:eastAsia="en-US"/>
        </w:rPr>
        <w:instrText xml:space="preserve"> </w:instrText>
      </w:r>
      <w:r w:rsidR="00824DA4">
        <w:rPr>
          <w:lang w:val="en-US" w:eastAsia="en-US"/>
        </w:rPr>
        <w:instrText>any</w:instrText>
      </w:r>
      <w:r w:rsidR="00824DA4" w:rsidRPr="00824DA4">
        <w:rPr>
          <w:lang w:eastAsia="en-US"/>
        </w:rPr>
        <w:instrText xml:space="preserve"> </w:instrText>
      </w:r>
      <w:r w:rsidR="00824DA4">
        <w:rPr>
          <w:lang w:val="en-US" w:eastAsia="en-US"/>
        </w:rPr>
        <w:instrText>of</w:instrText>
      </w:r>
      <w:r w:rsidR="00824DA4" w:rsidRPr="00824DA4">
        <w:rPr>
          <w:lang w:eastAsia="en-US"/>
        </w:rPr>
        <w:instrText xml:space="preserve"> </w:instrText>
      </w:r>
      <w:r w:rsidR="00824DA4">
        <w:rPr>
          <w:lang w:val="en-US" w:eastAsia="en-US"/>
        </w:rPr>
        <w:instrText>the</w:instrText>
      </w:r>
      <w:r w:rsidR="00824DA4" w:rsidRPr="00824DA4">
        <w:rPr>
          <w:lang w:eastAsia="en-US"/>
        </w:rPr>
        <w:instrText xml:space="preserve"> </w:instrText>
      </w:r>
      <w:r w:rsidR="00824DA4">
        <w:rPr>
          <w:lang w:val="en-US" w:eastAsia="en-US"/>
        </w:rPr>
        <w:instrText>cases</w:instrText>
      </w:r>
      <w:r w:rsidR="00824DA4" w:rsidRPr="00824DA4">
        <w:rPr>
          <w:lang w:eastAsia="en-US"/>
        </w:rPr>
        <w:instrText xml:space="preserve">, </w:instrText>
      </w:r>
      <w:r w:rsidR="00824DA4">
        <w:rPr>
          <w:lang w:val="en-US" w:eastAsia="en-US"/>
        </w:rPr>
        <w:instrText>or</w:instrText>
      </w:r>
      <w:r w:rsidR="00824DA4" w:rsidRPr="00824DA4">
        <w:rPr>
          <w:lang w:eastAsia="en-US"/>
        </w:rPr>
        <w:instrText xml:space="preserve"> </w:instrText>
      </w:r>
      <w:r w:rsidR="00824DA4">
        <w:rPr>
          <w:lang w:val="en-US" w:eastAsia="en-US"/>
        </w:rPr>
        <w:instrText>of</w:instrText>
      </w:r>
      <w:r w:rsidR="00824DA4" w:rsidRPr="00824DA4">
        <w:rPr>
          <w:lang w:eastAsia="en-US"/>
        </w:rPr>
        <w:instrText xml:space="preserve"> </w:instrText>
      </w:r>
      <w:r w:rsidR="00824DA4">
        <w:rPr>
          <w:lang w:val="en-US" w:eastAsia="en-US"/>
        </w:rPr>
        <w:instrText>the</w:instrText>
      </w:r>
      <w:r w:rsidR="00824DA4" w:rsidRPr="00824DA4">
        <w:rPr>
          <w:lang w:eastAsia="en-US"/>
        </w:rPr>
        <w:instrText xml:space="preserve"> </w:instrText>
      </w:r>
      <w:r w:rsidR="00824DA4">
        <w:rPr>
          <w:lang w:val="en-US" w:eastAsia="en-US"/>
        </w:rPr>
        <w:instrText>non</w:instrText>
      </w:r>
      <w:r w:rsidR="00824DA4" w:rsidRPr="00824DA4">
        <w:rPr>
          <w:lang w:eastAsia="en-US"/>
        </w:rPr>
        <w:instrText>-</w:instrText>
      </w:r>
      <w:r w:rsidR="00824DA4">
        <w:rPr>
          <w:lang w:val="en-US" w:eastAsia="en-US"/>
        </w:rPr>
        <w:instrText>antiretroviral</w:instrText>
      </w:r>
      <w:r w:rsidR="00824DA4" w:rsidRPr="00824DA4">
        <w:rPr>
          <w:lang w:eastAsia="en-US"/>
        </w:rPr>
        <w:instrText xml:space="preserve"> </w:instrText>
      </w:r>
      <w:r w:rsidR="00824DA4">
        <w:rPr>
          <w:lang w:val="en-US" w:eastAsia="en-US"/>
        </w:rPr>
        <w:instrText>agent</w:instrText>
      </w:r>
      <w:r w:rsidR="00824DA4" w:rsidRPr="00824DA4">
        <w:rPr>
          <w:lang w:eastAsia="en-US"/>
        </w:rPr>
        <w:instrText xml:space="preserve"> </w:instrText>
      </w:r>
      <w:r w:rsidR="00824DA4">
        <w:rPr>
          <w:lang w:val="en-US" w:eastAsia="en-US"/>
        </w:rPr>
        <w:instrText>in</w:instrText>
      </w:r>
      <w:r w:rsidR="00824DA4" w:rsidRPr="00824DA4">
        <w:rPr>
          <w:lang w:eastAsia="en-US"/>
        </w:rPr>
        <w:instrText xml:space="preserve"> </w:instrText>
      </w:r>
      <w:r w:rsidR="00824DA4">
        <w:rPr>
          <w:lang w:val="en-US" w:eastAsia="en-US"/>
        </w:rPr>
        <w:instrText>the</w:instrText>
      </w:r>
      <w:r w:rsidR="00824DA4" w:rsidRPr="00824DA4">
        <w:rPr>
          <w:lang w:eastAsia="en-US"/>
        </w:rPr>
        <w:instrText xml:space="preserve"> </w:instrText>
      </w:r>
      <w:r w:rsidR="00824DA4">
        <w:rPr>
          <w:lang w:val="en-US" w:eastAsia="en-US"/>
        </w:rPr>
        <w:instrText>majority</w:instrText>
      </w:r>
      <w:r w:rsidR="00824DA4" w:rsidRPr="00824DA4">
        <w:rPr>
          <w:lang w:eastAsia="en-US"/>
        </w:rPr>
        <w:instrText xml:space="preserve"> </w:instrText>
      </w:r>
      <w:r w:rsidR="00824DA4">
        <w:rPr>
          <w:lang w:val="en-US" w:eastAsia="en-US"/>
        </w:rPr>
        <w:instrText>of</w:instrText>
      </w:r>
      <w:r w:rsidR="00824DA4" w:rsidRPr="00824DA4">
        <w:rPr>
          <w:lang w:eastAsia="en-US"/>
        </w:rPr>
        <w:instrText xml:space="preserve"> </w:instrText>
      </w:r>
      <w:r w:rsidR="00824DA4">
        <w:rPr>
          <w:lang w:val="en-US" w:eastAsia="en-US"/>
        </w:rPr>
        <w:instrText>cases</w:instrText>
      </w:r>
      <w:r w:rsidR="00824DA4" w:rsidRPr="00824DA4">
        <w:rPr>
          <w:lang w:eastAsia="en-US"/>
        </w:rPr>
        <w:instrText xml:space="preserve"> </w:instrText>
      </w:r>
      <w:r w:rsidR="00824DA4">
        <w:rPr>
          <w:lang w:val="en-US" w:eastAsia="en-US"/>
        </w:rPr>
        <w:instrText>studied</w:instrText>
      </w:r>
      <w:r w:rsidR="00824DA4" w:rsidRPr="00824DA4">
        <w:rPr>
          <w:lang w:eastAsia="en-US"/>
        </w:rPr>
        <w:instrText>.","</w:instrText>
      </w:r>
      <w:r w:rsidR="00824DA4">
        <w:rPr>
          <w:lang w:val="en-US" w:eastAsia="en-US"/>
        </w:rPr>
        <w:instrText>container</w:instrText>
      </w:r>
      <w:r w:rsidR="00824DA4" w:rsidRPr="00824DA4">
        <w:rPr>
          <w:lang w:eastAsia="en-US"/>
        </w:rPr>
        <w:instrText>-</w:instrText>
      </w:r>
      <w:r w:rsidR="00824DA4">
        <w:rPr>
          <w:lang w:val="en-US" w:eastAsia="en-US"/>
        </w:rPr>
        <w:instrText>title</w:instrText>
      </w:r>
      <w:r w:rsidR="00824DA4" w:rsidRPr="00824DA4">
        <w:rPr>
          <w:lang w:eastAsia="en-US"/>
        </w:rPr>
        <w:instrText>":"</w:instrText>
      </w:r>
      <w:r w:rsidR="00824DA4">
        <w:rPr>
          <w:lang w:val="en-US" w:eastAsia="en-US"/>
        </w:rPr>
        <w:instrText>Clinical</w:instrText>
      </w:r>
      <w:r w:rsidR="00824DA4" w:rsidRPr="00824DA4">
        <w:rPr>
          <w:lang w:eastAsia="en-US"/>
        </w:rPr>
        <w:instrText xml:space="preserve"> </w:instrText>
      </w:r>
      <w:r w:rsidR="00824DA4">
        <w:rPr>
          <w:lang w:val="en-US" w:eastAsia="en-US"/>
        </w:rPr>
        <w:instrText>Pharmacokinetics</w:instrText>
      </w:r>
      <w:r w:rsidR="00824DA4" w:rsidRPr="00824DA4">
        <w:rPr>
          <w:lang w:eastAsia="en-US"/>
        </w:rPr>
        <w:instrText>","</w:instrText>
      </w:r>
      <w:r w:rsidR="00824DA4">
        <w:rPr>
          <w:lang w:val="en-US" w:eastAsia="en-US"/>
        </w:rPr>
        <w:instrText>DOI</w:instrText>
      </w:r>
      <w:r w:rsidR="00824DA4" w:rsidRPr="00824DA4">
        <w:rPr>
          <w:lang w:eastAsia="en-US"/>
        </w:rPr>
        <w:instrText>":"10.2165/11534740-000000000-00000","</w:instrText>
      </w:r>
      <w:r w:rsidR="00824DA4">
        <w:rPr>
          <w:lang w:val="en-US" w:eastAsia="en-US"/>
        </w:rPr>
        <w:instrText>ISSN</w:instrText>
      </w:r>
      <w:r w:rsidR="00824DA4" w:rsidRPr="00824DA4">
        <w:rPr>
          <w:lang w:eastAsia="en-US"/>
        </w:rPr>
        <w:instrText>":"1179-1926","</w:instrText>
      </w:r>
      <w:r w:rsidR="00824DA4">
        <w:rPr>
          <w:lang w:val="en-US" w:eastAsia="en-US"/>
        </w:rPr>
        <w:instrText>issue</w:instrText>
      </w:r>
      <w:r w:rsidR="00824DA4" w:rsidRPr="00824DA4">
        <w:rPr>
          <w:lang w:eastAsia="en-US"/>
        </w:rPr>
        <w:instrText>":"1","</w:instrText>
      </w:r>
      <w:r w:rsidR="00824DA4">
        <w:rPr>
          <w:lang w:val="en-US" w:eastAsia="en-US"/>
        </w:rPr>
        <w:instrText>journalAbbreviation</w:instrText>
      </w:r>
      <w:r w:rsidR="00824DA4" w:rsidRPr="00824DA4">
        <w:rPr>
          <w:lang w:eastAsia="en-US"/>
        </w:rPr>
        <w:instrText>":"</w:instrText>
      </w:r>
      <w:r w:rsidR="00824DA4">
        <w:rPr>
          <w:lang w:val="en-US" w:eastAsia="en-US"/>
        </w:rPr>
        <w:instrText>Clin</w:instrText>
      </w:r>
      <w:r w:rsidR="00824DA4" w:rsidRPr="00824DA4">
        <w:rPr>
          <w:lang w:eastAsia="en-US"/>
        </w:rPr>
        <w:instrText xml:space="preserve"> </w:instrText>
      </w:r>
      <w:r w:rsidR="00824DA4">
        <w:rPr>
          <w:lang w:val="en-US" w:eastAsia="en-US"/>
        </w:rPr>
        <w:instrText>Pharmacokinet</w:instrText>
      </w:r>
      <w:r w:rsidR="00824DA4" w:rsidRPr="00824DA4">
        <w:rPr>
          <w:lang w:eastAsia="en-US"/>
        </w:rPr>
        <w:instrText>","</w:instrText>
      </w:r>
      <w:r w:rsidR="00824DA4">
        <w:rPr>
          <w:lang w:val="en-US" w:eastAsia="en-US"/>
        </w:rPr>
        <w:instrText>language</w:instrText>
      </w:r>
      <w:r w:rsidR="00824DA4" w:rsidRPr="00824DA4">
        <w:rPr>
          <w:lang w:eastAsia="en-US"/>
        </w:rPr>
        <w:instrText>":"</w:instrText>
      </w:r>
      <w:r w:rsidR="00824DA4">
        <w:rPr>
          <w:lang w:val="en-US" w:eastAsia="en-US"/>
        </w:rPr>
        <w:instrText>eng</w:instrText>
      </w:r>
      <w:r w:rsidR="00824DA4" w:rsidRPr="00824DA4">
        <w:rPr>
          <w:lang w:eastAsia="en-US"/>
        </w:rPr>
        <w:instrText>","</w:instrText>
      </w:r>
      <w:r w:rsidR="00824DA4">
        <w:rPr>
          <w:lang w:val="en-US" w:eastAsia="en-US"/>
        </w:rPr>
        <w:instrText>note</w:instrText>
      </w:r>
      <w:r w:rsidR="00824DA4" w:rsidRPr="00824DA4">
        <w:rPr>
          <w:lang w:eastAsia="en-US"/>
        </w:rPr>
        <w:instrText>":"</w:instrText>
      </w:r>
      <w:r w:rsidR="00824DA4">
        <w:rPr>
          <w:lang w:val="en-US" w:eastAsia="en-US"/>
        </w:rPr>
        <w:instrText>PMID</w:instrText>
      </w:r>
      <w:r w:rsidR="00824DA4" w:rsidRPr="00824DA4">
        <w:rPr>
          <w:lang w:eastAsia="en-US"/>
        </w:rPr>
        <w:instrText>: 21142266","</w:instrText>
      </w:r>
      <w:r w:rsidR="00824DA4">
        <w:rPr>
          <w:lang w:val="en-US" w:eastAsia="en-US"/>
        </w:rPr>
        <w:instrText>page</w:instrText>
      </w:r>
      <w:r w:rsidR="00824DA4" w:rsidRPr="00824DA4">
        <w:rPr>
          <w:lang w:eastAsia="en-US"/>
        </w:rPr>
        <w:instrText>":"25-39","</w:instrText>
      </w:r>
      <w:r w:rsidR="00824DA4">
        <w:rPr>
          <w:lang w:val="en-US" w:eastAsia="en-US"/>
        </w:rPr>
        <w:instrText>source</w:instrText>
      </w:r>
      <w:r w:rsidR="00824DA4" w:rsidRPr="00824DA4">
        <w:rPr>
          <w:lang w:eastAsia="en-US"/>
        </w:rPr>
        <w:instrText>":"</w:instrText>
      </w:r>
      <w:r w:rsidR="00824DA4">
        <w:rPr>
          <w:lang w:val="en-US" w:eastAsia="en-US"/>
        </w:rPr>
        <w:instrText>PubMed</w:instrText>
      </w:r>
      <w:r w:rsidR="00824DA4" w:rsidRPr="00824DA4">
        <w:rPr>
          <w:lang w:eastAsia="en-US"/>
        </w:rPr>
        <w:instrText>","</w:instrText>
      </w:r>
      <w:r w:rsidR="00824DA4">
        <w:rPr>
          <w:lang w:val="en-US" w:eastAsia="en-US"/>
        </w:rPr>
        <w:instrText>title</w:instrText>
      </w:r>
      <w:r w:rsidR="00824DA4" w:rsidRPr="00824DA4">
        <w:rPr>
          <w:lang w:eastAsia="en-US"/>
        </w:rPr>
        <w:instrText>":"</w:instrText>
      </w:r>
      <w:r w:rsidR="00824DA4">
        <w:rPr>
          <w:lang w:val="en-US" w:eastAsia="en-US"/>
        </w:rPr>
        <w:instrText>Pharmacokinetic</w:instrText>
      </w:r>
      <w:r w:rsidR="00824DA4" w:rsidRPr="00824DA4">
        <w:rPr>
          <w:lang w:eastAsia="en-US"/>
        </w:rPr>
        <w:instrText xml:space="preserve"> </w:instrText>
      </w:r>
      <w:r w:rsidR="00824DA4">
        <w:rPr>
          <w:lang w:val="en-US" w:eastAsia="en-US"/>
        </w:rPr>
        <w:instrText>interactions</w:instrText>
      </w:r>
      <w:r w:rsidR="00824DA4" w:rsidRPr="00824DA4">
        <w:rPr>
          <w:lang w:eastAsia="en-US"/>
        </w:rPr>
        <w:instrText xml:space="preserve"> </w:instrText>
      </w:r>
      <w:r w:rsidR="00824DA4">
        <w:rPr>
          <w:lang w:val="en-US" w:eastAsia="en-US"/>
        </w:rPr>
        <w:instrText>between</w:instrText>
      </w:r>
      <w:r w:rsidR="00824DA4" w:rsidRPr="00824DA4">
        <w:rPr>
          <w:lang w:eastAsia="en-US"/>
        </w:rPr>
        <w:instrText xml:space="preserve"> </w:instrText>
      </w:r>
      <w:r w:rsidR="00824DA4">
        <w:rPr>
          <w:lang w:val="en-US" w:eastAsia="en-US"/>
        </w:rPr>
        <w:instrText>etravirine</w:instrText>
      </w:r>
      <w:r w:rsidR="00824DA4" w:rsidRPr="00824DA4">
        <w:rPr>
          <w:lang w:eastAsia="en-US"/>
        </w:rPr>
        <w:instrText xml:space="preserve"> </w:instrText>
      </w:r>
      <w:r w:rsidR="00824DA4">
        <w:rPr>
          <w:lang w:val="en-US" w:eastAsia="en-US"/>
        </w:rPr>
        <w:instrText>and</w:instrText>
      </w:r>
      <w:r w:rsidR="00824DA4" w:rsidRPr="00824DA4">
        <w:rPr>
          <w:lang w:eastAsia="en-US"/>
        </w:rPr>
        <w:instrText xml:space="preserve"> </w:instrText>
      </w:r>
      <w:r w:rsidR="00824DA4">
        <w:rPr>
          <w:lang w:val="en-US" w:eastAsia="en-US"/>
        </w:rPr>
        <w:instrText>non</w:instrText>
      </w:r>
      <w:r w:rsidR="00824DA4" w:rsidRPr="00824DA4">
        <w:rPr>
          <w:lang w:eastAsia="en-US"/>
        </w:rPr>
        <w:instrText>-</w:instrText>
      </w:r>
      <w:r w:rsidR="00824DA4">
        <w:rPr>
          <w:lang w:val="en-US" w:eastAsia="en-US"/>
        </w:rPr>
        <w:instrText>antiretroviral</w:instrText>
      </w:r>
      <w:r w:rsidR="00824DA4" w:rsidRPr="00824DA4">
        <w:rPr>
          <w:lang w:eastAsia="en-US"/>
        </w:rPr>
        <w:instrText xml:space="preserve"> </w:instrText>
      </w:r>
      <w:r w:rsidR="00824DA4">
        <w:rPr>
          <w:lang w:val="en-US" w:eastAsia="en-US"/>
        </w:rPr>
        <w:instrText>drugs</w:instrText>
      </w:r>
      <w:r w:rsidR="00824DA4" w:rsidRPr="00824DA4">
        <w:rPr>
          <w:lang w:eastAsia="en-US"/>
        </w:rPr>
        <w:instrText>","</w:instrText>
      </w:r>
      <w:r w:rsidR="00824DA4">
        <w:rPr>
          <w:lang w:val="en-US" w:eastAsia="en-US"/>
        </w:rPr>
        <w:instrText>volume</w:instrText>
      </w:r>
      <w:r w:rsidR="00824DA4" w:rsidRPr="00824DA4">
        <w:rPr>
          <w:lang w:eastAsia="en-US"/>
        </w:rPr>
        <w:instrText>":"50","</w:instrText>
      </w:r>
      <w:r w:rsidR="00824DA4">
        <w:rPr>
          <w:lang w:val="en-US" w:eastAsia="en-US"/>
        </w:rPr>
        <w:instrText>author</w:instrText>
      </w:r>
      <w:r w:rsidR="00824DA4" w:rsidRPr="00824DA4">
        <w:rPr>
          <w:lang w:eastAsia="en-US"/>
        </w:rPr>
        <w:instrText>":[{"</w:instrText>
      </w:r>
      <w:r w:rsidR="00824DA4">
        <w:rPr>
          <w:lang w:val="en-US" w:eastAsia="en-US"/>
        </w:rPr>
        <w:instrText>family</w:instrText>
      </w:r>
      <w:r w:rsidR="00824DA4" w:rsidRPr="00824DA4">
        <w:rPr>
          <w:lang w:eastAsia="en-US"/>
        </w:rPr>
        <w:instrText>":"</w:instrText>
      </w:r>
      <w:r w:rsidR="00824DA4">
        <w:rPr>
          <w:lang w:val="en-US" w:eastAsia="en-US"/>
        </w:rPr>
        <w:instrText>Kakuda</w:instrText>
      </w:r>
      <w:r w:rsidR="00824DA4" w:rsidRPr="00824DA4">
        <w:rPr>
          <w:lang w:eastAsia="en-US"/>
        </w:rPr>
        <w:instrText>","</w:instrText>
      </w:r>
      <w:r w:rsidR="00824DA4">
        <w:rPr>
          <w:lang w:val="en-US" w:eastAsia="en-US"/>
        </w:rPr>
        <w:instrText>given</w:instrText>
      </w:r>
      <w:r w:rsidR="00824DA4" w:rsidRPr="00824DA4">
        <w:rPr>
          <w:lang w:eastAsia="en-US"/>
        </w:rPr>
        <w:instrText>":"</w:instrText>
      </w:r>
      <w:r w:rsidR="00824DA4">
        <w:rPr>
          <w:lang w:val="en-US" w:eastAsia="en-US"/>
        </w:rPr>
        <w:instrText>Thomas</w:instrText>
      </w:r>
      <w:r w:rsidR="00824DA4" w:rsidRPr="00824DA4">
        <w:rPr>
          <w:lang w:eastAsia="en-US"/>
        </w:rPr>
        <w:instrText xml:space="preserve"> </w:instrText>
      </w:r>
      <w:r w:rsidR="00824DA4">
        <w:rPr>
          <w:lang w:val="en-US" w:eastAsia="en-US"/>
        </w:rPr>
        <w:instrText>N</w:instrText>
      </w:r>
      <w:r w:rsidR="00824DA4" w:rsidRPr="00824DA4">
        <w:rPr>
          <w:lang w:eastAsia="en-US"/>
        </w:rPr>
        <w:instrText>."},{"</w:instrText>
      </w:r>
      <w:r w:rsidR="00824DA4">
        <w:rPr>
          <w:lang w:val="en-US" w:eastAsia="en-US"/>
        </w:rPr>
        <w:instrText>family</w:instrText>
      </w:r>
      <w:r w:rsidR="00824DA4" w:rsidRPr="00824DA4">
        <w:rPr>
          <w:lang w:eastAsia="en-US"/>
        </w:rPr>
        <w:instrText>":"</w:instrText>
      </w:r>
      <w:r w:rsidR="00824DA4">
        <w:rPr>
          <w:lang w:val="en-US" w:eastAsia="en-US"/>
        </w:rPr>
        <w:instrText>Sch</w:instrText>
      </w:r>
      <w:r w:rsidR="00824DA4" w:rsidRPr="00824DA4">
        <w:rPr>
          <w:lang w:eastAsia="en-US"/>
        </w:rPr>
        <w:instrText>ö</w:instrText>
      </w:r>
      <w:r w:rsidR="00824DA4">
        <w:rPr>
          <w:lang w:val="en-US" w:eastAsia="en-US"/>
        </w:rPr>
        <w:instrText>ller</w:instrText>
      </w:r>
      <w:r w:rsidR="00824DA4" w:rsidRPr="00824DA4">
        <w:rPr>
          <w:lang w:eastAsia="en-US"/>
        </w:rPr>
        <w:instrText>-</w:instrText>
      </w:r>
      <w:r w:rsidR="00824DA4">
        <w:rPr>
          <w:lang w:val="en-US" w:eastAsia="en-US"/>
        </w:rPr>
        <w:instrText>Gy</w:instrText>
      </w:r>
      <w:r w:rsidR="00824DA4" w:rsidRPr="00824DA4">
        <w:rPr>
          <w:lang w:eastAsia="en-US"/>
        </w:rPr>
        <w:instrText>ü</w:instrText>
      </w:r>
      <w:r w:rsidR="00824DA4">
        <w:rPr>
          <w:lang w:val="en-US" w:eastAsia="en-US"/>
        </w:rPr>
        <w:instrText>re</w:instrText>
      </w:r>
      <w:r w:rsidR="00824DA4" w:rsidRPr="00824DA4">
        <w:rPr>
          <w:lang w:eastAsia="en-US"/>
        </w:rPr>
        <w:instrText>","</w:instrText>
      </w:r>
      <w:r w:rsidR="00824DA4">
        <w:rPr>
          <w:lang w:val="en-US" w:eastAsia="en-US"/>
        </w:rPr>
        <w:instrText>given</w:instrText>
      </w:r>
      <w:r w:rsidR="00824DA4" w:rsidRPr="00824DA4">
        <w:rPr>
          <w:lang w:eastAsia="en-US"/>
        </w:rPr>
        <w:instrText>":"</w:instrText>
      </w:r>
      <w:r w:rsidR="00824DA4">
        <w:rPr>
          <w:lang w:val="en-US" w:eastAsia="en-US"/>
        </w:rPr>
        <w:instrText>Monika</w:instrText>
      </w:r>
      <w:r w:rsidR="00824DA4" w:rsidRPr="00824DA4">
        <w:rPr>
          <w:lang w:eastAsia="en-US"/>
        </w:rPr>
        <w:instrText>"},{"</w:instrText>
      </w:r>
      <w:r w:rsidR="00824DA4">
        <w:rPr>
          <w:lang w:val="en-US" w:eastAsia="en-US"/>
        </w:rPr>
        <w:instrText>family</w:instrText>
      </w:r>
      <w:r w:rsidR="00824DA4" w:rsidRPr="00824DA4">
        <w:rPr>
          <w:lang w:eastAsia="en-US"/>
        </w:rPr>
        <w:instrText>":"</w:instrText>
      </w:r>
      <w:r w:rsidR="00824DA4">
        <w:rPr>
          <w:lang w:val="en-US" w:eastAsia="en-US"/>
        </w:rPr>
        <w:instrText>Hoetelmans</w:instrText>
      </w:r>
      <w:r w:rsidR="00824DA4" w:rsidRPr="00824DA4">
        <w:rPr>
          <w:lang w:eastAsia="en-US"/>
        </w:rPr>
        <w:instrText>","</w:instrText>
      </w:r>
      <w:r w:rsidR="00824DA4">
        <w:rPr>
          <w:lang w:val="en-US" w:eastAsia="en-US"/>
        </w:rPr>
        <w:instrText>given</w:instrText>
      </w:r>
      <w:r w:rsidR="00824DA4" w:rsidRPr="00824DA4">
        <w:rPr>
          <w:lang w:eastAsia="en-US"/>
        </w:rPr>
        <w:instrText>":"</w:instrText>
      </w:r>
      <w:r w:rsidR="00824DA4">
        <w:rPr>
          <w:lang w:val="en-US" w:eastAsia="en-US"/>
        </w:rPr>
        <w:instrText>Richard</w:instrText>
      </w:r>
      <w:r w:rsidR="00824DA4" w:rsidRPr="00824DA4">
        <w:rPr>
          <w:lang w:eastAsia="en-US"/>
        </w:rPr>
        <w:instrText xml:space="preserve"> </w:instrText>
      </w:r>
      <w:r w:rsidR="00824DA4">
        <w:rPr>
          <w:lang w:val="en-US" w:eastAsia="en-US"/>
        </w:rPr>
        <w:instrText>M</w:instrText>
      </w:r>
      <w:r w:rsidR="00824DA4" w:rsidRPr="00824DA4">
        <w:rPr>
          <w:lang w:eastAsia="en-US"/>
        </w:rPr>
        <w:instrText xml:space="preserve">. </w:instrText>
      </w:r>
      <w:r w:rsidR="00824DA4">
        <w:rPr>
          <w:lang w:val="en-US" w:eastAsia="en-US"/>
        </w:rPr>
        <w:instrText>W</w:instrText>
      </w:r>
      <w:r w:rsidR="00824DA4" w:rsidRPr="00824DA4">
        <w:rPr>
          <w:lang w:eastAsia="en-US"/>
        </w:rPr>
        <w:instrText>."}],"</w:instrText>
      </w:r>
      <w:r w:rsidR="00824DA4">
        <w:rPr>
          <w:lang w:val="en-US" w:eastAsia="en-US"/>
        </w:rPr>
        <w:instrText>issued</w:instrText>
      </w:r>
      <w:r w:rsidR="00824DA4" w:rsidRPr="00824DA4">
        <w:rPr>
          <w:lang w:eastAsia="en-US"/>
        </w:rPr>
        <w:instrText>":{"</w:instrText>
      </w:r>
      <w:r w:rsidR="00824DA4">
        <w:rPr>
          <w:lang w:val="en-US" w:eastAsia="en-US"/>
        </w:rPr>
        <w:instrText>date</w:instrText>
      </w:r>
      <w:r w:rsidR="00824DA4" w:rsidRPr="00824DA4">
        <w:rPr>
          <w:lang w:eastAsia="en-US"/>
        </w:rPr>
        <w:instrText>-</w:instrText>
      </w:r>
      <w:r w:rsidR="00824DA4">
        <w:rPr>
          <w:lang w:val="en-US" w:eastAsia="en-US"/>
        </w:rPr>
        <w:instrText>parts</w:instrText>
      </w:r>
      <w:r w:rsidR="00824DA4" w:rsidRPr="00824DA4">
        <w:rPr>
          <w:lang w:eastAsia="en-US"/>
        </w:rPr>
        <w:instrText>":[["2011",1]]}}}],"</w:instrText>
      </w:r>
      <w:r w:rsidR="00824DA4">
        <w:rPr>
          <w:lang w:val="en-US" w:eastAsia="en-US"/>
        </w:rPr>
        <w:instrText>schema</w:instrText>
      </w:r>
      <w:r w:rsidR="00824DA4" w:rsidRPr="00824DA4">
        <w:rPr>
          <w:lang w:eastAsia="en-US"/>
        </w:rPr>
        <w:instrText>":"</w:instrText>
      </w:r>
      <w:r w:rsidR="00824DA4">
        <w:rPr>
          <w:lang w:val="en-US" w:eastAsia="en-US"/>
        </w:rPr>
        <w:instrText>https</w:instrText>
      </w:r>
      <w:r w:rsidR="00824DA4" w:rsidRPr="00824DA4">
        <w:rPr>
          <w:lang w:eastAsia="en-US"/>
        </w:rPr>
        <w:instrText>://</w:instrText>
      </w:r>
      <w:r w:rsidR="00824DA4">
        <w:rPr>
          <w:lang w:val="en-US" w:eastAsia="en-US"/>
        </w:rPr>
        <w:instrText>github</w:instrText>
      </w:r>
      <w:r w:rsidR="00824DA4" w:rsidRPr="00824DA4">
        <w:rPr>
          <w:lang w:eastAsia="en-US"/>
        </w:rPr>
        <w:instrText>.</w:instrText>
      </w:r>
      <w:r w:rsidR="00824DA4">
        <w:rPr>
          <w:lang w:val="en-US" w:eastAsia="en-US"/>
        </w:rPr>
        <w:instrText>com</w:instrText>
      </w:r>
      <w:r w:rsidR="00824DA4" w:rsidRPr="00824DA4">
        <w:rPr>
          <w:lang w:eastAsia="en-US"/>
        </w:rPr>
        <w:instrText>/</w:instrText>
      </w:r>
      <w:r w:rsidR="00824DA4">
        <w:rPr>
          <w:lang w:val="en-US" w:eastAsia="en-US"/>
        </w:rPr>
        <w:instrText>citation</w:instrText>
      </w:r>
      <w:r w:rsidR="00824DA4" w:rsidRPr="00824DA4">
        <w:rPr>
          <w:lang w:eastAsia="en-US"/>
        </w:rPr>
        <w:instrText>-</w:instrText>
      </w:r>
      <w:r w:rsidR="00824DA4">
        <w:rPr>
          <w:lang w:val="en-US" w:eastAsia="en-US"/>
        </w:rPr>
        <w:instrText>style</w:instrText>
      </w:r>
      <w:r w:rsidR="00824DA4" w:rsidRPr="00824DA4">
        <w:rPr>
          <w:lang w:eastAsia="en-US"/>
        </w:rPr>
        <w:instrText>-</w:instrText>
      </w:r>
      <w:r w:rsidR="00824DA4">
        <w:rPr>
          <w:lang w:val="en-US" w:eastAsia="en-US"/>
        </w:rPr>
        <w:instrText>language</w:instrText>
      </w:r>
      <w:r w:rsidR="00824DA4" w:rsidRPr="00824DA4">
        <w:rPr>
          <w:lang w:eastAsia="en-US"/>
        </w:rPr>
        <w:instrText>/</w:instrText>
      </w:r>
      <w:r w:rsidR="00824DA4">
        <w:rPr>
          <w:lang w:val="en-US" w:eastAsia="en-US"/>
        </w:rPr>
        <w:instrText>schema</w:instrText>
      </w:r>
      <w:r w:rsidR="00824DA4" w:rsidRPr="00824DA4">
        <w:rPr>
          <w:lang w:eastAsia="en-US"/>
        </w:rPr>
        <w:instrText>/</w:instrText>
      </w:r>
      <w:r w:rsidR="00824DA4">
        <w:rPr>
          <w:lang w:val="en-US" w:eastAsia="en-US"/>
        </w:rPr>
        <w:instrText>raw</w:instrText>
      </w:r>
      <w:r w:rsidR="00824DA4" w:rsidRPr="00824DA4">
        <w:rPr>
          <w:lang w:eastAsia="en-US"/>
        </w:rPr>
        <w:instrText>/</w:instrText>
      </w:r>
      <w:r w:rsidR="00824DA4">
        <w:rPr>
          <w:lang w:val="en-US" w:eastAsia="en-US"/>
        </w:rPr>
        <w:instrText>master</w:instrText>
      </w:r>
      <w:r w:rsidR="00824DA4" w:rsidRPr="00824DA4">
        <w:rPr>
          <w:lang w:eastAsia="en-US"/>
        </w:rPr>
        <w:instrText>/</w:instrText>
      </w:r>
      <w:r w:rsidR="00824DA4">
        <w:rPr>
          <w:lang w:val="en-US" w:eastAsia="en-US"/>
        </w:rPr>
        <w:instrText>csl</w:instrText>
      </w:r>
      <w:r w:rsidR="00824DA4" w:rsidRPr="00824DA4">
        <w:rPr>
          <w:lang w:eastAsia="en-US"/>
        </w:rPr>
        <w:instrText>-</w:instrText>
      </w:r>
      <w:r w:rsidR="00824DA4">
        <w:rPr>
          <w:lang w:val="en-US" w:eastAsia="en-US"/>
        </w:rPr>
        <w:instrText>citation</w:instrText>
      </w:r>
      <w:r w:rsidR="00824DA4" w:rsidRPr="00824DA4">
        <w:rPr>
          <w:lang w:eastAsia="en-US"/>
        </w:rPr>
        <w:instrText>.</w:instrText>
      </w:r>
      <w:r w:rsidR="00824DA4">
        <w:rPr>
          <w:lang w:val="en-US" w:eastAsia="en-US"/>
        </w:rPr>
        <w:instrText>json</w:instrText>
      </w:r>
      <w:r w:rsidR="00824DA4" w:rsidRPr="00824DA4">
        <w:rPr>
          <w:lang w:eastAsia="en-US"/>
        </w:rPr>
        <w:instrText xml:space="preserve">"} </w:instrText>
      </w:r>
      <w:r>
        <w:rPr>
          <w:lang w:eastAsia="en-US"/>
        </w:rPr>
        <w:fldChar w:fldCharType="separate"/>
      </w:r>
      <w:r w:rsidR="005E2B83" w:rsidRPr="005E2B83">
        <w:t>[</w:t>
      </w:r>
      <w:r w:rsidR="0065629B" w:rsidRPr="0065629B">
        <w:t>45</w:t>
      </w:r>
      <w:r w:rsidR="005E2B83" w:rsidRPr="005E2B83">
        <w:t>]</w:t>
      </w:r>
      <w:r>
        <w:rPr>
          <w:lang w:eastAsia="en-US"/>
        </w:rPr>
        <w:fldChar w:fldCharType="end"/>
      </w:r>
      <w:r>
        <w:rPr>
          <w:lang w:eastAsia="en-US"/>
        </w:rPr>
        <w:t xml:space="preserve">. </w:t>
      </w:r>
      <w:r w:rsidRPr="00B319E5">
        <w:rPr>
          <w:lang w:eastAsia="en-US"/>
        </w:rPr>
        <w:t xml:space="preserve">Учитывая </w:t>
      </w:r>
      <w:r>
        <w:rPr>
          <w:lang w:eastAsia="en-US"/>
        </w:rPr>
        <w:t>наличие таких свойств</w:t>
      </w:r>
      <w:r w:rsidRPr="00B319E5">
        <w:rPr>
          <w:lang w:eastAsia="en-US"/>
        </w:rPr>
        <w:t xml:space="preserve">, </w:t>
      </w:r>
      <w:r>
        <w:rPr>
          <w:lang w:eastAsia="en-US"/>
        </w:rPr>
        <w:t xml:space="preserve">можно </w:t>
      </w:r>
      <w:r w:rsidRPr="00B319E5">
        <w:rPr>
          <w:lang w:eastAsia="en-US"/>
        </w:rPr>
        <w:t>ожида</w:t>
      </w:r>
      <w:r>
        <w:rPr>
          <w:lang w:eastAsia="en-US"/>
        </w:rPr>
        <w:t xml:space="preserve">ть </w:t>
      </w:r>
      <w:r w:rsidR="003A4F5D">
        <w:rPr>
          <w:lang w:eastAsia="en-US"/>
        </w:rPr>
        <w:t>межлекарственног</w:t>
      </w:r>
      <w:r w:rsidR="001C413F">
        <w:rPr>
          <w:lang w:eastAsia="en-US"/>
        </w:rPr>
        <w:t>о</w:t>
      </w:r>
      <w:r w:rsidR="003A4F5D">
        <w:rPr>
          <w:lang w:eastAsia="en-US"/>
        </w:rPr>
        <w:t xml:space="preserve"> взаимодействия</w:t>
      </w:r>
      <w:r>
        <w:rPr>
          <w:lang w:eastAsia="en-US"/>
        </w:rPr>
        <w:t xml:space="preserve"> </w:t>
      </w:r>
      <w:r w:rsidR="003A4F5D">
        <w:rPr>
          <w:lang w:eastAsia="en-US"/>
        </w:rPr>
        <w:t>этравирина</w:t>
      </w:r>
      <w:r w:rsidR="003A4F5D">
        <w:t xml:space="preserve"> </w:t>
      </w:r>
      <w:r>
        <w:rPr>
          <w:lang w:eastAsia="en-US"/>
        </w:rPr>
        <w:t xml:space="preserve">с другими лекарственными средствами, метаболизирующимися с участием этих изоформ </w:t>
      </w:r>
      <w:r>
        <w:rPr>
          <w:lang w:val="en-US" w:eastAsia="en-US"/>
        </w:rPr>
        <w:t>CYP</w:t>
      </w:r>
      <w:r>
        <w:rPr>
          <w:lang w:eastAsia="en-US"/>
        </w:rPr>
        <w:t xml:space="preserve">, кроме того, </w:t>
      </w:r>
      <w:r w:rsidR="001C413F">
        <w:rPr>
          <w:lang w:eastAsia="en-US"/>
        </w:rPr>
        <w:t>этравирин</w:t>
      </w:r>
      <w:r w:rsidR="001C413F">
        <w:t xml:space="preserve"> </w:t>
      </w:r>
      <w:r>
        <w:rPr>
          <w:lang w:eastAsia="en-US"/>
        </w:rPr>
        <w:t xml:space="preserve">сам биотрансформируется с участием </w:t>
      </w:r>
      <w:r w:rsidRPr="00D63E97">
        <w:rPr>
          <w:lang w:eastAsia="en-US"/>
        </w:rPr>
        <w:t>изоферментами CYP3A4, CYP2C9 и CYP2C19, а его метаболиты подвергаются глюкуронированию под влиянием уридиндифосфатглюкуронозилтрансферазы</w:t>
      </w:r>
      <w:r>
        <w:rPr>
          <w:lang w:eastAsia="en-US"/>
        </w:rPr>
        <w:t xml:space="preserve"> </w:t>
      </w:r>
      <w:r>
        <w:rPr>
          <w:lang w:eastAsia="en-US"/>
        </w:rPr>
        <w:fldChar w:fldCharType="begin"/>
      </w:r>
      <w:r w:rsidR="00824DA4">
        <w:rPr>
          <w:lang w:eastAsia="en-US"/>
        </w:rPr>
        <w:instrText xml:space="preserve"> ADDIN ZOTERO_ITEM CSL_CITATION {"citationID":"aXI4m8W0","properties":{"formattedCitation":"(10)","plainCitation":"(10)","noteIndex":0},"citationItems":[{"id":"iY4E1EKJ/f50FxBR2","uris":["http://zotero.org/users/1055192/items/M9MKCBKZ"],"itemData":{"id":30450,"type":"article-journal","abstract":"Etravirine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PMC7034776","page":"137-154","source":"PubMed","title":"Clinical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V."}],"issued":{"date-parts":[["2020",2]]}}}],"schema":"https://github.com/citation-style-language/schema/raw/master/csl-citation.json"} </w:instrText>
      </w:r>
      <w:r>
        <w:rPr>
          <w:lang w:eastAsia="en-US"/>
        </w:rPr>
        <w:fldChar w:fldCharType="separate"/>
      </w:r>
      <w:r w:rsidR="005E2B83" w:rsidRPr="00FB4494">
        <w:t>[</w:t>
      </w:r>
      <w:r w:rsidR="0065629B" w:rsidRPr="0065629B">
        <w:t>10</w:t>
      </w:r>
      <w:r w:rsidR="005E2B83" w:rsidRPr="00FB4494">
        <w:t>]</w:t>
      </w:r>
      <w:r>
        <w:rPr>
          <w:lang w:eastAsia="en-US"/>
        </w:rPr>
        <w:fldChar w:fldCharType="end"/>
      </w:r>
      <w:r w:rsidRPr="00D63E97">
        <w:rPr>
          <w:lang w:eastAsia="en-US"/>
        </w:rPr>
        <w:t xml:space="preserve">. </w:t>
      </w:r>
    </w:p>
    <w:p w14:paraId="22AB3826" w14:textId="179A0C58" w:rsidR="003F732B" w:rsidRDefault="003F732B" w:rsidP="001C0A37">
      <w:pPr>
        <w:pStyle w:val="affb"/>
        <w:spacing w:before="0" w:after="0" w:line="240" w:lineRule="auto"/>
        <w:ind w:firstLine="709"/>
        <w:rPr>
          <w:lang w:eastAsia="en-US"/>
        </w:rPr>
      </w:pPr>
      <w:r w:rsidRPr="00D63E97">
        <w:rPr>
          <w:lang w:eastAsia="en-US"/>
        </w:rPr>
        <w:t xml:space="preserve">Лекарственные препараты, индуцирующие изоферменты CYP3A4, CYP2C9 или CYP2C19, могут повышать клиренс </w:t>
      </w:r>
      <w:r w:rsidR="00CF7F1F">
        <w:rPr>
          <w:lang w:eastAsia="en-US"/>
        </w:rPr>
        <w:t>этравирина</w:t>
      </w:r>
      <w:r w:rsidRPr="00D63E97">
        <w:rPr>
          <w:lang w:eastAsia="en-US"/>
        </w:rPr>
        <w:t xml:space="preserve">, вследствие чего снижается его концентрация в плазме. Одновременное применение </w:t>
      </w:r>
      <w:r w:rsidR="00CF7F1F">
        <w:rPr>
          <w:lang w:eastAsia="en-US"/>
        </w:rPr>
        <w:t>этравирина</w:t>
      </w:r>
      <w:r w:rsidR="00CF7F1F">
        <w:t xml:space="preserve"> </w:t>
      </w:r>
      <w:r w:rsidRPr="00D63E97">
        <w:rPr>
          <w:lang w:eastAsia="en-US"/>
        </w:rPr>
        <w:t>и ингиби</w:t>
      </w:r>
      <w:r>
        <w:rPr>
          <w:lang w:eastAsia="en-US"/>
        </w:rPr>
        <w:t>то</w:t>
      </w:r>
      <w:r w:rsidRPr="00D63E97">
        <w:rPr>
          <w:lang w:eastAsia="en-US"/>
        </w:rPr>
        <w:t>р</w:t>
      </w:r>
      <w:r>
        <w:rPr>
          <w:lang w:eastAsia="en-US"/>
        </w:rPr>
        <w:t>ов</w:t>
      </w:r>
      <w:r w:rsidRPr="00D63E97">
        <w:rPr>
          <w:lang w:eastAsia="en-US"/>
        </w:rPr>
        <w:t xml:space="preserve"> CYP3A4, CYP2C9 или CYP2C19 может снижать клиренс </w:t>
      </w:r>
      <w:r w:rsidR="00CF7F1F">
        <w:rPr>
          <w:lang w:eastAsia="en-US"/>
        </w:rPr>
        <w:t>этравирина</w:t>
      </w:r>
      <w:r w:rsidR="00CF7F1F">
        <w:t xml:space="preserve"> </w:t>
      </w:r>
      <w:r w:rsidRPr="00D63E97">
        <w:rPr>
          <w:lang w:eastAsia="en-US"/>
        </w:rPr>
        <w:t>и повышать его концентрацию в плазме</w:t>
      </w:r>
      <w:r>
        <w:rPr>
          <w:lang w:eastAsia="en-US"/>
        </w:rPr>
        <w:t xml:space="preserve"> </w:t>
      </w:r>
      <w:bookmarkStart w:id="153" w:name="_Hlk88756971"/>
      <w:r>
        <w:rPr>
          <w:lang w:eastAsia="en-US"/>
        </w:rPr>
        <w:fldChar w:fldCharType="begin"/>
      </w:r>
      <w:r w:rsidR="00824DA4">
        <w:rPr>
          <w:lang w:eastAsia="en-US"/>
        </w:rPr>
        <w:instrText xml:space="preserve"> ADDIN ZOTERO_ITEM CSL_CITATION {"citationID":"uMsRM9bw","properties":{"formattedCitation":"(10,39)","plainCitation":"(10,39)","noteIndex":0},"citationItems":[{"id":"iY4E1EKJ/f50FxBR2","uris":["http://zotero.org/users/1055192/items/M9MKCBKZ"],"itemData":{"id":30450,"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PMC7034776","page":"137-154","source":"PubMed","title":"Clinical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V."}],"issued":{"date-parts":[["2020",2]]}},"label":"page"},{"id":"iY4E1EKJ/9Y8IvF0G","uris":["http://zotero.org/users/1055192/items/SMDFBMP5"],"itemData":{"id":24722,"type":"article","title":"Инструкция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Росссия","author":[{"family":"Министерство здравоохранения Российской Федерации","given":""}],"issued":{"date-parts":[["2021",1,3]]}},"label":"page"}],"schema":"https://github.com/citation-style-language/schema/raw/master/csl-citation.json"} </w:instrText>
      </w:r>
      <w:r>
        <w:rPr>
          <w:lang w:eastAsia="en-US"/>
        </w:rPr>
        <w:fldChar w:fldCharType="separate"/>
      </w:r>
      <w:r w:rsidR="005E2B83" w:rsidRPr="00152BB2">
        <w:t>[</w:t>
      </w:r>
      <w:r w:rsidR="0065629B" w:rsidRPr="0065629B">
        <w:t>10,</w:t>
      </w:r>
      <w:r w:rsidR="00292F12">
        <w:t xml:space="preserve"> </w:t>
      </w:r>
      <w:r w:rsidR="0065629B" w:rsidRPr="0065629B">
        <w:t>39</w:t>
      </w:r>
      <w:r w:rsidR="005E2B83" w:rsidRPr="00152BB2">
        <w:t>]</w:t>
      </w:r>
      <w:r>
        <w:rPr>
          <w:lang w:eastAsia="en-US"/>
        </w:rPr>
        <w:fldChar w:fldCharType="end"/>
      </w:r>
      <w:bookmarkEnd w:id="153"/>
      <w:r w:rsidRPr="00D63E97">
        <w:rPr>
          <w:lang w:eastAsia="en-US"/>
        </w:rPr>
        <w:t>.</w:t>
      </w:r>
      <w:r>
        <w:rPr>
          <w:lang w:eastAsia="en-US"/>
        </w:rPr>
        <w:t xml:space="preserve"> </w:t>
      </w:r>
    </w:p>
    <w:p w14:paraId="1D95CC45" w14:textId="58C84334" w:rsidR="003F732B" w:rsidRDefault="003F732B" w:rsidP="001C0A37">
      <w:pPr>
        <w:pStyle w:val="affb"/>
        <w:spacing w:before="0" w:after="0" w:line="240" w:lineRule="auto"/>
        <w:ind w:firstLine="709"/>
        <w:rPr>
          <w:lang w:eastAsia="en-US"/>
        </w:rPr>
      </w:pPr>
      <w:r>
        <w:rPr>
          <w:lang w:eastAsia="en-US"/>
        </w:rPr>
        <w:t xml:space="preserve">С другой стороны, </w:t>
      </w:r>
      <w:r w:rsidR="00CF7F1F">
        <w:rPr>
          <w:lang w:eastAsia="en-US"/>
        </w:rPr>
        <w:t>этравирин</w:t>
      </w:r>
      <w:r w:rsidR="00CF7F1F">
        <w:t xml:space="preserve"> </w:t>
      </w:r>
      <w:r w:rsidRPr="00C861CC">
        <w:rPr>
          <w:lang w:eastAsia="en-US"/>
        </w:rPr>
        <w:t xml:space="preserve">может повышать концентрацию препаратов </w:t>
      </w:r>
      <w:r>
        <w:rPr>
          <w:lang w:eastAsia="en-US"/>
        </w:rPr>
        <w:t xml:space="preserve">– субстратов </w:t>
      </w:r>
      <w:r w:rsidRPr="00C60AA9">
        <w:rPr>
          <w:lang w:eastAsia="en-US"/>
        </w:rPr>
        <w:t xml:space="preserve">CYP2C9 или CYP2C19 </w:t>
      </w:r>
      <w:r w:rsidRPr="00C861CC">
        <w:rPr>
          <w:lang w:eastAsia="en-US"/>
        </w:rPr>
        <w:t>в плазме и, следовательно, усиливать или продлевать их терапевтические или побочные эффекты.</w:t>
      </w:r>
      <w:r>
        <w:rPr>
          <w:lang w:eastAsia="en-US"/>
        </w:rPr>
        <w:t xml:space="preserve"> А с</w:t>
      </w:r>
      <w:r w:rsidRPr="008909BD">
        <w:rPr>
          <w:lang w:eastAsia="en-US"/>
        </w:rPr>
        <w:t xml:space="preserve">овместное применение </w:t>
      </w:r>
      <w:r w:rsidR="00CF7F1F">
        <w:rPr>
          <w:lang w:eastAsia="en-US"/>
        </w:rPr>
        <w:t>этравирина</w:t>
      </w:r>
      <w:r w:rsidR="00CF7F1F">
        <w:t xml:space="preserve"> </w:t>
      </w:r>
      <w:r w:rsidRPr="008909BD">
        <w:rPr>
          <w:lang w:eastAsia="en-US"/>
        </w:rPr>
        <w:t>и препаратов, метаболизирую</w:t>
      </w:r>
      <w:r>
        <w:rPr>
          <w:lang w:eastAsia="en-US"/>
        </w:rPr>
        <w:t>щих</w:t>
      </w:r>
      <w:r w:rsidRPr="008909BD">
        <w:rPr>
          <w:lang w:eastAsia="en-US"/>
        </w:rPr>
        <w:t xml:space="preserve">ся в основном CYP3A4, может приводить к снижению </w:t>
      </w:r>
      <w:r>
        <w:rPr>
          <w:lang w:eastAsia="en-US"/>
        </w:rPr>
        <w:t xml:space="preserve">их </w:t>
      </w:r>
      <w:r w:rsidRPr="008909BD">
        <w:rPr>
          <w:lang w:eastAsia="en-US"/>
        </w:rPr>
        <w:t>плазме</w:t>
      </w:r>
      <w:r>
        <w:rPr>
          <w:lang w:eastAsia="en-US"/>
        </w:rPr>
        <w:t>нных</w:t>
      </w:r>
      <w:r w:rsidRPr="008909BD">
        <w:rPr>
          <w:lang w:eastAsia="en-US"/>
        </w:rPr>
        <w:t xml:space="preserve"> концентраций и, следовательно, ослаблять или укорачивать их терапевтические эффекты</w:t>
      </w:r>
      <w:r w:rsidRPr="00BE6BB0">
        <w:rPr>
          <w:lang w:eastAsia="en-US"/>
        </w:rPr>
        <w:t xml:space="preserve"> </w:t>
      </w:r>
      <w:r>
        <w:rPr>
          <w:lang w:eastAsia="en-US"/>
        </w:rPr>
        <w:fldChar w:fldCharType="begin"/>
      </w:r>
      <w:r w:rsidR="00824DA4">
        <w:rPr>
          <w:lang w:eastAsia="en-US"/>
        </w:rPr>
        <w:instrText xml:space="preserve"> ADDIN ZOTERO_ITEM CSL_CITATION {"citationID":"cMS7EDa4","properties":{"formattedCitation":"(10,39)","plainCitation":"(10,39)","noteIndex":0},"citationItems":[{"id":"iY4E1EKJ/f50FxBR2","uris":["http://zotero.org/users/1055192/items/M9MKCBKZ"],"itemData":{"id":30450,"type":"article-journal","abstract":"Etravirine is a second-generation non-nucleoside reverse transcriptase inhibitor (NNRTI) for the treatment of human immunodeficiency virus type 1 infection. It is a potent inhibitor of HIV reverse transcriptase and retains activity against wild-type and most NNRTI-resistant HIV. The pharmacokinetic profile of etravirine and clinical data support twice-daily dosing, although once-daily dosing has been investigated in treatment-naïve and treatment-experienced persons. Despite similar pharmacokinetic and pharmacodynamic results compared with twice-daily dosing, larger studies are needed to fully support once-daily etravirine dosing in treatment-naïve individuals. Etravirine is reserved for use in third- or fourth-line antiretroviral treatment regimens, as recommended, for example, in treatment guidelines by the US Department of Health and Human Services-Guidelines for the Use of Antiretroviral Agents in Adults and Adolescents Living with HIV. Etravirine exhibits the potential for bi-directional drug-drug interactions with other antiretrovirals and concomitant medications through its interactions with cytochrome P450 (CYP) isozymes: CYP3A4, CYP2C9, and CYP2C19. This review summarizes the pharmacokinetic and pharmacodynamic parameters of etravirine, with particular attention to information on drug-drug interactions and use in special patient populations, including children/adolescents, women, persons with organ dysfunction, and during pregnancy.","container-title":"Clinical Pharmacokinetics","DOI":"10.1007/s40262-019-00830-9","ISSN":"1179-1926","issue":"2","journalAbbreviation":"Clin Pharmacokinet","language":"eng","note":"PMID: 31679131\nPMCID: PMC7034776","page":"137-154","source":"PubMed","title":"Clinical Pharmacokinetics and Pharmacodynamics of Etravirine: An Updated Review","title-short":"Clinical Pharmacokinetics and Pharmacodynamics of Etravirine","volume":"59","author":[{"family":"Havens","given":"Joshua P."},{"family":"Podany","given":"Anthony T."},{"family":"Scarsi","given":"Kimberly K."},{"family":"Fletcher","given":"Courtney V."}],"issued":{"date-parts":[["2020",2]]}},"label":"page"},{"id":"iY4E1EKJ/9Y8IvF0G","uris":["http://zotero.org/users/1055192/items/SMDFBMP5"],"itemData":{"id":24722,"type":"article","title":"Инструкция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Росссия","author":[{"family":"Министерство здравоохранения Российской Федерации","given":""}],"issued":{"date-parts":[["2021",1,3]]}},"label":"page"}],"schema":"https://github.com/citation-style-language/schema/raw/master/csl-citation.json"} </w:instrText>
      </w:r>
      <w:r>
        <w:rPr>
          <w:lang w:eastAsia="en-US"/>
        </w:rPr>
        <w:fldChar w:fldCharType="separate"/>
      </w:r>
      <w:r w:rsidR="005E2B83" w:rsidRPr="005E2B83">
        <w:t>[</w:t>
      </w:r>
      <w:r w:rsidR="0065629B" w:rsidRPr="0065629B">
        <w:t>10,</w:t>
      </w:r>
      <w:r w:rsidR="00292F12">
        <w:t xml:space="preserve"> </w:t>
      </w:r>
      <w:r w:rsidR="0065629B" w:rsidRPr="0065629B">
        <w:t>39</w:t>
      </w:r>
      <w:r w:rsidR="005E2B83" w:rsidRPr="005E2B83">
        <w:t>]</w:t>
      </w:r>
      <w:r>
        <w:rPr>
          <w:lang w:eastAsia="en-US"/>
        </w:rPr>
        <w:fldChar w:fldCharType="end"/>
      </w:r>
      <w:r w:rsidRPr="008909BD">
        <w:rPr>
          <w:lang w:eastAsia="en-US"/>
        </w:rPr>
        <w:t>.</w:t>
      </w:r>
    </w:p>
    <w:p w14:paraId="16CA2AF7" w14:textId="654618A4" w:rsidR="003F732B" w:rsidRDefault="003F732B" w:rsidP="001C0A37">
      <w:pPr>
        <w:pStyle w:val="affb"/>
        <w:spacing w:before="0" w:after="0" w:line="240" w:lineRule="auto"/>
        <w:ind w:firstLine="709"/>
        <w:rPr>
          <w:lang w:eastAsia="en-US"/>
        </w:rPr>
      </w:pPr>
      <w:r>
        <w:rPr>
          <w:lang w:eastAsia="en-US"/>
        </w:rPr>
        <w:t>Оценка в</w:t>
      </w:r>
      <w:r w:rsidRPr="00B319E5">
        <w:rPr>
          <w:lang w:eastAsia="en-US"/>
        </w:rPr>
        <w:t>лияни</w:t>
      </w:r>
      <w:r>
        <w:rPr>
          <w:lang w:eastAsia="en-US"/>
        </w:rPr>
        <w:t>я</w:t>
      </w:r>
      <w:r w:rsidRPr="00B319E5">
        <w:rPr>
          <w:lang w:eastAsia="en-US"/>
        </w:rPr>
        <w:t xml:space="preserve"> </w:t>
      </w:r>
      <w:r w:rsidR="002C7107">
        <w:rPr>
          <w:lang w:eastAsia="en-US"/>
        </w:rPr>
        <w:t>этравирина</w:t>
      </w:r>
      <w:r w:rsidR="002C7107">
        <w:t xml:space="preserve"> </w:t>
      </w:r>
      <w:r w:rsidRPr="00B319E5">
        <w:rPr>
          <w:lang w:eastAsia="en-US"/>
        </w:rPr>
        <w:t xml:space="preserve">на </w:t>
      </w:r>
      <w:r>
        <w:rPr>
          <w:lang w:eastAsia="en-US"/>
        </w:rPr>
        <w:t xml:space="preserve">белки-транспортеры </w:t>
      </w:r>
      <w:r w:rsidRPr="00B319E5">
        <w:rPr>
          <w:lang w:eastAsia="en-US"/>
        </w:rPr>
        <w:t>лекарств</w:t>
      </w:r>
      <w:r>
        <w:rPr>
          <w:lang w:eastAsia="en-US"/>
        </w:rPr>
        <w:t xml:space="preserve">енных средств </w:t>
      </w:r>
      <w:r w:rsidRPr="0039378B">
        <w:rPr>
          <w:i/>
          <w:iCs/>
          <w:lang w:val="en-US" w:eastAsia="en-US"/>
        </w:rPr>
        <w:t>in</w:t>
      </w:r>
      <w:r w:rsidRPr="0039378B">
        <w:rPr>
          <w:i/>
          <w:iCs/>
          <w:lang w:eastAsia="en-US"/>
        </w:rPr>
        <w:t xml:space="preserve"> </w:t>
      </w:r>
      <w:r w:rsidRPr="0039378B">
        <w:rPr>
          <w:i/>
          <w:iCs/>
          <w:lang w:val="en-US" w:eastAsia="en-US"/>
        </w:rPr>
        <w:t>vitro</w:t>
      </w:r>
      <w:r w:rsidRPr="00B319E5">
        <w:rPr>
          <w:lang w:eastAsia="en-US"/>
        </w:rPr>
        <w:t xml:space="preserve"> показал</w:t>
      </w:r>
      <w:r>
        <w:rPr>
          <w:lang w:eastAsia="en-US"/>
        </w:rPr>
        <w:t>а</w:t>
      </w:r>
      <w:r w:rsidRPr="00B319E5">
        <w:rPr>
          <w:lang w:eastAsia="en-US"/>
        </w:rPr>
        <w:t xml:space="preserve">, что </w:t>
      </w:r>
      <w:r w:rsidR="002C7107">
        <w:rPr>
          <w:lang w:eastAsia="en-US"/>
        </w:rPr>
        <w:t>этравирин</w:t>
      </w:r>
      <w:r w:rsidR="002C7107">
        <w:t xml:space="preserve"> </w:t>
      </w:r>
      <w:r w:rsidRPr="00B319E5">
        <w:rPr>
          <w:lang w:eastAsia="en-US"/>
        </w:rPr>
        <w:t xml:space="preserve">не ингибирует р-гликопротеин, не является субстратом для переносчиков </w:t>
      </w:r>
      <w:r w:rsidRPr="00B319E5">
        <w:rPr>
          <w:lang w:val="en-US" w:eastAsia="en-US"/>
        </w:rPr>
        <w:t>ABC</w:t>
      </w:r>
      <w:r w:rsidRPr="00B319E5">
        <w:rPr>
          <w:lang w:eastAsia="en-US"/>
        </w:rPr>
        <w:t xml:space="preserve">, </w:t>
      </w:r>
      <w:r>
        <w:rPr>
          <w:lang w:eastAsia="en-US"/>
        </w:rPr>
        <w:t xml:space="preserve">но </w:t>
      </w:r>
      <w:r w:rsidRPr="00B319E5">
        <w:rPr>
          <w:lang w:eastAsia="en-US"/>
        </w:rPr>
        <w:t xml:space="preserve">является индуктором и ингибитором </w:t>
      </w:r>
      <w:r w:rsidRPr="00B319E5">
        <w:rPr>
          <w:lang w:val="en-US" w:eastAsia="en-US"/>
        </w:rPr>
        <w:t>BCRP</w:t>
      </w:r>
      <w:r w:rsidRPr="00B319E5">
        <w:rPr>
          <w:lang w:eastAsia="en-US"/>
        </w:rPr>
        <w:t>/</w:t>
      </w:r>
      <w:r w:rsidRPr="00B319E5">
        <w:rPr>
          <w:lang w:val="en-US" w:eastAsia="en-US"/>
        </w:rPr>
        <w:t>ABCG</w:t>
      </w:r>
      <w:r w:rsidRPr="00B319E5">
        <w:rPr>
          <w:lang w:eastAsia="en-US"/>
        </w:rPr>
        <w:t>2</w:t>
      </w:r>
      <w:r>
        <w:rPr>
          <w:rStyle w:val="af"/>
          <w:lang w:eastAsia="en-US"/>
        </w:rPr>
        <w:footnoteReference w:id="1"/>
      </w:r>
      <w:r>
        <w:rPr>
          <w:lang w:eastAsia="en-US"/>
        </w:rPr>
        <w:t xml:space="preserve"> одновременно </w:t>
      </w:r>
      <w:r>
        <w:rPr>
          <w:lang w:eastAsia="en-US"/>
        </w:rPr>
        <w:fldChar w:fldCharType="begin"/>
      </w:r>
      <w:r w:rsidR="00824DA4">
        <w:rPr>
          <w:lang w:eastAsia="en-US"/>
        </w:rPr>
        <w:instrText xml:space="preserve"> ADDIN ZOTERO_ITEM CSL_CITATION {"citationID":"PzwjzaZV","properties":{"formattedCitation":"(46)","plainCitation":"(46)","noteIndex":0},"citationItems":[{"id":"iY4E1EKJ/b7RGCbkt","uris":["http://zotero.org/users/1055192/items/5YSZGDWQ"],"itemData":{"id":31682,"type":"article-journal","abstract":"Etravirine is a novel nonnucleoside reverse transcriptase inhibitor (NNRTI) for the treatment of HIV-1 infections. ABC transporters potentially mediate clinically relevant drug-drug interactions. We assessed substrate characteristics and the inhibitory and inductive potential of etravirine on ABC transporters. Etravirine did not inhibit P-gp/ABCB1 and was not transported by the tested ABC transporters but was a potent inhibitor of BCRP/ABCG2. Etravirine induced several ABC transporters, especially BCRP/ABCG2. These data demonstrate that etravirine has the potential for drug-drug interactions by modulation of expression and function of several ABC transporters.","container-title":"Antimicrobial Agents and Chemotherapy","DOI":"10.1128/AAC.01527-10","ISSN":"1098-6596","issue":"3","journalAbbreviation":"Antimicrob Agents Chemother","language":"eng","note":"PMID: 21189339\nPMCID: PMC3067076","page":"1282-1284","source":"PubMed","title":"Interaction potential of etravirine with drug transporters assessed in vitro","volume":"55","author":[{"family":"Zembruski","given":"Nadine Cécile Luise"},{"family":"Haefeli","given":"Walter Emil"},{"family":"Weiss","given":"Johanna"}],"issued":{"date-parts":[["2011",3]]}}}],"schema":"https://github.com/citation-style-language/schema/raw/master/csl-citation.json"} </w:instrText>
      </w:r>
      <w:r>
        <w:rPr>
          <w:lang w:eastAsia="en-US"/>
        </w:rPr>
        <w:fldChar w:fldCharType="separate"/>
      </w:r>
      <w:r w:rsidR="005E2B83" w:rsidRPr="005E2B83">
        <w:t>[</w:t>
      </w:r>
      <w:r w:rsidR="0065629B" w:rsidRPr="0065629B">
        <w:t>46</w:t>
      </w:r>
      <w:r w:rsidR="005E2B83" w:rsidRPr="005E2B83">
        <w:t>]</w:t>
      </w:r>
      <w:r>
        <w:rPr>
          <w:lang w:eastAsia="en-US"/>
        </w:rPr>
        <w:fldChar w:fldCharType="end"/>
      </w:r>
      <w:r w:rsidRPr="00B319E5">
        <w:rPr>
          <w:lang w:eastAsia="en-US"/>
        </w:rPr>
        <w:t xml:space="preserve">. </w:t>
      </w:r>
    </w:p>
    <w:p w14:paraId="64DF0C89" w14:textId="171CE4EB" w:rsidR="003F732B" w:rsidRDefault="003F732B" w:rsidP="001C0A37">
      <w:pPr>
        <w:pStyle w:val="affb"/>
        <w:spacing w:before="0" w:after="0" w:line="240" w:lineRule="auto"/>
        <w:ind w:firstLine="709"/>
        <w:rPr>
          <w:lang w:eastAsia="en-US"/>
        </w:rPr>
      </w:pPr>
      <w:r w:rsidRPr="00B319E5">
        <w:rPr>
          <w:lang w:eastAsia="en-US"/>
        </w:rPr>
        <w:t xml:space="preserve">Данные </w:t>
      </w:r>
      <w:r w:rsidRPr="008D07B3">
        <w:rPr>
          <w:i/>
          <w:iCs/>
          <w:lang w:val="en-US" w:eastAsia="en-US"/>
        </w:rPr>
        <w:t>in</w:t>
      </w:r>
      <w:r w:rsidRPr="008D07B3">
        <w:rPr>
          <w:i/>
          <w:iCs/>
          <w:lang w:eastAsia="en-US"/>
        </w:rPr>
        <w:t xml:space="preserve"> </w:t>
      </w:r>
      <w:r w:rsidRPr="008D07B3">
        <w:rPr>
          <w:i/>
          <w:iCs/>
          <w:lang w:val="en-US" w:eastAsia="en-US"/>
        </w:rPr>
        <w:t>vivo</w:t>
      </w:r>
      <w:r w:rsidRPr="00B319E5">
        <w:rPr>
          <w:lang w:eastAsia="en-US"/>
        </w:rPr>
        <w:t xml:space="preserve"> </w:t>
      </w:r>
      <w:r>
        <w:rPr>
          <w:lang w:eastAsia="en-US"/>
        </w:rPr>
        <w:t xml:space="preserve">исследований </w:t>
      </w:r>
      <w:r w:rsidRPr="00B319E5">
        <w:rPr>
          <w:lang w:eastAsia="en-US"/>
        </w:rPr>
        <w:t xml:space="preserve">позволяют предположить, что </w:t>
      </w:r>
      <w:r w:rsidR="002C7107">
        <w:rPr>
          <w:lang w:eastAsia="en-US"/>
        </w:rPr>
        <w:t xml:space="preserve">этравирин </w:t>
      </w:r>
      <w:r w:rsidRPr="00B319E5">
        <w:rPr>
          <w:lang w:eastAsia="en-US"/>
        </w:rPr>
        <w:t xml:space="preserve">является слабым ингибитором р-гликопротеина, о чем свидетельствует увеличение </w:t>
      </w:r>
      <w:r w:rsidRPr="00B319E5">
        <w:rPr>
          <w:lang w:val="en-US" w:eastAsia="en-US"/>
        </w:rPr>
        <w:t>C</w:t>
      </w:r>
      <w:r w:rsidRPr="008D07B3">
        <w:rPr>
          <w:vertAlign w:val="subscript"/>
          <w:lang w:val="en-US" w:eastAsia="en-US"/>
        </w:rPr>
        <w:t>max</w:t>
      </w:r>
      <w:r w:rsidRPr="00B319E5">
        <w:rPr>
          <w:lang w:eastAsia="en-US"/>
        </w:rPr>
        <w:t xml:space="preserve"> </w:t>
      </w:r>
      <w:r>
        <w:rPr>
          <w:lang w:eastAsia="en-US"/>
        </w:rPr>
        <w:t xml:space="preserve">после приема </w:t>
      </w:r>
      <w:r w:rsidRPr="00B319E5">
        <w:rPr>
          <w:lang w:eastAsia="en-US"/>
        </w:rPr>
        <w:t xml:space="preserve">однократной дозы дигоксина на 19% </w:t>
      </w:r>
      <w:r>
        <w:rPr>
          <w:lang w:eastAsia="en-US"/>
        </w:rPr>
        <w:fldChar w:fldCharType="begin"/>
      </w:r>
      <w:r w:rsidR="00824DA4">
        <w:rPr>
          <w:lang w:eastAsia="en-US"/>
        </w:rPr>
        <w:instrText xml:space="preserve"> ADDIN ZOTERO_ITEM CSL_CITATION {"citationID":"QMu8t9BS","properties":{"formattedCitation":"(29,44)","plainCitation":"(29,44)","noteIndex":0},"citationItems":[{"id":"iY4E1EKJ/TO8qO8wU","uris":["http://zotero.org/users/1055192/items/HJAEJI64"],"itemData":{"id":30458,"type":"article-journal","abstract":"Etravirine is a next-generation non-nucleoside reverse transcriptase inhibitor (NNRTI) developed for the treatment of HIV-1 infection. It has a high genetic barrier to the emergence of viral resistance, and maintains its antiviral activity in the presence of common NNRTI mutations. The pharmacokinetics of etravirine in HIV-infected patients at the recommended dosage of 200 mg twice daily demonstrates moderate intersubject variability and no time dependency. Due to substantially lower exposures when taken on an empty stomach, etravirine should be administered following a meal. The drug is highly protein bound (99.9%) to albumin and alpha(1)-acid glycoprotein and shows a relatively long elimination half-life of 30-40 hours. Etravirine is metabolized by cytochrome P450 (CYP) 3A, 2C9 and 2C19; the metabolites are subsequently glucuronidated by uridine diphosphate glucuronosyltransferase. Renal elimination of etravirine is negligible. Etravirine has the potential for interactions by inducing CYP3A and inhibiting CYP2C9 and 2C19; it is a mild inhibitor of P-glycoprotein but not a substrate. The drug interaction profile of etravirine has been well characterized and is manageable. No dosage adjustments are needed in patients with renal impairment or mild to moderate hepatic impairment. Race, sex, bodyweight and age do not affect the pharmacokinetics of etravirine. In the two phase III trials DUET-1 and DUET-2, no relationship was demonstrated between the pharmacokinetics of etravirine and the primary efficacy endpoint of viral load below 50 copies/mL or the safety profile of etravirine.","container-title":"Clinical Pharmacokinetics","DOI":"10.2165/10895940-000000000-00000","ISSN":"1179-1926","issue":"9","journalAbbreviation":"Clin Pharmacokinet","language":"eng","note":"PMID: 19725591","page":"561-574","source":"PubMed","title":"Clinical pharmacokinetics and pharmacodynamics of etravirine","volume":"48","author":[{"family":"Schöller-Gyüre","given":"Monika"},{"family":"Kakuda","given":"Thomas N."},{"family":"Raoof","given":"Araz"},{"family":"De Smedt","given":"Goedele"},{"family":"Hoetelmans","given":"Richard M. W."}],"issued":{"date-parts":[["2009"]]}},"label":"page"},{"id":"iY4E1EKJ/JLamIxxe","uris":["http://zotero.org/users/1055192/items/WMAE7DPA"],"itemData":{"id":30669,"type":"article-journal","abstract":"The effect of etravirine on cytochrome P450 (CYP) enzymes and P-glycoprotein were evaluated in two randomized, crossover trials in healthy subjects. A modified Cooperstown 5 + 1 cocktail was utilized to determine the effects of etravirine on single-dose pharmacokinetics of model CYP probes. The cocktail was administered alone, then, after a 14-day washout, etravirine 200 mg twice daily (bid) was given for 14 days with cocktail on days 1 and 14. In a separate study, digoxin (0.5 mg) was administered alone, then, after a 14-day washout, etravirine 200 mg bid was administered for 12 days with digoxin on day 8. In the cocktail study, the AUClast least squares mean (LSM) ratios (90% confidence intervals [CIs]) for cocktail + etravirine versus cocktail were 0.93 (0.88, 0.99; paraxanthine), 0.58 (0.44, 0.75; 7-OH-S-warfarin), 0.43 (0.20, 0.96; 5-OH-omeprazole), 0.85 (0.78, 0.94; dextrorphan), and 0.69 (0.64, 0.74; midazolam). Digoxin AUC0-8h was slightly increased with etravirine coadministration (LSM ratio 1.18 [0.90, 1.56]). These data suggest that etravirine is a weak CYP3A isozyme inducer and minimally inhibits CYP2C9, 2C19, and P-glycoprotein activity.","container-title":"Journal of Clinical Pharmacology","DOI":"10.1002/jcph.214","ISSN":"1552-4604","issue":"4","journalAbbreviation":"J Clin Pharmacol","language":"eng","note":"PMID: 24165884","page":"422-431","source":"PubMed","title":"The effect of single- and multiple-dose etravirine on a drug cocktail of representative cytochrome P450 probes and digoxin in healthy subjects","volume":"54","author":[{"family":"Kakuda","given":"Thomas N."},{"family":"Van Solingen-Ristea","given":"Rodica M."},{"family":"Onkelinx","given":"Joelle"},{"family":"Stevens","given":"Tanja"},{"family":"Aharchi","given":"Fatima"},{"family":"De Smedt","given":"Goedele"},{"family":"Peeters","given":"Monika"},{"family":"Leopold","given":"Lorant"},{"family":"Hoetelmans","given":"Richard M. W."}],"issued":{"date-parts":[["2014",4]]}},"label":"page"}],"schema":"https://github.com/citation-style-language/schema/raw/master/csl-citation.json"} </w:instrText>
      </w:r>
      <w:r>
        <w:rPr>
          <w:lang w:eastAsia="en-US"/>
        </w:rPr>
        <w:fldChar w:fldCharType="separate"/>
      </w:r>
      <w:r w:rsidR="005E2B83" w:rsidRPr="00152BB2">
        <w:t>[</w:t>
      </w:r>
      <w:r w:rsidR="0065629B" w:rsidRPr="0065629B">
        <w:t>29,</w:t>
      </w:r>
      <w:r w:rsidR="00292F12">
        <w:t xml:space="preserve"> </w:t>
      </w:r>
      <w:r w:rsidR="0065629B" w:rsidRPr="0065629B">
        <w:t>44</w:t>
      </w:r>
      <w:r w:rsidR="005E2B83" w:rsidRPr="00152BB2">
        <w:t>]</w:t>
      </w:r>
      <w:r>
        <w:rPr>
          <w:lang w:eastAsia="en-US"/>
        </w:rPr>
        <w:fldChar w:fldCharType="end"/>
      </w:r>
      <w:r w:rsidRPr="00B319E5">
        <w:rPr>
          <w:lang w:eastAsia="en-US"/>
        </w:rPr>
        <w:t xml:space="preserve">. </w:t>
      </w:r>
    </w:p>
    <w:p w14:paraId="5BF0D68F" w14:textId="6CA9A40F" w:rsidR="003F732B" w:rsidRDefault="003F732B" w:rsidP="001C0A37">
      <w:pPr>
        <w:pStyle w:val="affb"/>
        <w:spacing w:before="0" w:after="0" w:line="240" w:lineRule="auto"/>
        <w:ind w:firstLine="709"/>
        <w:rPr>
          <w:lang w:eastAsia="en-US"/>
        </w:rPr>
      </w:pPr>
      <w:r w:rsidRPr="00B319E5">
        <w:rPr>
          <w:lang w:eastAsia="en-US"/>
        </w:rPr>
        <w:t xml:space="preserve">Поскольку </w:t>
      </w:r>
      <w:r w:rsidR="002C7107">
        <w:rPr>
          <w:lang w:eastAsia="en-US"/>
        </w:rPr>
        <w:t xml:space="preserve">этравирин </w:t>
      </w:r>
      <w:r w:rsidRPr="00B319E5">
        <w:rPr>
          <w:lang w:eastAsia="en-US"/>
        </w:rPr>
        <w:t xml:space="preserve">используется </w:t>
      </w:r>
      <w:r>
        <w:rPr>
          <w:lang w:eastAsia="en-US"/>
        </w:rPr>
        <w:t xml:space="preserve">в составе комбинированной </w:t>
      </w:r>
      <w:r w:rsidRPr="00B319E5">
        <w:rPr>
          <w:lang w:eastAsia="en-US"/>
        </w:rPr>
        <w:t>АРТ</w:t>
      </w:r>
      <w:r>
        <w:rPr>
          <w:lang w:eastAsia="en-US"/>
        </w:rPr>
        <w:t xml:space="preserve">, другие АРВП </w:t>
      </w:r>
      <w:r w:rsidRPr="00B319E5">
        <w:rPr>
          <w:lang w:eastAsia="en-US"/>
        </w:rPr>
        <w:t xml:space="preserve">могут быть причиной </w:t>
      </w:r>
      <w:r>
        <w:rPr>
          <w:lang w:eastAsia="en-US"/>
        </w:rPr>
        <w:t xml:space="preserve">развития </w:t>
      </w:r>
      <w:r w:rsidR="00DE76FC">
        <w:rPr>
          <w:lang w:eastAsia="en-US"/>
        </w:rPr>
        <w:t>межлекарственного взаимодействия</w:t>
      </w:r>
      <w:r w:rsidRPr="00B319E5">
        <w:rPr>
          <w:lang w:eastAsia="en-US"/>
        </w:rPr>
        <w:t>. Исчерпывающи</w:t>
      </w:r>
      <w:r>
        <w:rPr>
          <w:lang w:eastAsia="en-US"/>
        </w:rPr>
        <w:t>е</w:t>
      </w:r>
      <w:r w:rsidRPr="00B319E5">
        <w:rPr>
          <w:lang w:eastAsia="en-US"/>
        </w:rPr>
        <w:t xml:space="preserve"> </w:t>
      </w:r>
      <w:r>
        <w:rPr>
          <w:lang w:eastAsia="en-US"/>
        </w:rPr>
        <w:t xml:space="preserve">данные </w:t>
      </w:r>
      <w:r w:rsidRPr="00B319E5">
        <w:rPr>
          <w:lang w:eastAsia="en-US"/>
        </w:rPr>
        <w:t xml:space="preserve">по </w:t>
      </w:r>
      <w:r w:rsidR="00090FF9">
        <w:rPr>
          <w:lang w:eastAsia="en-US"/>
        </w:rPr>
        <w:t>межлекарственного взаимодействия этравирина</w:t>
      </w:r>
      <w:r w:rsidR="00090FF9">
        <w:t xml:space="preserve"> </w:t>
      </w:r>
      <w:r>
        <w:rPr>
          <w:lang w:eastAsia="en-US"/>
        </w:rPr>
        <w:t xml:space="preserve">с АРВП приведены </w:t>
      </w:r>
      <w:r w:rsidRPr="00B319E5">
        <w:rPr>
          <w:lang w:eastAsia="en-US"/>
        </w:rPr>
        <w:t>в</w:t>
      </w:r>
      <w:r>
        <w:rPr>
          <w:lang w:eastAsia="en-US"/>
        </w:rPr>
        <w:t xml:space="preserve"> международных и российских клинических рекомендациях по </w:t>
      </w:r>
      <w:r w:rsidRPr="00B319E5">
        <w:rPr>
          <w:lang w:eastAsia="en-US"/>
        </w:rPr>
        <w:t>лечению ВИЧ</w:t>
      </w:r>
      <w:r w:rsidRPr="00F2438A">
        <w:rPr>
          <w:lang w:eastAsia="en-US"/>
        </w:rPr>
        <w:t xml:space="preserve"> </w:t>
      </w:r>
      <w:r>
        <w:rPr>
          <w:lang w:eastAsia="en-US"/>
        </w:rPr>
        <w:fldChar w:fldCharType="begin"/>
      </w:r>
      <w:r w:rsidR="00824DA4">
        <w:rPr>
          <w:lang w:eastAsia="en-US"/>
        </w:rPr>
        <w:instrText xml:space="preserve"> ADDIN ZOTERO_ITEM CSL_CITATION {"citationID":"JvDrSUPm","properties":{"formattedCitation":"(47\\uc0\\u8211{}49)","plainCitation":"(47–49)","noteIndex":0},"citationItems":[{"id":"iY4E1EKJ/qT2iVYNY","uris":["http://zotero.org/users/1055192/items/WSG2FYJ6"],"itemData":{"id":22467,"type":"article","publisher":"Министерство Здравоохранения Российской Федерации","title":"Клинические рекомендации. ВИЧ-инфекция у детей 2020 (проект)","URL":"http://rushiv.ru/klinicheskie-rekomendatsii-vich-infektsiya-u-detej-2020/","author":[{"family":"Национальная ассоциация специалистов по профилактике, диагностике и лечению ВИЧ-инфекции","given":""}],"issued":{"date-parts":[["2020"]]}},"label":"page"},{"id":"iY4E1EKJ/0q0f25cK","uris":["http://zotero.org/users/1055192/items/YPYZFHMP"],"itemData":{"id":27349,"type":"article","abstract":"Antiretroviral therapy (ART) reduces mortality for persons with HIV and prevents sexual transmission of the virus when the viral load is consistently suppressed.","language":"en","title":"Guidelines for the Use of Antiretroviral Agents in Adults and Adolescents Living with HIV","URL":"https://clinicalinfo.hiv.gov/en/guidelines/adult-and-adolescent-arv/antiretroviral-therapy-prevent-sexual-transmission-hiv","author":[{"family":"OARAC","given":""}],"accessed":{"date-parts":[["2021",6,28]]},"issued":{"date-parts":[["2019"]]}},"label":"page"},{"id":"iY4E1EKJ/Qvbqu00o","uris":["http://zotero.org/users/1055192/items/NQULN8GW"],"itemData":{"id":20976,"type":"article","language":"en","title":"EACS Guidelines (version 10.0)","URL":"https:/www.eacsociety.org/guidelines/eacs-guidelines/eacs-guidelines.html","author":[{"literal":"European AIDS Clinical Society"}],"accessed":{"date-parts":[["2020",9,10]]},"issued":{"date-parts":[["2019"]]}},"label":"page"}],"schema":"https://github.com/citation-style-language/schema/raw/master/csl-citation.json"} </w:instrText>
      </w:r>
      <w:r>
        <w:rPr>
          <w:lang w:eastAsia="en-US"/>
        </w:rPr>
        <w:fldChar w:fldCharType="separate"/>
      </w:r>
      <w:r w:rsidR="005E2B83" w:rsidRPr="00B66676">
        <w:t>[</w:t>
      </w:r>
      <w:r w:rsidR="0065629B" w:rsidRPr="0065629B">
        <w:t>47–49</w:t>
      </w:r>
      <w:r w:rsidR="005E2B83" w:rsidRPr="00B66676">
        <w:t>]</w:t>
      </w:r>
      <w:r>
        <w:rPr>
          <w:lang w:eastAsia="en-US"/>
        </w:rPr>
        <w:fldChar w:fldCharType="end"/>
      </w:r>
      <w:r w:rsidRPr="00F2438A">
        <w:rPr>
          <w:lang w:eastAsia="en-US"/>
        </w:rPr>
        <w:t xml:space="preserve"> </w:t>
      </w:r>
      <w:r>
        <w:rPr>
          <w:lang w:eastAsia="en-US"/>
        </w:rPr>
        <w:t>а</w:t>
      </w:r>
      <w:r w:rsidRPr="00F2438A">
        <w:rPr>
          <w:lang w:eastAsia="en-US"/>
        </w:rPr>
        <w:t xml:space="preserve"> </w:t>
      </w:r>
      <w:r>
        <w:rPr>
          <w:lang w:eastAsia="en-US"/>
        </w:rPr>
        <w:t>также</w:t>
      </w:r>
      <w:r w:rsidRPr="00F2438A">
        <w:rPr>
          <w:lang w:eastAsia="en-US"/>
        </w:rPr>
        <w:t xml:space="preserve"> </w:t>
      </w:r>
      <w:r>
        <w:rPr>
          <w:lang w:eastAsia="en-US"/>
        </w:rPr>
        <w:t>в</w:t>
      </w:r>
      <w:r w:rsidRPr="00F2438A">
        <w:rPr>
          <w:lang w:eastAsia="en-US"/>
        </w:rPr>
        <w:t xml:space="preserve"> </w:t>
      </w:r>
      <w:r>
        <w:rPr>
          <w:lang w:eastAsia="en-US"/>
        </w:rPr>
        <w:t>обзоре</w:t>
      </w:r>
      <w:r w:rsidRPr="00F2438A">
        <w:rPr>
          <w:lang w:eastAsia="en-US"/>
        </w:rPr>
        <w:t xml:space="preserve"> </w:t>
      </w:r>
      <w:r w:rsidRPr="00EE7ABB">
        <w:rPr>
          <w:lang w:val="en-US" w:eastAsia="en-US"/>
        </w:rPr>
        <w:t>Scholler</w:t>
      </w:r>
      <w:r w:rsidRPr="00F2438A">
        <w:rPr>
          <w:lang w:eastAsia="en-US"/>
        </w:rPr>
        <w:t>-</w:t>
      </w:r>
      <w:r w:rsidRPr="00EE7ABB">
        <w:rPr>
          <w:lang w:val="en-US" w:eastAsia="en-US"/>
        </w:rPr>
        <w:t>Gyure</w:t>
      </w:r>
      <w:r w:rsidRPr="00F2438A">
        <w:rPr>
          <w:lang w:eastAsia="en-US"/>
        </w:rPr>
        <w:t xml:space="preserve"> </w:t>
      </w:r>
      <w:r>
        <w:rPr>
          <w:lang w:eastAsia="en-US"/>
        </w:rPr>
        <w:t>и</w:t>
      </w:r>
      <w:r w:rsidRPr="00F2438A">
        <w:rPr>
          <w:lang w:eastAsia="en-US"/>
        </w:rPr>
        <w:t xml:space="preserve"> </w:t>
      </w:r>
      <w:r>
        <w:rPr>
          <w:lang w:eastAsia="en-US"/>
        </w:rPr>
        <w:t>соавт</w:t>
      </w:r>
      <w:r w:rsidRPr="00F2438A">
        <w:rPr>
          <w:lang w:eastAsia="en-US"/>
        </w:rPr>
        <w:t xml:space="preserve">. </w:t>
      </w:r>
      <w:r>
        <w:rPr>
          <w:lang w:eastAsia="en-US"/>
        </w:rPr>
        <w:t xml:space="preserve">(2009) </w:t>
      </w:r>
      <w:r w:rsidR="00292F12">
        <w:rPr>
          <w:lang w:eastAsia="en-US"/>
        </w:rPr>
        <w:fldChar w:fldCharType="begin"/>
      </w:r>
      <w:r w:rsidR="00292F12">
        <w:rPr>
          <w:lang w:eastAsia="en-US"/>
        </w:rPr>
        <w:instrText xml:space="preserve"> ADDIN ZOTERO_ITEM CSL_CITATION {"citationID":"0pm855Zh","properties":{"formattedCitation":"(44)","plainCitation":"(44)","noteIndex":0},"citationItems":[{"id":"iY4E1EKJ/TO8qO8wU","uris":["http://zotero.org/users/1055192/items/HJAEJI64"],"itemData":{"id":30458,"type":"article-journal","abstract":"Etravirine is a next-generation non-nucleoside reverse transcriptase inhibitor (NNRTI) developed for the treatment of HIV-1 infection. It has a high genetic barrier to the emergence of viral resistance, and maintains its antiviral activity in the presence of common NNRTI mutations. The pharmacokinetics of etravirine in HIV-infected patients at the recommended dosage of 200 mg twice daily demonstrates moderate intersubject variability and no time dependency. Due to substantially lower exposures when taken on an empty stomach, etravirine should be administered following a meal. The drug is highly protein bound (99.9%) to albumin and alpha(1)-acid glycoprotein and shows a relatively long elimination half-life of 30-40 hours. Etravirine is metabolized by cytochrome P450 (CYP) 3A, 2C9 and 2C19; the metabolites are subsequently glucuronidated by uridine diphosphate glucuronosyltransferase. Renal elimination of etravirine is negligible. Etravirine has the potential for interactions by inducing CYP3A and inhibiting CYP2C9 and 2C19; it is a mild inhibitor of P-glycoprotein but not a substrate. The drug interaction profile of etravirine has been well characterized and is manageable. No dosage adjustments are needed in patients with renal impairment or mild to moderate hepatic impairment. Race, sex, bodyweight and age do not affect the pharmacokinetics of etravirine. In the two phase III trials DUET-1 and DUET-2, no relationship was demonstrated between the pharmacokinetics of etravirine and the primary efficacy endpoint of viral load below 50 copies/mL or the safety profile of etravirine.","container-title":"Clinical Pharmacokinetics","DOI":"10.2165/10895940-000000000-00000","ISSN":"1179-1926","issue":"9","journalAbbreviation":"Clin Pharmacokinet","language":"eng","note":"PMID: 19725591","page":"561-574","source":"PubMed","title":"Clinical pharmacokinetics and pharmacodynamics of etravirine","volume":"48","author":[{"family":"Schöller-Gyüre","given":"Monika"},{"family":"Kakuda","given":"Thomas N."},{"family":"Raoof","given":"Araz"},{"family":"De Smedt","given":"Goedele"},{"family":"Hoetelmans","given":"Richard M. W."}],"issued":{"date-parts":[["2009"]]}},"label":"page"}],"schema":"https://github.com/citation-style-language/schema/raw/master/csl-citation.json"} </w:instrText>
      </w:r>
      <w:r w:rsidR="00292F12">
        <w:rPr>
          <w:lang w:eastAsia="en-US"/>
        </w:rPr>
        <w:fldChar w:fldCharType="separate"/>
      </w:r>
      <w:r w:rsidR="00292F12" w:rsidRPr="005E2B83">
        <w:t>[</w:t>
      </w:r>
      <w:r w:rsidR="00292F12" w:rsidRPr="0065629B">
        <w:t>44</w:t>
      </w:r>
      <w:r w:rsidR="00292F12" w:rsidRPr="005E2B83">
        <w:t>]</w:t>
      </w:r>
      <w:r w:rsidR="00292F12">
        <w:rPr>
          <w:lang w:eastAsia="en-US"/>
        </w:rPr>
        <w:fldChar w:fldCharType="end"/>
      </w:r>
      <w:r w:rsidRPr="00F2438A">
        <w:rPr>
          <w:lang w:eastAsia="en-US"/>
        </w:rPr>
        <w:t xml:space="preserve">. </w:t>
      </w:r>
      <w:r>
        <w:rPr>
          <w:lang w:eastAsia="en-US"/>
        </w:rPr>
        <w:t>Данные</w:t>
      </w:r>
      <w:r w:rsidRPr="009C3EE5">
        <w:rPr>
          <w:lang w:eastAsia="en-US"/>
        </w:rPr>
        <w:t xml:space="preserve"> </w:t>
      </w:r>
      <w:r>
        <w:rPr>
          <w:lang w:eastAsia="en-US"/>
        </w:rPr>
        <w:t>о</w:t>
      </w:r>
      <w:r w:rsidRPr="009C3EE5">
        <w:rPr>
          <w:lang w:eastAsia="en-US"/>
        </w:rPr>
        <w:t xml:space="preserve"> </w:t>
      </w:r>
      <w:r>
        <w:rPr>
          <w:lang w:eastAsia="en-US"/>
        </w:rPr>
        <w:t>некоторых</w:t>
      </w:r>
      <w:r w:rsidRPr="009C3EE5">
        <w:rPr>
          <w:lang w:eastAsia="en-US"/>
        </w:rPr>
        <w:t xml:space="preserve"> </w:t>
      </w:r>
      <w:r w:rsidR="00090FF9">
        <w:rPr>
          <w:lang w:eastAsia="en-US"/>
        </w:rPr>
        <w:t>межлекарственных взаимодействи</w:t>
      </w:r>
      <w:r w:rsidR="00B4088D">
        <w:rPr>
          <w:lang w:eastAsia="en-US"/>
        </w:rPr>
        <w:t>й</w:t>
      </w:r>
      <w:r w:rsidRPr="009C3EE5">
        <w:rPr>
          <w:lang w:eastAsia="en-US"/>
        </w:rPr>
        <w:t xml:space="preserve">, </w:t>
      </w:r>
      <w:r>
        <w:rPr>
          <w:lang w:eastAsia="en-US"/>
        </w:rPr>
        <w:t>описанные</w:t>
      </w:r>
      <w:r w:rsidRPr="009C3EE5">
        <w:rPr>
          <w:lang w:eastAsia="en-US"/>
        </w:rPr>
        <w:t xml:space="preserve"> </w:t>
      </w:r>
      <w:r>
        <w:rPr>
          <w:lang w:eastAsia="en-US"/>
        </w:rPr>
        <w:t>в</w:t>
      </w:r>
      <w:r w:rsidRPr="009C3EE5">
        <w:rPr>
          <w:lang w:eastAsia="en-US"/>
        </w:rPr>
        <w:t xml:space="preserve"> </w:t>
      </w:r>
      <w:r>
        <w:rPr>
          <w:lang w:eastAsia="en-US"/>
        </w:rPr>
        <w:t>обзоре</w:t>
      </w:r>
      <w:r w:rsidRPr="00732CA1">
        <w:rPr>
          <w:lang w:eastAsia="en-US"/>
        </w:rPr>
        <w:t xml:space="preserve"> </w:t>
      </w:r>
      <w:r w:rsidRPr="00EE7ABB">
        <w:rPr>
          <w:lang w:val="en-US" w:eastAsia="en-US"/>
        </w:rPr>
        <w:t>Scholler</w:t>
      </w:r>
      <w:r w:rsidRPr="00F2438A">
        <w:rPr>
          <w:lang w:eastAsia="en-US"/>
        </w:rPr>
        <w:t>-</w:t>
      </w:r>
      <w:r w:rsidRPr="00EE7ABB">
        <w:rPr>
          <w:lang w:val="en-US" w:eastAsia="en-US"/>
        </w:rPr>
        <w:t>Gyure</w:t>
      </w:r>
      <w:r w:rsidRPr="00F2438A">
        <w:rPr>
          <w:lang w:eastAsia="en-US"/>
        </w:rPr>
        <w:t xml:space="preserve"> </w:t>
      </w:r>
      <w:r>
        <w:rPr>
          <w:lang w:eastAsia="en-US"/>
        </w:rPr>
        <w:t>и</w:t>
      </w:r>
      <w:r w:rsidRPr="00F2438A">
        <w:rPr>
          <w:lang w:eastAsia="en-US"/>
        </w:rPr>
        <w:t xml:space="preserve"> </w:t>
      </w:r>
      <w:r>
        <w:rPr>
          <w:lang w:eastAsia="en-US"/>
        </w:rPr>
        <w:t>соавт</w:t>
      </w:r>
      <w:r w:rsidRPr="00F2438A">
        <w:rPr>
          <w:lang w:eastAsia="en-US"/>
        </w:rPr>
        <w:t xml:space="preserve">. </w:t>
      </w:r>
      <w:r>
        <w:rPr>
          <w:lang w:eastAsia="en-US"/>
        </w:rPr>
        <w:t xml:space="preserve">(2009) </w:t>
      </w:r>
      <w:r>
        <w:rPr>
          <w:lang w:eastAsia="en-US"/>
        </w:rPr>
        <w:fldChar w:fldCharType="begin"/>
      </w:r>
      <w:r w:rsidR="00824DA4">
        <w:rPr>
          <w:lang w:eastAsia="en-US"/>
        </w:rPr>
        <w:instrText xml:space="preserve"> ADDIN ZOTERO_ITEM CSL_CITATION {"citationID":"0pm855Zh","properties":{"formattedCitation":"(44)","plainCitation":"(44)","noteIndex":0},"citationItems":[{"id":"iY4E1EKJ/TO8qO8wU","uris":["http://zotero.org/users/1055192/items/HJAEJI64"],"itemData":{"id":30458,"type":"article-journal","abstract":"Etravirine is a next-generation non-nucleoside reverse transcriptase inhibitor (NNRTI) developed for the treatment of HIV-1 infection. It has a high genetic barrier to the emergence of viral resistance, and maintains its antiviral activity in the presence of common NNRTI mutations. The pharmacokinetics of etravirine in HIV-infected patients at the recommended dosage of 200 mg twice daily demonstrates moderate intersubject variability and no time dependency. Due to substantially lower exposures when taken on an empty stomach, etravirine should be administered following a meal. The drug is highly protein bound (99.9%) to albumin and alpha(1)-acid glycoprotein and shows a relatively long elimination half-life of 30-40 hours. Etravirine is metabolized by cytochrome P450 (CYP) 3A, 2C9 and 2C19; the metabolites are subsequently glucuronidated by uridine diphosphate glucuronosyltransferase. Renal elimination of etravirine is negligible. Etravirine has the potential for interactions by inducing CYP3A and inhibiting CYP2C9 and 2C19; it is a mild inhibitor of P-glycoprotein but not a substrate. The drug interaction profile of etravirine has been well characterized and is manageable. No dosage adjustments are needed in patients with renal impairment or mild to moderate hepatic impairment. Race, sex, bodyweight and age do not affect the pharmacokinetics of etravirine. In the two phase III trials DUET-1 and DUET-2, no relationship was demonstrated between the pharmacokinetics of etravirine and the primary efficacy endpoint of viral load below 50 copies/mL or the safety profile of etravirine.","container-title":"Clinical Pharmacokinetics","DOI":"10.2165/10895940-000000000-00000","ISSN":"1179-1926","issue":"9","journalAbbreviation":"Clin Pharmacokinet","language":"eng","note":"PMID: 19725591","page":"561-574","source":"PubMed","title":"Clinical pharmacokinetics and pharmacodynamics of etravirine","volume":"48","author":[{"family":"Schöller-Gyüre","given":"Monika"},{"family":"Kakuda","given":"Thomas N."},{"family":"Raoof","given":"Araz"},{"family":"De Smedt","given":"Goedele"},{"family":"Hoetelmans","given":"Richard M. W."}],"issued":{"date-parts":[["2009"]]}},"label":"page"}],"schema":"https://github.com/citation-style-language/schema/raw/master/csl-citation.json"} </w:instrText>
      </w:r>
      <w:r>
        <w:rPr>
          <w:lang w:eastAsia="en-US"/>
        </w:rPr>
        <w:fldChar w:fldCharType="separate"/>
      </w:r>
      <w:r w:rsidR="005E2B83" w:rsidRPr="005E2B83">
        <w:t>[</w:t>
      </w:r>
      <w:r w:rsidR="0065629B" w:rsidRPr="0065629B">
        <w:t>44</w:t>
      </w:r>
      <w:r w:rsidR="005E2B83" w:rsidRPr="005E2B83">
        <w:t>]</w:t>
      </w:r>
      <w:r>
        <w:rPr>
          <w:lang w:eastAsia="en-US"/>
        </w:rPr>
        <w:fldChar w:fldCharType="end"/>
      </w:r>
      <w:r w:rsidRPr="009C3EE5">
        <w:rPr>
          <w:lang w:eastAsia="en-US"/>
        </w:rPr>
        <w:t xml:space="preserve">, </w:t>
      </w:r>
      <w:r>
        <w:rPr>
          <w:lang w:eastAsia="en-US"/>
        </w:rPr>
        <w:t>касаются</w:t>
      </w:r>
      <w:r w:rsidRPr="009C3EE5">
        <w:rPr>
          <w:lang w:eastAsia="en-US"/>
        </w:rPr>
        <w:t xml:space="preserve"> </w:t>
      </w:r>
      <w:r>
        <w:rPr>
          <w:lang w:eastAsia="en-US"/>
        </w:rPr>
        <w:t>лекарственной</w:t>
      </w:r>
      <w:r w:rsidRPr="009C3EE5">
        <w:rPr>
          <w:lang w:eastAsia="en-US"/>
        </w:rPr>
        <w:t xml:space="preserve"> </w:t>
      </w:r>
      <w:r>
        <w:rPr>
          <w:lang w:eastAsia="en-US"/>
        </w:rPr>
        <w:t>формы</w:t>
      </w:r>
      <w:r w:rsidRPr="009C3EE5">
        <w:rPr>
          <w:lang w:eastAsia="en-US"/>
        </w:rPr>
        <w:t xml:space="preserve"> </w:t>
      </w:r>
      <w:r w:rsidR="00B4088D">
        <w:rPr>
          <w:lang w:eastAsia="en-US"/>
        </w:rPr>
        <w:t>этравирина</w:t>
      </w:r>
      <w:r w:rsidR="00B4088D">
        <w:t xml:space="preserve"> </w:t>
      </w:r>
      <w:r>
        <w:rPr>
          <w:lang w:eastAsia="en-US"/>
        </w:rPr>
        <w:t>с</w:t>
      </w:r>
      <w:r w:rsidRPr="009C3EE5">
        <w:rPr>
          <w:lang w:eastAsia="en-US"/>
        </w:rPr>
        <w:t xml:space="preserve"> </w:t>
      </w:r>
      <w:r>
        <w:rPr>
          <w:lang w:eastAsia="en-US"/>
        </w:rPr>
        <w:t>низкой</w:t>
      </w:r>
      <w:r w:rsidRPr="009C3EE5">
        <w:rPr>
          <w:lang w:eastAsia="en-US"/>
        </w:rPr>
        <w:t xml:space="preserve"> </w:t>
      </w:r>
      <w:r>
        <w:rPr>
          <w:lang w:eastAsia="en-US"/>
        </w:rPr>
        <w:t>биодоступностью</w:t>
      </w:r>
      <w:r w:rsidRPr="009C3EE5">
        <w:rPr>
          <w:lang w:eastAsia="en-US"/>
        </w:rPr>
        <w:t xml:space="preserve">, </w:t>
      </w:r>
      <w:r>
        <w:rPr>
          <w:lang w:eastAsia="en-US"/>
        </w:rPr>
        <w:t>однако</w:t>
      </w:r>
      <w:r w:rsidRPr="009C3EE5">
        <w:rPr>
          <w:lang w:eastAsia="en-US"/>
        </w:rPr>
        <w:t xml:space="preserve">, </w:t>
      </w:r>
      <w:r>
        <w:rPr>
          <w:lang w:eastAsia="en-US"/>
        </w:rPr>
        <w:t>информация</w:t>
      </w:r>
      <w:r w:rsidRPr="009C3EE5">
        <w:rPr>
          <w:lang w:eastAsia="en-US"/>
        </w:rPr>
        <w:t xml:space="preserve"> </w:t>
      </w:r>
      <w:r>
        <w:rPr>
          <w:lang w:eastAsia="en-US"/>
        </w:rPr>
        <w:t>по</w:t>
      </w:r>
      <w:r w:rsidRPr="009C3EE5">
        <w:rPr>
          <w:lang w:eastAsia="en-US"/>
        </w:rPr>
        <w:t xml:space="preserve"> </w:t>
      </w:r>
      <w:r w:rsidR="00B4088D">
        <w:rPr>
          <w:lang w:eastAsia="en-US"/>
        </w:rPr>
        <w:t>межлекарственному взаимодействию</w:t>
      </w:r>
      <w:r w:rsidRPr="009C3EE5">
        <w:rPr>
          <w:lang w:eastAsia="en-US"/>
        </w:rPr>
        <w:t xml:space="preserve">, </w:t>
      </w:r>
      <w:r>
        <w:rPr>
          <w:lang w:eastAsia="en-US"/>
        </w:rPr>
        <w:t>приведенная</w:t>
      </w:r>
      <w:r w:rsidRPr="009C3EE5">
        <w:rPr>
          <w:lang w:eastAsia="en-US"/>
        </w:rPr>
        <w:t xml:space="preserve"> </w:t>
      </w:r>
      <w:r>
        <w:rPr>
          <w:lang w:eastAsia="en-US"/>
        </w:rPr>
        <w:t>в</w:t>
      </w:r>
      <w:r w:rsidRPr="009C3EE5">
        <w:rPr>
          <w:lang w:eastAsia="en-US"/>
        </w:rPr>
        <w:t xml:space="preserve"> </w:t>
      </w:r>
      <w:r w:rsidR="00B4088D">
        <w:rPr>
          <w:lang w:eastAsia="en-US"/>
        </w:rPr>
        <w:t>и</w:t>
      </w:r>
      <w:r w:rsidR="000607F0">
        <w:rPr>
          <w:lang w:eastAsia="en-US"/>
        </w:rPr>
        <w:t>н</w:t>
      </w:r>
      <w:r w:rsidR="00B4088D">
        <w:rPr>
          <w:lang w:eastAsia="en-US"/>
        </w:rPr>
        <w:t>струкции для медицинског</w:t>
      </w:r>
      <w:r w:rsidR="000607F0">
        <w:rPr>
          <w:lang w:eastAsia="en-US"/>
        </w:rPr>
        <w:t>о применения</w:t>
      </w:r>
      <w:r w:rsidRPr="009C3EE5">
        <w:rPr>
          <w:lang w:eastAsia="en-US"/>
        </w:rPr>
        <w:t xml:space="preserve"> </w:t>
      </w:r>
      <w:r w:rsidR="000607F0">
        <w:rPr>
          <w:lang w:eastAsia="en-US"/>
        </w:rPr>
        <w:t xml:space="preserve">оригинального препарата </w:t>
      </w:r>
      <w:r>
        <w:rPr>
          <w:lang w:eastAsia="en-US"/>
        </w:rPr>
        <w:t>Интеленс</w:t>
      </w:r>
      <w:r w:rsidRPr="00F0752C">
        <w:rPr>
          <w:vertAlign w:val="superscript"/>
          <w:lang w:eastAsia="en-US"/>
        </w:rPr>
        <w:t>®</w:t>
      </w:r>
      <w:r w:rsidRPr="009C3EE5">
        <w:rPr>
          <w:lang w:eastAsia="en-US"/>
        </w:rPr>
        <w:t xml:space="preserve"> (</w:t>
      </w:r>
      <w:r w:rsidR="00BC1CB6">
        <w:rPr>
          <w:lang w:eastAsia="en-US"/>
        </w:rPr>
        <w:t>этравирин</w:t>
      </w:r>
      <w:r w:rsidRPr="009C3EE5">
        <w:rPr>
          <w:lang w:eastAsia="en-US"/>
        </w:rPr>
        <w:t>)</w:t>
      </w:r>
      <w:r>
        <w:rPr>
          <w:lang w:eastAsia="en-US"/>
        </w:rPr>
        <w:t>,</w:t>
      </w:r>
      <w:r w:rsidRPr="009C3EE5">
        <w:rPr>
          <w:lang w:eastAsia="en-US"/>
        </w:rPr>
        <w:t xml:space="preserve"> </w:t>
      </w:r>
      <w:r>
        <w:rPr>
          <w:lang w:eastAsia="en-US"/>
        </w:rPr>
        <w:t>базируется на этих исследованиях</w:t>
      </w:r>
      <w:r w:rsidR="00DE76FC">
        <w:rPr>
          <w:lang w:eastAsia="en-US"/>
        </w:rPr>
        <w:t xml:space="preserve"> </w:t>
      </w:r>
      <w:r>
        <w:rPr>
          <w:lang w:eastAsia="en-US"/>
        </w:rPr>
        <w:fldChar w:fldCharType="begin"/>
      </w:r>
      <w:r w:rsidR="00824DA4">
        <w:rPr>
          <w:lang w:eastAsia="en-US"/>
        </w:rPr>
        <w:instrText xml:space="preserve"> ADDIN ZOTERO_ITEM CSL_CITATION {"citationID":"oN6KDehU","properties":{"formattedCitation":"(39,45,50)","plainCitation":"(39,45,50)","noteIndex":0},"citationItems":[{"id":"iY4E1EKJ/9Y8IvF0G","uris":["http://zotero.org/users/1055192/items/SMDFBMP5"],"itemData":{"id":24722,"type":"article","title":"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Росссия","author":[{"family":"Министерство здравоохранения Российской Федерации","given":""}],"issued":{"date-parts":[["2021",1,3]]}},"label":"page"},{"id":"iY4E1EKJ/7lkCFDvm","uris":["http://zotero.org/users/1055192/items/4URBS4DF"],"itemData":{"id":30566,"type":"article-journal","abstract":"Etravirine (formerly TMC125) is a non-nucleoside reverse transcriptase inhibitor (NNRTI) with activity against wild-type and NNRTI-resistant strains of HIV-1. Etravirine has been approved in several countries for use as part of highly active antiretroviral therapy in treatment-experienced patients. In vivo, etravirine is a substrate for, and weak inducer of, the hepatic cytochrome P450 (CYP) isoenzyme 3A4 and a substrate and weak inhibitor of CYP2C9 and CYP2C19. Etravirine is also a weak inhibitor of P-glycoprotein. An extensive drug-drug interaction programme in HIV-negative subjects has been carried out to assess the potential for pharmacokinetic interactions between etravirine and a variety of non-antiretroviral drugs. Effects of atorvastatin, clarithromycin, methadone, omeprazole, oral contraceptives, paroxetine, ranitidine and sildenafil on the pharmacokinetic disposition of etravirine were of no clinical relevance. Likewise, etravirine had no clinically significant effect on the pharmacokinetics of fluconazole, methadone, oral contraceptives, paroxetine or voriconazole. No clinically relevant interactions are expected between etravirine and azithromycin or ribavirin, therefore, etravirine can be combined with these agents without dose adjustment. Fluconazole and voriconazole increased etravirine exposure 1.9- and 1.4-fold, respectively, in healthy subjects, however, no increase in the incidence of adverse effects was observed in patients receiving etravirine and fluconazole during clinical trials, therefore, etravirine can be combined with these antifungals although caution is advised. Digoxin plasma exposure was slightly increased when co-administered with etravirine. No dose adjustments of digoxin are needed when used in combination with etravirine, however, it is recommended that digoxin levels should be monitored. Caution should be exercised in combining rifabutin with etravirine in the presence of certain boosted HIV protease inhibitors due to the risk of decreased exposure to etravirine. Although adjustments to the dose of clarithromycin are unnecessary for the treatment of most infections, the use of an alternative macrolide (e.g. azithromycin) is recommended for the treatment of Mycobacterium avium complex infection since the overall activity of clarithromycin against this pathogen may be altered when co-administered with etravirine. Dosage adjustments based on clinical response are recommended for clopidogrel, HMG-CoA reductase inhibitors (e.g. atorvastatin) and for phosphodiesterase type-5 inhibitors (e.g. sildenafil) because changes in the exposure of these medications in the presence of co-administered etravirine may occur. When co-administered with etravirine, a dose reduction or alternative to diazepam is recommended. When combining etravirine with warfarin, the international normalized ratio (INR) should be monitored. Systemic dexamethasone should be co-administered with caution, or an alternative to dexamethasone be found as dexamethasone induces CYP3A4. Caution is also warranted when co-administering etravirine with some antiarrhythmics, calcineurin inhibitors (e.g. ciclosporin) and antidepressants (e.g. citalopram). Co-administration of etravirine with some antiepileptics (e.g. carbamazepine and phenytoin), rifampicin (rifampin), rifapentine or preparations containing St John's wort (Hypericum perforatum) is currently not recommended as these are potent inducers of CYP3A and/or CYP2C and may potentially decrease etravirine exposure. Antiepileptics that are less likely to interact based on their known pharmacological properties include gabapentin, lamotrigine, levetiracetam and pregabalin. Overall, pharmacokinetic and clinical data show etravirine to be well tolerated and generally safe when given in combination with non-antiretroviral agents, with minimal clinically significant drug interactions and no need for dosage adjustments of etravirine in any of the cases, or of the non-antiretroviral agent in the majority of cases studied.","container-title":"Clinical Pharmacokinetics","DOI":"10.2165/11534740-000000000-00000","ISSN":"1179-1926","issue":"1","journalAbbreviation":"Clin Pharmacokinet","language":"eng","note":"PMID: 21142266","page":"25-39","source":"PubMed","title":"Pharmacokinetic interactions between etravirine and non-antiretroviral drugs","volume":"50","author":[{"family":"Kakuda","given":"Thomas N."},{"family":"Schöller-Gyüre","given":"Monika"},{"family":"Hoetelmans","given":"Richard M. W."}],"issued":{"date-parts":[["2011",1]]}},"label":"page"},{"id":"iY4E1EKJ/5TAMmLCY","uris":["http://zotero.org/users/1055192/items/PWR8773L"],"itemData":{"id":30456,"type":"article-journal","abstract":"Etravirine is an effective and well-tolerated recently approved non-nucleoside reverse transcriptase inhibitor (NNRTI) for HIV type-1-infected patients with previous antiretroviral treatment experience. Considering the importance of combining antiretrovirals for their optimal use in treating HIV, a number of drug-drug interactions with etravirine and other antiretrovirals have been evaluated. Etravirine is a weak inducer of cytochrome P450 (CYP)3A and a weak inhibitor of CYP2C9/CYP2C19 and P-glycoprotein, and although etravirine is metabolized by the CYP enzyme system, the extent of clinically relevant interactions with other antiretrovirals is limited. Etravirine can be combined with all currently available nucleoside/nucleotide reverse transcriptase inhibitors without dose adjustments, but not with other NNRTIs. Available data indicate that etravirine can be coadministered with most of the currently available ritonavir-boosted HIV protease inhibitors. Coadministration with tipranavir/ritonavir or unboosted HIV protease inhibitors is not recommended because of clinically relevant changes in exposure to etravirine or the coadministered HIV protease inhibitor, respectively. Etravirine can be coadministered with the integrase inhibitors elvitegravir/ritonavir or raltegravir, and with the fusion inhibitor enfuvirtide, without dose adjustments. Dose adjustment of the C-C chemokine receptor type-5 antagonist maraviroc is required, with the type of adjustment depending on whether a boosted HIV protease inhibitor is included in the regimen. In conclusion, etravirine can be combined with most antiretrovirals, with no clinically meaningful effect on drug exposure or safety/tolerability profiles.","container-title":"Antiviral Therapy","DOI":"10.3851/IMP1652","ISSN":"2040-2058","issue":"6","journalAbbreviation":"Antivir Ther","language":"eng","note":"PMID: 20834094","page":"817-829","source":"PubMed","title":"Clinical perspective on antiretroviral drug-drug interactions with the non-nucleoside reverse transcriptase inhibitor etravirine","volume":"15","author":[{"family":"Kakuda","given":"Thomas N."},{"family":"Schöller-Gyüre","given":"Monika"},{"family":"Hoetelmans","given":"Richard M. W."}],"issued":{"date-parts":[["2010"]]}},"label":"page"}],"schema":"https://github.com/citation-style-language/schema/raw/master/csl-citation.json"} </w:instrText>
      </w:r>
      <w:r>
        <w:rPr>
          <w:lang w:eastAsia="en-US"/>
        </w:rPr>
        <w:fldChar w:fldCharType="separate"/>
      </w:r>
      <w:r w:rsidR="005E2B83" w:rsidRPr="00FB4494">
        <w:t>[</w:t>
      </w:r>
      <w:r w:rsidR="0065629B" w:rsidRPr="0065629B">
        <w:t>39,</w:t>
      </w:r>
      <w:r w:rsidR="00292F12">
        <w:t xml:space="preserve"> </w:t>
      </w:r>
      <w:r w:rsidR="0065629B" w:rsidRPr="0065629B">
        <w:t>45,</w:t>
      </w:r>
      <w:r w:rsidR="00292F12">
        <w:t xml:space="preserve"> </w:t>
      </w:r>
      <w:r w:rsidR="0065629B" w:rsidRPr="0065629B">
        <w:t>50</w:t>
      </w:r>
      <w:r w:rsidR="005E2B83" w:rsidRPr="00FB4494">
        <w:t>]</w:t>
      </w:r>
      <w:r>
        <w:rPr>
          <w:lang w:eastAsia="en-US"/>
        </w:rPr>
        <w:fldChar w:fldCharType="end"/>
      </w:r>
      <w:r w:rsidRPr="009C3EE5">
        <w:rPr>
          <w:lang w:eastAsia="en-US"/>
        </w:rPr>
        <w:t>.</w:t>
      </w:r>
    </w:p>
    <w:p w14:paraId="4307C38B" w14:textId="77777777" w:rsidR="006D49DE" w:rsidRDefault="006D49DE" w:rsidP="001C0A37">
      <w:pPr>
        <w:pStyle w:val="affb"/>
        <w:spacing w:before="0" w:after="0" w:line="240" w:lineRule="auto"/>
        <w:ind w:firstLine="709"/>
        <w:rPr>
          <w:lang w:eastAsia="en-US"/>
        </w:rPr>
      </w:pPr>
    </w:p>
    <w:p w14:paraId="7D0016DF" w14:textId="77777777" w:rsidR="00421CA0" w:rsidRDefault="00421CA0" w:rsidP="00A76175">
      <w:pPr>
        <w:outlineLvl w:val="2"/>
        <w:rPr>
          <w:b/>
          <w:color w:val="000000" w:themeColor="text1"/>
        </w:rPr>
        <w:sectPr w:rsidR="00421CA0" w:rsidSect="00AB01E2">
          <w:pgSz w:w="11906" w:h="16838"/>
          <w:pgMar w:top="1134" w:right="849" w:bottom="1134" w:left="1701" w:header="708" w:footer="709" w:gutter="0"/>
          <w:cols w:space="708"/>
          <w:docGrid w:linePitch="360"/>
        </w:sectPr>
      </w:pPr>
      <w:bookmarkStart w:id="154" w:name="_Toc117075668"/>
      <w:bookmarkStart w:id="155" w:name="_Toc116519570"/>
      <w:bookmarkStart w:id="156" w:name="_Toc117179222"/>
    </w:p>
    <w:p w14:paraId="6A59A2E2" w14:textId="4C192DD5" w:rsidR="006D49DE" w:rsidRPr="00A76175" w:rsidRDefault="006D49DE" w:rsidP="00A76175">
      <w:pPr>
        <w:outlineLvl w:val="2"/>
        <w:rPr>
          <w:b/>
          <w:color w:val="000000" w:themeColor="text1"/>
        </w:rPr>
      </w:pPr>
      <w:r w:rsidRPr="00CE65D3">
        <w:rPr>
          <w:b/>
          <w:color w:val="000000" w:themeColor="text1"/>
        </w:rPr>
        <w:t>4.1.2. Фармакодинамика</w:t>
      </w:r>
      <w:bookmarkEnd w:id="154"/>
      <w:bookmarkEnd w:id="155"/>
      <w:bookmarkEnd w:id="156"/>
    </w:p>
    <w:p w14:paraId="1D067DC4" w14:textId="64BFEAD6" w:rsidR="006D49DE" w:rsidRDefault="006D49DE" w:rsidP="00476F1C">
      <w:pPr>
        <w:ind w:firstLine="709"/>
        <w:rPr>
          <w:color w:val="000000" w:themeColor="text1"/>
        </w:rPr>
      </w:pPr>
    </w:p>
    <w:p w14:paraId="31A10363" w14:textId="3CAE036C" w:rsidR="006D49DE" w:rsidRPr="00A76175" w:rsidRDefault="006D49DE" w:rsidP="00A76175">
      <w:pPr>
        <w:outlineLvl w:val="2"/>
        <w:rPr>
          <w:b/>
          <w:color w:val="000000" w:themeColor="text1"/>
        </w:rPr>
      </w:pPr>
      <w:bookmarkStart w:id="157" w:name="_Toc117179223"/>
      <w:r w:rsidRPr="00CE65D3">
        <w:rPr>
          <w:b/>
          <w:color w:val="000000" w:themeColor="text1"/>
        </w:rPr>
        <w:t>4.1.2. Фармакодинамика</w:t>
      </w:r>
      <w:bookmarkEnd w:id="157"/>
    </w:p>
    <w:p w14:paraId="742BA707" w14:textId="762CFDFD" w:rsidR="006D49DE" w:rsidRPr="00A76175" w:rsidRDefault="006D49DE" w:rsidP="00A76175">
      <w:pPr>
        <w:pStyle w:val="4"/>
        <w:spacing w:after="240"/>
        <w:rPr>
          <w:color w:val="000000" w:themeColor="text1"/>
        </w:rPr>
      </w:pPr>
      <w:bookmarkStart w:id="158" w:name="_Toc117179224"/>
      <w:r>
        <w:rPr>
          <w:rFonts w:ascii="Times New Roman" w:hAnsi="Times New Roman"/>
          <w:color w:val="000000" w:themeColor="text1"/>
          <w:sz w:val="24"/>
          <w:szCs w:val="24"/>
        </w:rPr>
        <w:t>4.1.2.1</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Первичная фармакодинамика и механизм действия</w:t>
      </w:r>
      <w:bookmarkEnd w:id="158"/>
    </w:p>
    <w:p w14:paraId="137DB076" w14:textId="1577B8C7" w:rsidR="006F7971" w:rsidRDefault="00BC1CB6" w:rsidP="00476F1C">
      <w:pPr>
        <w:ind w:firstLine="709"/>
      </w:pPr>
      <w:r>
        <w:rPr>
          <w:lang w:eastAsia="en-US"/>
        </w:rPr>
        <w:t>Этравирин</w:t>
      </w:r>
      <w:r>
        <w:t xml:space="preserve"> </w:t>
      </w:r>
      <w:r w:rsidR="00434528">
        <w:t xml:space="preserve">является ННИОТ, который </w:t>
      </w:r>
      <w:r w:rsidR="00434528" w:rsidRPr="00BC1CB6">
        <w:rPr>
          <w:i/>
          <w:iCs/>
        </w:rPr>
        <w:t>in vitro</w:t>
      </w:r>
      <w:r w:rsidR="00434528">
        <w:t xml:space="preserve"> проявляет высокую активность против штаммов ВИЧ-1 дикого типа, а также против многих штаммов, устойчивых к другим ННИОТ </w:t>
      </w:r>
      <w:r>
        <w:fldChar w:fldCharType="begin"/>
      </w:r>
      <w:r>
        <w:instrText xml:space="preserve"> ADDIN ZOTERO_ITEM CSL_CITATION {"citationID":"lF4baHul","properties":{"formattedCitation":"(51)","plainCitation":"(51)","noteIndex":0},"citationItems":[{"id":2625,"uris":["http://zotero.org/users/5483459/items/7DP8825L"],"itemData":{"id":2625,"type":"article-journal","abstract":"Etravirine has unique activity against most HIV isolates that are resistant to other NNRTIs. Unlike other NNRTIs, it has a higher genetic barrier to developing high-grade resistance. In the DUET studies, etravirine demonstrated virological efficacy superior to the control arms with comparable rates …","container-title":"Expert opinion on pharmacotherapy","DOI":"10.1517/14656560802489569","ISSN":"1744-7666","issue":"17","language":"en","note":"publisher: Expert Opin Pharmacother\nPMID: 19006480","source":"pubmed.ncbi.nlm.nih.gov","title":"Etravirine: the renaissance of non-nucleoside reverse transcriptase inhibitors","title-short":"Etravirine","URL":"https://pubmed.ncbi.nlm.nih.gov/19006480/","volume":"9","author":[{"family":"Dt","given":"Jayaweera"},{"family":"L","given":"Espinoza"},{"family":"J","given":"Castro"}],"accessed":{"date-parts":[["2022",8,23]]},"issued":{"date-parts":[["2008",12]]}}}],"schema":"https://github.com/citation-style-language/schema/raw/master/csl-citation.json"} </w:instrText>
      </w:r>
      <w:r>
        <w:fldChar w:fldCharType="separate"/>
      </w:r>
      <w:r w:rsidR="005E2B83" w:rsidRPr="005E2B83">
        <w:t>[</w:t>
      </w:r>
      <w:r w:rsidRPr="00BC1CB6">
        <w:t>51</w:t>
      </w:r>
      <w:r w:rsidR="005E2B83" w:rsidRPr="005E2B83">
        <w:t>]</w:t>
      </w:r>
      <w:r>
        <w:fldChar w:fldCharType="end"/>
      </w:r>
      <w:r>
        <w:t>.</w:t>
      </w:r>
    </w:p>
    <w:p w14:paraId="1EE50433" w14:textId="1D055C52" w:rsidR="00434528" w:rsidRDefault="00BC1CB6" w:rsidP="00476F1C">
      <w:pPr>
        <w:ind w:firstLine="709"/>
      </w:pPr>
      <w:r>
        <w:rPr>
          <w:lang w:eastAsia="en-US"/>
        </w:rPr>
        <w:t>Этравирин</w:t>
      </w:r>
      <w:r>
        <w:t xml:space="preserve"> </w:t>
      </w:r>
      <w:r w:rsidR="00434528">
        <w:t xml:space="preserve">напрямую связывается с </w:t>
      </w:r>
      <w:r w:rsidR="001F5170">
        <w:t>обратной транскриптазой (</w:t>
      </w:r>
      <w:r w:rsidR="001F5170">
        <w:rPr>
          <w:lang w:val="en-US"/>
        </w:rPr>
        <w:t>RT</w:t>
      </w:r>
      <w:r w:rsidR="001F5170" w:rsidRPr="001F5170">
        <w:t>)</w:t>
      </w:r>
      <w:r w:rsidR="00434528">
        <w:t xml:space="preserve"> и блокирует РНК-зависимую и ДНК зависимую активность ДНК-полимеразы путем разрушения каталитического сайта фермента. Ингибирование ферментативной активности рекомбинантной RT ВИЧ-1 дикого типа при применении </w:t>
      </w:r>
      <w:r w:rsidR="00D6554D">
        <w:rPr>
          <w:lang w:eastAsia="en-US"/>
        </w:rPr>
        <w:t xml:space="preserve">этравирина </w:t>
      </w:r>
      <w:r w:rsidR="00434528">
        <w:t>характеризовалось значением IC</w:t>
      </w:r>
      <w:r w:rsidR="00434528" w:rsidRPr="00D6554D">
        <w:rPr>
          <w:vertAlign w:val="subscript"/>
        </w:rPr>
        <w:t>50</w:t>
      </w:r>
      <w:r w:rsidR="00434528">
        <w:t xml:space="preserve"> 38,4 нмоль. Не наблюдалось ингибирования ДНК-полимераз α, β, γ человека, что указывает на специфичность </w:t>
      </w:r>
      <w:r w:rsidR="004F6634">
        <w:rPr>
          <w:lang w:eastAsia="en-US"/>
        </w:rPr>
        <w:t xml:space="preserve">этравирина </w:t>
      </w:r>
      <w:r w:rsidR="00434528">
        <w:t xml:space="preserve">в отношении RT ВИЧ </w:t>
      </w:r>
      <w:r w:rsidR="00B10FD1">
        <w:fldChar w:fldCharType="begin"/>
      </w:r>
      <w:r w:rsidR="00B10FD1">
        <w:instrText xml:space="preserve"> ADDIN ZOTERO_ITEM CSL_CITATION {"citationID":"BxMH9LSh","properties":{"formattedCitation":"(51,52)","plainCitation":"(51,52)","noteIndex":0},"citationItems":[{"id":2625,"uris":["http://zotero.org/users/5483459/items/7DP8825L"],"itemData":{"id":2625,"type":"article-journal","abstract":"Etravirine has unique activity against most HIV isolates that are resistant to other NNRTIs. Unlike other NNRTIs, it has a higher genetic barrier to developing high-grade resistance. In the DUET studies, etravirine demonstrated virological efficacy superior to the control arms with comparable rates …","container-title":"Expert opinion on pharmacotherapy","DOI":"10.1517/14656560802489569","ISSN":"1744-7666","issue":"17","language":"en","note":"publisher: Expert Opin Pharmacother\nPMID: 19006480","source":"pubmed.ncbi.nlm.nih.gov","title":"Etravirine: the renaissance of non-nucleoside reverse transcriptase inhibitors","title-short":"Etravirine","URL":"https://pubmed.ncbi.nlm.nih.gov/19006480/","volume":"9","author":[{"family":"Dt","given":"Jayaweera"},{"family":"L","given":"Espinoza"},{"family":"J","given":"Castro"}],"accessed":{"date-parts":[["2022",8,23]]},"issued":{"date-parts":[["2008",12]]}},"label":"page"},{"id":2549,"uris":["http://zotero.org/users/5483459/items/PK5HK7FS"],"itemData":{"id":2549,"type":"webpage","title":"Drug Approval Package: Intelence (Etravirine) NDA #02218. Microbiology Review(s). NDA 22-187.","URL":"https://www.accessdata.fda.gov/drugsatfda_docs/nda/2008/022187TOC.cfm","accessed":{"date-parts":[["2022",8,18]]},"issued":{"date-parts":[["2022",8,18]]}},"label":"page"}],"schema":"https://github.com/citation-style-language/schema/raw/master/csl-citation.json"} </w:instrText>
      </w:r>
      <w:r w:rsidR="00B10FD1">
        <w:fldChar w:fldCharType="separate"/>
      </w:r>
      <w:r w:rsidR="005E2B83">
        <w:t>[</w:t>
      </w:r>
      <w:r w:rsidR="00B10FD1" w:rsidRPr="00B10FD1">
        <w:t>51,</w:t>
      </w:r>
      <w:r w:rsidR="00292F12">
        <w:t xml:space="preserve"> </w:t>
      </w:r>
      <w:r w:rsidR="00B10FD1" w:rsidRPr="00B10FD1">
        <w:t>52</w:t>
      </w:r>
      <w:r w:rsidR="005E2B83" w:rsidRPr="005E2B83">
        <w:t>]</w:t>
      </w:r>
      <w:r w:rsidR="00B10FD1">
        <w:fldChar w:fldCharType="end"/>
      </w:r>
      <w:r w:rsidR="00B10FD1">
        <w:t>.</w:t>
      </w:r>
    </w:p>
    <w:p w14:paraId="52DEEAF3" w14:textId="3BE82642" w:rsidR="00434528" w:rsidRDefault="00434528" w:rsidP="00476F1C">
      <w:pPr>
        <w:ind w:firstLine="709"/>
      </w:pPr>
      <w:r>
        <w:t xml:space="preserve">Фермент RT ВИЧ катализирует конверсию одноцепочечной рибонуклеиновой кислоты (РНК) вируса в двуцепочечную молекулу дезоксирибонуклеиновой кислоты (ДНК), RT ВИЧ проявляет две основные ферментативные активности – ДНК полимеразную для копирования РНК-матрицы и рибонуклеазную Н (РНКаза Н) для отщепления РНК от дуплекса РНК/ДНК. Несмотря на значительные химические различия, все ННИОТ, включая </w:t>
      </w:r>
      <w:r w:rsidR="00755D53">
        <w:rPr>
          <w:lang w:eastAsia="en-US"/>
        </w:rPr>
        <w:t>этравирин</w:t>
      </w:r>
      <w:r>
        <w:t xml:space="preserve">, взаимодействуют с общим гидрофобным сайтом на субъединице 66 кДа, который известен как ННИОТ-связывающий карман. Связывание с ННИОТ вызывает искажение структуры RT и нарушает функцию фермента. Мутации, связанные с устойчивостью к ННИОТ, расположены вокруг этого связывающего кармана и вызывают лекарственную устойчивость, изменяя структуру ННИОТ-связывающего кармана, либо влияя на доступ к нему. </w:t>
      </w:r>
      <w:r w:rsidR="00421CA0">
        <w:t xml:space="preserve">Молекулярная структура этравирина обладает некоторой гибкостью, благодаоря чему молекула этравирина способна «подстраиваться» под структуру </w:t>
      </w:r>
      <w:r w:rsidR="00421CA0">
        <w:rPr>
          <w:color w:val="000000" w:themeColor="text1"/>
        </w:rPr>
        <w:t xml:space="preserve">ННИОТ-связывающего кармана при взаимодействии с </w:t>
      </w:r>
      <w:r w:rsidR="00421CA0">
        <w:rPr>
          <w:color w:val="000000" w:themeColor="text1"/>
          <w:lang w:val="en-US"/>
        </w:rPr>
        <w:t>RT</w:t>
      </w:r>
      <w:r w:rsidR="00421CA0">
        <w:rPr>
          <w:color w:val="000000" w:themeColor="text1"/>
        </w:rPr>
        <w:t>,</w:t>
      </w:r>
      <w:r>
        <w:t xml:space="preserve"> что отличает его от ННИОТ первого поколения. Это объясняет активность </w:t>
      </w:r>
      <w:r w:rsidR="00755D53">
        <w:rPr>
          <w:lang w:eastAsia="en-US"/>
        </w:rPr>
        <w:t>этравирина</w:t>
      </w:r>
      <w:r w:rsidR="00755D53">
        <w:t xml:space="preserve"> </w:t>
      </w:r>
      <w:r>
        <w:t xml:space="preserve">против ВИЧ-1 с аминокислотными заменами, обусловливающими устойчивость к другим ННИОТ </w:t>
      </w:r>
      <w:r w:rsidR="00755D53">
        <w:fldChar w:fldCharType="begin"/>
      </w:r>
      <w:r w:rsidR="00755D53">
        <w:instrText xml:space="preserve"> ADDIN ZOTERO_ITEM CSL_CITATION {"citationID":"mfSwKDJc","properties":{"formattedCitation":"(51)","plainCitation":"(51)","noteIndex":0},"citationItems":[{"id":2625,"uris":["http://zotero.org/users/5483459/items/7DP8825L"],"itemData":{"id":2625,"type":"article-journal","abstract":"Etravirine has unique activity against most HIV isolates that are resistant to other NNRTIs. Unlike other NNRTIs, it has a higher genetic barrier to developing high-grade resistance. In the DUET studies, etravirine demonstrated virological efficacy superior to the control arms with comparable rates …","container-title":"Expert opinion on pharmacotherapy","DOI":"10.1517/14656560802489569","ISSN":"1744-7666","issue":"17","language":"en","note":"publisher: Expert Opin Pharmacother\nPMID: 19006480","source":"pubmed.ncbi.nlm.nih.gov","title":"Etravirine: the renaissance of non-nucleoside reverse transcriptase inhibitors","title-short":"Etravirine","URL":"https://pubmed.ncbi.nlm.nih.gov/19006480/","volume":"9","author":[{"family":"Dt","given":"Jayaweera"},{"family":"L","given":"Espinoza"},{"family":"J","given":"Castro"}],"accessed":{"date-parts":[["2022",8,23]]},"issued":{"date-parts":[["2008",12]]}}}],"schema":"https://github.com/citation-style-language/schema/raw/master/csl-citation.json"} </w:instrText>
      </w:r>
      <w:r w:rsidR="00755D53">
        <w:fldChar w:fldCharType="separate"/>
      </w:r>
      <w:r w:rsidR="005E2B83" w:rsidRPr="005E2B83">
        <w:t>[</w:t>
      </w:r>
      <w:r w:rsidR="00755D53" w:rsidRPr="00755D53">
        <w:t>51</w:t>
      </w:r>
      <w:r w:rsidR="005E2B83" w:rsidRPr="005E2B83">
        <w:t>]</w:t>
      </w:r>
      <w:r w:rsidR="00755D53">
        <w:fldChar w:fldCharType="end"/>
      </w:r>
      <w:r w:rsidR="00755D53">
        <w:t>.</w:t>
      </w:r>
    </w:p>
    <w:p w14:paraId="4CE83EA0" w14:textId="3EECECD6" w:rsidR="00434528" w:rsidRDefault="00434528" w:rsidP="00476F1C">
      <w:pPr>
        <w:ind w:firstLine="709"/>
      </w:pPr>
      <w:r>
        <w:t xml:space="preserve">Исследования с использованием кокристаллизационного и молекулярного моделирования показали, что </w:t>
      </w:r>
      <w:r w:rsidR="00755D53">
        <w:rPr>
          <w:lang w:eastAsia="en-US"/>
        </w:rPr>
        <w:t>этравирин</w:t>
      </w:r>
      <w:r w:rsidR="00755D53">
        <w:t xml:space="preserve"> </w:t>
      </w:r>
      <w:r>
        <w:t xml:space="preserve">является гибкой молекулой, способной взаимодействовать с ННИОТ-связывающим карманом ВИЧ-1 RT в различных конформациях, по крайней мере, в двух конформационно различных вариациях. В то же время, компактная структура молекулы </w:t>
      </w:r>
      <w:r w:rsidR="00755D53">
        <w:rPr>
          <w:lang w:eastAsia="en-US"/>
        </w:rPr>
        <w:t>этравирин</w:t>
      </w:r>
      <w:r w:rsidR="00ED5657">
        <w:rPr>
          <w:lang w:eastAsia="en-US"/>
        </w:rPr>
        <w:t>а</w:t>
      </w:r>
      <w:r w:rsidR="00755D53">
        <w:t xml:space="preserve"> </w:t>
      </w:r>
      <w:r>
        <w:t xml:space="preserve">позволяет изменять положение и ориентацию внутри кармана. Все это повышает способность </w:t>
      </w:r>
      <w:r w:rsidR="00ED5657">
        <w:rPr>
          <w:lang w:eastAsia="en-US"/>
        </w:rPr>
        <w:t>этравирина</w:t>
      </w:r>
      <w:r w:rsidR="00ED5657">
        <w:t xml:space="preserve"> </w:t>
      </w:r>
      <w:r>
        <w:t xml:space="preserve">адаптировать связывание с RT ВИЧ 1, содержащими аминокислотные замены </w:t>
      </w:r>
      <w:r w:rsidR="00ED5657">
        <w:fldChar w:fldCharType="begin"/>
      </w:r>
      <w:r w:rsidR="00ED5657">
        <w:instrText xml:space="preserve"> ADDIN ZOTERO_ITEM CSL_CITATION {"citationID":"JilaTgEq","properties":{"formattedCitation":"(52)","plainCitation":"(52)","noteIndex":0},"citationItems":[{"id":2549,"uris":["http://zotero.org/users/5483459/items/PK5HK7FS"],"itemData":{"id":2549,"type":"webpage","title":"Drug Approval Package: Intelence (Etravirine) NDA #02218. Microbiology Review(s). NDA 22-187.","URL":"https://www.accessdata.fda.gov/drugsatfda_docs/nda/2008/022187TOC.cfm","accessed":{"date-parts":[["2022",8,18]]},"issued":{"date-parts":[["2022",8,18]]}}}],"schema":"https://github.com/citation-style-language/schema/raw/master/csl-citation.json"} </w:instrText>
      </w:r>
      <w:r w:rsidR="00ED5657">
        <w:fldChar w:fldCharType="separate"/>
      </w:r>
      <w:r w:rsidR="005E2B83" w:rsidRPr="005E2B83">
        <w:t>[</w:t>
      </w:r>
      <w:r w:rsidR="00ED5657" w:rsidRPr="00ED5657">
        <w:t>52</w:t>
      </w:r>
      <w:r w:rsidR="005E2B83" w:rsidRPr="005E2B83">
        <w:t>]</w:t>
      </w:r>
      <w:r w:rsidR="00ED5657">
        <w:fldChar w:fldCharType="end"/>
      </w:r>
      <w:r w:rsidR="00ED5657">
        <w:t>.</w:t>
      </w:r>
    </w:p>
    <w:p w14:paraId="5690B308" w14:textId="67936785" w:rsidR="00522391" w:rsidRPr="00895A70" w:rsidRDefault="00522391" w:rsidP="00522391">
      <w:pPr>
        <w:ind w:firstLine="709"/>
        <w:contextualSpacing/>
      </w:pPr>
      <w:r w:rsidRPr="00B466A1">
        <w:t xml:space="preserve">Значения </w:t>
      </w:r>
      <w:r w:rsidRPr="00B466A1">
        <w:rPr>
          <w:lang w:val="en-US"/>
        </w:rPr>
        <w:t>EC</w:t>
      </w:r>
      <w:r w:rsidRPr="00321443">
        <w:rPr>
          <w:vertAlign w:val="subscript"/>
        </w:rPr>
        <w:t xml:space="preserve">50 </w:t>
      </w:r>
      <w:r w:rsidRPr="00B466A1">
        <w:t>для этравирина находились в наномолярном диапазоне для штаммов ВИЧ-1 дикого типа и в микромолярном диапазоне для штаммов ВИЧ-2 дикого типа. В отношении ВИЧ-1 дикого типа противовирусная активность находится между невирапином и эфавиренцем, намного лучше, чем у невирапина, но немного ниже, чем у эфавиренца. Однако следует отметить, что это соединение в настоящее время не разработано для использования у пациентов, ранее не получ</w:t>
      </w:r>
      <w:r>
        <w:t xml:space="preserve">авших антиретровирусную терапию </w:t>
      </w:r>
    </w:p>
    <w:p w14:paraId="08311014" w14:textId="32A7B9E5" w:rsidR="00522391" w:rsidRPr="00522391" w:rsidRDefault="00522391" w:rsidP="00522391">
      <w:pPr>
        <w:ind w:firstLine="709"/>
        <w:contextualSpacing/>
      </w:pPr>
      <w:r w:rsidRPr="00166EA1">
        <w:t>Показано, что этравирин ингибирует репликацию CCR5, CXCR4 и двойных тропных штаммов ВИЧ-1 дикого типа в разных клетках-хозяевах.</w:t>
      </w:r>
      <w:r w:rsidRPr="00522391">
        <w:t xml:space="preserve"> </w:t>
      </w:r>
    </w:p>
    <w:p w14:paraId="5D427E65" w14:textId="76303680" w:rsidR="00522391" w:rsidRPr="00522391" w:rsidRDefault="00522391" w:rsidP="00522391">
      <w:pPr>
        <w:ind w:firstLine="709"/>
        <w:contextualSpacing/>
      </w:pPr>
      <w:r>
        <w:t>П</w:t>
      </w:r>
      <w:r w:rsidRPr="00B466A1">
        <w:t xml:space="preserve">оказано, что этравирин обладает противовирусной активностью против ВИЧ-1 из группы М и группы О, при этом значения </w:t>
      </w:r>
      <w:r w:rsidRPr="00B466A1">
        <w:rPr>
          <w:lang w:val="en-US"/>
        </w:rPr>
        <w:t>EC</w:t>
      </w:r>
      <w:r w:rsidRPr="00321443">
        <w:rPr>
          <w:vertAlign w:val="subscript"/>
        </w:rPr>
        <w:t xml:space="preserve">50 </w:t>
      </w:r>
      <w:r w:rsidRPr="00B466A1">
        <w:t>находятся в наномолярном диапазоне для изолятов группы М и более высокие значения (около 20 нМ) для изолятов группы О.</w:t>
      </w:r>
      <w:r w:rsidRPr="00522391">
        <w:t xml:space="preserve"> </w:t>
      </w:r>
    </w:p>
    <w:p w14:paraId="5B372B20" w14:textId="40EB3089" w:rsidR="00522391" w:rsidRDefault="00522391" w:rsidP="008B0B82">
      <w:pPr>
        <w:ind w:firstLine="709"/>
        <w:contextualSpacing/>
        <w:rPr>
          <w:b/>
          <w:bCs/>
        </w:rPr>
      </w:pPr>
      <w:r w:rsidRPr="00166EA1">
        <w:rPr>
          <w:lang w:val="en-US"/>
        </w:rPr>
        <w:t>EC</w:t>
      </w:r>
      <w:r w:rsidRPr="00321443">
        <w:rPr>
          <w:vertAlign w:val="subscript"/>
        </w:rPr>
        <w:t xml:space="preserve">50 </w:t>
      </w:r>
      <w:r w:rsidRPr="00166EA1">
        <w:t>этравирина увеличивалась (примерно в 6 раз) в присутствии 50% сыворотки человека.</w:t>
      </w:r>
      <w:r w:rsidRPr="00522391">
        <w:t xml:space="preserve"> [23].</w:t>
      </w:r>
    </w:p>
    <w:p w14:paraId="40F5CF4F" w14:textId="77777777" w:rsidR="006D49DE" w:rsidRDefault="006D49DE" w:rsidP="00A76175">
      <w:pPr>
        <w:contextualSpacing/>
        <w:rPr>
          <w:b/>
        </w:rPr>
      </w:pPr>
    </w:p>
    <w:p w14:paraId="7F7F5F18" w14:textId="4F0654F3" w:rsidR="00522391" w:rsidRPr="00505D62" w:rsidRDefault="00522391" w:rsidP="00A76175">
      <w:pPr>
        <w:contextualSpacing/>
        <w:rPr>
          <w:b/>
        </w:rPr>
      </w:pPr>
      <w:r w:rsidRPr="00505D62">
        <w:rPr>
          <w:b/>
        </w:rPr>
        <w:t xml:space="preserve">Резистентность </w:t>
      </w:r>
      <w:r w:rsidRPr="00505D62">
        <w:rPr>
          <w:b/>
          <w:i/>
        </w:rPr>
        <w:t>in vitro</w:t>
      </w:r>
    </w:p>
    <w:p w14:paraId="547017E0" w14:textId="77777777" w:rsidR="00522391" w:rsidRPr="00B466A1" w:rsidRDefault="00522391" w:rsidP="00522391">
      <w:pPr>
        <w:ind w:firstLine="709"/>
        <w:contextualSpacing/>
      </w:pPr>
    </w:p>
    <w:p w14:paraId="6B50C576" w14:textId="77777777" w:rsidR="00522391" w:rsidRPr="00166EA1" w:rsidRDefault="00522391" w:rsidP="00522391">
      <w:pPr>
        <w:ind w:firstLine="709"/>
        <w:contextualSpacing/>
      </w:pPr>
      <w:r w:rsidRPr="00B466A1">
        <w:t xml:space="preserve">Эксперименты по отбору проводились в присутствии этравирина, чтобы охарактеризовать скорость появления резистентных вирусов и мутаций, связанных со снижением чувствительности к этравирину при селективном давлении лекарств. </w:t>
      </w:r>
      <w:r w:rsidRPr="00522391">
        <w:t>Было показано, что:</w:t>
      </w:r>
    </w:p>
    <w:p w14:paraId="14B43EF3" w14:textId="77777777" w:rsidR="00522391" w:rsidRPr="00B466A1" w:rsidRDefault="00522391" w:rsidP="00522391">
      <w:pPr>
        <w:ind w:firstLine="709"/>
        <w:contextualSpacing/>
      </w:pPr>
      <w:r w:rsidRPr="00B466A1">
        <w:t>− Возникновение устойчивости к штаммам дикого типа или мутантным штаммам задерживалось в присутствии этравирина по сравнению с эфавиренцем или невирапином.</w:t>
      </w:r>
    </w:p>
    <w:p w14:paraId="61DFA626" w14:textId="77777777" w:rsidR="00522391" w:rsidRPr="00B466A1" w:rsidRDefault="00522391" w:rsidP="00522391">
      <w:pPr>
        <w:ind w:firstLine="709"/>
        <w:contextualSpacing/>
      </w:pPr>
      <w:r w:rsidRPr="00B466A1">
        <w:t>− Возникновение резистентности потребовало отбора множественных мутаций.</w:t>
      </w:r>
    </w:p>
    <w:p w14:paraId="5BF5F0A5" w14:textId="67469B89" w:rsidR="00522391" w:rsidRPr="00166EA1" w:rsidRDefault="00522391" w:rsidP="00522391">
      <w:pPr>
        <w:ind w:firstLine="709"/>
        <w:contextualSpacing/>
      </w:pPr>
      <w:r w:rsidRPr="00B466A1">
        <w:t xml:space="preserve">− Наиболее частые мутации </w:t>
      </w:r>
      <w:r w:rsidRPr="00B466A1">
        <w:rPr>
          <w:lang w:val="en-US"/>
        </w:rPr>
        <w:t>RT</w:t>
      </w:r>
      <w:r w:rsidRPr="00B466A1">
        <w:t>, возникающие при применении этравирина:</w:t>
      </w:r>
      <w:r w:rsidRPr="00166EA1">
        <w:t xml:space="preserve"> </w:t>
      </w:r>
      <w:r w:rsidRPr="00B466A1">
        <w:rPr>
          <w:lang w:val="en-US"/>
        </w:rPr>
        <w:t>L</w:t>
      </w:r>
      <w:r w:rsidRPr="00166EA1">
        <w:t>100</w:t>
      </w:r>
      <w:r w:rsidRPr="00B466A1">
        <w:rPr>
          <w:lang w:val="en-US"/>
        </w:rPr>
        <w:t>I</w:t>
      </w:r>
      <w:r w:rsidRPr="00166EA1">
        <w:t xml:space="preserve">, </w:t>
      </w:r>
      <w:r w:rsidRPr="00B466A1">
        <w:rPr>
          <w:lang w:val="en-US"/>
        </w:rPr>
        <w:t>E</w:t>
      </w:r>
      <w:r w:rsidRPr="00166EA1">
        <w:t>138</w:t>
      </w:r>
      <w:r w:rsidRPr="00B466A1">
        <w:rPr>
          <w:lang w:val="en-US"/>
        </w:rPr>
        <w:t>K</w:t>
      </w:r>
      <w:r w:rsidRPr="00166EA1">
        <w:t xml:space="preserve">, </w:t>
      </w:r>
      <w:r w:rsidRPr="00B466A1">
        <w:rPr>
          <w:lang w:val="en-US"/>
        </w:rPr>
        <w:t>V</w:t>
      </w:r>
      <w:r w:rsidRPr="00166EA1">
        <w:t>179</w:t>
      </w:r>
      <w:r w:rsidRPr="00B466A1">
        <w:rPr>
          <w:lang w:val="en-US"/>
        </w:rPr>
        <w:t>I</w:t>
      </w:r>
      <w:r w:rsidRPr="00166EA1">
        <w:t xml:space="preserve">, </w:t>
      </w:r>
      <w:r w:rsidRPr="00B466A1">
        <w:rPr>
          <w:lang w:val="en-US"/>
        </w:rPr>
        <w:t>Y</w:t>
      </w:r>
      <w:r w:rsidRPr="00166EA1">
        <w:t>181</w:t>
      </w:r>
      <w:r w:rsidRPr="00B466A1">
        <w:rPr>
          <w:lang w:val="en-US"/>
        </w:rPr>
        <w:t>C</w:t>
      </w:r>
      <w:r w:rsidRPr="00166EA1">
        <w:t xml:space="preserve">, </w:t>
      </w:r>
      <w:r>
        <w:t>и</w:t>
      </w:r>
      <w:r w:rsidRPr="00166EA1">
        <w:t xml:space="preserve"> </w:t>
      </w:r>
      <w:r w:rsidRPr="00B466A1">
        <w:rPr>
          <w:lang w:val="en-US"/>
        </w:rPr>
        <w:t>M</w:t>
      </w:r>
      <w:r w:rsidRPr="00166EA1">
        <w:t>230</w:t>
      </w:r>
      <w:r w:rsidRPr="00B466A1">
        <w:rPr>
          <w:lang w:val="en-US"/>
        </w:rPr>
        <w:t>I</w:t>
      </w:r>
      <w:r w:rsidRPr="00166EA1">
        <w:t xml:space="preserve"> </w:t>
      </w:r>
      <w:r>
        <w:t>для</w:t>
      </w:r>
      <w:r w:rsidRPr="00166EA1">
        <w:t xml:space="preserve"> </w:t>
      </w:r>
      <w:r>
        <w:t>дикого</w:t>
      </w:r>
      <w:r w:rsidRPr="00166EA1">
        <w:t xml:space="preserve"> </w:t>
      </w:r>
      <w:r>
        <w:t>типа</w:t>
      </w:r>
      <w:r w:rsidRPr="00166EA1">
        <w:t xml:space="preserve"> </w:t>
      </w:r>
      <w:r>
        <w:t>ВИЧ-</w:t>
      </w:r>
      <w:r w:rsidR="00292F12">
        <w:t>1</w:t>
      </w:r>
      <w:r w:rsidR="00292F12" w:rsidRPr="00166EA1">
        <w:t>; L</w:t>
      </w:r>
      <w:r w:rsidRPr="00166EA1">
        <w:t>100</w:t>
      </w:r>
      <w:r>
        <w:rPr>
          <w:lang w:val="en-US"/>
        </w:rPr>
        <w:t>I</w:t>
      </w:r>
      <w:r w:rsidRPr="00166EA1">
        <w:t xml:space="preserve">, </w:t>
      </w:r>
      <w:r>
        <w:rPr>
          <w:lang w:val="en-US"/>
        </w:rPr>
        <w:t>E</w:t>
      </w:r>
      <w:r w:rsidRPr="00166EA1">
        <w:t>138</w:t>
      </w:r>
      <w:r>
        <w:rPr>
          <w:lang w:val="en-US"/>
        </w:rPr>
        <w:t>G</w:t>
      </w:r>
      <w:r w:rsidRPr="00166EA1">
        <w:t xml:space="preserve">, </w:t>
      </w:r>
      <w:r>
        <w:rPr>
          <w:lang w:val="en-US"/>
        </w:rPr>
        <w:t>V</w:t>
      </w:r>
      <w:r w:rsidRPr="00166EA1">
        <w:t>179</w:t>
      </w:r>
      <w:r>
        <w:rPr>
          <w:lang w:val="en-US"/>
        </w:rPr>
        <w:t>I</w:t>
      </w:r>
      <w:r w:rsidRPr="00166EA1">
        <w:t xml:space="preserve">, </w:t>
      </w:r>
      <w:r>
        <w:t>и</w:t>
      </w:r>
      <w:r w:rsidRPr="00166EA1">
        <w:t xml:space="preserve"> </w:t>
      </w:r>
      <w:r w:rsidRPr="00B466A1">
        <w:rPr>
          <w:lang w:val="en-US"/>
        </w:rPr>
        <w:t>Y</w:t>
      </w:r>
      <w:r w:rsidRPr="00166EA1">
        <w:t>181</w:t>
      </w:r>
      <w:r w:rsidRPr="00B466A1">
        <w:rPr>
          <w:lang w:val="en-US"/>
        </w:rPr>
        <w:t>C</w:t>
      </w:r>
      <w:r w:rsidRPr="00166EA1">
        <w:t xml:space="preserve"> </w:t>
      </w:r>
      <w:r>
        <w:t>для мутантного</w:t>
      </w:r>
      <w:r w:rsidRPr="00166EA1">
        <w:t xml:space="preserve"> </w:t>
      </w:r>
      <w:r>
        <w:t>ВИЧ-1</w:t>
      </w:r>
      <w:r w:rsidRPr="00166EA1">
        <w:t xml:space="preserve">. </w:t>
      </w:r>
    </w:p>
    <w:p w14:paraId="6E7E5492" w14:textId="167ABAA3" w:rsidR="00522391" w:rsidRDefault="00522391" w:rsidP="00522391">
      <w:pPr>
        <w:ind w:firstLine="709"/>
        <w:contextualSpacing/>
      </w:pPr>
      <w:r w:rsidRPr="00B466A1">
        <w:t xml:space="preserve">Задержка появления мутации и необходимость </w:t>
      </w:r>
      <w:r>
        <w:t xml:space="preserve">накопления </w:t>
      </w:r>
      <w:r w:rsidRPr="00B466A1">
        <w:t xml:space="preserve">нескольких мутаций, </w:t>
      </w:r>
      <w:r>
        <w:t>перед развитием резистентности</w:t>
      </w:r>
      <w:r w:rsidRPr="00B466A1">
        <w:t>, предполагает улучшенный генетический барьер по сравнению с существующими ННИОТ</w:t>
      </w:r>
      <w:r>
        <w:t xml:space="preserve"> </w:t>
      </w:r>
      <w:r w:rsidRPr="00522391">
        <w:t>[23]</w:t>
      </w:r>
      <w:r>
        <w:t>.</w:t>
      </w:r>
      <w:r>
        <w:rPr>
          <w:rStyle w:val="af5"/>
        </w:rPr>
        <w:t xml:space="preserve"> </w:t>
      </w:r>
    </w:p>
    <w:p w14:paraId="47869212" w14:textId="77777777" w:rsidR="00522391" w:rsidRPr="00522391" w:rsidRDefault="00522391" w:rsidP="00EE1D8E">
      <w:pPr>
        <w:ind w:firstLine="709"/>
        <w:contextualSpacing/>
      </w:pPr>
    </w:p>
    <w:p w14:paraId="6409DE79" w14:textId="77777777" w:rsidR="00434528" w:rsidRPr="00FD1D16" w:rsidRDefault="00434528" w:rsidP="008B0B82">
      <w:pPr>
        <w:rPr>
          <w:b/>
          <w:bCs/>
          <w:i/>
          <w:iCs/>
        </w:rPr>
      </w:pPr>
      <w:r w:rsidRPr="00FD1D16">
        <w:rPr>
          <w:b/>
          <w:bCs/>
        </w:rPr>
        <w:t xml:space="preserve">Резистентность </w:t>
      </w:r>
      <w:r w:rsidRPr="00FD1D16">
        <w:rPr>
          <w:b/>
          <w:bCs/>
          <w:i/>
          <w:iCs/>
        </w:rPr>
        <w:t>in vivo</w:t>
      </w:r>
    </w:p>
    <w:p w14:paraId="0957B6F6" w14:textId="77777777" w:rsidR="00292F12" w:rsidRDefault="00292F12" w:rsidP="00EE1D8E">
      <w:pPr>
        <w:ind w:firstLine="709"/>
        <w:contextualSpacing/>
      </w:pPr>
    </w:p>
    <w:p w14:paraId="3F1C898A" w14:textId="2935A069" w:rsidR="005A5928" w:rsidRPr="005A5928" w:rsidRDefault="00434528">
      <w:pPr>
        <w:ind w:firstLine="709"/>
        <w:contextualSpacing/>
      </w:pPr>
      <w:r>
        <w:t xml:space="preserve">У взрослых ВИЧ-инфицированных пациентов, вошедших в клинические исследования 3 фазы TMC125-C206 и TMC125-C216 и получавших </w:t>
      </w:r>
      <w:r w:rsidR="00FD1D16">
        <w:rPr>
          <w:lang w:eastAsia="en-US"/>
        </w:rPr>
        <w:t>этравирин</w:t>
      </w:r>
      <w:r w:rsidR="00FD1D16">
        <w:t xml:space="preserve"> </w:t>
      </w:r>
      <w:r>
        <w:t xml:space="preserve">-содержащий режим, на 48-й неделе наблюдения мутации резистентности (V179F, V179I и Y181C) чаще возникали при неэффективности базового режима терапии на фоне множественных замен, связанных с устойчивостью к ННИОТ. Во всех исследованиях, проведенных с </w:t>
      </w:r>
      <w:r w:rsidR="00FD1D16">
        <w:rPr>
          <w:lang w:eastAsia="en-US"/>
        </w:rPr>
        <w:t>этравирин</w:t>
      </w:r>
      <w:r w:rsidR="00FD1D16">
        <w:t xml:space="preserve">ом </w:t>
      </w:r>
      <w:r>
        <w:t xml:space="preserve">у ВИЧ-1-инфицированных пациентов, наиболее часто возникали следующие замены: L100I, </w:t>
      </w:r>
      <w:r w:rsidR="00DC0EBA" w:rsidRPr="00B466A1">
        <w:rPr>
          <w:lang w:val="en-US"/>
        </w:rPr>
        <w:t>K</w:t>
      </w:r>
      <w:r w:rsidR="00DC0EBA" w:rsidRPr="00B466A1">
        <w:t>103</w:t>
      </w:r>
      <w:r w:rsidR="00DC0EBA" w:rsidRPr="00B466A1">
        <w:rPr>
          <w:lang w:val="en-US"/>
        </w:rPr>
        <w:t>N</w:t>
      </w:r>
      <w:r w:rsidR="00DC0EBA" w:rsidRPr="00B466A1">
        <w:t>,</w:t>
      </w:r>
      <w:r w:rsidR="00DC0EBA">
        <w:t xml:space="preserve"> </w:t>
      </w:r>
      <w:r>
        <w:t>V179F, V179I, Y181C</w:t>
      </w:r>
      <w:r w:rsidR="00DC0EBA">
        <w:t xml:space="preserve"> и </w:t>
      </w:r>
      <w:r w:rsidR="00DC0EBA" w:rsidRPr="00B466A1">
        <w:rPr>
          <w:lang w:val="en-US"/>
        </w:rPr>
        <w:t>Y</w:t>
      </w:r>
      <w:r w:rsidR="00DC0EBA" w:rsidRPr="00B466A1">
        <w:t>181</w:t>
      </w:r>
      <w:r w:rsidR="00DC0EBA" w:rsidRPr="00B466A1">
        <w:rPr>
          <w:lang w:val="en-US"/>
        </w:rPr>
        <w:t>I</w:t>
      </w:r>
      <w:r>
        <w:t xml:space="preserve">. </w:t>
      </w:r>
      <w:r w:rsidR="00DC0EBA">
        <w:t xml:space="preserve"> Замена </w:t>
      </w:r>
      <w:r w:rsidR="00DC0EBA" w:rsidRPr="00B466A1">
        <w:rPr>
          <w:lang w:val="en-US"/>
        </w:rPr>
        <w:t>V</w:t>
      </w:r>
      <w:r w:rsidR="00DC0EBA" w:rsidRPr="00B466A1">
        <w:t>179</w:t>
      </w:r>
      <w:r w:rsidR="00DC0EBA" w:rsidRPr="00B466A1">
        <w:rPr>
          <w:lang w:val="en-US"/>
        </w:rPr>
        <w:t>F</w:t>
      </w:r>
      <w:r w:rsidR="00DC0EBA">
        <w:t xml:space="preserve"> наблюдалась</w:t>
      </w:r>
      <w:r w:rsidR="00DC0EBA" w:rsidRPr="00B466A1">
        <w:t xml:space="preserve"> только в сочетании с </w:t>
      </w:r>
      <w:r w:rsidR="00DC0EBA" w:rsidRPr="00B466A1">
        <w:rPr>
          <w:lang w:val="en-US"/>
        </w:rPr>
        <w:t>Y</w:t>
      </w:r>
      <w:r w:rsidR="00DC0EBA" w:rsidRPr="00B466A1">
        <w:t>181</w:t>
      </w:r>
      <w:r w:rsidR="00DC0EBA" w:rsidRPr="00B466A1">
        <w:rPr>
          <w:lang w:val="en-US"/>
        </w:rPr>
        <w:t>C</w:t>
      </w:r>
      <w:r w:rsidR="00DC0EBA" w:rsidRPr="00B466A1">
        <w:t>.</w:t>
      </w:r>
      <w:r w:rsidR="00DC0EBA">
        <w:t xml:space="preserve"> </w:t>
      </w:r>
      <w:r>
        <w:t xml:space="preserve">Другие аминокислотные замены, связанные с устойчивостью к ННИОТ, возникшие на фоне </w:t>
      </w:r>
      <w:r w:rsidR="00FD1D16">
        <w:rPr>
          <w:lang w:eastAsia="en-US"/>
        </w:rPr>
        <w:t>этравирина</w:t>
      </w:r>
      <w:r w:rsidR="00FD1D16">
        <w:t xml:space="preserve"> </w:t>
      </w:r>
      <w:r>
        <w:t xml:space="preserve">менее, чем у 10% изолятов, в случае вирусологической неудачи, включали </w:t>
      </w:r>
      <w:r w:rsidR="00DC0EBA" w:rsidRPr="00DC0EBA">
        <w:rPr>
          <w:lang w:val="en-US"/>
        </w:rPr>
        <w:t>A</w:t>
      </w:r>
      <w:r w:rsidR="00DC0EBA" w:rsidRPr="00DC0EBA">
        <w:t>98</w:t>
      </w:r>
      <w:r w:rsidR="00DC0EBA" w:rsidRPr="00DC0EBA">
        <w:rPr>
          <w:lang w:val="en-US"/>
        </w:rPr>
        <w:t>G</w:t>
      </w:r>
      <w:r w:rsidR="00DC0EBA" w:rsidRPr="00DC0EBA">
        <w:t>,</w:t>
      </w:r>
      <w:r w:rsidR="00DC0EBA">
        <w:t xml:space="preserve"> K101P,</w:t>
      </w:r>
      <w:r>
        <w:t xml:space="preserve"> V108I</w:t>
      </w:r>
      <w:r w:rsidRPr="005A5928">
        <w:t xml:space="preserve">, </w:t>
      </w:r>
      <w:r w:rsidR="00DC0EBA" w:rsidRPr="005A5928">
        <w:rPr>
          <w:lang w:val="en-US"/>
        </w:rPr>
        <w:t>I</w:t>
      </w:r>
      <w:r w:rsidR="00DC0EBA" w:rsidRPr="005A5928">
        <w:t>135</w:t>
      </w:r>
      <w:r w:rsidR="00DC0EBA" w:rsidRPr="005A5928">
        <w:rPr>
          <w:lang w:val="en-US"/>
        </w:rPr>
        <w:t>T</w:t>
      </w:r>
      <w:r w:rsidR="00DC0EBA" w:rsidRPr="005A5928">
        <w:t xml:space="preserve">, </w:t>
      </w:r>
      <w:r w:rsidR="00DC0EBA" w:rsidRPr="005A5928">
        <w:rPr>
          <w:lang w:val="en-US"/>
        </w:rPr>
        <w:t>E</w:t>
      </w:r>
      <w:r w:rsidR="00DC0EBA" w:rsidRPr="005A5928">
        <w:t>138</w:t>
      </w:r>
      <w:r w:rsidR="00DC0EBA" w:rsidRPr="005A5928">
        <w:rPr>
          <w:lang w:val="en-US"/>
        </w:rPr>
        <w:t>G</w:t>
      </w:r>
      <w:r w:rsidR="00DC0EBA" w:rsidRPr="005A5928">
        <w:t xml:space="preserve">, </w:t>
      </w:r>
      <w:r w:rsidR="00DC0EBA" w:rsidRPr="005A5928">
        <w:rPr>
          <w:lang w:val="en-US"/>
        </w:rPr>
        <w:t>E</w:t>
      </w:r>
      <w:r w:rsidR="00DC0EBA" w:rsidRPr="005A5928">
        <w:t>138</w:t>
      </w:r>
      <w:r w:rsidR="00DC0EBA" w:rsidRPr="005A5928">
        <w:rPr>
          <w:lang w:val="en-US"/>
        </w:rPr>
        <w:t>K</w:t>
      </w:r>
      <w:r w:rsidR="00DC0EBA" w:rsidRPr="005A5928">
        <w:t xml:space="preserve">, </w:t>
      </w:r>
      <w:r w:rsidRPr="005A5928">
        <w:t>Y181I,</w:t>
      </w:r>
      <w:r w:rsidR="00DC0EBA" w:rsidRPr="005A5928">
        <w:t xml:space="preserve"> </w:t>
      </w:r>
      <w:r w:rsidR="00DC0EBA" w:rsidRPr="005A5928">
        <w:rPr>
          <w:lang w:val="en-US"/>
        </w:rPr>
        <w:t>Y</w:t>
      </w:r>
      <w:r w:rsidR="00DC0EBA" w:rsidRPr="005A5928">
        <w:t>181</w:t>
      </w:r>
      <w:r w:rsidR="00DC0EBA" w:rsidRPr="005A5928">
        <w:rPr>
          <w:lang w:val="en-US"/>
        </w:rPr>
        <w:t>F</w:t>
      </w:r>
      <w:r w:rsidR="00DC0EBA" w:rsidRPr="005A5928">
        <w:t xml:space="preserve">, </w:t>
      </w:r>
      <w:r w:rsidR="00DC0EBA" w:rsidRPr="005A5928">
        <w:rPr>
          <w:lang w:val="en-US"/>
        </w:rPr>
        <w:t>Y</w:t>
      </w:r>
      <w:r w:rsidR="00DC0EBA" w:rsidRPr="005A5928">
        <w:t>181</w:t>
      </w:r>
      <w:r w:rsidR="00DC0EBA" w:rsidRPr="005A5928">
        <w:rPr>
          <w:lang w:val="en-US"/>
        </w:rPr>
        <w:t>G</w:t>
      </w:r>
      <w:r w:rsidR="00DC0EBA" w:rsidRPr="005A5928">
        <w:t xml:space="preserve">, </w:t>
      </w:r>
      <w:r w:rsidR="00DC0EBA" w:rsidRPr="005A5928">
        <w:rPr>
          <w:lang w:val="en-US"/>
        </w:rPr>
        <w:t>Y</w:t>
      </w:r>
      <w:r w:rsidR="00DC0EBA" w:rsidRPr="005A5928">
        <w:t>181</w:t>
      </w:r>
      <w:r w:rsidR="00DC0EBA" w:rsidRPr="005A5928">
        <w:rPr>
          <w:lang w:val="en-US"/>
        </w:rPr>
        <w:t>S</w:t>
      </w:r>
      <w:r w:rsidR="00DC0EBA" w:rsidRPr="005A5928">
        <w:t xml:space="preserve">, </w:t>
      </w:r>
      <w:r w:rsidR="00DC0EBA" w:rsidRPr="005A5928">
        <w:rPr>
          <w:lang w:val="en-US"/>
        </w:rPr>
        <w:t>Y</w:t>
      </w:r>
      <w:r w:rsidR="00DC0EBA" w:rsidRPr="005A5928">
        <w:t>181</w:t>
      </w:r>
      <w:r w:rsidR="00DC0EBA" w:rsidRPr="005A5928">
        <w:rPr>
          <w:lang w:val="en-US"/>
        </w:rPr>
        <w:t>V</w:t>
      </w:r>
      <w:r w:rsidR="00DC0EBA" w:rsidRPr="005A5928">
        <w:t>,</w:t>
      </w:r>
      <w:r w:rsidRPr="005A5928">
        <w:t xml:space="preserve"> </w:t>
      </w:r>
      <w:r w:rsidR="00DC0EBA" w:rsidRPr="005A5928">
        <w:t>H221Y</w:t>
      </w:r>
      <w:r w:rsidRPr="005A5928">
        <w:t xml:space="preserve">, </w:t>
      </w:r>
      <w:r w:rsidR="00DC0EBA" w:rsidRPr="005A5928">
        <w:rPr>
          <w:lang w:val="en-US"/>
        </w:rPr>
        <w:t>L</w:t>
      </w:r>
      <w:r w:rsidR="00DC0EBA" w:rsidRPr="005A5928">
        <w:t>228</w:t>
      </w:r>
      <w:r w:rsidR="00DC0EBA" w:rsidRPr="005A5928">
        <w:rPr>
          <w:lang w:val="en-US"/>
        </w:rPr>
        <w:t>H</w:t>
      </w:r>
      <w:r w:rsidR="00DC0EBA" w:rsidRPr="005A5928">
        <w:t xml:space="preserve"> и </w:t>
      </w:r>
      <w:r w:rsidR="00DC0EBA" w:rsidRPr="005A5928">
        <w:rPr>
          <w:lang w:val="en-US"/>
        </w:rPr>
        <w:t>M</w:t>
      </w:r>
      <w:r w:rsidR="00DC0EBA" w:rsidRPr="005A5928">
        <w:t>230</w:t>
      </w:r>
      <w:r w:rsidR="00DC0EBA" w:rsidRPr="005A5928">
        <w:rPr>
          <w:lang w:val="en-US"/>
        </w:rPr>
        <w:t>L</w:t>
      </w:r>
      <w:r w:rsidRPr="005A5928">
        <w:t>.</w:t>
      </w:r>
      <w:r w:rsidR="005A5928">
        <w:t xml:space="preserve"> </w:t>
      </w:r>
      <w:r w:rsidR="005A5928" w:rsidRPr="00166EA1">
        <w:t xml:space="preserve">Большинство этих мутаций совпадали с мутациями, идентифицированными </w:t>
      </w:r>
      <w:r w:rsidR="005A5928" w:rsidRPr="00B466A1">
        <w:rPr>
          <w:lang w:val="en-US"/>
        </w:rPr>
        <w:t>in</w:t>
      </w:r>
      <w:r w:rsidR="005A5928" w:rsidRPr="00166EA1">
        <w:t xml:space="preserve"> </w:t>
      </w:r>
      <w:r w:rsidR="005A5928" w:rsidRPr="00B466A1">
        <w:rPr>
          <w:lang w:val="en-US"/>
        </w:rPr>
        <w:t>vitro</w:t>
      </w:r>
      <w:r w:rsidR="005A5928" w:rsidRPr="00166EA1">
        <w:t xml:space="preserve">, т. е. </w:t>
      </w:r>
      <w:r w:rsidR="005A5928" w:rsidRPr="00B466A1">
        <w:rPr>
          <w:lang w:val="en-US"/>
        </w:rPr>
        <w:t>L</w:t>
      </w:r>
      <w:r w:rsidR="005A5928" w:rsidRPr="00166EA1">
        <w:t>100</w:t>
      </w:r>
      <w:r w:rsidR="005A5928" w:rsidRPr="00B466A1">
        <w:rPr>
          <w:lang w:val="en-US"/>
        </w:rPr>
        <w:t>I</w:t>
      </w:r>
      <w:r w:rsidR="005A5928" w:rsidRPr="00166EA1">
        <w:t xml:space="preserve">, </w:t>
      </w:r>
      <w:r w:rsidR="005A5928" w:rsidRPr="00B466A1">
        <w:rPr>
          <w:lang w:val="en-US"/>
        </w:rPr>
        <w:t>E</w:t>
      </w:r>
      <w:r w:rsidR="005A5928" w:rsidRPr="00166EA1">
        <w:t>138</w:t>
      </w:r>
      <w:r w:rsidR="005A5928" w:rsidRPr="00B466A1">
        <w:rPr>
          <w:lang w:val="en-US"/>
        </w:rPr>
        <w:t>K</w:t>
      </w:r>
      <w:r w:rsidR="005A5928" w:rsidRPr="00166EA1">
        <w:t xml:space="preserve">, </w:t>
      </w:r>
      <w:r w:rsidR="005A5928" w:rsidRPr="00B466A1">
        <w:rPr>
          <w:lang w:val="en-US"/>
        </w:rPr>
        <w:t>E</w:t>
      </w:r>
      <w:r w:rsidR="005A5928" w:rsidRPr="00166EA1">
        <w:t>138</w:t>
      </w:r>
      <w:r w:rsidR="005A5928" w:rsidRPr="00B466A1">
        <w:rPr>
          <w:lang w:val="en-US"/>
        </w:rPr>
        <w:t>G</w:t>
      </w:r>
      <w:r w:rsidR="005A5928" w:rsidRPr="00166EA1">
        <w:t xml:space="preserve">, </w:t>
      </w:r>
      <w:r w:rsidR="005A5928" w:rsidRPr="00B466A1">
        <w:rPr>
          <w:lang w:val="en-US"/>
        </w:rPr>
        <w:t>V</w:t>
      </w:r>
      <w:r w:rsidR="005A5928" w:rsidRPr="00166EA1">
        <w:t>179</w:t>
      </w:r>
      <w:r w:rsidR="005A5928" w:rsidRPr="00B466A1">
        <w:rPr>
          <w:lang w:val="en-US"/>
        </w:rPr>
        <w:t>I</w:t>
      </w:r>
      <w:r w:rsidR="005A5928" w:rsidRPr="00166EA1">
        <w:t xml:space="preserve">, </w:t>
      </w:r>
      <w:r w:rsidR="005A5928" w:rsidRPr="00B466A1">
        <w:rPr>
          <w:lang w:val="en-US"/>
        </w:rPr>
        <w:t>Y</w:t>
      </w:r>
      <w:r w:rsidR="005A5928" w:rsidRPr="00166EA1">
        <w:t>181</w:t>
      </w:r>
      <w:r w:rsidR="005A5928" w:rsidRPr="00B466A1">
        <w:rPr>
          <w:lang w:val="en-US"/>
        </w:rPr>
        <w:t>C</w:t>
      </w:r>
      <w:r w:rsidR="005A5928" w:rsidRPr="00166EA1">
        <w:t xml:space="preserve"> и </w:t>
      </w:r>
      <w:r w:rsidR="005A5928" w:rsidRPr="00B466A1">
        <w:rPr>
          <w:lang w:val="en-US"/>
        </w:rPr>
        <w:t>M</w:t>
      </w:r>
      <w:r w:rsidR="005A5928" w:rsidRPr="00166EA1">
        <w:t>230</w:t>
      </w:r>
      <w:r w:rsidR="005A5928" w:rsidRPr="00B466A1">
        <w:rPr>
          <w:lang w:val="en-US"/>
        </w:rPr>
        <w:t>I</w:t>
      </w:r>
      <w:r w:rsidR="005A5928" w:rsidRPr="00166EA1">
        <w:t>.</w:t>
      </w:r>
    </w:p>
    <w:p w14:paraId="55F62EB0" w14:textId="77777777" w:rsidR="005A5928" w:rsidRDefault="00434528" w:rsidP="001C0A37">
      <w:pPr>
        <w:ind w:firstLine="709"/>
      </w:pPr>
      <w:r>
        <w:t xml:space="preserve"> Появление замен ННИОТ у получавших </w:t>
      </w:r>
      <w:r w:rsidR="00FD1D16">
        <w:rPr>
          <w:lang w:eastAsia="en-US"/>
        </w:rPr>
        <w:t>этравирин</w:t>
      </w:r>
      <w:r w:rsidR="00FD1D16">
        <w:t xml:space="preserve"> </w:t>
      </w:r>
      <w:r>
        <w:t xml:space="preserve">способствовало снижению чувствительности к </w:t>
      </w:r>
      <w:r w:rsidR="00FD1D16">
        <w:rPr>
          <w:lang w:eastAsia="en-US"/>
        </w:rPr>
        <w:t>этравирину</w:t>
      </w:r>
      <w:r w:rsidR="00FD1D16">
        <w:t xml:space="preserve"> </w:t>
      </w:r>
      <w:r>
        <w:t>в среднем в 40 раз, по сравнению с эталоном, и в среднем в 6 раз, по сравнению с исходным уровнем</w:t>
      </w:r>
      <w:r w:rsidR="005A5928">
        <w:t>.</w:t>
      </w:r>
    </w:p>
    <w:p w14:paraId="5ECF4C8B" w14:textId="77777777" w:rsidR="005A5928" w:rsidRPr="00B466A1" w:rsidRDefault="005A5928" w:rsidP="005A5928">
      <w:pPr>
        <w:ind w:firstLine="709"/>
        <w:contextualSpacing/>
      </w:pPr>
      <w:r w:rsidRPr="00B466A1">
        <w:t xml:space="preserve">Был проведен однофакторный анализ для определения исходных фенотипических и генотипических детерминант снижения вирусологического ответа на этравирин на 24-й неделе в исследованиях </w:t>
      </w:r>
      <w:r w:rsidRPr="00B466A1">
        <w:rPr>
          <w:lang w:val="en-US"/>
        </w:rPr>
        <w:t>DUET</w:t>
      </w:r>
      <w:r w:rsidRPr="00B466A1">
        <w:t xml:space="preserve">-1 и </w:t>
      </w:r>
      <w:r w:rsidRPr="00B466A1">
        <w:rPr>
          <w:lang w:val="en-US"/>
        </w:rPr>
        <w:t>DUET</w:t>
      </w:r>
      <w:r w:rsidRPr="00B466A1">
        <w:t xml:space="preserve">-2. Эти анализы были проведены в подгруппе субъектов, не принимавших энфувиртид </w:t>
      </w:r>
      <w:r w:rsidRPr="00A97B7A">
        <w:rPr>
          <w:i/>
          <w:lang w:val="en-US"/>
        </w:rPr>
        <w:t>de</w:t>
      </w:r>
      <w:r w:rsidRPr="00A97B7A">
        <w:rPr>
          <w:i/>
        </w:rPr>
        <w:t xml:space="preserve"> </w:t>
      </w:r>
      <w:r w:rsidRPr="00A97B7A">
        <w:rPr>
          <w:i/>
          <w:lang w:val="en-US"/>
        </w:rPr>
        <w:t>novo</w:t>
      </w:r>
      <w:r w:rsidRPr="00B466A1">
        <w:t>, и исключая субъектов, прекративших прием по другим причинам,</w:t>
      </w:r>
      <w:r>
        <w:t xml:space="preserve"> кроме вирусологической неудачи. </w:t>
      </w:r>
      <w:r w:rsidRPr="00B466A1">
        <w:t xml:space="preserve">На исходном уровне было обнаружено тринадцать мутаций, связанных со снижением вирусологического ответа на этравирин: </w:t>
      </w:r>
      <w:r w:rsidRPr="00B466A1">
        <w:rPr>
          <w:lang w:val="en-US"/>
        </w:rPr>
        <w:t>V</w:t>
      </w:r>
      <w:r w:rsidRPr="00B466A1">
        <w:t>90</w:t>
      </w:r>
      <w:r w:rsidRPr="00B466A1">
        <w:rPr>
          <w:lang w:val="en-US"/>
        </w:rPr>
        <w:t>I</w:t>
      </w:r>
      <w:r w:rsidRPr="00B466A1">
        <w:t xml:space="preserve">, </w:t>
      </w:r>
      <w:r w:rsidRPr="00B466A1">
        <w:rPr>
          <w:lang w:val="en-US"/>
        </w:rPr>
        <w:t>A</w:t>
      </w:r>
      <w:r w:rsidRPr="00B466A1">
        <w:t>98</w:t>
      </w:r>
      <w:r w:rsidRPr="00B466A1">
        <w:rPr>
          <w:lang w:val="en-US"/>
        </w:rPr>
        <w:t>G</w:t>
      </w:r>
      <w:r w:rsidRPr="00B466A1">
        <w:t xml:space="preserve">, </w:t>
      </w:r>
      <w:r w:rsidRPr="00B466A1">
        <w:rPr>
          <w:lang w:val="en-US"/>
        </w:rPr>
        <w:t>L</w:t>
      </w:r>
      <w:r w:rsidRPr="00B466A1">
        <w:t>100</w:t>
      </w:r>
      <w:r w:rsidRPr="00B466A1">
        <w:rPr>
          <w:lang w:val="en-US"/>
        </w:rPr>
        <w:t>I</w:t>
      </w:r>
      <w:r w:rsidRPr="00B466A1">
        <w:t xml:space="preserve">, </w:t>
      </w:r>
      <w:r w:rsidRPr="00B466A1">
        <w:rPr>
          <w:lang w:val="en-US"/>
        </w:rPr>
        <w:t>K</w:t>
      </w:r>
      <w:r w:rsidRPr="00B466A1">
        <w:t>101</w:t>
      </w:r>
      <w:r w:rsidRPr="00B466A1">
        <w:rPr>
          <w:lang w:val="en-US"/>
        </w:rPr>
        <w:t>E</w:t>
      </w:r>
      <w:r w:rsidRPr="00B466A1">
        <w:t xml:space="preserve">, </w:t>
      </w:r>
      <w:r w:rsidRPr="00B466A1">
        <w:rPr>
          <w:lang w:val="en-US"/>
        </w:rPr>
        <w:t>K</w:t>
      </w:r>
      <w:r w:rsidRPr="00B466A1">
        <w:t>101</w:t>
      </w:r>
      <w:r w:rsidRPr="00B466A1">
        <w:rPr>
          <w:lang w:val="en-US"/>
        </w:rPr>
        <w:t>P</w:t>
      </w:r>
      <w:r w:rsidRPr="00B466A1">
        <w:t xml:space="preserve">, </w:t>
      </w:r>
      <w:r w:rsidRPr="00B466A1">
        <w:rPr>
          <w:lang w:val="en-US"/>
        </w:rPr>
        <w:t>V</w:t>
      </w:r>
      <w:r w:rsidRPr="00B466A1">
        <w:t>106</w:t>
      </w:r>
      <w:r w:rsidRPr="00B466A1">
        <w:rPr>
          <w:lang w:val="en-US"/>
        </w:rPr>
        <w:t>I</w:t>
      </w:r>
      <w:r w:rsidRPr="00B466A1">
        <w:t xml:space="preserve">, </w:t>
      </w:r>
      <w:r w:rsidRPr="00B466A1">
        <w:rPr>
          <w:lang w:val="en-US"/>
        </w:rPr>
        <w:t>V</w:t>
      </w:r>
      <w:r w:rsidRPr="00B466A1">
        <w:t>179</w:t>
      </w:r>
      <w:r w:rsidRPr="00B466A1">
        <w:rPr>
          <w:lang w:val="en-US"/>
        </w:rPr>
        <w:t>D</w:t>
      </w:r>
      <w:r w:rsidRPr="00B466A1">
        <w:t xml:space="preserve">, </w:t>
      </w:r>
      <w:r w:rsidRPr="00B466A1">
        <w:rPr>
          <w:lang w:val="en-US"/>
        </w:rPr>
        <w:t>V</w:t>
      </w:r>
      <w:r w:rsidRPr="00B466A1">
        <w:t>179</w:t>
      </w:r>
      <w:r w:rsidRPr="00B466A1">
        <w:rPr>
          <w:lang w:val="en-US"/>
        </w:rPr>
        <w:t>F</w:t>
      </w:r>
      <w:r w:rsidRPr="00B466A1">
        <w:t xml:space="preserve">, </w:t>
      </w:r>
      <w:r w:rsidRPr="00B466A1">
        <w:rPr>
          <w:lang w:val="en-US"/>
        </w:rPr>
        <w:t>Y</w:t>
      </w:r>
      <w:r w:rsidRPr="00B466A1">
        <w:t>181</w:t>
      </w:r>
      <w:r w:rsidRPr="00B466A1">
        <w:rPr>
          <w:lang w:val="en-US"/>
        </w:rPr>
        <w:t>C</w:t>
      </w:r>
      <w:r w:rsidRPr="00B466A1">
        <w:t xml:space="preserve">, </w:t>
      </w:r>
      <w:r w:rsidRPr="00B466A1">
        <w:rPr>
          <w:lang w:val="en-US"/>
        </w:rPr>
        <w:t>Y</w:t>
      </w:r>
      <w:r w:rsidRPr="00B466A1">
        <w:t>181</w:t>
      </w:r>
      <w:r w:rsidRPr="00B466A1">
        <w:rPr>
          <w:lang w:val="en-US"/>
        </w:rPr>
        <w:t>I</w:t>
      </w:r>
      <w:r w:rsidRPr="00B466A1">
        <w:t xml:space="preserve">, </w:t>
      </w:r>
      <w:r w:rsidRPr="00B466A1">
        <w:rPr>
          <w:lang w:val="en-US"/>
        </w:rPr>
        <w:t>Y</w:t>
      </w:r>
      <w:r w:rsidRPr="00B466A1">
        <w:t>181</w:t>
      </w:r>
      <w:r w:rsidRPr="00B466A1">
        <w:rPr>
          <w:lang w:val="en-US"/>
        </w:rPr>
        <w:t>V</w:t>
      </w:r>
      <w:r w:rsidRPr="00B466A1">
        <w:t xml:space="preserve">, </w:t>
      </w:r>
      <w:r w:rsidRPr="00B466A1">
        <w:rPr>
          <w:lang w:val="en-US"/>
        </w:rPr>
        <w:t>G</w:t>
      </w:r>
      <w:r w:rsidRPr="00B466A1">
        <w:t>190</w:t>
      </w:r>
      <w:r w:rsidRPr="00B466A1">
        <w:rPr>
          <w:lang w:val="en-US"/>
        </w:rPr>
        <w:t>A</w:t>
      </w:r>
      <w:r w:rsidRPr="00B466A1">
        <w:t xml:space="preserve"> и </w:t>
      </w:r>
      <w:r w:rsidRPr="00B466A1">
        <w:rPr>
          <w:lang w:val="en-US"/>
        </w:rPr>
        <w:t>G</w:t>
      </w:r>
      <w:r w:rsidRPr="00B466A1">
        <w:t>190</w:t>
      </w:r>
      <w:r w:rsidRPr="00B466A1">
        <w:rPr>
          <w:lang w:val="en-US"/>
        </w:rPr>
        <w:t>S</w:t>
      </w:r>
      <w:r w:rsidRPr="00B466A1">
        <w:t xml:space="preserve">. </w:t>
      </w:r>
      <w:r>
        <w:t>Все э</w:t>
      </w:r>
      <w:r w:rsidRPr="00882B53">
        <w:t xml:space="preserve">ти </w:t>
      </w:r>
      <w:r>
        <w:t>мутации</w:t>
      </w:r>
      <w:r w:rsidRPr="00882B53">
        <w:t xml:space="preserve"> ранее были описаны как </w:t>
      </w:r>
      <w:r w:rsidRPr="00B466A1">
        <w:rPr>
          <w:lang w:val="en-US"/>
        </w:rPr>
        <w:t>NNRTI</w:t>
      </w:r>
      <w:r w:rsidRPr="00882B53">
        <w:t>-</w:t>
      </w:r>
      <w:r w:rsidRPr="00B466A1">
        <w:rPr>
          <w:lang w:val="en-US"/>
        </w:rPr>
        <w:t>RAM</w:t>
      </w:r>
      <w:r w:rsidRPr="00882B53">
        <w:t xml:space="preserve">, за исключением </w:t>
      </w:r>
      <w:r w:rsidRPr="00B466A1">
        <w:rPr>
          <w:lang w:val="en-US"/>
        </w:rPr>
        <w:t>V</w:t>
      </w:r>
      <w:r w:rsidRPr="00882B53">
        <w:t>090</w:t>
      </w:r>
      <w:r w:rsidRPr="00B466A1">
        <w:rPr>
          <w:lang w:val="en-US"/>
        </w:rPr>
        <w:t>I</w:t>
      </w:r>
      <w:r w:rsidRPr="00882B53">
        <w:t xml:space="preserve"> и </w:t>
      </w:r>
      <w:r w:rsidRPr="00B466A1">
        <w:rPr>
          <w:lang w:val="en-US"/>
        </w:rPr>
        <w:t>V</w:t>
      </w:r>
      <w:r w:rsidRPr="00882B53">
        <w:t>106</w:t>
      </w:r>
      <w:r w:rsidRPr="00B466A1">
        <w:rPr>
          <w:lang w:val="en-US"/>
        </w:rPr>
        <w:t>I</w:t>
      </w:r>
      <w:r w:rsidRPr="00882B53">
        <w:t>.</w:t>
      </w:r>
    </w:p>
    <w:p w14:paraId="46F0A612" w14:textId="77777777" w:rsidR="005A5928" w:rsidRDefault="005A5928" w:rsidP="005A5928">
      <w:pPr>
        <w:ind w:firstLine="709"/>
        <w:contextualSpacing/>
      </w:pPr>
      <w:r w:rsidRPr="00B466A1">
        <w:t>Было показано, что количество этих мутаций, присутствующих на исходном уровне, предсказывало вирусологический ответ и что вирусологический ответ был ниже, когда присутствовали по крайней мере 3 из этих мутаций.</w:t>
      </w:r>
    </w:p>
    <w:p w14:paraId="76F5424D" w14:textId="77777777" w:rsidR="005A5928" w:rsidRDefault="005A5928" w:rsidP="005A5928">
      <w:pPr>
        <w:ind w:firstLine="709"/>
        <w:contextualSpacing/>
      </w:pPr>
      <w:r w:rsidRPr="00321443">
        <w:t xml:space="preserve">В целом обширный вирусологический анализ </w:t>
      </w:r>
      <w:r w:rsidRPr="008B0B82">
        <w:rPr>
          <w:i/>
          <w:lang w:val="en-US"/>
        </w:rPr>
        <w:t>in</w:t>
      </w:r>
      <w:r w:rsidRPr="008B0B82">
        <w:rPr>
          <w:i/>
        </w:rPr>
        <w:t xml:space="preserve"> </w:t>
      </w:r>
      <w:r w:rsidRPr="008B0B82">
        <w:rPr>
          <w:i/>
          <w:lang w:val="en-US"/>
        </w:rPr>
        <w:t>vitro</w:t>
      </w:r>
      <w:r w:rsidRPr="00321443">
        <w:t xml:space="preserve"> и клинических данных показал, что</w:t>
      </w:r>
      <w:r>
        <w:t xml:space="preserve"> </w:t>
      </w:r>
      <w:r w:rsidRPr="00B466A1">
        <w:t xml:space="preserve">профиль резистентности этравирина отличается от профиля резистентности других ННИОТ (например, эфавиренца и невирапина) с более высоким генетическим барьером. Для возникновения резистентности необходимо более одной мутации, и наличие одной мутации </w:t>
      </w:r>
      <w:r w:rsidRPr="00B466A1">
        <w:rPr>
          <w:lang w:val="en-US"/>
        </w:rPr>
        <w:t>K</w:t>
      </w:r>
      <w:r w:rsidRPr="00B466A1">
        <w:t>103</w:t>
      </w:r>
      <w:r w:rsidRPr="00B466A1">
        <w:rPr>
          <w:lang w:val="en-US"/>
        </w:rPr>
        <w:t>N</w:t>
      </w:r>
      <w:r w:rsidRPr="00B466A1">
        <w:t xml:space="preserve"> не продемонстрировало влияния на эффективность. </w:t>
      </w:r>
    </w:p>
    <w:p w14:paraId="69A8AE4F" w14:textId="4A23D8D4" w:rsidR="00434528" w:rsidRDefault="005A5928" w:rsidP="00EE1D8E">
      <w:pPr>
        <w:ind w:firstLine="709"/>
        <w:contextualSpacing/>
      </w:pPr>
      <w:r w:rsidRPr="00B466A1">
        <w:t>Несмотря на улучшение по сравнению с существующими ННИОТ, генетический барьер этравирина остается ограниченным. Этравирин необходимо будет адекватно «защищать» активными компонентами в рамках адекватных схем комбинированной терапии</w:t>
      </w:r>
      <w:r w:rsidR="00292F12">
        <w:t xml:space="preserve"> </w:t>
      </w:r>
      <w:r w:rsidR="00434528">
        <w:t xml:space="preserve"> </w:t>
      </w:r>
      <w:r w:rsidR="00FD1D16">
        <w:fldChar w:fldCharType="begin"/>
      </w:r>
      <w:r w:rsidR="00FD1D16">
        <w:instrText xml:space="preserve"> ADDIN ZOTERO_ITEM CSL_CITATION {"citationID":"0iftfi2T","properties":{"formattedCitation":"(23)","plainCitation":"(23)","noteIndex":0},"citationItems":[{"id":2588,"uris":["http://zotero.org/users/5483459/items/XZWGXXTF"],"itemData":{"id":2588,"type":"document","title":"European Medicines Agency INTELENCE®Summary of Product Characteristic. 2008.Doc.Ref.: EMEA/CHMP/43952/2008"}}],"schema":"https://github.com/citation-style-language/schema/raw/master/csl-citation.json"} </w:instrText>
      </w:r>
      <w:r w:rsidR="00FD1D16">
        <w:fldChar w:fldCharType="separate"/>
      </w:r>
      <w:r w:rsidR="005E2B83" w:rsidRPr="005E2B83">
        <w:t>[</w:t>
      </w:r>
      <w:r w:rsidR="00FD1D16" w:rsidRPr="00FD1D16">
        <w:t>23</w:t>
      </w:r>
      <w:r w:rsidR="005E2B83" w:rsidRPr="005E2B83">
        <w:t>]</w:t>
      </w:r>
      <w:r w:rsidR="00FD1D16">
        <w:fldChar w:fldCharType="end"/>
      </w:r>
      <w:r w:rsidR="00FD1D16">
        <w:t>.</w:t>
      </w:r>
    </w:p>
    <w:p w14:paraId="2D2F574C" w14:textId="77777777" w:rsidR="00292F12" w:rsidRDefault="00292F12">
      <w:pPr>
        <w:ind w:firstLine="709"/>
        <w:contextualSpacing/>
      </w:pPr>
    </w:p>
    <w:p w14:paraId="36CC1673" w14:textId="77777777" w:rsidR="00434528" w:rsidRPr="00FD1D16" w:rsidRDefault="00434528" w:rsidP="008B0B82">
      <w:pPr>
        <w:rPr>
          <w:b/>
          <w:bCs/>
        </w:rPr>
      </w:pPr>
      <w:r w:rsidRPr="00FD1D16">
        <w:rPr>
          <w:b/>
          <w:bCs/>
        </w:rPr>
        <w:t>Клинические изоляты</w:t>
      </w:r>
    </w:p>
    <w:p w14:paraId="7A7B00EB" w14:textId="77777777" w:rsidR="00292F12" w:rsidRDefault="00292F12" w:rsidP="00EE1D8E">
      <w:pPr>
        <w:ind w:firstLine="709"/>
        <w:rPr>
          <w:lang w:eastAsia="en-US"/>
        </w:rPr>
      </w:pPr>
    </w:p>
    <w:p w14:paraId="66F6899F" w14:textId="425662A4" w:rsidR="00292F12" w:rsidRDefault="00D968EB">
      <w:pPr>
        <w:ind w:firstLine="709"/>
      </w:pPr>
      <w:r>
        <w:rPr>
          <w:lang w:eastAsia="en-US"/>
        </w:rPr>
        <w:t>Этравирин</w:t>
      </w:r>
      <w:r>
        <w:t xml:space="preserve"> </w:t>
      </w:r>
      <w:r w:rsidR="00434528">
        <w:t>сохранял ≤3-кратное снижение в отношение 60% из 6171 устойчивых к ННИОТ клинических изолятов. На той же панели, доля клинических изолятов, устойчивых к</w:t>
      </w:r>
      <w:r w:rsidR="00A44935" w:rsidRPr="00CA4E7A">
        <w:t xml:space="preserve"> делавирдин</w:t>
      </w:r>
      <w:r w:rsidR="00A44935">
        <w:t>у</w:t>
      </w:r>
      <w:r w:rsidR="00A44935" w:rsidRPr="00CA4E7A">
        <w:t xml:space="preserve"> (DLV)</w:t>
      </w:r>
      <w:r w:rsidR="00FB4CE5">
        <w:t>,</w:t>
      </w:r>
      <w:r w:rsidR="00A44935" w:rsidRPr="00CA4E7A">
        <w:t xml:space="preserve"> эфавиренз</w:t>
      </w:r>
      <w:r w:rsidR="00A44935">
        <w:t>у</w:t>
      </w:r>
      <w:r w:rsidR="00A44935" w:rsidRPr="00CA4E7A">
        <w:t xml:space="preserve"> (EFV)</w:t>
      </w:r>
      <w:r w:rsidR="00FB4CE5">
        <w:t xml:space="preserve"> и </w:t>
      </w:r>
      <w:r w:rsidR="00FB4CE5" w:rsidRPr="00CA4E7A">
        <w:t>невирапин</w:t>
      </w:r>
      <w:r w:rsidR="00FB4CE5">
        <w:t>у</w:t>
      </w:r>
      <w:r w:rsidR="00FB4CE5" w:rsidRPr="00CA4E7A">
        <w:t xml:space="preserve"> (NVP)</w:t>
      </w:r>
      <w:r w:rsidR="00A44935" w:rsidRPr="00CA4E7A">
        <w:t xml:space="preserve"> </w:t>
      </w:r>
      <w:r w:rsidR="00434528">
        <w:t xml:space="preserve">(определено кратное повышение соответствующих биологических значений отсечения в анализе), составляла 79%, 87% и 95%, соответственно. В исследованиях TMC125-C206 и TMC125-C216 34% базовых изолятов имели пониженную чувствительность к </w:t>
      </w:r>
      <w:r w:rsidR="00FB4CE5">
        <w:t>этравирину</w:t>
      </w:r>
      <w:r w:rsidR="00434528">
        <w:t xml:space="preserve"> (более, чем 3-кратное повышение) и 60%, 69%, а 78% всех базовых изолятов были устойчивы </w:t>
      </w:r>
      <w:r w:rsidR="00292F12">
        <w:t xml:space="preserve">к </w:t>
      </w:r>
      <w:r w:rsidR="00292F12" w:rsidRPr="00CA4E7A">
        <w:t>делавирдину</w:t>
      </w:r>
      <w:r w:rsidR="00FB4CE5" w:rsidRPr="00CA4E7A">
        <w:t xml:space="preserve"> (DLV)</w:t>
      </w:r>
      <w:r w:rsidR="00FB4CE5">
        <w:t>,</w:t>
      </w:r>
      <w:r w:rsidR="00FB4CE5" w:rsidRPr="00CA4E7A">
        <w:t xml:space="preserve"> эфавиренз</w:t>
      </w:r>
      <w:r w:rsidR="00FB4CE5">
        <w:t>у</w:t>
      </w:r>
      <w:r w:rsidR="00FB4CE5" w:rsidRPr="00CA4E7A">
        <w:t xml:space="preserve"> (EFV)</w:t>
      </w:r>
      <w:r w:rsidR="00FB4CE5">
        <w:t xml:space="preserve"> и </w:t>
      </w:r>
      <w:r w:rsidR="00FB4CE5" w:rsidRPr="00CA4E7A">
        <w:t>невирапин</w:t>
      </w:r>
      <w:r w:rsidR="00FB4CE5">
        <w:t>у</w:t>
      </w:r>
      <w:r w:rsidR="00FB4CE5" w:rsidRPr="00CA4E7A">
        <w:t xml:space="preserve"> (NVP)</w:t>
      </w:r>
      <w:r w:rsidR="00434528">
        <w:t xml:space="preserve">, соответственно. У пациентов, получавших </w:t>
      </w:r>
      <w:r w:rsidR="00FB4CE5">
        <w:t xml:space="preserve"> этравирин</w:t>
      </w:r>
      <w:r w:rsidR="00434528">
        <w:t xml:space="preserve">, в TMC125-C206 и TMC125-C216, 90%, 84%, и 96% вирусных изолятов, полученных после развития вирусологической неудачи, были резистентны к </w:t>
      </w:r>
      <w:r w:rsidR="00FB4CE5">
        <w:t>к</w:t>
      </w:r>
      <w:r w:rsidR="00FB4CE5" w:rsidRPr="00CA4E7A">
        <w:t xml:space="preserve"> делавирдин</w:t>
      </w:r>
      <w:r w:rsidR="00FB4CE5">
        <w:t>у</w:t>
      </w:r>
      <w:r w:rsidR="00FB4CE5" w:rsidRPr="00CA4E7A">
        <w:t xml:space="preserve"> (DLV)</w:t>
      </w:r>
      <w:r w:rsidR="00FB4CE5">
        <w:t>,</w:t>
      </w:r>
      <w:r w:rsidR="00FB4CE5" w:rsidRPr="00CA4E7A">
        <w:t xml:space="preserve"> эфавиренз</w:t>
      </w:r>
      <w:r w:rsidR="00FB4CE5">
        <w:t>у</w:t>
      </w:r>
      <w:r w:rsidR="00FB4CE5" w:rsidRPr="00CA4E7A">
        <w:t xml:space="preserve"> (EFV)</w:t>
      </w:r>
      <w:r w:rsidR="00FB4CE5">
        <w:t xml:space="preserve"> и </w:t>
      </w:r>
      <w:r w:rsidR="00FB4CE5" w:rsidRPr="00CA4E7A">
        <w:t>невирапин</w:t>
      </w:r>
      <w:r w:rsidR="00FB4CE5">
        <w:t>у</w:t>
      </w:r>
      <w:r w:rsidR="00FB4CE5" w:rsidRPr="00CA4E7A">
        <w:t xml:space="preserve"> (NVP)</w:t>
      </w:r>
      <w:r w:rsidR="00434528">
        <w:t xml:space="preserve">, соответственно </w:t>
      </w:r>
      <w:r w:rsidR="00FB4CE5">
        <w:fldChar w:fldCharType="begin"/>
      </w:r>
      <w:r w:rsidR="00AB0779">
        <w:instrText xml:space="preserve"> ADDIN ZOTERO_ITEM CSL_CITATION {"citationID":"Q9Tdg6kW","properties":{"formattedCitation":"(23)","plainCitation":"(23)","noteIndex":0},"citationItems":[{"id":2588,"uris":["http://zotero.org/users/5483459/items/XZWGXXTF"],"itemData":{"id":2588,"type":"document","title":"European Medicines Agency INTELENCE®Summary of Product Characteristic. 2008.Doc.Ref.: EMEA/CHMP/43952/2008"}}],"schema":"https://github.com/citation-style-language/schema/raw/master/csl-citation.json"} </w:instrText>
      </w:r>
      <w:r w:rsidR="00FB4CE5">
        <w:fldChar w:fldCharType="separate"/>
      </w:r>
      <w:r w:rsidR="005E2B83" w:rsidRPr="005E2B83">
        <w:t>[</w:t>
      </w:r>
      <w:r w:rsidR="00FB4CE5" w:rsidRPr="00FD1D16">
        <w:t>23</w:t>
      </w:r>
      <w:r w:rsidR="005E2B83" w:rsidRPr="005E2B83">
        <w:t>]</w:t>
      </w:r>
      <w:r w:rsidR="00FB4CE5">
        <w:fldChar w:fldCharType="end"/>
      </w:r>
      <w:r w:rsidR="00FB4CE5">
        <w:t>.</w:t>
      </w:r>
    </w:p>
    <w:p w14:paraId="5931E512" w14:textId="104AC0F2" w:rsidR="006D49DE" w:rsidRPr="0075060E" w:rsidRDefault="006D49DE" w:rsidP="006D49DE">
      <w:pPr>
        <w:pStyle w:val="4"/>
        <w:spacing w:after="240"/>
        <w:rPr>
          <w:rFonts w:ascii="Times New Roman" w:hAnsi="Times New Roman"/>
          <w:color w:val="000000" w:themeColor="text1"/>
          <w:sz w:val="24"/>
          <w:szCs w:val="24"/>
        </w:rPr>
      </w:pPr>
      <w:bookmarkStart w:id="159" w:name="_Toc117179225"/>
      <w:bookmarkStart w:id="160" w:name="_Toc90285300"/>
      <w:r>
        <w:rPr>
          <w:rFonts w:ascii="Times New Roman" w:hAnsi="Times New Roman"/>
          <w:color w:val="000000" w:themeColor="text1"/>
          <w:sz w:val="24"/>
          <w:szCs w:val="24"/>
        </w:rPr>
        <w:t>4.1.2.2</w:t>
      </w:r>
      <w:r w:rsidRPr="002E7351">
        <w:rPr>
          <w:rFonts w:ascii="Times New Roman" w:hAnsi="Times New Roman"/>
          <w:color w:val="000000" w:themeColor="text1"/>
          <w:sz w:val="24"/>
          <w:szCs w:val="24"/>
        </w:rPr>
        <w:t xml:space="preserve">. </w:t>
      </w:r>
      <w:r>
        <w:rPr>
          <w:rFonts w:ascii="Times New Roman" w:hAnsi="Times New Roman"/>
          <w:color w:val="000000" w:themeColor="text1"/>
          <w:sz w:val="24"/>
          <w:szCs w:val="24"/>
        </w:rPr>
        <w:t>Вторичная фармакодинамика</w:t>
      </w:r>
      <w:bookmarkEnd w:id="159"/>
      <w:r>
        <w:rPr>
          <w:rFonts w:ascii="Times New Roman" w:hAnsi="Times New Roman"/>
          <w:color w:val="000000" w:themeColor="text1"/>
          <w:sz w:val="24"/>
          <w:szCs w:val="24"/>
        </w:rPr>
        <w:t xml:space="preserve"> </w:t>
      </w:r>
    </w:p>
    <w:bookmarkEnd w:id="160"/>
    <w:p w14:paraId="7C64BC77" w14:textId="32A68264" w:rsidR="00FB4CE5" w:rsidRDefault="00FB4CE5" w:rsidP="00EE1D8E">
      <w:pPr>
        <w:pStyle w:val="OT"/>
        <w:spacing w:after="0"/>
        <w:ind w:firstLine="709"/>
      </w:pPr>
      <w:r w:rsidRPr="00FB4CE5">
        <w:rPr>
          <w:sz w:val="24"/>
          <w:szCs w:val="24"/>
          <w:lang w:eastAsia="en-US"/>
        </w:rPr>
        <w:t>Этравирин</w:t>
      </w:r>
      <w:r w:rsidRPr="00FB4CE5">
        <w:rPr>
          <w:sz w:val="24"/>
          <w:szCs w:val="24"/>
        </w:rPr>
        <w:t xml:space="preserve"> может значительно увеличивать уровни фратаксина в клетках, полученных от пациентов с атаксией Фридрейха, за счет усиления трансляции РНК-мессенджера фратаксина. Важно отметить, что накопление фратаксина в клетках пациентов, обработанных </w:t>
      </w:r>
      <w:r w:rsidR="001E5678">
        <w:rPr>
          <w:sz w:val="24"/>
          <w:szCs w:val="24"/>
        </w:rPr>
        <w:t>этравирином</w:t>
      </w:r>
      <w:r w:rsidRPr="00FB4CE5">
        <w:rPr>
          <w:sz w:val="24"/>
          <w:szCs w:val="24"/>
        </w:rPr>
        <w:t xml:space="preserve">, сопоставимо с уровнями фратаксина в непораженных клетках-носителях, что позволяет предположить, что </w:t>
      </w:r>
      <w:r w:rsidR="00292F12">
        <w:rPr>
          <w:sz w:val="24"/>
          <w:szCs w:val="24"/>
        </w:rPr>
        <w:t xml:space="preserve">этравирин </w:t>
      </w:r>
      <w:r w:rsidR="00292F12" w:rsidRPr="00FB4CE5">
        <w:rPr>
          <w:sz w:val="24"/>
          <w:szCs w:val="24"/>
        </w:rPr>
        <w:t>может</w:t>
      </w:r>
      <w:r w:rsidRPr="00FB4CE5">
        <w:rPr>
          <w:sz w:val="24"/>
          <w:szCs w:val="24"/>
        </w:rPr>
        <w:t xml:space="preserve"> быть полезным для лечения атаксия Фридрейха. Так, показано, что лечение </w:t>
      </w:r>
      <w:r w:rsidR="001E5678">
        <w:rPr>
          <w:sz w:val="24"/>
          <w:szCs w:val="24"/>
        </w:rPr>
        <w:t xml:space="preserve">этравирином </w:t>
      </w:r>
      <w:r w:rsidR="001E5678" w:rsidRPr="00FB4CE5">
        <w:rPr>
          <w:sz w:val="24"/>
          <w:szCs w:val="24"/>
        </w:rPr>
        <w:t xml:space="preserve"> </w:t>
      </w:r>
      <w:r w:rsidRPr="00FB4CE5">
        <w:rPr>
          <w:sz w:val="24"/>
          <w:szCs w:val="24"/>
        </w:rPr>
        <w:t xml:space="preserve">восстанавливает активность фермента аконитазы, имеющего в своей структуре железо и серу, и придает клеткам, полученным от пациентов с атаксией Фридрейха, устойчивость к окислительному стрессу </w:t>
      </w:r>
      <w:r w:rsidR="00AB0779">
        <w:rPr>
          <w:sz w:val="24"/>
          <w:szCs w:val="24"/>
        </w:rPr>
        <w:fldChar w:fldCharType="begin"/>
      </w:r>
      <w:r w:rsidR="00AB0779">
        <w:rPr>
          <w:sz w:val="24"/>
          <w:szCs w:val="24"/>
        </w:rPr>
        <w:instrText xml:space="preserve"> ADDIN ZOTERO_ITEM CSL_CITATION {"citationID":"OhOfwz0H","properties":{"formattedCitation":"(53)","plainCitation":"(53)","noteIndex":0},"citationItems":[{"id":2628,"uris":["http://zotero.org/users/5483459/items/H9P2P3W4"],"itemData":{"id":2628,"type":"article-journal","abstract":"BACKGROUND: Friedreich's ataxia is an autosomal-recessive cerebellar ataxia caused by mutation of the frataxin gene, resulting in decreased frataxin expression, mitochondrial dysfunction, and oxidative stress. Currently, no treatment is available for Friedreich's ataxia patients. Given that levels of residual frataxin critically affect disease severity, the main goal of a specific therapy for Friedreich's ataxia is to increase frataxin levels.\nOBJECTIVES: With the aim to accelerate the development of a new therapy for Friedreich's ataxia, we took a drug repositioning approach to identify market-available drugs able to increase frataxin levels.\nMETHODS: Using a cell-based reporter assay to monitor variation in frataxin amount, we performed a high-throughput screening of a library containing 853 U.S. Food and Drug Administration-approved drugs.\nRESULTS: Among the potentially interesting candidates isolated from the screening, we focused our attention on etravirine, an antiviral drug currently in use as an anti-human immunodeficiency virus therapy. Here, we show that etravirine can promote a significant increase in frataxin levels in cells derived from Friedreich's ataxia patients, by enhancing frataxin messenger RNA translation. Importantly, frataxin accumulation in treated patient cell lines is comparable to frataxin levels in unaffected carrier cells, suggesting that etravirine could be therapeutically relevant. Indeed, etravirine treatment restores the activity of the iron-sulphur cluster containing enzyme aconitase and confers resistance to oxidative stress in cells derived from Friedreich's ataxia patients.\nCONCLUSIONS: Considering its excellent safety profile along with its ability to increase frataxin levels and correct some of the disease-related defects, etravirine represents a promising candidate as a therapeutic for Friedreich's ataxia. © 2019 International Parkinson and Movement Disorder Society.","container-title":"Movement Disorders: Official Journal of the Movement Disorder Society","DOI":"10.1002/mds.27604","ISSN":"1531-8257","issue":"3","journalAbbreviation":"Mov Disord","language":"eng","note":"PMID: 30624801","page":"323-334","source":"PubMed","title":"Drug repositioning screening identifies etravirine as a potential therapeutic for friedreich's ataxia","volume":"34","author":[{"family":"Alfedi","given":"Giulia"},{"family":"Luffarelli","given":"Riccardo"},{"family":"Condò","given":"Ivano"},{"family":"Pedini","given":"Giorgia"},{"family":"Mannucci","given":"Liliana"},{"family":"Massaro","given":"Damiano S."},{"family":"Benini","given":"Monica"},{"family":"Toschi","given":"Nicola"},{"family":"Alaimo","given":"Giorgia"},{"family":"Panarello","given":"Luca"},{"family":"Pacini","given":"Laura"},{"family":"Fortuni","given":"Silvia"},{"family":"Serio","given":"Dario"},{"family":"Malisan","given":"Florence"},{"family":"Testi","given":"Roberto"},{"family":"Rufini","given":"Alessandra"}],"issued":{"date-parts":[["2019",3]]}}}],"schema":"https://github.com/citation-style-language/schema/raw/master/csl-citation.json"} </w:instrText>
      </w:r>
      <w:r w:rsidR="00AB0779">
        <w:rPr>
          <w:sz w:val="24"/>
          <w:szCs w:val="24"/>
        </w:rPr>
        <w:fldChar w:fldCharType="separate"/>
      </w:r>
      <w:r w:rsidR="005E2B83" w:rsidRPr="00152BB2">
        <w:rPr>
          <w:sz w:val="24"/>
        </w:rPr>
        <w:t>[</w:t>
      </w:r>
      <w:r w:rsidR="00AB0779" w:rsidRPr="00AB0779">
        <w:rPr>
          <w:sz w:val="24"/>
        </w:rPr>
        <w:t>53</w:t>
      </w:r>
      <w:r w:rsidR="005E2B83" w:rsidRPr="00152BB2">
        <w:rPr>
          <w:sz w:val="24"/>
        </w:rPr>
        <w:t>]</w:t>
      </w:r>
      <w:r w:rsidR="00AB0779">
        <w:rPr>
          <w:sz w:val="24"/>
          <w:szCs w:val="24"/>
        </w:rPr>
        <w:fldChar w:fldCharType="end"/>
      </w:r>
      <w:r w:rsidR="00AB0779">
        <w:rPr>
          <w:sz w:val="24"/>
          <w:szCs w:val="24"/>
        </w:rPr>
        <w:t>.</w:t>
      </w:r>
    </w:p>
    <w:p w14:paraId="3F3EA98D" w14:textId="3F12B87E" w:rsidR="00B30F15" w:rsidRPr="00A76175" w:rsidRDefault="006D49DE" w:rsidP="00A76175">
      <w:pPr>
        <w:pStyle w:val="4"/>
        <w:spacing w:after="240"/>
        <w:rPr>
          <w:b w:val="0"/>
          <w:bCs w:val="0"/>
          <w:color w:val="000000" w:themeColor="text1"/>
        </w:rPr>
      </w:pPr>
      <w:bookmarkStart w:id="161" w:name="_Toc117179226"/>
      <w:r>
        <w:rPr>
          <w:rFonts w:ascii="Times New Roman" w:hAnsi="Times New Roman"/>
          <w:color w:val="000000" w:themeColor="text1"/>
          <w:sz w:val="24"/>
          <w:szCs w:val="24"/>
        </w:rPr>
        <w:t>4.1.2.2</w:t>
      </w:r>
      <w:r w:rsidRPr="002E7351">
        <w:rPr>
          <w:rFonts w:ascii="Times New Roman" w:hAnsi="Times New Roman"/>
          <w:color w:val="000000" w:themeColor="text1"/>
          <w:sz w:val="24"/>
          <w:szCs w:val="24"/>
        </w:rPr>
        <w:t xml:space="preserve">. </w:t>
      </w:r>
      <w:r w:rsidR="00B30F15" w:rsidRPr="00A76175">
        <w:rPr>
          <w:rFonts w:ascii="Times New Roman" w:hAnsi="Times New Roman"/>
          <w:color w:val="000000" w:themeColor="text1"/>
          <w:sz w:val="24"/>
          <w:szCs w:val="24"/>
        </w:rPr>
        <w:t>Фармакодинамические лекарственные взаимодействия</w:t>
      </w:r>
      <w:bookmarkEnd w:id="161"/>
    </w:p>
    <w:p w14:paraId="0C9D1738" w14:textId="222BDD5B" w:rsidR="003C3091" w:rsidRDefault="00AB0779">
      <w:pPr>
        <w:pStyle w:val="ab"/>
        <w:shd w:val="clear" w:color="auto" w:fill="FFFFFF"/>
        <w:spacing w:before="0" w:beforeAutospacing="0" w:after="0" w:afterAutospacing="0"/>
        <w:ind w:firstLine="709"/>
        <w:jc w:val="both"/>
      </w:pPr>
      <w:r w:rsidRPr="00FB4CE5">
        <w:rPr>
          <w:lang w:eastAsia="en-US"/>
        </w:rPr>
        <w:t>Этравирин</w:t>
      </w:r>
      <w:r w:rsidRPr="00FB4CE5">
        <w:t xml:space="preserve"> </w:t>
      </w:r>
      <w:r w:rsidRPr="00AB0779">
        <w:t xml:space="preserve">применяется в комбинации с другими АРВП, что позволяет </w:t>
      </w:r>
      <w:r w:rsidR="00DE3850">
        <w:t>предотвращать возникновение мутаций, способствующих развитию резистентности,</w:t>
      </w:r>
      <w:r w:rsidR="00DE3850" w:rsidRPr="00AB0779">
        <w:t xml:space="preserve"> </w:t>
      </w:r>
      <w:r w:rsidRPr="00AB0779">
        <w:t xml:space="preserve">и преодолевать резистентность ВИЧ-1 у пациентов с опытом предшествующей терапии. Детально возможность и целесообразность комбинации </w:t>
      </w:r>
      <w:r>
        <w:rPr>
          <w:lang w:eastAsia="en-US"/>
        </w:rPr>
        <w:t>э</w:t>
      </w:r>
      <w:r w:rsidRPr="00FB4CE5">
        <w:rPr>
          <w:lang w:eastAsia="en-US"/>
        </w:rPr>
        <w:t>травирин</w:t>
      </w:r>
      <w:r>
        <w:rPr>
          <w:lang w:eastAsia="en-US"/>
        </w:rPr>
        <w:t>а</w:t>
      </w:r>
      <w:r w:rsidRPr="00FB4CE5">
        <w:t xml:space="preserve"> </w:t>
      </w:r>
      <w:r w:rsidRPr="00AB0779">
        <w:t xml:space="preserve">с другими </w:t>
      </w:r>
      <w:r w:rsidR="008464E7">
        <w:t>препаратами</w:t>
      </w:r>
      <w:r w:rsidRPr="00AB0779">
        <w:t xml:space="preserve"> описаны в национальных и международных рекомендациях по лечению ВИЧ-инфекции</w:t>
      </w:r>
      <w:r w:rsidR="00B41AAA">
        <w:t xml:space="preserve"> </w:t>
      </w:r>
      <w:r w:rsidR="0042400F">
        <w:fldChar w:fldCharType="begin"/>
      </w:r>
      <w:r w:rsidR="00561C80">
        <w:instrText xml:space="preserve"> ADDIN ZOTERO_ITEM CSL_CITATION {"citationID":"G5kUIkat","properties":{"formattedCitation":"(54\\uc0\\u8211{}58)","plainCitation":"(54–58)","noteIndex":0},"citationItems":[{"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2020."},"label":"page"},{"id":2490,"uris":["http://zotero.org/users/5483459/items/A2PPE6TL"],"itemData":{"id":2490,"type":"document","title":"Министерство здравоохранения Российской Федерации. Клинические рекомендации ВИЧ-инфекция у детей. 2020."},"label":"page"},{"id":2481,"uris":["http://zotero.org/users/5483459/items/XECSFSCZ"],"itemData":{"id":2481,"type":"document","title":"British HIV Association (BHIVA) guidelines on antiretroviral treatment for adults living with HIV-1. 2022."},"label":"page"},{"id":2482,"uris":["http://zotero.org/users/5483459/items/3625DM67"],"itemData":{"id":2482,"type":"document","title":"World Health Organization publishes new Consolidated HIV guidelines for prevention, treatment, service delivery &amp; monitoring - news release. 2021."},"label":"page"},{"id":2487,"uris":["http://zotero.org/users/5483459/items/8ZZMR9EY"],"itemData":{"id":2487,"type":"document","title":"European AIDS Clinical Society (EACS)  Guidelines. 2021."},"label":"page"}],"schema":"https://github.com/citation-style-language/schema/raw/master/csl-citation.json"} </w:instrText>
      </w:r>
      <w:r w:rsidR="0042400F">
        <w:fldChar w:fldCharType="separate"/>
      </w:r>
      <w:r w:rsidR="005E2B83" w:rsidRPr="005E2B83">
        <w:t>[</w:t>
      </w:r>
      <w:r w:rsidR="00561C80" w:rsidRPr="00561C80">
        <w:t>54–58</w:t>
      </w:r>
      <w:r w:rsidR="005E2B83" w:rsidRPr="005E2B83">
        <w:t>]</w:t>
      </w:r>
      <w:r w:rsidR="0042400F">
        <w:fldChar w:fldCharType="end"/>
      </w:r>
      <w:r w:rsidR="00557E38">
        <w:t xml:space="preserve">, </w:t>
      </w:r>
      <w:r w:rsidRPr="00AB0779">
        <w:t xml:space="preserve">а также </w:t>
      </w:r>
      <w:r w:rsidR="00557E38">
        <w:t xml:space="preserve">в документах регистрационного досье </w:t>
      </w:r>
      <w:bookmarkStart w:id="162" w:name="_Hlk112762330"/>
      <w:r w:rsidR="00292F12" w:rsidRPr="006F332D">
        <w:t>Food and Drug Administration</w:t>
      </w:r>
      <w:r w:rsidR="00292F12" w:rsidRPr="008B0B82">
        <w:t xml:space="preserve"> </w:t>
      </w:r>
      <w:r w:rsidR="00292F12">
        <w:t>(</w:t>
      </w:r>
      <w:r w:rsidR="00557E38">
        <w:rPr>
          <w:lang w:val="en-US"/>
        </w:rPr>
        <w:t>FDA</w:t>
      </w:r>
      <w:r w:rsidR="00292F12">
        <w:t>)</w:t>
      </w:r>
      <w:r w:rsidR="006F332D" w:rsidRPr="006F332D">
        <w:t xml:space="preserve"> </w:t>
      </w:r>
      <w:r w:rsidR="00557E38">
        <w:t xml:space="preserve">и </w:t>
      </w:r>
      <w:r w:rsidR="00292F12" w:rsidRPr="00561C80">
        <w:t>European Medicines Agency</w:t>
      </w:r>
      <w:r w:rsidR="00292F12" w:rsidRPr="008B0B82">
        <w:t xml:space="preserve"> </w:t>
      </w:r>
      <w:r w:rsidR="00292F12">
        <w:t>(</w:t>
      </w:r>
      <w:r w:rsidR="00557E38">
        <w:rPr>
          <w:lang w:val="en-US"/>
        </w:rPr>
        <w:t>EMA</w:t>
      </w:r>
      <w:r w:rsidR="00561C80">
        <w:t>)</w:t>
      </w:r>
      <w:r w:rsidR="00557E38" w:rsidRPr="00557E38">
        <w:t xml:space="preserve"> </w:t>
      </w:r>
      <w:r w:rsidRPr="00AB0779">
        <w:t xml:space="preserve"> </w:t>
      </w:r>
      <w:bookmarkEnd w:id="162"/>
      <w:r w:rsidRPr="00AB0779">
        <w:t>препарата Интеленс</w:t>
      </w:r>
      <w:r w:rsidRPr="008B0B82">
        <w:rPr>
          <w:vertAlign w:val="superscript"/>
        </w:rPr>
        <w:t>®</w:t>
      </w:r>
      <w:r w:rsidR="00FD59A0">
        <w:t xml:space="preserve"> </w:t>
      </w:r>
      <w:r w:rsidRPr="00AB0779">
        <w:t>(</w:t>
      </w:r>
      <w:r w:rsidR="00FD59A0">
        <w:t xml:space="preserve">ООО «Джонсон </w:t>
      </w:r>
      <w:r w:rsidR="00FD59A0" w:rsidRPr="009B427E">
        <w:t xml:space="preserve">&amp; </w:t>
      </w:r>
      <w:r w:rsidR="00FD59A0">
        <w:t>Джонсон», Россия</w:t>
      </w:r>
      <w:r w:rsidR="00FD59A0" w:rsidRPr="00AB0779" w:rsidDel="00FD59A0">
        <w:t xml:space="preserve"> </w:t>
      </w:r>
      <w:r w:rsidRPr="00AB0779">
        <w:t xml:space="preserve">) </w:t>
      </w:r>
      <w:r w:rsidR="00557E38">
        <w:fldChar w:fldCharType="begin"/>
      </w:r>
      <w:r w:rsidR="00561C80">
        <w:instrText xml:space="preserve"> ADDIN ZOTERO_ITEM CSL_CITATION {"citationID":"d3bLbulR","properties":{"formattedCitation":"(23,52,59,60)","plainCitation":"(23,52,59,60)","noteIndex":0},"citationItems":[{"id":2588,"uris":["http://zotero.org/users/5483459/items/XZWGXXTF"],"itemData":{"id":2588,"type":"document","title":"European Medicines Agency INTELENCE®Summary of Product Characteristic. 2008.Doc.Ref.: EMEA/CHMP/43952/2008"},"label":"page"},{"id":2549,"uris":["http://zotero.org/users/5483459/items/PK5HK7FS"],"itemData":{"id":2549,"type":"webpage","title":"Drug Approval Package: Intelence (Etravirine) NDA #02218. Microbiology Review(s). NDA 22-187.","URL":"https://www.accessdata.fda.gov/drugsatfda_docs/nda/2008/022187TOC.cfm","accessed":{"date-parts":[["2022",8,18]]},"issued":{"date-parts":[["2022",8,18]]}},"label":"page"},{"id":2559,"uris":["http://zotero.org/users/5483459/items/U7QDK554"],"itemData":{"id":2559,"type":"document","title":"Drug Approval Package: Intelence (Etravirine) NDA #02218. Pharmacology Review(s) Drug Approval Package: Etravirine. NDA 22-187. Part I."},"label":"page"},{"id":2560,"uris":["http://zotero.org/users/5483459/items/55ZEJIY5"],"itemData":{"id":2560,"type":"document","title":"Drug Approval Package: Intelence (Etravirine) NDA #02218. Pharmacology Review(s) Drug Approval Package: Etravirine. NDA 22-187. Part II."},"label":"page"}],"schema":"https://github.com/citation-style-language/schema/raw/master/csl-citation.json"} </w:instrText>
      </w:r>
      <w:r w:rsidR="00557E38">
        <w:fldChar w:fldCharType="separate"/>
      </w:r>
      <w:r w:rsidR="005E2B83" w:rsidRPr="005E2B83">
        <w:t>[</w:t>
      </w:r>
      <w:r w:rsidR="00561C80" w:rsidRPr="00561C80">
        <w:t>23,</w:t>
      </w:r>
      <w:r w:rsidR="00292F12">
        <w:t xml:space="preserve"> </w:t>
      </w:r>
      <w:r w:rsidR="00561C80" w:rsidRPr="00561C80">
        <w:t>52,</w:t>
      </w:r>
      <w:r w:rsidR="00292F12">
        <w:t xml:space="preserve"> </w:t>
      </w:r>
      <w:r w:rsidR="00561C80" w:rsidRPr="00561C80">
        <w:t>59,</w:t>
      </w:r>
      <w:r w:rsidR="00292F12">
        <w:t xml:space="preserve"> </w:t>
      </w:r>
      <w:r w:rsidR="00561C80" w:rsidRPr="00561C80">
        <w:t>60</w:t>
      </w:r>
      <w:r w:rsidR="005E2B83" w:rsidRPr="005E2B83">
        <w:t>]</w:t>
      </w:r>
      <w:r w:rsidR="00557E38">
        <w:fldChar w:fldCharType="end"/>
      </w:r>
      <w:r w:rsidR="00B41AAA">
        <w:t>.</w:t>
      </w:r>
    </w:p>
    <w:p w14:paraId="09E24150" w14:textId="77777777" w:rsidR="006D49DE" w:rsidRDefault="006D49DE">
      <w:pPr>
        <w:pStyle w:val="ab"/>
        <w:shd w:val="clear" w:color="auto" w:fill="FFFFFF"/>
        <w:spacing w:before="0" w:beforeAutospacing="0" w:after="0" w:afterAutospacing="0"/>
        <w:ind w:firstLine="709"/>
        <w:jc w:val="both"/>
      </w:pPr>
    </w:p>
    <w:p w14:paraId="0111B4FA" w14:textId="7B4735B7" w:rsidR="008B7FBF" w:rsidRPr="003C3091" w:rsidRDefault="008B7FBF" w:rsidP="008B0B82">
      <w:pPr>
        <w:pStyle w:val="2"/>
        <w:spacing w:before="0" w:line="240" w:lineRule="auto"/>
        <w:rPr>
          <w:color w:val="000000" w:themeColor="text1"/>
          <w:szCs w:val="24"/>
        </w:rPr>
      </w:pPr>
      <w:bookmarkStart w:id="163" w:name="_Toc117179227"/>
      <w:r w:rsidRPr="003C3091">
        <w:rPr>
          <w:color w:val="000000" w:themeColor="text1"/>
          <w:szCs w:val="24"/>
        </w:rPr>
        <w:t>4.</w:t>
      </w:r>
      <w:r w:rsidR="00E75618" w:rsidRPr="003C3091">
        <w:rPr>
          <w:color w:val="000000" w:themeColor="text1"/>
          <w:szCs w:val="24"/>
        </w:rPr>
        <w:t>3</w:t>
      </w:r>
      <w:r w:rsidRPr="003C3091">
        <w:rPr>
          <w:color w:val="000000" w:themeColor="text1"/>
          <w:szCs w:val="24"/>
        </w:rPr>
        <w:t>. Безопасность и эффективность</w:t>
      </w:r>
      <w:bookmarkEnd w:id="163"/>
    </w:p>
    <w:p w14:paraId="5FC1A2F2" w14:textId="43EE6963" w:rsidR="003C3091" w:rsidRDefault="00AB20DF" w:rsidP="008B0B82">
      <w:pPr>
        <w:pStyle w:val="3"/>
        <w:spacing w:before="0" w:after="240"/>
        <w:rPr>
          <w:rFonts w:ascii="Times New Roman" w:hAnsi="Times New Roman"/>
          <w:szCs w:val="24"/>
        </w:rPr>
      </w:pPr>
      <w:bookmarkStart w:id="164" w:name="_Toc52190587"/>
      <w:bookmarkStart w:id="165" w:name="_Toc117179228"/>
      <w:r w:rsidRPr="003C3091">
        <w:rPr>
          <w:rFonts w:ascii="Times New Roman" w:hAnsi="Times New Roman"/>
          <w:szCs w:val="24"/>
        </w:rPr>
        <w:t>4.</w:t>
      </w:r>
      <w:r w:rsidR="00B30F15" w:rsidRPr="003C3091">
        <w:rPr>
          <w:rFonts w:ascii="Times New Roman" w:hAnsi="Times New Roman"/>
          <w:szCs w:val="24"/>
        </w:rPr>
        <w:t>3</w:t>
      </w:r>
      <w:r w:rsidRPr="003C3091">
        <w:rPr>
          <w:rFonts w:ascii="Times New Roman" w:hAnsi="Times New Roman"/>
          <w:szCs w:val="24"/>
        </w:rPr>
        <w:t>.1</w:t>
      </w:r>
      <w:bookmarkEnd w:id="164"/>
      <w:r w:rsidR="00B30F15" w:rsidRPr="003C3091">
        <w:rPr>
          <w:rFonts w:ascii="Times New Roman" w:hAnsi="Times New Roman"/>
          <w:szCs w:val="24"/>
        </w:rPr>
        <w:t>. Клиническая эффективность</w:t>
      </w:r>
      <w:bookmarkEnd w:id="165"/>
    </w:p>
    <w:p w14:paraId="3FA06779" w14:textId="77777777" w:rsidR="00FD59A0" w:rsidRDefault="00FD59A0" w:rsidP="00FD59A0">
      <w:pPr>
        <w:ind w:firstLine="709"/>
      </w:pPr>
      <w:r>
        <w:t>Эффективность лекарственных препаратов, содержащих этравирин, в качестве средства для лечения ВИЧ-1 взрослых и детей с опытом предшествующей терапии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эбравирина в составе комбинированной высокоэффективной АРТ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07AE605B" w14:textId="77777777" w:rsidR="00FD59A0" w:rsidRPr="004865CA" w:rsidRDefault="00FD59A0" w:rsidP="00FD59A0">
      <w:pPr>
        <w:ind w:firstLine="709"/>
      </w:pPr>
      <w:r>
        <w:t>Ежедневный пероральный прием этравирина в составе схем АРТ, был эффективен в отношении снижения вирусной нагрузки у ВИЧ-инфицированных пациентов с опытом предшествующей терапии при использовании в составе комбинированной АРТ. Польза от применения этравирина продемонстрирована результатами двух основных регистрационных исследований – DUET 1 и DUET 2 (TMC125-C206 и TMC125-C216), в которых этравирин эффективно снижал вирусную нагрузку у ВИЧ-инфицированных пациентов с опытом предшествующей терапии и вирусологической неудачей в анамнезе (≥ 1 мутации резистентности ННИОТ; анализ на 48, 96 неделе терапии). Вирусологическая супрессия (РНК ВИЧ &lt; 50 копий/мл) на 48 неделе достигнута у 60% пациентов, получавших этравирин, и 38%, получавших плацебо, на фоне базовой АРТ; у 71% и 46% пациентов, соответственно, вирусная нагрузка была менее 400 копий /мл; средний прирост CD4+ лимфоцитов по сравнению с исходным уровнем – 96 клеток/мкл и 68 клеток/мкл, соответственно. По данным 96-недельного объединенного анализа, доля участников, поддерживающих вирусологическую супрессию (РНК ВИЧ &lt;50 копий/мл), была значительно выше в группе этравирина по сравнению с плацебо (57% vs. 36%; p &lt;0,0001), независимо от исходных характеристик включенных в исследование пациентов. В педиатрическом исследовании PIANO при включении в схему терапии этравирина на 48 неделе 57 из 101 (56%) участников достигли вирусологической супрессии (РНК ВИЧ &lt;50 копий/мл, ITT-популяция). Вновь возникшая резистентность к ННИОТ была обнаружена у 18 из 30 (60%) детей без вирусологической супрессии в прошлом, среди выявленных мутаций наиболее часто обнаруживалась мутация Y181C (n = 8).</w:t>
      </w:r>
    </w:p>
    <w:p w14:paraId="2C4DCA51" w14:textId="77777777" w:rsidR="00FD59A0" w:rsidRPr="00A76175" w:rsidRDefault="00FD59A0" w:rsidP="00A76175"/>
    <w:p w14:paraId="6EAD8699" w14:textId="3924DB31" w:rsidR="00CC15AC" w:rsidRDefault="003C3091" w:rsidP="008B0B82">
      <w:pPr>
        <w:pStyle w:val="4"/>
        <w:spacing w:before="0" w:after="0"/>
      </w:pPr>
      <w:bookmarkStart w:id="166" w:name="_Toc117179229"/>
      <w:r w:rsidRPr="00BA2D96">
        <w:rPr>
          <w:rFonts w:ascii="Times New Roman" w:hAnsi="Times New Roman"/>
          <w:sz w:val="24"/>
          <w:szCs w:val="24"/>
        </w:rPr>
        <w:t xml:space="preserve">4.3.1.1. </w:t>
      </w:r>
      <w:r w:rsidR="0033300C" w:rsidRPr="0033300C">
        <w:rPr>
          <w:rFonts w:ascii="Times New Roman" w:hAnsi="Times New Roman"/>
          <w:sz w:val="24"/>
          <w:szCs w:val="24"/>
        </w:rPr>
        <w:t xml:space="preserve">ВИЧ-инфицированные </w:t>
      </w:r>
      <w:r w:rsidR="00FB1F87">
        <w:rPr>
          <w:rFonts w:ascii="Times New Roman" w:hAnsi="Times New Roman"/>
          <w:sz w:val="24"/>
          <w:szCs w:val="24"/>
        </w:rPr>
        <w:t xml:space="preserve">взрослые </w:t>
      </w:r>
      <w:r w:rsidR="00A10480">
        <w:rPr>
          <w:rFonts w:ascii="Times New Roman" w:hAnsi="Times New Roman"/>
          <w:sz w:val="24"/>
          <w:szCs w:val="24"/>
        </w:rPr>
        <w:t>пациенты, ранее получавшие терапию</w:t>
      </w:r>
      <w:bookmarkStart w:id="167" w:name="_Hlk112182305"/>
      <w:bookmarkEnd w:id="166"/>
    </w:p>
    <w:p w14:paraId="15962B52" w14:textId="77777777" w:rsidR="00A10480" w:rsidRDefault="00A10480" w:rsidP="008B0B82">
      <w:pPr>
        <w:pStyle w:val="affb"/>
        <w:spacing w:before="0" w:after="0" w:line="240" w:lineRule="auto"/>
      </w:pPr>
    </w:p>
    <w:p w14:paraId="443378FF" w14:textId="2F8AC54D" w:rsidR="0033300C" w:rsidRDefault="0033300C">
      <w:pPr>
        <w:pStyle w:val="affb"/>
        <w:spacing w:before="0" w:after="0" w:line="240" w:lineRule="auto"/>
        <w:ind w:firstLine="709"/>
      </w:pPr>
      <w:r w:rsidRPr="008F5AED">
        <w:t xml:space="preserve">В </w:t>
      </w:r>
      <w:r>
        <w:t xml:space="preserve">контролируемых рандомизированных двойных слепых </w:t>
      </w:r>
      <w:r w:rsidRPr="008F5AED">
        <w:t xml:space="preserve">исследованиях </w:t>
      </w:r>
      <w:r>
        <w:rPr>
          <w:lang w:val="en-US"/>
        </w:rPr>
        <w:t>III</w:t>
      </w:r>
      <w:r w:rsidRPr="000857B4">
        <w:t xml:space="preserve"> </w:t>
      </w:r>
      <w:r>
        <w:t xml:space="preserve">фазы </w:t>
      </w:r>
      <w:r w:rsidRPr="008F5AED">
        <w:rPr>
          <w:lang w:val="en-US"/>
        </w:rPr>
        <w:t>DUET</w:t>
      </w:r>
      <w:r w:rsidRPr="008F5AED">
        <w:t xml:space="preserve">-1 и </w:t>
      </w:r>
      <w:r w:rsidRPr="008F5AED">
        <w:rPr>
          <w:lang w:val="en-US"/>
        </w:rPr>
        <w:t>DUET</w:t>
      </w:r>
      <w:r w:rsidRPr="008F5AED">
        <w:t xml:space="preserve">-2 </w:t>
      </w:r>
      <w:bookmarkEnd w:id="167"/>
      <w:r w:rsidRPr="008F5AED">
        <w:t xml:space="preserve">взрослые </w:t>
      </w:r>
      <w:r>
        <w:t xml:space="preserve">ВИЧ-инфицированные пациенты </w:t>
      </w:r>
      <w:r w:rsidRPr="008F5AED">
        <w:t xml:space="preserve">с документально подтвержденной вирусологической неудачей, резистентностью к ИП (три или более мутации лекарственной </w:t>
      </w:r>
      <w:r>
        <w:t>резистентности</w:t>
      </w:r>
      <w:r w:rsidRPr="008F5AED">
        <w:t>) и резистентность</w:t>
      </w:r>
      <w:r>
        <w:t>ю</w:t>
      </w:r>
      <w:r w:rsidRPr="008F5AED">
        <w:t xml:space="preserve"> к ННИОТ (одна или несколько мутаций лекарственной устойчивости) </w:t>
      </w:r>
      <w:r>
        <w:t>(</w:t>
      </w:r>
      <w:r>
        <w:rPr>
          <w:lang w:val="en-US"/>
        </w:rPr>
        <w:t>n</w:t>
      </w:r>
      <w:r w:rsidRPr="00503FF9">
        <w:t>=1203</w:t>
      </w:r>
      <w:r>
        <w:t xml:space="preserve">) </w:t>
      </w:r>
      <w:r w:rsidRPr="008F5AED">
        <w:t xml:space="preserve">были рандомизированы 1:1 для получения в дополнение к существующим схемам </w:t>
      </w:r>
      <w:r>
        <w:t>АРТ (</w:t>
      </w:r>
      <w:r w:rsidRPr="008F5AED">
        <w:t>усиленн</w:t>
      </w:r>
      <w:r>
        <w:t>ый</w:t>
      </w:r>
      <w:r w:rsidRPr="008F5AED">
        <w:t xml:space="preserve"> </w:t>
      </w:r>
      <w:r>
        <w:rPr>
          <w:lang w:val="en-US"/>
        </w:rPr>
        <w:t>RTV</w:t>
      </w:r>
      <w:r w:rsidRPr="008F5AED">
        <w:t xml:space="preserve"> </w:t>
      </w:r>
      <w:r w:rsidR="006845D8" w:rsidRPr="006845D8">
        <w:t>(</w:t>
      </w:r>
      <w:r w:rsidR="00757C1B">
        <w:t>р</w:t>
      </w:r>
      <w:r w:rsidR="00757C1B" w:rsidRPr="00757C1B">
        <w:t>итонавир</w:t>
      </w:r>
      <w:r w:rsidR="006845D8" w:rsidRPr="006845D8">
        <w:t xml:space="preserve">) </w:t>
      </w:r>
      <w:r w:rsidRPr="002017D3">
        <w:t>DRV</w:t>
      </w:r>
      <w:r w:rsidRPr="008F5AED">
        <w:t xml:space="preserve"> </w:t>
      </w:r>
      <w:r w:rsidR="006845D8" w:rsidRPr="006845D8">
        <w:t>(</w:t>
      </w:r>
      <w:r w:rsidR="00757C1B">
        <w:t>д</w:t>
      </w:r>
      <w:r w:rsidR="00757C1B" w:rsidRPr="00757C1B">
        <w:t>арунавир</w:t>
      </w:r>
      <w:r w:rsidR="006845D8" w:rsidRPr="006845D8">
        <w:t xml:space="preserve">) </w:t>
      </w:r>
      <w:r>
        <w:t xml:space="preserve">либо </w:t>
      </w:r>
      <w:r w:rsidRPr="00F718A0">
        <w:t>ETR</w:t>
      </w:r>
      <w:r w:rsidRPr="008F5AED">
        <w:t xml:space="preserve"> </w:t>
      </w:r>
      <w:r w:rsidR="00757C1B">
        <w:t>(э</w:t>
      </w:r>
      <w:r w:rsidR="00757C1B" w:rsidRPr="00757C1B">
        <w:t>травирин</w:t>
      </w:r>
      <w:r w:rsidR="00757C1B">
        <w:t xml:space="preserve">) </w:t>
      </w:r>
      <w:r w:rsidRPr="008F5AED">
        <w:t>200 мг два раза в день</w:t>
      </w:r>
      <w:r>
        <w:t>,</w:t>
      </w:r>
      <w:r w:rsidRPr="008F5AED">
        <w:t xml:space="preserve"> </w:t>
      </w:r>
      <w:r>
        <w:t xml:space="preserve">либо </w:t>
      </w:r>
      <w:r w:rsidRPr="008F5AED">
        <w:t>плацебо</w:t>
      </w:r>
      <w:r w:rsidRPr="00F718A0">
        <w:t xml:space="preserve"> (</w:t>
      </w:r>
      <w:r w:rsidR="00EE294E">
        <w:t>э</w:t>
      </w:r>
      <w:r w:rsidR="00757C1B" w:rsidRPr="00757C1B">
        <w:t>травирин</w:t>
      </w:r>
      <w:r w:rsidR="00757C1B" w:rsidRPr="00F718A0">
        <w:t xml:space="preserve"> </w:t>
      </w:r>
      <w:r w:rsidRPr="00F718A0">
        <w:t xml:space="preserve">n = 599; </w:t>
      </w:r>
      <w:r>
        <w:t xml:space="preserve">плацебо </w:t>
      </w:r>
      <w:r w:rsidRPr="00F718A0">
        <w:t>n = 604)</w:t>
      </w:r>
      <w:r w:rsidRPr="008F5AED">
        <w:t xml:space="preserve"> </w:t>
      </w:r>
      <w:r>
        <w:fldChar w:fldCharType="begin"/>
      </w:r>
      <w:r w:rsidR="00824DA4">
        <w:instrText xml:space="preserve"> ADDIN ZOTERO_ITEM CSL_CITATION {"citationID":"yN9fXMoX","properties":{"formattedCitation":"(61\\uc0\\u8211{}63)","plainCitation":"(61–63)","noteIndex":0},"citationItems":[{"id":"iY4E1EKJ/3ThgXUfX","uris":["http://zotero.org/users/1055192/items/EJXAF8PM"],"itemData":{"id":30480,"type":"article-journal","abstract":"OBJECTIVE: To evaluate the efficacy, safety and virologic resistance profile of etravirine (TMC125), a next-generation nonnucleoside reverse transcriptase inhibitor, over 48 weeks in treatment-experienced adults infected with HIV-1 strains resistant to a nonnucleoside reverse transcriptase inhibitor and other antiretrovirals.\nDESIGN: DUET-1 (NCT00254046) and DUET-2 (NCT00255099) are two identically designed, randomized, double-blind phase III trials.\nMETHODS: Patients received twice-daily etravirine 200 mg or placebo, each plus a background regimen of darunavir/ritonavir, investigator-selected nucleoside/nucleotide reverse transcriptase inhibitors and optional enfuvirtide. Eligible patients had documented nonnucleoside reverse transcriptase inhibitor resistance, at least three primary protease inhibitor mutations at screening and were on a stable but virologically failing regimen for at least 8 weeks, with plasma viral load more than 5000 copies/ml. Pooled 48-week data from the two trials are presented.\nRESULTS: Patients (1203) were randomized and treated (n = 599, etravirine; n = 604, placebo). Significantly more patients in the etravirine than in the placebo group achieved viral load less than 50 copies/ml at week 48 (61 vs. 40%, respectively; P &lt; 0.0001). Significantly fewer patients in the etravirine group experienced at least one confirmed or probable AIDS-defining illness/death (6 vs. 10%; P = 0.0408). Safety and tolerability in the etravirine group was comparable to the placebo group. Rash was the only adverse event to occur at a significantly higher incidence in the etravirine group (19 vs. 11%, respectively, P &lt; 0.0001), occurring primarily in the second week of treatment.\nCONCLUSION: At 48 weeks, treatment-experienced patients receiving etravirine plus background regimen had statistically superior and durable virologic responses (viral load less than 50 copies/ml) than those receiving placebo plus background regimen, with comparable tolerability and no new safety signals reported since week 24.","container-title":"AIDS (London, England)","DOI":"10.1097/QAD.0b013e3283316a5e","ISSN":"1473-5571","issue":"17","journalAbbreviation":"AIDS","language":"eng","note":"PMID: 19710593","page":"2289-2300","source":"PubMed","title":"Efficacy and safety of etravirine in treatment-experienced, HIV-1 patients: pooled 48 week analysis of two randomized, controlled trials","title-short":"Efficacy and safety of etravirine in treatment-experienced, HIV-1 patients","volume":"23","author":[{"family":"Katlama","given":"Christine"},{"family":"Haubrich","given":"Richard"},{"family":"Lalezari","given":"Jacob"},{"family":"Lazzarin","given":"Adriano"},{"family":"Madruga","given":"José V."},{"family":"Molina","given":"Jean-Michel"},{"family":"Schechter","given":"Mauro"},{"family":"Peeters","given":"Monika"},{"family":"Picchio","given":"Gaston"},{"family":"Vingerhoets","given":"Johan"},{"family":"Woodfall","given":"Brian"},{"family":"De Smedt","given":"Goedele"},{"literal":"DUET-1, DUET-2 study groups"}],"issued":{"date-parts":[["2009",11,13]]}},"label":"page"},{"id":"iY4E1EKJ/MpQVvBRZ","uris":["http://zotero.org/users/1055192/items/ZH3B5KQD"],"itemData":{"id":30482,"type":"article-journal","abstract":"BACKGROUND: TMC125 (etravirine) is a non-nucleoside reverse-transcriptase inhibitor (NNRTI) with activity against NNRTI-resistant HIV-1 in phase IIb trials. The aim of DUET-2 is to examine the efficacy, tolerability, and safety of TMC125 in treatment-experienced patients.\nMETHODS: In this continuing randomised, double-blind, placebo-controlled, phase III trial, HIV-1-infected patients on failing antiretroviral therapy with evidence of resistance to currently available NNRTIs and at least three primary protease inhibitor mutations were eligible for enrolment if on stable (8 weeks unchanged) antiretroviral therapy with plasma HIV-1 RNA greater than 5000 copies per mL. Patients were randomly assigned to receive either TMC125 (200 mg) or placebo, each given twice daily with darunavir-ritonavir, investigator-selected nucleoside/nucleotide reverse transcriptase inhibitors, and optional enfuvirtide. The primary endpoint was the proportion of patients with confirmed viral load below 50 copies per mL at week 24 (FDA time-to-loss of virological response algorithm). Analyses were by intention to treat. This trial is registered with ClinicalTrials.gov, number NCT00255099.\nFINDINGS: 591 patients were randomised and treated (295 patients in the TMC125 group and 296 in the placebo group). By week 24, 51 (17%) patients in the TMC125 group and 73 (25%) in the placebo group had discontinued, mainly because of virological failure. 183 (62%) patients in the TMC125 group and 129 (44%) in the placebo group achieved confirmed viral load below 50 copies per mL at week 24 (difference 18%, 95% CI 11-26; p=0.0003). The type and frequency of adverse events were much the same in the two groups.\nINTERPRETATION: In treatment-experienced patients, treatment with TMC125 led to better virological suppression at week 24 than did placebo. The safety and tolerability profile of TMC125 was generally comparable with placebo.","container-title":"Lancet (London, England)","DOI":"10.1016/S0140-6736(07)61048-4","ISSN":"1474-547X","issue":"9581","journalAbbreviation":"Lancet","language":"eng","note":"PMID: 17617271","page":"39-48","source":"PubMed","title":"Efficacy and safety of TMC125 (etravirine) in treatment-experienced HIV-1-infected patients in DUET-2: 24-week results from a randomised, double-blind, placebo-controlled trial","title-short":"Efficacy and safety of TMC125 (etravirine) in treatment-experienced HIV-1-infected patients in DUET-2","volume":"370","author":[{"family":"Lazzarin","given":"Adriano"},{"family":"Campbell","given":"Thomas"},{"family":"Clotet","given":"Bonaventura"},{"family":"Johnson","given":"Margaret"},{"family":"Katlama","given":"Christine"},{"family":"Moll","given":"Arend"},{"family":"Towner","given":"William"},{"family":"Trottier","given":"Benoit"},{"family":"Peeters","given":"Monika"},{"family":"Vingerhoets","given":"Johan"},{"family":"Smedt","given":"Goedele","non-dropping-particle":"de"},{"family":"Baeten","given":"Benny"},{"family":"Beets","given":"Greet"},{"family":"Sinha","given":"Rekha"},{"family":"Woodfall","given":"Brian"},{"literal":"DUET-2 study group"}],"issued":{"date-parts":[["2007",7,7]]}},"label":"page"},{"id":"iY4E1EKJ/hKxDn9va","uris":["http://zotero.org/users/1055192/items/JCMXD6TS"],"itemData":{"id":30576,"type":"article-journal","abstract":"BACKGROUND: Antiretroviral agents active against drug-resistant HIV-1 are needed for treatment-experienced patients. The aim of this trial was to assess the efficacy, safety, and tolerability of TMC125 (etravirine), a non-nucleoside reverse transcriptase inhibitor (NNRTI).\nMETHODS: DUET-1 is a continuing, multinational randomised, double-blind, placebo-controlled, phase III trial. Treatment-experienced adult patients with virological failure on stable antiretroviral therapy, documented genotypic evidence of NNRTI resistance, viral load over 5000 copies per mL, and three or more primary protease inhibitor mutations were randomly assigned to receive 200 mg TMC125 or placebo twice daily. All patients also received darunavir with low-dose ritonavir and investigator-selected nucleoside reverse transcriptase inhibitors. Enfuvirtide use was optional. The primary endpoint was a confirmed viral load below 50 copies per mL at week 24 (FDA time-to-loss of virological response algorithm). Analyses were done by intention to treat. This trial is registered with ClinicalTrials.gov, with the number NCT00254046.\nFINDINGS: 612 patients were randomised and treated (304 in the TMC125 group, 308 in the placebo group). By week 24, 42 (14%) patients in the TMC125 group and 56 (18%) in the placebo group had discontinued, mainly due to virological failure. At week 24, 170 (56%) patients in the TMC125 group and 119 (39%) patients in the placebo group achieved a confirmed viral load of less than 50 copies per mL (difference in response rates 17%; 95% CI 9-25; p=0.005). Most adverse events were mild or moderate in severity. The type and incidence of adverse events, including neuropsychiatric events, seen with TMC125 were generally comparable with placebo, with the exception of rash (61 [20%] patients on TMC125 vs 30 [10%] on placebo) and diarrhoea (36 [12%] patients on TMC125 vs 63 [20%] on placebo).\nINTERPRETATION: In treatment-experienced patients with NNRTI resistance, treatment with TMC125 achieved better virological suppression at week 24 than did placebo. The safety and tolerability profile of TMC125 was generally comparable with placebo.","container-title":"Lancet (London, England)","DOI":"10.1016/S0140-6736(07)61047-2","ISSN":"1474-547X","issue":"9581","journalAbbreviation":"Lancet","language":"eng","note":"PMID: 17617270","page":"29-38","source":"PubMed","title":"Efficacy and safety of TMC125 (etravirine) in treatment-experienced HIV-1-infected patients in DUET-1: 24-week results from a randomised, double-blind, placebo-controlled trial","title-short":"Efficacy and safety of TMC125 (etravirine) in treatment-experienced HIV-1-infected patients in DUET-1","volume":"370","author":[{"family":"Madruga","given":"José Valdez"},{"family":"Cahn","given":"Pedro"},{"family":"Grinsztejn","given":"Beatriz"},{"family":"Haubrich","given":"Richard"},{"family":"Lalezari","given":"Jacob"},{"family":"Mills","given":"Anthony"},{"family":"Pialoux","given":"Gilles"},{"family":"Wilkin","given":"Timothy"},{"family":"Peeters","given":"Monika"},{"family":"Vingerhoets","given":"Johan"},{"family":"Smedt","given":"Goedele","non-dropping-particle":"de"},{"family":"Leopold","given":"Lorant"},{"family":"Trefiglio","given":"Roberta"},{"family":"Woodfall","given":"Brian"},{"literal":"DUET-1 study group"}],"issued":{"date-parts":[["2007",7,7]]}},"label":"page"}],"schema":"https://github.com/citation-style-language/schema/raw/master/csl-citation.json"} </w:instrText>
      </w:r>
      <w:r>
        <w:fldChar w:fldCharType="separate"/>
      </w:r>
      <w:r w:rsidR="005E2B83" w:rsidRPr="005E2B83">
        <w:t>[</w:t>
      </w:r>
      <w:r w:rsidR="00B54A28" w:rsidRPr="00B54A28">
        <w:t>61–63</w:t>
      </w:r>
      <w:r w:rsidR="005E2B83" w:rsidRPr="005E2B83">
        <w:t>]</w:t>
      </w:r>
      <w:r>
        <w:fldChar w:fldCharType="end"/>
      </w:r>
      <w:r w:rsidRPr="008F5AED">
        <w:t xml:space="preserve">. </w:t>
      </w:r>
    </w:p>
    <w:p w14:paraId="5DB5387C" w14:textId="62C04CEC" w:rsidR="006C7287" w:rsidRDefault="006C7287" w:rsidP="00A76175">
      <w:pPr>
        <w:pStyle w:val="affb"/>
        <w:spacing w:before="0" w:after="0" w:line="240" w:lineRule="auto"/>
        <w:ind w:firstLine="709"/>
      </w:pPr>
      <w:r>
        <w:t>Основные характеристики исслдеований:</w:t>
      </w:r>
    </w:p>
    <w:p w14:paraId="0C44D2E1" w14:textId="77777777" w:rsidR="006C7287" w:rsidRDefault="006C7287" w:rsidP="00A76175">
      <w:pPr>
        <w:pStyle w:val="affb"/>
        <w:spacing w:before="0" w:after="0" w:line="240" w:lineRule="auto"/>
        <w:ind w:firstLine="709"/>
      </w:pPr>
      <w:r>
        <w:t>- Дизайн: рандомизированный (1:1), двойной слепой, плацебо-контролируемый.</w:t>
      </w:r>
    </w:p>
    <w:p w14:paraId="7D097A9B" w14:textId="0C683D94" w:rsidR="006C7287" w:rsidRDefault="006C7287" w:rsidP="00A76175">
      <w:pPr>
        <w:pStyle w:val="affb"/>
        <w:spacing w:before="0" w:after="0" w:line="240" w:lineRule="auto"/>
        <w:ind w:left="851" w:hanging="142"/>
      </w:pPr>
      <w:r>
        <w:t>- Терапия: этравирин по сравнению с плацебо, в дополнение к базовой терапии (БТ) дарунавиром/ритонавиром, Н(т)ИРО по выбору исследователя и опционно энфувиртидом.</w:t>
      </w:r>
    </w:p>
    <w:p w14:paraId="6FB19679" w14:textId="77777777" w:rsidR="006C7287" w:rsidRDefault="006C7287" w:rsidP="00A76175">
      <w:pPr>
        <w:pStyle w:val="affb"/>
        <w:spacing w:before="0" w:after="0" w:line="240" w:lineRule="auto"/>
        <w:ind w:firstLine="709"/>
      </w:pPr>
      <w:r>
        <w:t>- Основные критерии включения:</w:t>
      </w:r>
    </w:p>
    <w:p w14:paraId="0AE69E11" w14:textId="2CE14306" w:rsidR="006C7287" w:rsidRDefault="006C7287" w:rsidP="00A76175">
      <w:pPr>
        <w:pStyle w:val="affb"/>
        <w:numPr>
          <w:ilvl w:val="0"/>
          <w:numId w:val="25"/>
        </w:numPr>
        <w:spacing w:before="0" w:after="0" w:line="240" w:lineRule="auto"/>
      </w:pPr>
      <w:r>
        <w:t>Вирусная нагрузка ВИЧ-1 &gt; 5000 копий РНК ВИЧ-1/мл на скрининге;</w:t>
      </w:r>
    </w:p>
    <w:p w14:paraId="650CDCFF" w14:textId="56BDF0F9" w:rsidR="006C7287" w:rsidRDefault="006C7287" w:rsidP="00A76175">
      <w:pPr>
        <w:pStyle w:val="affb"/>
        <w:numPr>
          <w:ilvl w:val="0"/>
          <w:numId w:val="25"/>
        </w:numPr>
        <w:spacing w:before="0" w:after="0" w:line="240" w:lineRule="auto"/>
      </w:pPr>
      <w:r>
        <w:t>1 или более мутаций, связанных с резистентностью к ННИОТ на скрининге или по результатам предыдущего генотипического анализа (т. е. архивная резистентность);</w:t>
      </w:r>
    </w:p>
    <w:p w14:paraId="3987089D" w14:textId="74FB8C35" w:rsidR="006C7287" w:rsidRDefault="006C7287" w:rsidP="00A76175">
      <w:pPr>
        <w:pStyle w:val="affb"/>
        <w:numPr>
          <w:ilvl w:val="0"/>
          <w:numId w:val="25"/>
        </w:numPr>
        <w:spacing w:before="0" w:after="0" w:line="240" w:lineRule="auto"/>
      </w:pPr>
      <w:r>
        <w:t>3 или более первичных мутаций к ингибиторам протеазы на скрининге;</w:t>
      </w:r>
    </w:p>
    <w:p w14:paraId="0C62510B" w14:textId="670E4D50" w:rsidR="006C7287" w:rsidRDefault="006C7287" w:rsidP="00A76175">
      <w:pPr>
        <w:pStyle w:val="affb"/>
        <w:numPr>
          <w:ilvl w:val="0"/>
          <w:numId w:val="25"/>
        </w:numPr>
        <w:spacing w:before="0" w:after="0" w:line="240" w:lineRule="auto"/>
      </w:pPr>
      <w:r>
        <w:t>пациент находится на стабильном антиретровирусном режиме не менее 8 недель.</w:t>
      </w:r>
    </w:p>
    <w:p w14:paraId="51E83AD5" w14:textId="0E0ED251" w:rsidR="006C7287" w:rsidRDefault="006C7287" w:rsidP="00A76175">
      <w:pPr>
        <w:pStyle w:val="affb"/>
        <w:spacing w:before="0" w:after="0" w:line="240" w:lineRule="auto"/>
        <w:ind w:left="709"/>
      </w:pPr>
      <w:r>
        <w:t>- Стратификация: по использованию энфувиртида в качестве БТ, предыдущему использованию дарунавира и вирусной нагрузке на скрининге.</w:t>
      </w:r>
    </w:p>
    <w:p w14:paraId="79BFD9C2" w14:textId="70BC0F7F" w:rsidR="006C7287" w:rsidRDefault="006C7287" w:rsidP="00A76175">
      <w:pPr>
        <w:pStyle w:val="affb"/>
        <w:spacing w:before="0" w:after="0" w:line="240" w:lineRule="auto"/>
        <w:ind w:left="709"/>
      </w:pPr>
      <w:r>
        <w:t>- Вирусологический ответ определялся как отсутствие определяемой вирусной нагрузки (&lt; 50 копий РНК ВИЧ-1/мл).</w:t>
      </w:r>
    </w:p>
    <w:p w14:paraId="148DAA4C" w14:textId="77777777" w:rsidR="00447C82" w:rsidRDefault="00447C82" w:rsidP="001C0A37">
      <w:pPr>
        <w:pStyle w:val="affb"/>
        <w:spacing w:before="0" w:after="0" w:line="240" w:lineRule="auto"/>
        <w:ind w:firstLine="709"/>
      </w:pPr>
    </w:p>
    <w:p w14:paraId="620BF000" w14:textId="26075B3A" w:rsidR="00447C82" w:rsidRPr="00410FF2" w:rsidRDefault="00447C82" w:rsidP="00447C82">
      <w:pPr>
        <w:contextualSpacing/>
      </w:pPr>
      <w:r w:rsidRPr="00B244C2">
        <w:rPr>
          <w:b/>
        </w:rPr>
        <w:t>Таблица 4</w:t>
      </w:r>
      <w:r w:rsidR="00B244C2" w:rsidRPr="00B244C2">
        <w:rPr>
          <w:b/>
        </w:rPr>
        <w:t>-3</w:t>
      </w:r>
      <w:r w:rsidR="00292F12">
        <w:rPr>
          <w:b/>
        </w:rPr>
        <w:t>.</w:t>
      </w:r>
      <w:r w:rsidR="00292F12" w:rsidRPr="00B244C2">
        <w:t xml:space="preserve"> </w:t>
      </w:r>
      <w:r>
        <w:t xml:space="preserve">Объединенные данные исследований </w:t>
      </w:r>
      <w:r w:rsidRPr="00F62FA0">
        <w:rPr>
          <w:lang w:val="en-US"/>
        </w:rPr>
        <w:t>DUET</w:t>
      </w:r>
      <w:r w:rsidRPr="00410FF2">
        <w:t xml:space="preserve">-1 </w:t>
      </w:r>
      <w:r>
        <w:t>и</w:t>
      </w:r>
      <w:r w:rsidRPr="00410FF2">
        <w:t xml:space="preserve"> </w:t>
      </w:r>
      <w:r w:rsidRPr="00F62FA0">
        <w:rPr>
          <w:lang w:val="en-US"/>
        </w:rPr>
        <w:t>DUET</w:t>
      </w:r>
      <w:r w:rsidRPr="00410FF2">
        <w:t xml:space="preserve">-2 </w:t>
      </w:r>
      <w:r>
        <w:t>на 48 неделе.</w:t>
      </w:r>
    </w:p>
    <w:tbl>
      <w:tblPr>
        <w:tblW w:w="9294" w:type="dxa"/>
        <w:tblInd w:w="-5" w:type="dxa"/>
        <w:tblLook w:val="04A0" w:firstRow="1" w:lastRow="0" w:firstColumn="1" w:lastColumn="0" w:noHBand="0" w:noVBand="1"/>
      </w:tblPr>
      <w:tblGrid>
        <w:gridCol w:w="2809"/>
        <w:gridCol w:w="2096"/>
        <w:gridCol w:w="1815"/>
        <w:gridCol w:w="2574"/>
      </w:tblGrid>
      <w:tr w:rsidR="00447C82" w:rsidRPr="00941C6F" w14:paraId="38198F64" w14:textId="77777777" w:rsidTr="00421CA0">
        <w:trPr>
          <w:trHeight w:val="561"/>
          <w:tblHeader/>
        </w:trPr>
        <w:tc>
          <w:tcPr>
            <w:tcW w:w="2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030B1C" w14:textId="225DFB03" w:rsidR="00447C82" w:rsidRPr="00421CA0" w:rsidRDefault="00421CA0" w:rsidP="00421CA0">
            <w:pPr>
              <w:jc w:val="center"/>
              <w:rPr>
                <w:rFonts w:eastAsia="Times New Roman"/>
                <w:b/>
                <w:color w:val="000000"/>
                <w:lang w:eastAsia="ru-RU"/>
              </w:rPr>
            </w:pPr>
            <w:r w:rsidRPr="00421CA0">
              <w:rPr>
                <w:rFonts w:eastAsia="Times New Roman"/>
                <w:b/>
                <w:color w:val="000000"/>
                <w:lang w:eastAsia="ru-RU"/>
              </w:rPr>
              <w:t>Параметр</w:t>
            </w:r>
          </w:p>
        </w:tc>
        <w:tc>
          <w:tcPr>
            <w:tcW w:w="209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CE2C94" w14:textId="77777777" w:rsidR="00447C82" w:rsidRPr="00941C6F" w:rsidRDefault="00447C82" w:rsidP="00447C82">
            <w:pPr>
              <w:jc w:val="center"/>
              <w:rPr>
                <w:rFonts w:eastAsia="Times New Roman"/>
                <w:b/>
                <w:bCs/>
                <w:color w:val="000000"/>
                <w:lang w:eastAsia="ru-RU"/>
              </w:rPr>
            </w:pPr>
            <w:r>
              <w:rPr>
                <w:rFonts w:eastAsia="Times New Roman"/>
                <w:b/>
                <w:bCs/>
                <w:color w:val="000000"/>
                <w:lang w:eastAsia="ru-RU"/>
              </w:rPr>
              <w:t>Этравирин + БТ</w:t>
            </w:r>
            <w:r w:rsidRPr="00941C6F">
              <w:rPr>
                <w:rFonts w:eastAsia="Times New Roman"/>
                <w:b/>
                <w:bCs/>
                <w:color w:val="000000"/>
                <w:lang w:eastAsia="ru-RU"/>
              </w:rPr>
              <w:t xml:space="preserve">  N = 599</w:t>
            </w:r>
          </w:p>
        </w:tc>
        <w:tc>
          <w:tcPr>
            <w:tcW w:w="181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A9109E6" w14:textId="77777777" w:rsidR="00447C82" w:rsidRPr="00941C6F" w:rsidRDefault="00447C82" w:rsidP="00447C82">
            <w:pPr>
              <w:jc w:val="center"/>
              <w:rPr>
                <w:rFonts w:eastAsia="Times New Roman"/>
                <w:b/>
                <w:bCs/>
                <w:color w:val="000000"/>
                <w:lang w:eastAsia="ru-RU"/>
              </w:rPr>
            </w:pPr>
            <w:r>
              <w:rPr>
                <w:rFonts w:eastAsia="Times New Roman"/>
                <w:b/>
                <w:bCs/>
                <w:color w:val="000000"/>
                <w:lang w:eastAsia="ru-RU"/>
              </w:rPr>
              <w:t>Плацебо + БТ</w:t>
            </w:r>
            <w:r w:rsidRPr="00941C6F">
              <w:rPr>
                <w:rFonts w:eastAsia="Times New Roman"/>
                <w:b/>
                <w:bCs/>
                <w:color w:val="000000"/>
                <w:lang w:eastAsia="ru-RU"/>
              </w:rPr>
              <w:t xml:space="preserve"> N = 604</w:t>
            </w:r>
          </w:p>
        </w:tc>
        <w:tc>
          <w:tcPr>
            <w:tcW w:w="257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935981F" w14:textId="0343938B" w:rsidR="00447C82" w:rsidRPr="00941C6F" w:rsidRDefault="00447C82" w:rsidP="00EE1D8E">
            <w:pPr>
              <w:jc w:val="center"/>
              <w:rPr>
                <w:rFonts w:eastAsia="Times New Roman"/>
                <w:b/>
                <w:bCs/>
                <w:color w:val="000000"/>
                <w:lang w:eastAsia="ru-RU"/>
              </w:rPr>
            </w:pPr>
            <w:r>
              <w:rPr>
                <w:rFonts w:eastAsia="Times New Roman"/>
                <w:b/>
                <w:bCs/>
                <w:color w:val="000000"/>
                <w:lang w:eastAsia="ru-RU"/>
              </w:rPr>
              <w:t>Разница в лечении</w:t>
            </w:r>
            <w:r w:rsidRPr="00941C6F">
              <w:rPr>
                <w:rFonts w:eastAsia="Times New Roman"/>
                <w:b/>
                <w:bCs/>
                <w:color w:val="000000"/>
                <w:lang w:eastAsia="ru-RU"/>
              </w:rPr>
              <w:t xml:space="preserve"> (95% </w:t>
            </w:r>
            <w:r w:rsidR="00292F12">
              <w:rPr>
                <w:rFonts w:eastAsia="Times New Roman"/>
                <w:b/>
                <w:bCs/>
                <w:color w:val="000000"/>
                <w:lang w:eastAsia="ru-RU"/>
              </w:rPr>
              <w:t>ДИ</w:t>
            </w:r>
            <w:r w:rsidRPr="00941C6F">
              <w:rPr>
                <w:rFonts w:eastAsia="Times New Roman"/>
                <w:b/>
                <w:bCs/>
                <w:color w:val="000000"/>
                <w:lang w:eastAsia="ru-RU"/>
              </w:rPr>
              <w:t>)</w:t>
            </w:r>
          </w:p>
        </w:tc>
      </w:tr>
      <w:tr w:rsidR="00447C82" w:rsidRPr="00941C6F" w14:paraId="2ED2483D" w14:textId="77777777" w:rsidTr="00421CA0">
        <w:trPr>
          <w:trHeight w:val="290"/>
        </w:trPr>
        <w:tc>
          <w:tcPr>
            <w:tcW w:w="92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EB6A9" w14:textId="77777777" w:rsidR="00447C82" w:rsidRPr="00941C6F" w:rsidRDefault="00447C82" w:rsidP="00447C82">
            <w:pPr>
              <w:rPr>
                <w:rFonts w:eastAsia="Times New Roman"/>
                <w:i/>
                <w:iCs/>
                <w:color w:val="000000"/>
                <w:lang w:eastAsia="ru-RU"/>
              </w:rPr>
            </w:pPr>
            <w:r>
              <w:rPr>
                <w:rFonts w:eastAsia="Times New Roman"/>
                <w:i/>
                <w:iCs/>
                <w:color w:val="000000"/>
                <w:lang w:eastAsia="ru-RU"/>
              </w:rPr>
              <w:t>Исходные характеристики</w:t>
            </w:r>
          </w:p>
        </w:tc>
      </w:tr>
      <w:tr w:rsidR="00447C82" w:rsidRPr="00941C6F" w14:paraId="3419374C" w14:textId="77777777" w:rsidTr="00421CA0">
        <w:trPr>
          <w:trHeight w:val="687"/>
        </w:trPr>
        <w:tc>
          <w:tcPr>
            <w:tcW w:w="2809" w:type="dxa"/>
            <w:tcBorders>
              <w:top w:val="nil"/>
              <w:left w:val="single" w:sz="4" w:space="0" w:color="auto"/>
              <w:bottom w:val="single" w:sz="4" w:space="0" w:color="auto"/>
              <w:right w:val="single" w:sz="4" w:space="0" w:color="auto"/>
            </w:tcBorders>
            <w:shd w:val="clear" w:color="auto" w:fill="auto"/>
            <w:vAlign w:val="center"/>
            <w:hideMark/>
          </w:tcPr>
          <w:p w14:paraId="542A13A4" w14:textId="77777777" w:rsidR="00447C82" w:rsidRPr="00941C6F" w:rsidRDefault="00447C82" w:rsidP="00447C82">
            <w:pPr>
              <w:rPr>
                <w:rFonts w:eastAsia="Times New Roman"/>
                <w:color w:val="000000"/>
                <w:lang w:eastAsia="ru-RU"/>
              </w:rPr>
            </w:pPr>
            <w:r w:rsidRPr="00410FF2">
              <w:rPr>
                <w:rFonts w:eastAsia="Times New Roman"/>
                <w:color w:val="000000"/>
                <w:lang w:eastAsia="ru-RU"/>
              </w:rPr>
              <w:t>Медиана РНК ВИЧ-1 в плазме</w:t>
            </w:r>
          </w:p>
        </w:tc>
        <w:tc>
          <w:tcPr>
            <w:tcW w:w="2096" w:type="dxa"/>
            <w:tcBorders>
              <w:top w:val="nil"/>
              <w:left w:val="nil"/>
              <w:bottom w:val="single" w:sz="4" w:space="0" w:color="auto"/>
              <w:right w:val="single" w:sz="4" w:space="0" w:color="auto"/>
            </w:tcBorders>
            <w:shd w:val="clear" w:color="auto" w:fill="auto"/>
            <w:noWrap/>
            <w:vAlign w:val="center"/>
            <w:hideMark/>
          </w:tcPr>
          <w:p w14:paraId="6D405F5B" w14:textId="527FFC4F" w:rsidR="00447C82" w:rsidRPr="00941C6F" w:rsidRDefault="00447C82" w:rsidP="00447C82">
            <w:pPr>
              <w:jc w:val="center"/>
              <w:rPr>
                <w:rFonts w:eastAsia="Times New Roman"/>
                <w:color w:val="000000"/>
                <w:lang w:eastAsia="ru-RU"/>
              </w:rPr>
            </w:pPr>
            <w:r w:rsidRPr="00941C6F">
              <w:rPr>
                <w:rFonts w:eastAsia="Times New Roman"/>
                <w:color w:val="000000"/>
                <w:lang w:eastAsia="ru-RU"/>
              </w:rPr>
              <w:t>4</w:t>
            </w:r>
            <w:r w:rsidR="007D01D4">
              <w:rPr>
                <w:rFonts w:eastAsia="Times New Roman"/>
                <w:color w:val="000000"/>
                <w:lang w:eastAsia="ru-RU"/>
              </w:rPr>
              <w:t>,</w:t>
            </w:r>
            <w:r w:rsidRPr="00941C6F">
              <w:rPr>
                <w:rFonts w:eastAsia="Times New Roman"/>
                <w:color w:val="000000"/>
                <w:lang w:eastAsia="ru-RU"/>
              </w:rPr>
              <w:t xml:space="preserve">8 log10 </w:t>
            </w:r>
            <w:r>
              <w:rPr>
                <w:rFonts w:eastAsia="Times New Roman"/>
                <w:color w:val="000000"/>
                <w:lang w:eastAsia="ru-RU"/>
              </w:rPr>
              <w:t>копий/мл</w:t>
            </w:r>
          </w:p>
        </w:tc>
        <w:tc>
          <w:tcPr>
            <w:tcW w:w="1815" w:type="dxa"/>
            <w:tcBorders>
              <w:top w:val="nil"/>
              <w:left w:val="nil"/>
              <w:bottom w:val="single" w:sz="4" w:space="0" w:color="auto"/>
              <w:right w:val="single" w:sz="4" w:space="0" w:color="auto"/>
            </w:tcBorders>
            <w:shd w:val="clear" w:color="auto" w:fill="auto"/>
            <w:noWrap/>
            <w:vAlign w:val="center"/>
            <w:hideMark/>
          </w:tcPr>
          <w:p w14:paraId="59970BA9" w14:textId="12FF411D" w:rsidR="00447C82" w:rsidRPr="00941C6F" w:rsidRDefault="00447C82" w:rsidP="00447C82">
            <w:pPr>
              <w:jc w:val="center"/>
              <w:rPr>
                <w:rFonts w:eastAsia="Times New Roman"/>
                <w:color w:val="000000"/>
                <w:lang w:eastAsia="ru-RU"/>
              </w:rPr>
            </w:pPr>
            <w:r w:rsidRPr="00941C6F">
              <w:rPr>
                <w:rFonts w:eastAsia="Times New Roman"/>
                <w:color w:val="000000"/>
                <w:lang w:eastAsia="ru-RU"/>
              </w:rPr>
              <w:t>4</w:t>
            </w:r>
            <w:r w:rsidR="007D01D4">
              <w:rPr>
                <w:rFonts w:eastAsia="Times New Roman"/>
                <w:color w:val="000000"/>
                <w:lang w:eastAsia="ru-RU"/>
              </w:rPr>
              <w:t>,</w:t>
            </w:r>
            <w:r w:rsidRPr="00941C6F">
              <w:rPr>
                <w:rFonts w:eastAsia="Times New Roman"/>
                <w:color w:val="000000"/>
                <w:lang w:eastAsia="ru-RU"/>
              </w:rPr>
              <w:t xml:space="preserve">8 log10 </w:t>
            </w:r>
            <w:r>
              <w:rPr>
                <w:rFonts w:eastAsia="Times New Roman"/>
                <w:color w:val="000000"/>
                <w:lang w:eastAsia="ru-RU"/>
              </w:rPr>
              <w:t>копий/мл</w:t>
            </w:r>
          </w:p>
        </w:tc>
        <w:tc>
          <w:tcPr>
            <w:tcW w:w="2574" w:type="dxa"/>
            <w:tcBorders>
              <w:top w:val="nil"/>
              <w:left w:val="nil"/>
              <w:bottom w:val="single" w:sz="4" w:space="0" w:color="auto"/>
              <w:right w:val="single" w:sz="4" w:space="0" w:color="auto"/>
            </w:tcBorders>
            <w:shd w:val="clear" w:color="auto" w:fill="auto"/>
            <w:vAlign w:val="center"/>
            <w:hideMark/>
          </w:tcPr>
          <w:p w14:paraId="12A737ED" w14:textId="77777777" w:rsidR="00447C82" w:rsidRPr="00941C6F" w:rsidRDefault="00447C82" w:rsidP="00447C82">
            <w:pPr>
              <w:rPr>
                <w:rFonts w:eastAsia="Times New Roman"/>
                <w:color w:val="000000"/>
                <w:lang w:eastAsia="ru-RU"/>
              </w:rPr>
            </w:pPr>
            <w:r w:rsidRPr="00941C6F">
              <w:rPr>
                <w:rFonts w:eastAsia="Times New Roman"/>
                <w:color w:val="000000"/>
                <w:lang w:eastAsia="ru-RU"/>
              </w:rPr>
              <w:t> </w:t>
            </w:r>
          </w:p>
        </w:tc>
      </w:tr>
      <w:tr w:rsidR="00447C82" w:rsidRPr="00941C6F" w14:paraId="1DE83234" w14:textId="77777777" w:rsidTr="00421CA0">
        <w:trPr>
          <w:trHeight w:val="571"/>
        </w:trPr>
        <w:tc>
          <w:tcPr>
            <w:tcW w:w="2809" w:type="dxa"/>
            <w:tcBorders>
              <w:top w:val="nil"/>
              <w:left w:val="single" w:sz="4" w:space="0" w:color="auto"/>
              <w:bottom w:val="single" w:sz="4" w:space="0" w:color="auto"/>
              <w:right w:val="single" w:sz="4" w:space="0" w:color="auto"/>
            </w:tcBorders>
            <w:shd w:val="clear" w:color="auto" w:fill="auto"/>
            <w:vAlign w:val="center"/>
            <w:hideMark/>
          </w:tcPr>
          <w:p w14:paraId="466B1AED" w14:textId="77777777" w:rsidR="00447C82" w:rsidRPr="00941C6F" w:rsidRDefault="00447C82" w:rsidP="00447C82">
            <w:pPr>
              <w:rPr>
                <w:rFonts w:eastAsia="Times New Roman"/>
                <w:color w:val="000000"/>
                <w:lang w:eastAsia="ru-RU"/>
              </w:rPr>
            </w:pPr>
            <w:r w:rsidRPr="00410FF2">
              <w:rPr>
                <w:rFonts w:eastAsia="Times New Roman"/>
                <w:color w:val="000000"/>
                <w:lang w:eastAsia="ru-RU"/>
              </w:rPr>
              <w:t>Среднее количество клеток CD4</w:t>
            </w:r>
          </w:p>
        </w:tc>
        <w:tc>
          <w:tcPr>
            <w:tcW w:w="2096" w:type="dxa"/>
            <w:tcBorders>
              <w:top w:val="nil"/>
              <w:left w:val="nil"/>
              <w:bottom w:val="single" w:sz="4" w:space="0" w:color="auto"/>
              <w:right w:val="single" w:sz="4" w:space="0" w:color="auto"/>
            </w:tcBorders>
            <w:shd w:val="clear" w:color="auto" w:fill="auto"/>
            <w:noWrap/>
            <w:vAlign w:val="center"/>
            <w:hideMark/>
          </w:tcPr>
          <w:p w14:paraId="15F4D868" w14:textId="77777777" w:rsidR="00447C82" w:rsidRPr="00941C6F" w:rsidRDefault="00447C82" w:rsidP="00447C82">
            <w:pPr>
              <w:jc w:val="center"/>
              <w:rPr>
                <w:rFonts w:eastAsia="Times New Roman"/>
                <w:color w:val="000000"/>
                <w:lang w:eastAsia="ru-RU"/>
              </w:rPr>
            </w:pPr>
            <w:r w:rsidRPr="00941C6F">
              <w:rPr>
                <w:rFonts w:eastAsia="Times New Roman"/>
                <w:color w:val="000000"/>
                <w:lang w:eastAsia="ru-RU"/>
              </w:rPr>
              <w:t xml:space="preserve">99 x 106 </w:t>
            </w:r>
            <w:r>
              <w:rPr>
                <w:rFonts w:eastAsia="Times New Roman"/>
                <w:color w:val="000000"/>
                <w:lang w:eastAsia="ru-RU"/>
              </w:rPr>
              <w:t>клеток/л</w:t>
            </w:r>
          </w:p>
        </w:tc>
        <w:tc>
          <w:tcPr>
            <w:tcW w:w="1815" w:type="dxa"/>
            <w:tcBorders>
              <w:top w:val="nil"/>
              <w:left w:val="nil"/>
              <w:bottom w:val="single" w:sz="4" w:space="0" w:color="auto"/>
              <w:right w:val="single" w:sz="4" w:space="0" w:color="auto"/>
            </w:tcBorders>
            <w:shd w:val="clear" w:color="auto" w:fill="auto"/>
            <w:noWrap/>
            <w:vAlign w:val="center"/>
            <w:hideMark/>
          </w:tcPr>
          <w:p w14:paraId="6D1ECD3E" w14:textId="77777777" w:rsidR="00447C82" w:rsidRPr="00941C6F" w:rsidRDefault="00447C82" w:rsidP="00447C82">
            <w:pPr>
              <w:jc w:val="center"/>
              <w:rPr>
                <w:rFonts w:eastAsia="Times New Roman"/>
                <w:color w:val="000000"/>
                <w:lang w:eastAsia="ru-RU"/>
              </w:rPr>
            </w:pPr>
            <w:r w:rsidRPr="00941C6F">
              <w:rPr>
                <w:rFonts w:eastAsia="Times New Roman"/>
                <w:color w:val="000000"/>
                <w:lang w:eastAsia="ru-RU"/>
              </w:rPr>
              <w:t xml:space="preserve">109 x 106 </w:t>
            </w:r>
            <w:r>
              <w:rPr>
                <w:rFonts w:eastAsia="Times New Roman"/>
                <w:color w:val="000000"/>
                <w:lang w:eastAsia="ru-RU"/>
              </w:rPr>
              <w:t>клеток/л</w:t>
            </w:r>
          </w:p>
        </w:tc>
        <w:tc>
          <w:tcPr>
            <w:tcW w:w="2574" w:type="dxa"/>
            <w:tcBorders>
              <w:top w:val="nil"/>
              <w:left w:val="nil"/>
              <w:bottom w:val="single" w:sz="4" w:space="0" w:color="auto"/>
              <w:right w:val="single" w:sz="4" w:space="0" w:color="auto"/>
            </w:tcBorders>
            <w:shd w:val="clear" w:color="auto" w:fill="auto"/>
            <w:vAlign w:val="center"/>
            <w:hideMark/>
          </w:tcPr>
          <w:p w14:paraId="51B4BDF5" w14:textId="77777777" w:rsidR="00447C82" w:rsidRPr="00941C6F" w:rsidRDefault="00447C82" w:rsidP="00447C82">
            <w:pPr>
              <w:rPr>
                <w:rFonts w:eastAsia="Times New Roman"/>
                <w:color w:val="000000"/>
                <w:lang w:eastAsia="ru-RU"/>
              </w:rPr>
            </w:pPr>
            <w:r w:rsidRPr="00941C6F">
              <w:rPr>
                <w:rFonts w:eastAsia="Times New Roman"/>
                <w:color w:val="000000"/>
                <w:lang w:eastAsia="ru-RU"/>
              </w:rPr>
              <w:t> </w:t>
            </w:r>
          </w:p>
        </w:tc>
      </w:tr>
      <w:tr w:rsidR="00447C82" w:rsidRPr="00941C6F" w14:paraId="33F83E9F" w14:textId="77777777" w:rsidTr="00421CA0">
        <w:trPr>
          <w:trHeight w:val="290"/>
        </w:trPr>
        <w:tc>
          <w:tcPr>
            <w:tcW w:w="92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AB254" w14:textId="77777777" w:rsidR="00447C82" w:rsidRPr="00941C6F" w:rsidRDefault="00447C82" w:rsidP="00447C82">
            <w:pPr>
              <w:rPr>
                <w:rFonts w:eastAsia="Times New Roman"/>
                <w:i/>
                <w:iCs/>
                <w:color w:val="000000"/>
                <w:lang w:eastAsia="ru-RU"/>
              </w:rPr>
            </w:pPr>
            <w:r>
              <w:rPr>
                <w:rFonts w:eastAsia="Times New Roman"/>
                <w:i/>
                <w:iCs/>
                <w:color w:val="000000"/>
                <w:lang w:eastAsia="ru-RU"/>
              </w:rPr>
              <w:t>Исходы</w:t>
            </w:r>
          </w:p>
        </w:tc>
      </w:tr>
      <w:tr w:rsidR="00447C82" w:rsidRPr="00410FF2" w14:paraId="1A388557" w14:textId="77777777" w:rsidTr="00421CA0">
        <w:trPr>
          <w:trHeight w:val="1412"/>
        </w:trPr>
        <w:tc>
          <w:tcPr>
            <w:tcW w:w="2809" w:type="dxa"/>
            <w:tcBorders>
              <w:top w:val="single" w:sz="4" w:space="0" w:color="auto"/>
              <w:left w:val="single" w:sz="4" w:space="0" w:color="auto"/>
              <w:bottom w:val="nil"/>
              <w:right w:val="nil"/>
            </w:tcBorders>
            <w:shd w:val="clear" w:color="auto" w:fill="auto"/>
            <w:vAlign w:val="bottom"/>
            <w:hideMark/>
          </w:tcPr>
          <w:p w14:paraId="55872836" w14:textId="77777777" w:rsidR="00447C82" w:rsidRPr="00410FF2" w:rsidRDefault="00447C82" w:rsidP="00447C82">
            <w:pPr>
              <w:rPr>
                <w:rFonts w:eastAsia="Times New Roman"/>
                <w:color w:val="000000"/>
                <w:lang w:eastAsia="ru-RU"/>
              </w:rPr>
            </w:pPr>
            <w:r w:rsidRPr="00410FF2">
              <w:rPr>
                <w:rFonts w:eastAsia="Times New Roman"/>
                <w:color w:val="000000"/>
                <w:lang w:eastAsia="ru-RU"/>
              </w:rPr>
              <w:t>Подтвержденная неопределяемая вирусная нагрузка (&lt; 50 копий РНК ВИЧ-1/мл)</w:t>
            </w:r>
            <w:r>
              <w:rPr>
                <w:rFonts w:eastAsia="Times New Roman"/>
                <w:color w:val="000000"/>
                <w:lang w:eastAsia="ru-RU"/>
              </w:rPr>
              <w:t>,</w:t>
            </w:r>
            <w:r w:rsidRPr="00410FF2">
              <w:rPr>
                <w:rFonts w:eastAsia="Times New Roman"/>
                <w:color w:val="000000"/>
                <w:lang w:eastAsia="ru-RU"/>
              </w:rPr>
              <w:t xml:space="preserve"> </w:t>
            </w:r>
            <w:r w:rsidRPr="00410FF2">
              <w:rPr>
                <w:rFonts w:eastAsia="Times New Roman"/>
                <w:color w:val="000000"/>
                <w:lang w:val="en-US" w:eastAsia="ru-RU"/>
              </w:rPr>
              <w:t>n</w:t>
            </w:r>
            <w:r w:rsidRPr="00410FF2">
              <w:rPr>
                <w:rFonts w:eastAsia="Times New Roman"/>
                <w:color w:val="000000"/>
                <w:lang w:eastAsia="ru-RU"/>
              </w:rPr>
              <w:t xml:space="preserve"> (%)</w:t>
            </w:r>
          </w:p>
        </w:tc>
        <w:tc>
          <w:tcPr>
            <w:tcW w:w="2096" w:type="dxa"/>
            <w:tcBorders>
              <w:top w:val="single" w:sz="4" w:space="0" w:color="auto"/>
              <w:left w:val="single" w:sz="4" w:space="0" w:color="auto"/>
              <w:bottom w:val="nil"/>
              <w:right w:val="nil"/>
            </w:tcBorders>
            <w:shd w:val="clear" w:color="auto" w:fill="auto"/>
            <w:vAlign w:val="center"/>
            <w:hideMark/>
          </w:tcPr>
          <w:p w14:paraId="3D1E8046" w14:textId="77777777" w:rsidR="00447C82" w:rsidRPr="00410FF2" w:rsidRDefault="00447C82" w:rsidP="00447C82">
            <w:pPr>
              <w:rPr>
                <w:rFonts w:eastAsia="Times New Roman"/>
                <w:color w:val="000000"/>
                <w:lang w:eastAsia="ru-RU"/>
              </w:rPr>
            </w:pPr>
            <w:r w:rsidRPr="00941C6F">
              <w:rPr>
                <w:rFonts w:eastAsia="Times New Roman"/>
                <w:color w:val="000000"/>
                <w:lang w:val="en-US" w:eastAsia="ru-RU"/>
              </w:rPr>
              <w:t> </w:t>
            </w:r>
          </w:p>
        </w:tc>
        <w:tc>
          <w:tcPr>
            <w:tcW w:w="1815" w:type="dxa"/>
            <w:tcBorders>
              <w:top w:val="single" w:sz="4" w:space="0" w:color="auto"/>
              <w:left w:val="nil"/>
              <w:bottom w:val="nil"/>
              <w:right w:val="nil"/>
            </w:tcBorders>
            <w:shd w:val="clear" w:color="auto" w:fill="auto"/>
            <w:vAlign w:val="center"/>
            <w:hideMark/>
          </w:tcPr>
          <w:p w14:paraId="562BE368" w14:textId="77777777" w:rsidR="00447C82" w:rsidRPr="00410FF2" w:rsidRDefault="00447C82" w:rsidP="00447C82">
            <w:pPr>
              <w:rPr>
                <w:rFonts w:eastAsia="Times New Roman"/>
                <w:color w:val="000000"/>
                <w:lang w:eastAsia="ru-RU"/>
              </w:rPr>
            </w:pPr>
            <w:r w:rsidRPr="00941C6F">
              <w:rPr>
                <w:rFonts w:eastAsia="Times New Roman"/>
                <w:color w:val="000000"/>
                <w:lang w:val="en-US" w:eastAsia="ru-RU"/>
              </w:rPr>
              <w:t> </w:t>
            </w:r>
          </w:p>
        </w:tc>
        <w:tc>
          <w:tcPr>
            <w:tcW w:w="2574" w:type="dxa"/>
            <w:tcBorders>
              <w:top w:val="single" w:sz="4" w:space="0" w:color="auto"/>
              <w:left w:val="nil"/>
              <w:bottom w:val="nil"/>
              <w:right w:val="single" w:sz="4" w:space="0" w:color="auto"/>
            </w:tcBorders>
            <w:shd w:val="clear" w:color="auto" w:fill="auto"/>
            <w:vAlign w:val="center"/>
            <w:hideMark/>
          </w:tcPr>
          <w:p w14:paraId="6CBFEEC9" w14:textId="77777777" w:rsidR="00447C82" w:rsidRPr="00410FF2" w:rsidRDefault="00447C82" w:rsidP="00447C82">
            <w:pPr>
              <w:rPr>
                <w:rFonts w:eastAsia="Times New Roman"/>
                <w:color w:val="000000"/>
                <w:lang w:eastAsia="ru-RU"/>
              </w:rPr>
            </w:pPr>
            <w:r w:rsidRPr="00941C6F">
              <w:rPr>
                <w:rFonts w:eastAsia="Times New Roman"/>
                <w:color w:val="000000"/>
                <w:lang w:val="en-US" w:eastAsia="ru-RU"/>
              </w:rPr>
              <w:t> </w:t>
            </w:r>
          </w:p>
        </w:tc>
      </w:tr>
      <w:tr w:rsidR="00447C82" w:rsidRPr="00941C6F" w14:paraId="290365FB" w14:textId="77777777" w:rsidTr="00421CA0">
        <w:trPr>
          <w:trHeight w:val="330"/>
        </w:trPr>
        <w:tc>
          <w:tcPr>
            <w:tcW w:w="2809" w:type="dxa"/>
            <w:tcBorders>
              <w:top w:val="nil"/>
              <w:left w:val="single" w:sz="4" w:space="0" w:color="auto"/>
              <w:bottom w:val="nil"/>
              <w:right w:val="nil"/>
            </w:tcBorders>
            <w:shd w:val="clear" w:color="auto" w:fill="auto"/>
            <w:noWrap/>
            <w:vAlign w:val="bottom"/>
            <w:hideMark/>
          </w:tcPr>
          <w:p w14:paraId="056018E0" w14:textId="77777777" w:rsidR="00447C82" w:rsidRPr="00941C6F" w:rsidRDefault="00447C82" w:rsidP="00447C82">
            <w:pPr>
              <w:rPr>
                <w:rFonts w:eastAsia="Times New Roman"/>
                <w:color w:val="000000"/>
                <w:lang w:eastAsia="ru-RU"/>
              </w:rPr>
            </w:pPr>
            <w:r>
              <w:rPr>
                <w:rFonts w:eastAsia="Times New Roman"/>
                <w:color w:val="000000"/>
                <w:lang w:eastAsia="ru-RU"/>
              </w:rPr>
              <w:t>Общая</w:t>
            </w:r>
          </w:p>
        </w:tc>
        <w:tc>
          <w:tcPr>
            <w:tcW w:w="2096" w:type="dxa"/>
            <w:tcBorders>
              <w:top w:val="nil"/>
              <w:left w:val="single" w:sz="4" w:space="0" w:color="auto"/>
              <w:bottom w:val="nil"/>
              <w:right w:val="nil"/>
            </w:tcBorders>
            <w:shd w:val="clear" w:color="auto" w:fill="auto"/>
            <w:noWrap/>
            <w:vAlign w:val="bottom"/>
            <w:hideMark/>
          </w:tcPr>
          <w:p w14:paraId="52A6FAAD" w14:textId="6571BAEB" w:rsidR="00447C82" w:rsidRPr="00941C6F" w:rsidRDefault="00447C82" w:rsidP="00447C82">
            <w:pPr>
              <w:jc w:val="center"/>
              <w:rPr>
                <w:rFonts w:eastAsia="Times New Roman"/>
                <w:color w:val="000000"/>
                <w:lang w:eastAsia="ru-RU"/>
              </w:rPr>
            </w:pPr>
            <w:r w:rsidRPr="00941C6F">
              <w:rPr>
                <w:rFonts w:eastAsia="Times New Roman"/>
                <w:color w:val="000000"/>
                <w:lang w:eastAsia="ru-RU"/>
              </w:rPr>
              <w:t>363 (60</w:t>
            </w:r>
            <w:r w:rsidR="007D01D4">
              <w:rPr>
                <w:rFonts w:eastAsia="Times New Roman"/>
                <w:color w:val="000000"/>
                <w:lang w:eastAsia="ru-RU"/>
              </w:rPr>
              <w:t>,</w:t>
            </w:r>
            <w:r w:rsidRPr="00941C6F">
              <w:rPr>
                <w:rFonts w:eastAsia="Times New Roman"/>
                <w:color w:val="000000"/>
                <w:lang w:eastAsia="ru-RU"/>
              </w:rPr>
              <w:t>6%)</w:t>
            </w:r>
          </w:p>
        </w:tc>
        <w:tc>
          <w:tcPr>
            <w:tcW w:w="1815" w:type="dxa"/>
            <w:tcBorders>
              <w:top w:val="nil"/>
              <w:left w:val="nil"/>
              <w:bottom w:val="nil"/>
              <w:right w:val="nil"/>
            </w:tcBorders>
            <w:shd w:val="clear" w:color="auto" w:fill="auto"/>
            <w:noWrap/>
            <w:vAlign w:val="bottom"/>
            <w:hideMark/>
          </w:tcPr>
          <w:p w14:paraId="6AEBAC9E" w14:textId="571CAADA" w:rsidR="00447C82" w:rsidRPr="00941C6F" w:rsidRDefault="00447C82" w:rsidP="00447C82">
            <w:pPr>
              <w:jc w:val="center"/>
              <w:rPr>
                <w:rFonts w:eastAsia="Times New Roman"/>
                <w:color w:val="000000"/>
                <w:lang w:eastAsia="ru-RU"/>
              </w:rPr>
            </w:pPr>
            <w:r w:rsidRPr="00941C6F">
              <w:rPr>
                <w:rFonts w:eastAsia="Times New Roman"/>
                <w:color w:val="000000"/>
                <w:lang w:eastAsia="ru-RU"/>
              </w:rPr>
              <w:t>240 (39</w:t>
            </w:r>
            <w:r w:rsidR="007D01D4">
              <w:rPr>
                <w:rFonts w:eastAsia="Times New Roman"/>
                <w:color w:val="000000"/>
                <w:lang w:eastAsia="ru-RU"/>
              </w:rPr>
              <w:t>,</w:t>
            </w:r>
            <w:r w:rsidRPr="00941C6F">
              <w:rPr>
                <w:rFonts w:eastAsia="Times New Roman"/>
                <w:color w:val="000000"/>
                <w:lang w:eastAsia="ru-RU"/>
              </w:rPr>
              <w:t>7%)</w:t>
            </w:r>
          </w:p>
        </w:tc>
        <w:tc>
          <w:tcPr>
            <w:tcW w:w="2574" w:type="dxa"/>
            <w:tcBorders>
              <w:top w:val="nil"/>
              <w:left w:val="nil"/>
              <w:bottom w:val="nil"/>
              <w:right w:val="single" w:sz="4" w:space="0" w:color="auto"/>
            </w:tcBorders>
            <w:shd w:val="clear" w:color="auto" w:fill="auto"/>
            <w:noWrap/>
            <w:vAlign w:val="bottom"/>
            <w:hideMark/>
          </w:tcPr>
          <w:p w14:paraId="6E4A0735" w14:textId="47289057" w:rsidR="00447C82" w:rsidRPr="00941C6F" w:rsidRDefault="00447C82" w:rsidP="00447C82">
            <w:pPr>
              <w:jc w:val="center"/>
              <w:rPr>
                <w:rFonts w:eastAsia="Times New Roman"/>
                <w:color w:val="000000"/>
                <w:lang w:eastAsia="ru-RU"/>
              </w:rPr>
            </w:pPr>
            <w:r w:rsidRPr="00941C6F">
              <w:rPr>
                <w:rFonts w:eastAsia="Times New Roman"/>
                <w:color w:val="000000"/>
                <w:lang w:eastAsia="ru-RU"/>
              </w:rPr>
              <w:t>20</w:t>
            </w:r>
            <w:r w:rsidR="007D01D4">
              <w:rPr>
                <w:rFonts w:eastAsia="Times New Roman"/>
                <w:color w:val="000000"/>
                <w:lang w:eastAsia="ru-RU"/>
              </w:rPr>
              <w:t>,</w:t>
            </w:r>
            <w:r w:rsidRPr="00941C6F">
              <w:rPr>
                <w:rFonts w:eastAsia="Times New Roman"/>
                <w:color w:val="000000"/>
                <w:lang w:eastAsia="ru-RU"/>
              </w:rPr>
              <w:t>9% (15</w:t>
            </w:r>
            <w:r w:rsidR="007D01D4">
              <w:rPr>
                <w:rFonts w:eastAsia="Times New Roman"/>
                <w:color w:val="000000"/>
                <w:lang w:eastAsia="ru-RU"/>
              </w:rPr>
              <w:t>,</w:t>
            </w:r>
            <w:r w:rsidRPr="00941C6F">
              <w:rPr>
                <w:rFonts w:eastAsia="Times New Roman"/>
                <w:color w:val="000000"/>
                <w:lang w:eastAsia="ru-RU"/>
              </w:rPr>
              <w:t>3%; 26</w:t>
            </w:r>
            <w:r w:rsidR="007D01D4">
              <w:rPr>
                <w:rFonts w:eastAsia="Times New Roman"/>
                <w:color w:val="000000"/>
                <w:lang w:eastAsia="ru-RU"/>
              </w:rPr>
              <w:t>,</w:t>
            </w:r>
            <w:r w:rsidRPr="00941C6F">
              <w:rPr>
                <w:rFonts w:eastAsia="Times New Roman"/>
                <w:color w:val="000000"/>
                <w:lang w:eastAsia="ru-RU"/>
              </w:rPr>
              <w:t>4%)</w:t>
            </w:r>
            <w:r w:rsidRPr="00941C6F">
              <w:rPr>
                <w:rFonts w:eastAsia="Times New Roman"/>
                <w:color w:val="000000"/>
                <w:vertAlign w:val="superscript"/>
                <w:lang w:eastAsia="ru-RU"/>
              </w:rPr>
              <w:t>d</w:t>
            </w:r>
          </w:p>
        </w:tc>
      </w:tr>
      <w:tr w:rsidR="00447C82" w:rsidRPr="00941C6F" w14:paraId="63BED31F" w14:textId="77777777" w:rsidTr="00421CA0">
        <w:trPr>
          <w:trHeight w:val="330"/>
        </w:trPr>
        <w:tc>
          <w:tcPr>
            <w:tcW w:w="2809" w:type="dxa"/>
            <w:tcBorders>
              <w:top w:val="nil"/>
              <w:left w:val="single" w:sz="4" w:space="0" w:color="auto"/>
              <w:bottom w:val="nil"/>
              <w:right w:val="nil"/>
            </w:tcBorders>
            <w:shd w:val="clear" w:color="auto" w:fill="auto"/>
            <w:noWrap/>
            <w:vAlign w:val="bottom"/>
            <w:hideMark/>
          </w:tcPr>
          <w:p w14:paraId="026C0D0D" w14:textId="77777777" w:rsidR="00447C82" w:rsidRPr="00410FF2" w:rsidRDefault="00447C82" w:rsidP="00447C82">
            <w:pPr>
              <w:rPr>
                <w:rFonts w:eastAsia="Times New Roman"/>
                <w:color w:val="000000"/>
                <w:sz w:val="22"/>
                <w:szCs w:val="22"/>
                <w:lang w:eastAsia="ru-RU"/>
              </w:rPr>
            </w:pPr>
            <w:r w:rsidRPr="00410FF2">
              <w:rPr>
                <w:rFonts w:eastAsia="Times New Roman"/>
                <w:i/>
                <w:iCs/>
                <w:color w:val="000000"/>
                <w:sz w:val="22"/>
                <w:szCs w:val="22"/>
                <w:lang w:eastAsia="ru-RU"/>
              </w:rPr>
              <w:t>de novo</w:t>
            </w:r>
            <w:r w:rsidRPr="00410FF2">
              <w:rPr>
                <w:rFonts w:eastAsia="Times New Roman"/>
                <w:color w:val="000000"/>
                <w:sz w:val="22"/>
                <w:szCs w:val="22"/>
                <w:lang w:eastAsia="ru-RU"/>
              </w:rPr>
              <w:t xml:space="preserve"> </w:t>
            </w:r>
            <w:r>
              <w:rPr>
                <w:color w:val="333333"/>
              </w:rPr>
              <w:t>Э</w:t>
            </w:r>
            <w:r w:rsidRPr="00410FF2">
              <w:rPr>
                <w:color w:val="333333"/>
                <w:sz w:val="22"/>
                <w:szCs w:val="22"/>
              </w:rPr>
              <w:t>нфувиртид</w:t>
            </w:r>
          </w:p>
        </w:tc>
        <w:tc>
          <w:tcPr>
            <w:tcW w:w="2096" w:type="dxa"/>
            <w:tcBorders>
              <w:top w:val="nil"/>
              <w:left w:val="single" w:sz="4" w:space="0" w:color="auto"/>
              <w:bottom w:val="nil"/>
              <w:right w:val="nil"/>
            </w:tcBorders>
            <w:shd w:val="clear" w:color="auto" w:fill="auto"/>
            <w:noWrap/>
            <w:vAlign w:val="bottom"/>
            <w:hideMark/>
          </w:tcPr>
          <w:p w14:paraId="063D6E6A" w14:textId="7A362E6C" w:rsidR="00447C82" w:rsidRPr="00941C6F" w:rsidRDefault="00447C82" w:rsidP="00447C82">
            <w:pPr>
              <w:jc w:val="center"/>
              <w:rPr>
                <w:rFonts w:eastAsia="Times New Roman"/>
                <w:color w:val="000000"/>
                <w:lang w:eastAsia="ru-RU"/>
              </w:rPr>
            </w:pPr>
            <w:r w:rsidRPr="00941C6F">
              <w:rPr>
                <w:rFonts w:eastAsia="Times New Roman"/>
                <w:color w:val="000000"/>
                <w:lang w:eastAsia="ru-RU"/>
              </w:rPr>
              <w:t>109 (71</w:t>
            </w:r>
            <w:r w:rsidR="007D01D4">
              <w:rPr>
                <w:rFonts w:eastAsia="Times New Roman"/>
                <w:color w:val="000000"/>
                <w:lang w:eastAsia="ru-RU"/>
              </w:rPr>
              <w:t>,</w:t>
            </w:r>
            <w:r w:rsidRPr="00941C6F">
              <w:rPr>
                <w:rFonts w:eastAsia="Times New Roman"/>
                <w:color w:val="000000"/>
                <w:lang w:eastAsia="ru-RU"/>
              </w:rPr>
              <w:t>2%)</w:t>
            </w:r>
          </w:p>
        </w:tc>
        <w:tc>
          <w:tcPr>
            <w:tcW w:w="1815" w:type="dxa"/>
            <w:tcBorders>
              <w:top w:val="nil"/>
              <w:left w:val="nil"/>
              <w:bottom w:val="nil"/>
              <w:right w:val="nil"/>
            </w:tcBorders>
            <w:shd w:val="clear" w:color="auto" w:fill="auto"/>
            <w:noWrap/>
            <w:vAlign w:val="bottom"/>
            <w:hideMark/>
          </w:tcPr>
          <w:p w14:paraId="7DC17EF2" w14:textId="0B9FD6C1" w:rsidR="00447C82" w:rsidRPr="00941C6F" w:rsidRDefault="00447C82" w:rsidP="00447C82">
            <w:pPr>
              <w:jc w:val="center"/>
              <w:rPr>
                <w:rFonts w:eastAsia="Times New Roman"/>
                <w:color w:val="000000"/>
                <w:lang w:eastAsia="ru-RU"/>
              </w:rPr>
            </w:pPr>
            <w:r w:rsidRPr="00941C6F">
              <w:rPr>
                <w:rFonts w:eastAsia="Times New Roman"/>
                <w:color w:val="000000"/>
                <w:lang w:eastAsia="ru-RU"/>
              </w:rPr>
              <w:t>93 (58</w:t>
            </w:r>
            <w:r w:rsidR="007D01D4">
              <w:rPr>
                <w:rFonts w:eastAsia="Times New Roman"/>
                <w:color w:val="000000"/>
                <w:lang w:eastAsia="ru-RU"/>
              </w:rPr>
              <w:t>,</w:t>
            </w:r>
            <w:r w:rsidRPr="00941C6F">
              <w:rPr>
                <w:rFonts w:eastAsia="Times New Roman"/>
                <w:color w:val="000000"/>
                <w:lang w:eastAsia="ru-RU"/>
              </w:rPr>
              <w:t>5%)</w:t>
            </w:r>
          </w:p>
        </w:tc>
        <w:tc>
          <w:tcPr>
            <w:tcW w:w="2574" w:type="dxa"/>
            <w:tcBorders>
              <w:top w:val="nil"/>
              <w:left w:val="nil"/>
              <w:bottom w:val="nil"/>
              <w:right w:val="single" w:sz="4" w:space="0" w:color="auto"/>
            </w:tcBorders>
            <w:shd w:val="clear" w:color="auto" w:fill="auto"/>
            <w:noWrap/>
            <w:vAlign w:val="bottom"/>
            <w:hideMark/>
          </w:tcPr>
          <w:p w14:paraId="033001B9" w14:textId="3EB538F0" w:rsidR="00447C82" w:rsidRPr="00941C6F" w:rsidRDefault="00447C82" w:rsidP="00447C82">
            <w:pPr>
              <w:jc w:val="center"/>
              <w:rPr>
                <w:rFonts w:eastAsia="Times New Roman"/>
                <w:color w:val="000000"/>
                <w:lang w:eastAsia="ru-RU"/>
              </w:rPr>
            </w:pPr>
            <w:r w:rsidRPr="00941C6F">
              <w:rPr>
                <w:rFonts w:eastAsia="Times New Roman"/>
                <w:color w:val="000000"/>
                <w:lang w:eastAsia="ru-RU"/>
              </w:rPr>
              <w:t>12</w:t>
            </w:r>
            <w:r w:rsidR="007D01D4">
              <w:rPr>
                <w:rFonts w:eastAsia="Times New Roman"/>
                <w:color w:val="000000"/>
                <w:lang w:eastAsia="ru-RU"/>
              </w:rPr>
              <w:t>,</w:t>
            </w:r>
            <w:r w:rsidRPr="00941C6F">
              <w:rPr>
                <w:rFonts w:eastAsia="Times New Roman"/>
                <w:color w:val="000000"/>
                <w:lang w:eastAsia="ru-RU"/>
              </w:rPr>
              <w:t>8% (2</w:t>
            </w:r>
            <w:r w:rsidR="007D01D4">
              <w:rPr>
                <w:rFonts w:eastAsia="Times New Roman"/>
                <w:color w:val="000000"/>
                <w:lang w:eastAsia="ru-RU"/>
              </w:rPr>
              <w:t>,</w:t>
            </w:r>
            <w:r w:rsidRPr="00941C6F">
              <w:rPr>
                <w:rFonts w:eastAsia="Times New Roman"/>
                <w:color w:val="000000"/>
                <w:lang w:eastAsia="ru-RU"/>
              </w:rPr>
              <w:t>3%; 23</w:t>
            </w:r>
            <w:r w:rsidR="007D01D4">
              <w:rPr>
                <w:rFonts w:eastAsia="Times New Roman"/>
                <w:color w:val="000000"/>
                <w:lang w:eastAsia="ru-RU"/>
              </w:rPr>
              <w:t>,</w:t>
            </w:r>
            <w:r w:rsidRPr="00941C6F">
              <w:rPr>
                <w:rFonts w:eastAsia="Times New Roman"/>
                <w:color w:val="000000"/>
                <w:lang w:eastAsia="ru-RU"/>
              </w:rPr>
              <w:t>2%)</w:t>
            </w:r>
            <w:r w:rsidRPr="00941C6F">
              <w:rPr>
                <w:rFonts w:eastAsia="Times New Roman"/>
                <w:color w:val="000000"/>
                <w:vertAlign w:val="superscript"/>
                <w:lang w:eastAsia="ru-RU"/>
              </w:rPr>
              <w:t>f</w:t>
            </w:r>
          </w:p>
        </w:tc>
      </w:tr>
      <w:tr w:rsidR="00447C82" w:rsidRPr="00941C6F" w14:paraId="6BE44C7A" w14:textId="77777777" w:rsidTr="00421CA0">
        <w:trPr>
          <w:trHeight w:val="330"/>
        </w:trPr>
        <w:tc>
          <w:tcPr>
            <w:tcW w:w="2809" w:type="dxa"/>
            <w:tcBorders>
              <w:top w:val="nil"/>
              <w:left w:val="single" w:sz="4" w:space="0" w:color="auto"/>
              <w:bottom w:val="single" w:sz="4" w:space="0" w:color="auto"/>
              <w:right w:val="nil"/>
            </w:tcBorders>
            <w:shd w:val="clear" w:color="auto" w:fill="auto"/>
            <w:noWrap/>
            <w:vAlign w:val="bottom"/>
            <w:hideMark/>
          </w:tcPr>
          <w:p w14:paraId="2AB63FF4" w14:textId="77777777" w:rsidR="00447C82" w:rsidRPr="00941C6F" w:rsidRDefault="00447C82" w:rsidP="00447C82">
            <w:pPr>
              <w:rPr>
                <w:rFonts w:eastAsia="Times New Roman"/>
                <w:color w:val="000000"/>
                <w:lang w:eastAsia="ru-RU"/>
              </w:rPr>
            </w:pPr>
            <w:r>
              <w:rPr>
                <w:rFonts w:eastAsia="Times New Roman"/>
                <w:color w:val="000000"/>
                <w:lang w:eastAsia="ru-RU"/>
              </w:rPr>
              <w:t>Не</w:t>
            </w:r>
            <w:r w:rsidRPr="00941C6F">
              <w:rPr>
                <w:rFonts w:eastAsia="Times New Roman"/>
                <w:color w:val="000000"/>
                <w:lang w:eastAsia="ru-RU"/>
              </w:rPr>
              <w:t xml:space="preserve"> </w:t>
            </w:r>
            <w:r w:rsidRPr="00941C6F">
              <w:rPr>
                <w:rFonts w:eastAsia="Times New Roman"/>
                <w:i/>
                <w:iCs/>
                <w:color w:val="000000"/>
                <w:lang w:eastAsia="ru-RU"/>
              </w:rPr>
              <w:t>de novo</w:t>
            </w:r>
            <w:r w:rsidRPr="00941C6F">
              <w:rPr>
                <w:rFonts w:eastAsia="Times New Roman"/>
                <w:color w:val="000000"/>
                <w:lang w:eastAsia="ru-RU"/>
              </w:rPr>
              <w:t xml:space="preserve"> </w:t>
            </w:r>
            <w:r>
              <w:rPr>
                <w:color w:val="333333"/>
              </w:rPr>
              <w:t>Э</w:t>
            </w:r>
            <w:r w:rsidRPr="00410FF2">
              <w:rPr>
                <w:color w:val="333333"/>
                <w:sz w:val="22"/>
                <w:szCs w:val="22"/>
              </w:rPr>
              <w:t>нфувиртид</w:t>
            </w:r>
          </w:p>
        </w:tc>
        <w:tc>
          <w:tcPr>
            <w:tcW w:w="2096" w:type="dxa"/>
            <w:tcBorders>
              <w:top w:val="nil"/>
              <w:left w:val="single" w:sz="4" w:space="0" w:color="auto"/>
              <w:bottom w:val="single" w:sz="4" w:space="0" w:color="auto"/>
              <w:right w:val="nil"/>
            </w:tcBorders>
            <w:shd w:val="clear" w:color="auto" w:fill="auto"/>
            <w:noWrap/>
            <w:vAlign w:val="bottom"/>
            <w:hideMark/>
          </w:tcPr>
          <w:p w14:paraId="2CC04F81" w14:textId="49561B17" w:rsidR="00447C82" w:rsidRPr="00941C6F" w:rsidRDefault="00447C82" w:rsidP="00447C82">
            <w:pPr>
              <w:jc w:val="center"/>
              <w:rPr>
                <w:rFonts w:eastAsia="Times New Roman"/>
                <w:color w:val="000000"/>
                <w:lang w:eastAsia="ru-RU"/>
              </w:rPr>
            </w:pPr>
            <w:r w:rsidRPr="00941C6F">
              <w:rPr>
                <w:rFonts w:eastAsia="Times New Roman"/>
                <w:color w:val="000000"/>
                <w:lang w:eastAsia="ru-RU"/>
              </w:rPr>
              <w:t>254 (57</w:t>
            </w:r>
            <w:r w:rsidR="007D01D4">
              <w:rPr>
                <w:rFonts w:eastAsia="Times New Roman"/>
                <w:color w:val="000000"/>
                <w:lang w:eastAsia="ru-RU"/>
              </w:rPr>
              <w:t>,</w:t>
            </w:r>
            <w:r w:rsidRPr="00941C6F">
              <w:rPr>
                <w:rFonts w:eastAsia="Times New Roman"/>
                <w:color w:val="000000"/>
                <w:lang w:eastAsia="ru-RU"/>
              </w:rPr>
              <w:t>0%)</w:t>
            </w:r>
          </w:p>
        </w:tc>
        <w:tc>
          <w:tcPr>
            <w:tcW w:w="1815" w:type="dxa"/>
            <w:tcBorders>
              <w:top w:val="nil"/>
              <w:left w:val="nil"/>
              <w:bottom w:val="single" w:sz="4" w:space="0" w:color="auto"/>
              <w:right w:val="nil"/>
            </w:tcBorders>
            <w:shd w:val="clear" w:color="auto" w:fill="auto"/>
            <w:noWrap/>
            <w:vAlign w:val="bottom"/>
            <w:hideMark/>
          </w:tcPr>
          <w:p w14:paraId="68B6D5DD" w14:textId="075A1B46" w:rsidR="00447C82" w:rsidRPr="00941C6F" w:rsidRDefault="00447C82" w:rsidP="00447C82">
            <w:pPr>
              <w:jc w:val="center"/>
              <w:rPr>
                <w:rFonts w:eastAsia="Times New Roman"/>
                <w:color w:val="000000"/>
                <w:lang w:eastAsia="ru-RU"/>
              </w:rPr>
            </w:pPr>
            <w:r w:rsidRPr="00941C6F">
              <w:rPr>
                <w:rFonts w:eastAsia="Times New Roman"/>
                <w:color w:val="000000"/>
                <w:lang w:eastAsia="ru-RU"/>
              </w:rPr>
              <w:t>147 (33</w:t>
            </w:r>
            <w:r w:rsidR="007D01D4">
              <w:rPr>
                <w:rFonts w:eastAsia="Times New Roman"/>
                <w:color w:val="000000"/>
                <w:lang w:eastAsia="ru-RU"/>
              </w:rPr>
              <w:t>,</w:t>
            </w:r>
            <w:r w:rsidRPr="00941C6F">
              <w:rPr>
                <w:rFonts w:eastAsia="Times New Roman"/>
                <w:color w:val="000000"/>
                <w:lang w:eastAsia="ru-RU"/>
              </w:rPr>
              <w:t>0%)</w:t>
            </w:r>
          </w:p>
        </w:tc>
        <w:tc>
          <w:tcPr>
            <w:tcW w:w="2574" w:type="dxa"/>
            <w:tcBorders>
              <w:top w:val="nil"/>
              <w:left w:val="nil"/>
              <w:bottom w:val="single" w:sz="4" w:space="0" w:color="auto"/>
              <w:right w:val="single" w:sz="4" w:space="0" w:color="auto"/>
            </w:tcBorders>
            <w:shd w:val="clear" w:color="auto" w:fill="auto"/>
            <w:noWrap/>
            <w:vAlign w:val="bottom"/>
            <w:hideMark/>
          </w:tcPr>
          <w:p w14:paraId="49375C7F" w14:textId="25B123C8" w:rsidR="00447C82" w:rsidRPr="00941C6F" w:rsidRDefault="00447C82" w:rsidP="00447C82">
            <w:pPr>
              <w:jc w:val="center"/>
              <w:rPr>
                <w:rFonts w:eastAsia="Times New Roman"/>
                <w:color w:val="000000"/>
                <w:lang w:eastAsia="ru-RU"/>
              </w:rPr>
            </w:pPr>
            <w:r w:rsidRPr="00941C6F">
              <w:rPr>
                <w:rFonts w:eastAsia="Times New Roman"/>
                <w:color w:val="000000"/>
                <w:lang w:eastAsia="ru-RU"/>
              </w:rPr>
              <w:t>23</w:t>
            </w:r>
            <w:r w:rsidR="007D01D4">
              <w:rPr>
                <w:rFonts w:eastAsia="Times New Roman"/>
                <w:color w:val="000000"/>
                <w:lang w:eastAsia="ru-RU"/>
              </w:rPr>
              <w:t>,</w:t>
            </w:r>
            <w:r w:rsidRPr="00941C6F">
              <w:rPr>
                <w:rFonts w:eastAsia="Times New Roman"/>
                <w:color w:val="000000"/>
                <w:lang w:eastAsia="ru-RU"/>
              </w:rPr>
              <w:t>9% (17</w:t>
            </w:r>
            <w:r w:rsidR="007D01D4">
              <w:rPr>
                <w:rFonts w:eastAsia="Times New Roman"/>
                <w:color w:val="000000"/>
                <w:lang w:eastAsia="ru-RU"/>
              </w:rPr>
              <w:t>,</w:t>
            </w:r>
            <w:r w:rsidRPr="00941C6F">
              <w:rPr>
                <w:rFonts w:eastAsia="Times New Roman"/>
                <w:color w:val="000000"/>
                <w:lang w:eastAsia="ru-RU"/>
              </w:rPr>
              <w:t>6%; 30</w:t>
            </w:r>
            <w:r w:rsidR="007D01D4">
              <w:rPr>
                <w:rFonts w:eastAsia="Times New Roman"/>
                <w:color w:val="000000"/>
                <w:lang w:eastAsia="ru-RU"/>
              </w:rPr>
              <w:t>,</w:t>
            </w:r>
            <w:r w:rsidRPr="00941C6F">
              <w:rPr>
                <w:rFonts w:eastAsia="Times New Roman"/>
                <w:color w:val="000000"/>
                <w:lang w:eastAsia="ru-RU"/>
              </w:rPr>
              <w:t>3%)</w:t>
            </w:r>
            <w:r w:rsidRPr="00941C6F">
              <w:rPr>
                <w:rFonts w:eastAsia="Times New Roman"/>
                <w:color w:val="000000"/>
                <w:vertAlign w:val="superscript"/>
                <w:lang w:eastAsia="ru-RU"/>
              </w:rPr>
              <w:t>f</w:t>
            </w:r>
          </w:p>
        </w:tc>
      </w:tr>
      <w:tr w:rsidR="00447C82" w:rsidRPr="00941C6F" w14:paraId="3AEA8352" w14:textId="77777777" w:rsidTr="00421CA0">
        <w:trPr>
          <w:trHeight w:val="571"/>
        </w:trPr>
        <w:tc>
          <w:tcPr>
            <w:tcW w:w="28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6C414" w14:textId="77777777" w:rsidR="00447C82" w:rsidRPr="008B1480" w:rsidRDefault="00447C82" w:rsidP="00447C82">
            <w:pPr>
              <w:rPr>
                <w:rFonts w:eastAsia="Times New Roman"/>
                <w:color w:val="000000"/>
                <w:lang w:eastAsia="ru-RU"/>
              </w:rPr>
            </w:pPr>
            <w:r w:rsidRPr="008B1480">
              <w:rPr>
                <w:rFonts w:eastAsia="Times New Roman"/>
                <w:color w:val="000000"/>
                <w:lang w:eastAsia="ru-RU"/>
              </w:rPr>
              <w:t>&lt; 400 копий РНК ВИЧ-1/мл</w:t>
            </w:r>
            <w:r w:rsidRPr="008B1480">
              <w:rPr>
                <w:rFonts w:eastAsia="Times New Roman"/>
                <w:color w:val="000000"/>
                <w:vertAlign w:val="superscript"/>
                <w:lang w:val="en-US" w:eastAsia="ru-RU"/>
              </w:rPr>
              <w:t>a</w:t>
            </w:r>
            <w:r w:rsidRPr="008B1480">
              <w:rPr>
                <w:rFonts w:eastAsia="Times New Roman"/>
                <w:color w:val="000000"/>
                <w:vertAlign w:val="superscript"/>
                <w:lang w:eastAsia="ru-RU"/>
              </w:rPr>
              <w:t xml:space="preserve"> </w:t>
            </w:r>
            <w:r w:rsidRPr="00941C6F">
              <w:rPr>
                <w:rFonts w:eastAsia="Times New Roman"/>
                <w:color w:val="000000"/>
                <w:lang w:val="en-US" w:eastAsia="ru-RU"/>
              </w:rPr>
              <w:t>n</w:t>
            </w:r>
            <w:r w:rsidRPr="008B1480">
              <w:rPr>
                <w:rFonts w:eastAsia="Times New Roman"/>
                <w:color w:val="000000"/>
                <w:lang w:eastAsia="ru-RU"/>
              </w:rPr>
              <w:t xml:space="preserve"> (%)</w:t>
            </w:r>
          </w:p>
        </w:tc>
        <w:tc>
          <w:tcPr>
            <w:tcW w:w="2096" w:type="dxa"/>
            <w:tcBorders>
              <w:top w:val="single" w:sz="4" w:space="0" w:color="auto"/>
              <w:left w:val="nil"/>
              <w:bottom w:val="single" w:sz="4" w:space="0" w:color="auto"/>
              <w:right w:val="single" w:sz="4" w:space="0" w:color="auto"/>
            </w:tcBorders>
            <w:shd w:val="clear" w:color="auto" w:fill="auto"/>
            <w:noWrap/>
            <w:vAlign w:val="center"/>
            <w:hideMark/>
          </w:tcPr>
          <w:p w14:paraId="0BAD125A" w14:textId="17B677E4" w:rsidR="00447C82" w:rsidRPr="00941C6F" w:rsidRDefault="00447C82" w:rsidP="00447C82">
            <w:pPr>
              <w:jc w:val="center"/>
              <w:rPr>
                <w:rFonts w:eastAsia="Times New Roman"/>
                <w:color w:val="000000"/>
                <w:lang w:eastAsia="ru-RU"/>
              </w:rPr>
            </w:pPr>
            <w:r w:rsidRPr="00941C6F">
              <w:rPr>
                <w:rFonts w:eastAsia="Times New Roman"/>
                <w:color w:val="000000"/>
                <w:lang w:eastAsia="ru-RU"/>
              </w:rPr>
              <w:t>428 (71</w:t>
            </w:r>
            <w:r w:rsidR="007D01D4">
              <w:rPr>
                <w:rFonts w:eastAsia="Times New Roman"/>
                <w:color w:val="000000"/>
                <w:lang w:eastAsia="ru-RU"/>
              </w:rPr>
              <w:t>,</w:t>
            </w:r>
            <w:r w:rsidRPr="00941C6F">
              <w:rPr>
                <w:rFonts w:eastAsia="Times New Roman"/>
                <w:color w:val="000000"/>
                <w:lang w:eastAsia="ru-RU"/>
              </w:rPr>
              <w:t>5%)</w:t>
            </w:r>
          </w:p>
        </w:tc>
        <w:tc>
          <w:tcPr>
            <w:tcW w:w="1815" w:type="dxa"/>
            <w:tcBorders>
              <w:top w:val="nil"/>
              <w:left w:val="nil"/>
              <w:bottom w:val="single" w:sz="4" w:space="0" w:color="auto"/>
              <w:right w:val="single" w:sz="4" w:space="0" w:color="auto"/>
            </w:tcBorders>
            <w:shd w:val="clear" w:color="auto" w:fill="auto"/>
            <w:noWrap/>
            <w:vAlign w:val="center"/>
            <w:hideMark/>
          </w:tcPr>
          <w:p w14:paraId="09A5CD6E" w14:textId="4E221D33" w:rsidR="00447C82" w:rsidRPr="00941C6F" w:rsidRDefault="00447C82" w:rsidP="00447C82">
            <w:pPr>
              <w:jc w:val="center"/>
              <w:rPr>
                <w:rFonts w:eastAsia="Times New Roman"/>
                <w:color w:val="000000"/>
                <w:lang w:eastAsia="ru-RU"/>
              </w:rPr>
            </w:pPr>
            <w:r w:rsidRPr="00941C6F">
              <w:rPr>
                <w:rFonts w:eastAsia="Times New Roman"/>
                <w:color w:val="000000"/>
                <w:lang w:eastAsia="ru-RU"/>
              </w:rPr>
              <w:t>286 (47</w:t>
            </w:r>
            <w:r w:rsidR="007D01D4">
              <w:rPr>
                <w:rFonts w:eastAsia="Times New Roman"/>
                <w:color w:val="000000"/>
                <w:lang w:eastAsia="ru-RU"/>
              </w:rPr>
              <w:t>,</w:t>
            </w:r>
            <w:r w:rsidRPr="00941C6F">
              <w:rPr>
                <w:rFonts w:eastAsia="Times New Roman"/>
                <w:color w:val="000000"/>
                <w:lang w:eastAsia="ru-RU"/>
              </w:rPr>
              <w:t>4%)</w:t>
            </w:r>
          </w:p>
        </w:tc>
        <w:tc>
          <w:tcPr>
            <w:tcW w:w="2574" w:type="dxa"/>
            <w:tcBorders>
              <w:top w:val="nil"/>
              <w:left w:val="nil"/>
              <w:bottom w:val="single" w:sz="4" w:space="0" w:color="auto"/>
              <w:right w:val="single" w:sz="4" w:space="0" w:color="auto"/>
            </w:tcBorders>
            <w:shd w:val="clear" w:color="auto" w:fill="auto"/>
            <w:noWrap/>
            <w:vAlign w:val="center"/>
            <w:hideMark/>
          </w:tcPr>
          <w:p w14:paraId="38C6BA6C" w14:textId="2F66F4AB" w:rsidR="00447C82" w:rsidRPr="00941C6F" w:rsidRDefault="00447C82" w:rsidP="00447C82">
            <w:pPr>
              <w:jc w:val="center"/>
              <w:rPr>
                <w:rFonts w:eastAsia="Times New Roman"/>
                <w:color w:val="000000"/>
                <w:lang w:eastAsia="ru-RU"/>
              </w:rPr>
            </w:pPr>
            <w:r w:rsidRPr="00941C6F">
              <w:rPr>
                <w:rFonts w:eastAsia="Times New Roman"/>
                <w:color w:val="000000"/>
                <w:lang w:eastAsia="ru-RU"/>
              </w:rPr>
              <w:t>24</w:t>
            </w:r>
            <w:r w:rsidR="007D01D4">
              <w:rPr>
                <w:rFonts w:eastAsia="Times New Roman"/>
                <w:color w:val="000000"/>
                <w:lang w:eastAsia="ru-RU"/>
              </w:rPr>
              <w:t>,</w:t>
            </w:r>
            <w:r w:rsidRPr="00941C6F">
              <w:rPr>
                <w:rFonts w:eastAsia="Times New Roman"/>
                <w:color w:val="000000"/>
                <w:lang w:eastAsia="ru-RU"/>
              </w:rPr>
              <w:t>1% (18</w:t>
            </w:r>
            <w:r w:rsidR="007D01D4">
              <w:rPr>
                <w:rFonts w:eastAsia="Times New Roman"/>
                <w:color w:val="000000"/>
                <w:lang w:eastAsia="ru-RU"/>
              </w:rPr>
              <w:t>,</w:t>
            </w:r>
            <w:r w:rsidRPr="00941C6F">
              <w:rPr>
                <w:rFonts w:eastAsia="Times New Roman"/>
                <w:color w:val="000000"/>
                <w:lang w:eastAsia="ru-RU"/>
              </w:rPr>
              <w:t>7%; 29</w:t>
            </w:r>
            <w:r w:rsidR="007D01D4">
              <w:rPr>
                <w:rFonts w:eastAsia="Times New Roman"/>
                <w:color w:val="000000"/>
                <w:lang w:eastAsia="ru-RU"/>
              </w:rPr>
              <w:t>,</w:t>
            </w:r>
            <w:r w:rsidRPr="00941C6F">
              <w:rPr>
                <w:rFonts w:eastAsia="Times New Roman"/>
                <w:color w:val="000000"/>
                <w:lang w:eastAsia="ru-RU"/>
              </w:rPr>
              <w:t>5%)</w:t>
            </w:r>
            <w:r w:rsidRPr="00941C6F">
              <w:rPr>
                <w:rFonts w:eastAsia="Times New Roman"/>
                <w:color w:val="000000"/>
                <w:vertAlign w:val="superscript"/>
                <w:lang w:eastAsia="ru-RU"/>
              </w:rPr>
              <w:t>d</w:t>
            </w:r>
          </w:p>
        </w:tc>
      </w:tr>
      <w:tr w:rsidR="00447C82" w:rsidRPr="00941C6F" w14:paraId="45B8A041" w14:textId="77777777" w:rsidTr="00421CA0">
        <w:trPr>
          <w:trHeight w:val="1132"/>
        </w:trPr>
        <w:tc>
          <w:tcPr>
            <w:tcW w:w="2809" w:type="dxa"/>
            <w:tcBorders>
              <w:top w:val="nil"/>
              <w:left w:val="single" w:sz="4" w:space="0" w:color="auto"/>
              <w:bottom w:val="single" w:sz="4" w:space="0" w:color="auto"/>
              <w:right w:val="single" w:sz="4" w:space="0" w:color="auto"/>
            </w:tcBorders>
            <w:shd w:val="clear" w:color="auto" w:fill="auto"/>
            <w:vAlign w:val="center"/>
            <w:hideMark/>
          </w:tcPr>
          <w:p w14:paraId="51BCC292" w14:textId="77777777" w:rsidR="00447C82" w:rsidRPr="008B1480" w:rsidRDefault="00447C82" w:rsidP="00447C82">
            <w:pPr>
              <w:rPr>
                <w:rFonts w:eastAsia="Times New Roman"/>
                <w:color w:val="000000"/>
                <w:lang w:eastAsia="ru-RU"/>
              </w:rPr>
            </w:pPr>
            <w:r w:rsidRPr="008B1480">
              <w:rPr>
                <w:rFonts w:eastAsia="Times New Roman"/>
                <w:color w:val="000000"/>
                <w:lang w:eastAsia="ru-RU"/>
              </w:rPr>
              <w:t xml:space="preserve">РНК ВИЧ-1 </w:t>
            </w:r>
            <w:r w:rsidRPr="008B1480">
              <w:rPr>
                <w:rFonts w:eastAsia="Times New Roman"/>
                <w:color w:val="000000"/>
                <w:lang w:val="en-US" w:eastAsia="ru-RU"/>
              </w:rPr>
              <w:t>log</w:t>
            </w:r>
            <w:r w:rsidRPr="008B1480">
              <w:rPr>
                <w:rFonts w:eastAsia="Times New Roman"/>
                <w:color w:val="000000"/>
                <w:lang w:eastAsia="ru-RU"/>
              </w:rPr>
              <w:t>10 среднее изменение по сравнению с исходным уровнем (</w:t>
            </w:r>
            <w:r w:rsidRPr="008B1480">
              <w:rPr>
                <w:rFonts w:eastAsia="Times New Roman"/>
                <w:color w:val="000000"/>
                <w:lang w:val="en-US" w:eastAsia="ru-RU"/>
              </w:rPr>
              <w:t>log</w:t>
            </w:r>
            <w:r w:rsidRPr="008B1480">
              <w:rPr>
                <w:rFonts w:eastAsia="Times New Roman"/>
                <w:color w:val="000000"/>
                <w:lang w:eastAsia="ru-RU"/>
              </w:rPr>
              <w:t>10 копий/мл)</w:t>
            </w:r>
            <w:r w:rsidRPr="008B1480">
              <w:rPr>
                <w:rFonts w:eastAsia="Times New Roman"/>
                <w:color w:val="000000"/>
                <w:vertAlign w:val="superscript"/>
                <w:lang w:val="en-US" w:eastAsia="ru-RU"/>
              </w:rPr>
              <w:t>b</w:t>
            </w:r>
          </w:p>
        </w:tc>
        <w:tc>
          <w:tcPr>
            <w:tcW w:w="2096" w:type="dxa"/>
            <w:tcBorders>
              <w:top w:val="nil"/>
              <w:left w:val="nil"/>
              <w:bottom w:val="single" w:sz="4" w:space="0" w:color="auto"/>
              <w:right w:val="single" w:sz="4" w:space="0" w:color="auto"/>
            </w:tcBorders>
            <w:shd w:val="clear" w:color="auto" w:fill="auto"/>
            <w:noWrap/>
            <w:vAlign w:val="center"/>
            <w:hideMark/>
          </w:tcPr>
          <w:p w14:paraId="51813673" w14:textId="1BC51891" w:rsidR="00447C82" w:rsidRPr="00941C6F" w:rsidRDefault="00447C82" w:rsidP="00447C82">
            <w:pPr>
              <w:jc w:val="center"/>
              <w:rPr>
                <w:rFonts w:eastAsia="Times New Roman"/>
                <w:color w:val="000000"/>
                <w:lang w:eastAsia="ru-RU"/>
              </w:rPr>
            </w:pPr>
            <w:r>
              <w:rPr>
                <w:rFonts w:eastAsia="Times New Roman"/>
                <w:color w:val="000000"/>
                <w:lang w:eastAsia="ru-RU"/>
              </w:rPr>
              <w:t>−</w:t>
            </w:r>
            <w:r w:rsidRPr="00941C6F">
              <w:rPr>
                <w:rFonts w:eastAsia="Times New Roman"/>
                <w:color w:val="000000"/>
                <w:lang w:eastAsia="ru-RU"/>
              </w:rPr>
              <w:t>2</w:t>
            </w:r>
            <w:r w:rsidR="007D01D4">
              <w:rPr>
                <w:rFonts w:eastAsia="Times New Roman"/>
                <w:color w:val="000000"/>
                <w:lang w:eastAsia="ru-RU"/>
              </w:rPr>
              <w:t>,</w:t>
            </w:r>
            <w:r w:rsidRPr="00941C6F">
              <w:rPr>
                <w:rFonts w:eastAsia="Times New Roman"/>
                <w:color w:val="000000"/>
                <w:lang w:eastAsia="ru-RU"/>
              </w:rPr>
              <w:t>25</w:t>
            </w:r>
          </w:p>
        </w:tc>
        <w:tc>
          <w:tcPr>
            <w:tcW w:w="1815" w:type="dxa"/>
            <w:tcBorders>
              <w:top w:val="nil"/>
              <w:left w:val="nil"/>
              <w:bottom w:val="single" w:sz="4" w:space="0" w:color="auto"/>
              <w:right w:val="single" w:sz="4" w:space="0" w:color="auto"/>
            </w:tcBorders>
            <w:shd w:val="clear" w:color="auto" w:fill="auto"/>
            <w:noWrap/>
            <w:vAlign w:val="center"/>
            <w:hideMark/>
          </w:tcPr>
          <w:p w14:paraId="6512CAB1" w14:textId="734C4159" w:rsidR="00447C82" w:rsidRPr="00941C6F" w:rsidRDefault="00447C82" w:rsidP="00447C82">
            <w:pPr>
              <w:jc w:val="center"/>
              <w:rPr>
                <w:rFonts w:eastAsia="Times New Roman"/>
                <w:color w:val="000000"/>
                <w:lang w:eastAsia="ru-RU"/>
              </w:rPr>
            </w:pPr>
            <w:r>
              <w:rPr>
                <w:rFonts w:eastAsia="Times New Roman"/>
                <w:color w:val="000000"/>
                <w:lang w:eastAsia="ru-RU"/>
              </w:rPr>
              <w:t>−</w:t>
            </w:r>
            <w:r w:rsidRPr="00941C6F">
              <w:rPr>
                <w:rFonts w:eastAsia="Times New Roman"/>
                <w:color w:val="000000"/>
                <w:lang w:eastAsia="ru-RU"/>
              </w:rPr>
              <w:t>1</w:t>
            </w:r>
            <w:r w:rsidR="007D01D4">
              <w:rPr>
                <w:rFonts w:eastAsia="Times New Roman"/>
                <w:color w:val="000000"/>
                <w:lang w:eastAsia="ru-RU"/>
              </w:rPr>
              <w:t>,</w:t>
            </w:r>
            <w:r w:rsidRPr="00941C6F">
              <w:rPr>
                <w:rFonts w:eastAsia="Times New Roman"/>
                <w:color w:val="000000"/>
                <w:lang w:eastAsia="ru-RU"/>
              </w:rPr>
              <w:t>49</w:t>
            </w:r>
          </w:p>
        </w:tc>
        <w:tc>
          <w:tcPr>
            <w:tcW w:w="2574" w:type="dxa"/>
            <w:tcBorders>
              <w:top w:val="nil"/>
              <w:left w:val="nil"/>
              <w:bottom w:val="single" w:sz="4" w:space="0" w:color="auto"/>
              <w:right w:val="single" w:sz="4" w:space="0" w:color="auto"/>
            </w:tcBorders>
            <w:shd w:val="clear" w:color="auto" w:fill="auto"/>
            <w:noWrap/>
            <w:vAlign w:val="center"/>
            <w:hideMark/>
          </w:tcPr>
          <w:p w14:paraId="1CF6DE3E" w14:textId="07D60BD7" w:rsidR="00447C82" w:rsidRPr="00941C6F" w:rsidRDefault="00447C82" w:rsidP="00447C82">
            <w:pPr>
              <w:jc w:val="center"/>
              <w:rPr>
                <w:rFonts w:eastAsia="Times New Roman"/>
                <w:color w:val="000000"/>
                <w:lang w:eastAsia="ru-RU"/>
              </w:rPr>
            </w:pPr>
            <w:r>
              <w:rPr>
                <w:rFonts w:eastAsia="Times New Roman"/>
                <w:color w:val="000000"/>
                <w:lang w:eastAsia="ru-RU"/>
              </w:rPr>
              <w:t>−</w:t>
            </w:r>
            <w:r w:rsidRPr="00941C6F">
              <w:rPr>
                <w:rFonts w:eastAsia="Times New Roman"/>
                <w:color w:val="000000"/>
                <w:lang w:eastAsia="ru-RU"/>
              </w:rPr>
              <w:t>0</w:t>
            </w:r>
            <w:r w:rsidR="007D01D4">
              <w:rPr>
                <w:rFonts w:eastAsia="Times New Roman"/>
                <w:color w:val="000000"/>
                <w:lang w:eastAsia="ru-RU"/>
              </w:rPr>
              <w:t>,</w:t>
            </w:r>
            <w:r w:rsidRPr="00941C6F">
              <w:rPr>
                <w:rFonts w:eastAsia="Times New Roman"/>
                <w:color w:val="000000"/>
                <w:lang w:eastAsia="ru-RU"/>
              </w:rPr>
              <w:t>6 (-0</w:t>
            </w:r>
            <w:r w:rsidR="007D01D4">
              <w:rPr>
                <w:rFonts w:eastAsia="Times New Roman"/>
                <w:color w:val="000000"/>
                <w:lang w:eastAsia="ru-RU"/>
              </w:rPr>
              <w:t>,</w:t>
            </w:r>
            <w:r w:rsidRPr="00941C6F">
              <w:rPr>
                <w:rFonts w:eastAsia="Times New Roman"/>
                <w:color w:val="000000"/>
                <w:lang w:eastAsia="ru-RU"/>
              </w:rPr>
              <w:t>8; -0</w:t>
            </w:r>
            <w:r w:rsidR="007D01D4">
              <w:rPr>
                <w:rFonts w:eastAsia="Times New Roman"/>
                <w:color w:val="000000"/>
                <w:lang w:eastAsia="ru-RU"/>
              </w:rPr>
              <w:t>,</w:t>
            </w:r>
            <w:r w:rsidRPr="00941C6F">
              <w:rPr>
                <w:rFonts w:eastAsia="Times New Roman"/>
                <w:color w:val="000000"/>
                <w:lang w:eastAsia="ru-RU"/>
              </w:rPr>
              <w:t>5)</w:t>
            </w:r>
            <w:r w:rsidRPr="00941C6F">
              <w:rPr>
                <w:rFonts w:eastAsia="Times New Roman"/>
                <w:color w:val="000000"/>
                <w:vertAlign w:val="superscript"/>
                <w:lang w:eastAsia="ru-RU"/>
              </w:rPr>
              <w:t>c</w:t>
            </w:r>
          </w:p>
        </w:tc>
      </w:tr>
      <w:tr w:rsidR="00447C82" w:rsidRPr="00941C6F" w14:paraId="55C2B7C2" w14:textId="77777777" w:rsidTr="00421CA0">
        <w:trPr>
          <w:trHeight w:val="851"/>
        </w:trPr>
        <w:tc>
          <w:tcPr>
            <w:tcW w:w="2809" w:type="dxa"/>
            <w:tcBorders>
              <w:top w:val="nil"/>
              <w:left w:val="single" w:sz="4" w:space="0" w:color="auto"/>
              <w:bottom w:val="single" w:sz="4" w:space="0" w:color="auto"/>
              <w:right w:val="single" w:sz="4" w:space="0" w:color="auto"/>
            </w:tcBorders>
            <w:shd w:val="clear" w:color="auto" w:fill="auto"/>
            <w:vAlign w:val="center"/>
            <w:hideMark/>
          </w:tcPr>
          <w:p w14:paraId="56E8AC23" w14:textId="77777777" w:rsidR="00447C82" w:rsidRPr="008B1480" w:rsidRDefault="00447C82" w:rsidP="00447C82">
            <w:pPr>
              <w:rPr>
                <w:rFonts w:eastAsia="Times New Roman"/>
                <w:color w:val="000000"/>
                <w:lang w:eastAsia="ru-RU"/>
              </w:rPr>
            </w:pPr>
            <w:r w:rsidRPr="008B1480">
              <w:rPr>
                <w:rFonts w:eastAsia="Times New Roman"/>
                <w:color w:val="000000"/>
                <w:lang w:eastAsia="ru-RU"/>
              </w:rPr>
              <w:t xml:space="preserve">Среднее изменение числа клеток </w:t>
            </w:r>
            <w:r w:rsidRPr="008B1480">
              <w:rPr>
                <w:rFonts w:eastAsia="Times New Roman"/>
                <w:color w:val="000000"/>
                <w:lang w:val="en-US" w:eastAsia="ru-RU"/>
              </w:rPr>
              <w:t>CD</w:t>
            </w:r>
            <w:r w:rsidRPr="008B1480">
              <w:rPr>
                <w:rFonts w:eastAsia="Times New Roman"/>
                <w:color w:val="000000"/>
                <w:lang w:eastAsia="ru-RU"/>
              </w:rPr>
              <w:t>4 по сравнению с исходным уровнем (</w:t>
            </w:r>
            <w:r w:rsidRPr="008B1480">
              <w:rPr>
                <w:rFonts w:eastAsia="Times New Roman"/>
                <w:color w:val="000000"/>
                <w:lang w:val="en-US" w:eastAsia="ru-RU"/>
              </w:rPr>
              <w:t>x</w:t>
            </w:r>
            <w:r w:rsidRPr="008B1480">
              <w:rPr>
                <w:rFonts w:eastAsia="Times New Roman"/>
                <w:color w:val="000000"/>
                <w:lang w:eastAsia="ru-RU"/>
              </w:rPr>
              <w:t xml:space="preserve"> 106/л)</w:t>
            </w:r>
            <w:r w:rsidRPr="008B1480">
              <w:rPr>
                <w:rFonts w:eastAsia="Times New Roman"/>
                <w:color w:val="000000"/>
                <w:vertAlign w:val="superscript"/>
                <w:lang w:val="en-US" w:eastAsia="ru-RU"/>
              </w:rPr>
              <w:t>b</w:t>
            </w:r>
          </w:p>
        </w:tc>
        <w:tc>
          <w:tcPr>
            <w:tcW w:w="2096" w:type="dxa"/>
            <w:tcBorders>
              <w:top w:val="nil"/>
              <w:left w:val="nil"/>
              <w:bottom w:val="single" w:sz="4" w:space="0" w:color="auto"/>
              <w:right w:val="single" w:sz="4" w:space="0" w:color="auto"/>
            </w:tcBorders>
            <w:shd w:val="clear" w:color="auto" w:fill="auto"/>
            <w:noWrap/>
            <w:vAlign w:val="center"/>
            <w:hideMark/>
          </w:tcPr>
          <w:p w14:paraId="3720A257" w14:textId="3990F260" w:rsidR="00447C82" w:rsidRPr="00941C6F" w:rsidRDefault="00447C82" w:rsidP="00447C82">
            <w:pPr>
              <w:jc w:val="center"/>
              <w:rPr>
                <w:rFonts w:eastAsia="Times New Roman"/>
                <w:color w:val="000000"/>
                <w:lang w:eastAsia="ru-RU"/>
              </w:rPr>
            </w:pPr>
            <w:r w:rsidRPr="00941C6F">
              <w:rPr>
                <w:rFonts w:eastAsia="Times New Roman"/>
                <w:color w:val="000000"/>
                <w:lang w:eastAsia="ru-RU"/>
              </w:rPr>
              <w:t>+98</w:t>
            </w:r>
            <w:r w:rsidR="007D01D4">
              <w:rPr>
                <w:rFonts w:eastAsia="Times New Roman"/>
                <w:color w:val="000000"/>
                <w:lang w:eastAsia="ru-RU"/>
              </w:rPr>
              <w:t>,</w:t>
            </w:r>
            <w:r w:rsidRPr="00941C6F">
              <w:rPr>
                <w:rFonts w:eastAsia="Times New Roman"/>
                <w:color w:val="000000"/>
                <w:lang w:eastAsia="ru-RU"/>
              </w:rPr>
              <w:t>2</w:t>
            </w:r>
          </w:p>
        </w:tc>
        <w:tc>
          <w:tcPr>
            <w:tcW w:w="1815" w:type="dxa"/>
            <w:tcBorders>
              <w:top w:val="nil"/>
              <w:left w:val="nil"/>
              <w:bottom w:val="single" w:sz="4" w:space="0" w:color="auto"/>
              <w:right w:val="single" w:sz="4" w:space="0" w:color="auto"/>
            </w:tcBorders>
            <w:shd w:val="clear" w:color="auto" w:fill="auto"/>
            <w:noWrap/>
            <w:vAlign w:val="center"/>
            <w:hideMark/>
          </w:tcPr>
          <w:p w14:paraId="7A00C575" w14:textId="08AF1A5B" w:rsidR="00447C82" w:rsidRPr="00941C6F" w:rsidRDefault="00447C82" w:rsidP="00447C82">
            <w:pPr>
              <w:jc w:val="center"/>
              <w:rPr>
                <w:rFonts w:eastAsia="Times New Roman"/>
                <w:color w:val="000000"/>
                <w:lang w:eastAsia="ru-RU"/>
              </w:rPr>
            </w:pPr>
            <w:r w:rsidRPr="00941C6F">
              <w:rPr>
                <w:rFonts w:eastAsia="Times New Roman"/>
                <w:color w:val="000000"/>
                <w:lang w:eastAsia="ru-RU"/>
              </w:rPr>
              <w:t>+72</w:t>
            </w:r>
            <w:r w:rsidR="007D01D4">
              <w:rPr>
                <w:rFonts w:eastAsia="Times New Roman"/>
                <w:color w:val="000000"/>
                <w:lang w:eastAsia="ru-RU"/>
              </w:rPr>
              <w:t>,</w:t>
            </w:r>
            <w:r w:rsidRPr="00941C6F">
              <w:rPr>
                <w:rFonts w:eastAsia="Times New Roman"/>
                <w:color w:val="000000"/>
                <w:lang w:eastAsia="ru-RU"/>
              </w:rPr>
              <w:t>9</w:t>
            </w:r>
          </w:p>
        </w:tc>
        <w:tc>
          <w:tcPr>
            <w:tcW w:w="2574" w:type="dxa"/>
            <w:tcBorders>
              <w:top w:val="nil"/>
              <w:left w:val="nil"/>
              <w:bottom w:val="single" w:sz="4" w:space="0" w:color="auto"/>
              <w:right w:val="single" w:sz="4" w:space="0" w:color="auto"/>
            </w:tcBorders>
            <w:shd w:val="clear" w:color="auto" w:fill="auto"/>
            <w:noWrap/>
            <w:vAlign w:val="center"/>
            <w:hideMark/>
          </w:tcPr>
          <w:p w14:paraId="0AA42240" w14:textId="347D43B8" w:rsidR="00447C82" w:rsidRPr="00941C6F" w:rsidRDefault="00447C82" w:rsidP="00447C82">
            <w:pPr>
              <w:jc w:val="center"/>
              <w:rPr>
                <w:rFonts w:eastAsia="Times New Roman"/>
                <w:color w:val="000000"/>
                <w:lang w:eastAsia="ru-RU"/>
              </w:rPr>
            </w:pPr>
            <w:r w:rsidRPr="00941C6F">
              <w:rPr>
                <w:rFonts w:eastAsia="Times New Roman"/>
                <w:color w:val="000000"/>
                <w:lang w:eastAsia="ru-RU"/>
              </w:rPr>
              <w:t>24</w:t>
            </w:r>
            <w:r w:rsidR="007D01D4">
              <w:rPr>
                <w:rFonts w:eastAsia="Times New Roman"/>
                <w:color w:val="000000"/>
                <w:lang w:eastAsia="ru-RU"/>
              </w:rPr>
              <w:t>,</w:t>
            </w:r>
            <w:r w:rsidRPr="00941C6F">
              <w:rPr>
                <w:rFonts w:eastAsia="Times New Roman"/>
                <w:color w:val="000000"/>
                <w:lang w:eastAsia="ru-RU"/>
              </w:rPr>
              <w:t>4 (10</w:t>
            </w:r>
            <w:r w:rsidR="007D01D4">
              <w:rPr>
                <w:rFonts w:eastAsia="Times New Roman"/>
                <w:color w:val="000000"/>
                <w:lang w:eastAsia="ru-RU"/>
              </w:rPr>
              <w:t>,</w:t>
            </w:r>
            <w:r w:rsidRPr="00941C6F">
              <w:rPr>
                <w:rFonts w:eastAsia="Times New Roman"/>
                <w:color w:val="000000"/>
                <w:lang w:eastAsia="ru-RU"/>
              </w:rPr>
              <w:t>4; 38</w:t>
            </w:r>
            <w:r w:rsidR="007D01D4">
              <w:rPr>
                <w:rFonts w:eastAsia="Times New Roman"/>
                <w:color w:val="000000"/>
                <w:lang w:eastAsia="ru-RU"/>
              </w:rPr>
              <w:t>,</w:t>
            </w:r>
            <w:r w:rsidRPr="00941C6F">
              <w:rPr>
                <w:rFonts w:eastAsia="Times New Roman"/>
                <w:color w:val="000000"/>
                <w:lang w:eastAsia="ru-RU"/>
              </w:rPr>
              <w:t>5)</w:t>
            </w:r>
            <w:r w:rsidRPr="00941C6F">
              <w:rPr>
                <w:rFonts w:eastAsia="Times New Roman"/>
                <w:color w:val="000000"/>
                <w:vertAlign w:val="superscript"/>
                <w:lang w:eastAsia="ru-RU"/>
              </w:rPr>
              <w:t>c</w:t>
            </w:r>
          </w:p>
        </w:tc>
      </w:tr>
      <w:tr w:rsidR="00447C82" w:rsidRPr="00941C6F" w14:paraId="39696F70" w14:textId="77777777" w:rsidTr="00421CA0">
        <w:trPr>
          <w:trHeight w:val="851"/>
        </w:trPr>
        <w:tc>
          <w:tcPr>
            <w:tcW w:w="280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6465" w14:textId="77777777" w:rsidR="00447C82" w:rsidRPr="008B1480" w:rsidRDefault="00447C82" w:rsidP="00447C82">
            <w:pPr>
              <w:rPr>
                <w:rFonts w:eastAsia="Times New Roman"/>
                <w:color w:val="000000"/>
                <w:lang w:eastAsia="ru-RU"/>
              </w:rPr>
            </w:pPr>
            <w:r w:rsidRPr="008B1480">
              <w:rPr>
                <w:rFonts w:eastAsia="Times New Roman"/>
                <w:color w:val="000000"/>
                <w:lang w:eastAsia="ru-RU"/>
              </w:rPr>
              <w:t xml:space="preserve">Любой СПИД, определяющий болезнь и/или смерть </w:t>
            </w:r>
            <w:r w:rsidRPr="008B1480">
              <w:rPr>
                <w:rFonts w:eastAsia="Times New Roman"/>
                <w:color w:val="000000"/>
                <w:lang w:val="en-US" w:eastAsia="ru-RU"/>
              </w:rPr>
              <w:t>n</w:t>
            </w:r>
            <w:r w:rsidRPr="008B1480">
              <w:rPr>
                <w:rFonts w:eastAsia="Times New Roman"/>
                <w:color w:val="000000"/>
                <w:lang w:eastAsia="ru-RU"/>
              </w:rPr>
              <w:t xml:space="preserve"> (%)</w:t>
            </w:r>
          </w:p>
        </w:tc>
        <w:tc>
          <w:tcPr>
            <w:tcW w:w="2096" w:type="dxa"/>
            <w:tcBorders>
              <w:top w:val="single" w:sz="4" w:space="0" w:color="auto"/>
              <w:left w:val="nil"/>
              <w:bottom w:val="single" w:sz="4" w:space="0" w:color="auto"/>
              <w:right w:val="single" w:sz="4" w:space="0" w:color="auto"/>
            </w:tcBorders>
            <w:shd w:val="clear" w:color="auto" w:fill="auto"/>
            <w:noWrap/>
            <w:vAlign w:val="center"/>
            <w:hideMark/>
          </w:tcPr>
          <w:p w14:paraId="51E84524" w14:textId="449BBB37" w:rsidR="00447C82" w:rsidRPr="00941C6F" w:rsidRDefault="00447C82" w:rsidP="00447C82">
            <w:pPr>
              <w:jc w:val="center"/>
              <w:rPr>
                <w:rFonts w:eastAsia="Times New Roman"/>
                <w:color w:val="000000"/>
                <w:lang w:eastAsia="ru-RU"/>
              </w:rPr>
            </w:pPr>
            <w:r w:rsidRPr="00941C6F">
              <w:rPr>
                <w:rFonts w:eastAsia="Times New Roman"/>
                <w:color w:val="000000"/>
                <w:lang w:eastAsia="ru-RU"/>
              </w:rPr>
              <w:t>35 (5</w:t>
            </w:r>
            <w:r w:rsidR="007D01D4">
              <w:rPr>
                <w:rFonts w:eastAsia="Times New Roman"/>
                <w:color w:val="000000"/>
                <w:lang w:eastAsia="ru-RU"/>
              </w:rPr>
              <w:t>,</w:t>
            </w:r>
            <w:r w:rsidRPr="00941C6F">
              <w:rPr>
                <w:rFonts w:eastAsia="Times New Roman"/>
                <w:color w:val="000000"/>
                <w:lang w:eastAsia="ru-RU"/>
              </w:rPr>
              <w:t>8%)</w:t>
            </w:r>
          </w:p>
        </w:tc>
        <w:tc>
          <w:tcPr>
            <w:tcW w:w="1815" w:type="dxa"/>
            <w:tcBorders>
              <w:top w:val="single" w:sz="4" w:space="0" w:color="auto"/>
              <w:left w:val="nil"/>
              <w:bottom w:val="single" w:sz="4" w:space="0" w:color="auto"/>
              <w:right w:val="single" w:sz="4" w:space="0" w:color="auto"/>
            </w:tcBorders>
            <w:shd w:val="clear" w:color="auto" w:fill="auto"/>
            <w:noWrap/>
            <w:vAlign w:val="center"/>
            <w:hideMark/>
          </w:tcPr>
          <w:p w14:paraId="56B156BC" w14:textId="256A10DD" w:rsidR="00447C82" w:rsidRPr="00941C6F" w:rsidRDefault="00447C82" w:rsidP="00447C82">
            <w:pPr>
              <w:jc w:val="center"/>
              <w:rPr>
                <w:rFonts w:eastAsia="Times New Roman"/>
                <w:color w:val="000000"/>
                <w:lang w:eastAsia="ru-RU"/>
              </w:rPr>
            </w:pPr>
            <w:r w:rsidRPr="00941C6F">
              <w:rPr>
                <w:rFonts w:eastAsia="Times New Roman"/>
                <w:color w:val="000000"/>
                <w:lang w:eastAsia="ru-RU"/>
              </w:rPr>
              <w:t>59 (9</w:t>
            </w:r>
            <w:r w:rsidR="007D01D4">
              <w:rPr>
                <w:rFonts w:eastAsia="Times New Roman"/>
                <w:color w:val="000000"/>
                <w:lang w:eastAsia="ru-RU"/>
              </w:rPr>
              <w:t>,</w:t>
            </w:r>
            <w:r w:rsidRPr="00941C6F">
              <w:rPr>
                <w:rFonts w:eastAsia="Times New Roman"/>
                <w:color w:val="000000"/>
                <w:lang w:eastAsia="ru-RU"/>
              </w:rPr>
              <w:t>8%)</w:t>
            </w:r>
          </w:p>
        </w:tc>
        <w:tc>
          <w:tcPr>
            <w:tcW w:w="2574" w:type="dxa"/>
            <w:tcBorders>
              <w:top w:val="single" w:sz="4" w:space="0" w:color="auto"/>
              <w:left w:val="nil"/>
              <w:bottom w:val="single" w:sz="4" w:space="0" w:color="auto"/>
              <w:right w:val="single" w:sz="4" w:space="0" w:color="auto"/>
            </w:tcBorders>
            <w:shd w:val="clear" w:color="auto" w:fill="auto"/>
            <w:noWrap/>
            <w:vAlign w:val="center"/>
            <w:hideMark/>
          </w:tcPr>
          <w:p w14:paraId="6C595046" w14:textId="66A65F1A" w:rsidR="00447C82" w:rsidRPr="00941C6F" w:rsidRDefault="00447C82" w:rsidP="00447C82">
            <w:pPr>
              <w:jc w:val="center"/>
              <w:rPr>
                <w:rFonts w:eastAsia="Times New Roman"/>
                <w:color w:val="000000"/>
                <w:lang w:eastAsia="ru-RU"/>
              </w:rPr>
            </w:pPr>
            <w:r>
              <w:rPr>
                <w:rFonts w:eastAsia="Times New Roman"/>
                <w:color w:val="000000"/>
                <w:lang w:eastAsia="ru-RU"/>
              </w:rPr>
              <w:t>−</w:t>
            </w:r>
            <w:r w:rsidRPr="00941C6F">
              <w:rPr>
                <w:rFonts w:eastAsia="Times New Roman"/>
                <w:color w:val="000000"/>
                <w:lang w:eastAsia="ru-RU"/>
              </w:rPr>
              <w:t>3,9% (-6</w:t>
            </w:r>
            <w:r w:rsidR="007D01D4">
              <w:rPr>
                <w:rFonts w:eastAsia="Times New Roman"/>
                <w:color w:val="000000"/>
                <w:lang w:eastAsia="ru-RU"/>
              </w:rPr>
              <w:t>,</w:t>
            </w:r>
            <w:r w:rsidRPr="00941C6F">
              <w:rPr>
                <w:rFonts w:eastAsia="Times New Roman"/>
                <w:color w:val="000000"/>
                <w:lang w:eastAsia="ru-RU"/>
              </w:rPr>
              <w:t>9%; -0</w:t>
            </w:r>
            <w:r w:rsidR="007D01D4">
              <w:rPr>
                <w:rFonts w:eastAsia="Times New Roman"/>
                <w:color w:val="000000"/>
                <w:lang w:eastAsia="ru-RU"/>
              </w:rPr>
              <w:t>,</w:t>
            </w:r>
            <w:r w:rsidRPr="00941C6F">
              <w:rPr>
                <w:rFonts w:eastAsia="Times New Roman"/>
                <w:color w:val="000000"/>
                <w:lang w:eastAsia="ru-RU"/>
              </w:rPr>
              <w:t>9%)</w:t>
            </w:r>
            <w:r w:rsidRPr="00941C6F">
              <w:rPr>
                <w:rFonts w:eastAsia="Times New Roman"/>
                <w:color w:val="000000"/>
                <w:vertAlign w:val="superscript"/>
                <w:lang w:eastAsia="ru-RU"/>
              </w:rPr>
              <w:t>e</w:t>
            </w:r>
          </w:p>
        </w:tc>
      </w:tr>
      <w:tr w:rsidR="00447C82" w:rsidRPr="00941C6F" w14:paraId="144AA923" w14:textId="77777777" w:rsidTr="00421CA0">
        <w:trPr>
          <w:trHeight w:val="290"/>
        </w:trPr>
        <w:tc>
          <w:tcPr>
            <w:tcW w:w="9294" w:type="dxa"/>
            <w:gridSpan w:val="4"/>
            <w:tcBorders>
              <w:top w:val="single" w:sz="4" w:space="0" w:color="auto"/>
              <w:left w:val="single" w:sz="4" w:space="0" w:color="auto"/>
              <w:bottom w:val="nil"/>
              <w:right w:val="single" w:sz="4" w:space="0" w:color="000000"/>
            </w:tcBorders>
            <w:shd w:val="clear" w:color="auto" w:fill="auto"/>
            <w:vAlign w:val="center"/>
            <w:hideMark/>
          </w:tcPr>
          <w:p w14:paraId="1CE4E5A5" w14:textId="77777777" w:rsidR="00447C82" w:rsidRPr="00941C6F" w:rsidRDefault="00447C82" w:rsidP="00447C82">
            <w:pPr>
              <w:rPr>
                <w:rFonts w:eastAsia="Times New Roman"/>
                <w:b/>
                <w:bCs/>
                <w:color w:val="000000"/>
                <w:sz w:val="20"/>
                <w:szCs w:val="20"/>
                <w:lang w:eastAsia="ru-RU"/>
              </w:rPr>
            </w:pPr>
            <w:r w:rsidRPr="00941C6F">
              <w:rPr>
                <w:rFonts w:eastAsia="Times New Roman"/>
                <w:b/>
                <w:bCs/>
                <w:color w:val="000000"/>
                <w:sz w:val="20"/>
                <w:szCs w:val="20"/>
                <w:lang w:eastAsia="ru-RU"/>
              </w:rPr>
              <w:t>Примечание:</w:t>
            </w:r>
          </w:p>
        </w:tc>
      </w:tr>
      <w:tr w:rsidR="00447C82" w:rsidRPr="008B1480" w14:paraId="3D8A1440" w14:textId="77777777" w:rsidTr="00421CA0">
        <w:trPr>
          <w:trHeight w:val="2276"/>
        </w:trPr>
        <w:tc>
          <w:tcPr>
            <w:tcW w:w="9294" w:type="dxa"/>
            <w:gridSpan w:val="4"/>
            <w:tcBorders>
              <w:top w:val="nil"/>
              <w:left w:val="single" w:sz="4" w:space="0" w:color="auto"/>
              <w:bottom w:val="single" w:sz="4" w:space="0" w:color="auto"/>
              <w:right w:val="single" w:sz="4" w:space="0" w:color="000000"/>
            </w:tcBorders>
            <w:shd w:val="clear" w:color="auto" w:fill="auto"/>
            <w:hideMark/>
          </w:tcPr>
          <w:p w14:paraId="286194FA" w14:textId="20CA0FCC" w:rsidR="00447C82" w:rsidRDefault="00447C82" w:rsidP="008B0B82">
            <w:pPr>
              <w:jc w:val="left"/>
              <w:rPr>
                <w:rFonts w:eastAsia="Times New Roman"/>
                <w:color w:val="000000"/>
                <w:sz w:val="20"/>
                <w:szCs w:val="20"/>
                <w:lang w:eastAsia="ru-RU"/>
              </w:rPr>
            </w:pPr>
            <w:r w:rsidRPr="00F62FA0">
              <w:rPr>
                <w:rFonts w:eastAsia="Times New Roman"/>
                <w:color w:val="000000"/>
                <w:sz w:val="20"/>
                <w:szCs w:val="20"/>
                <w:vertAlign w:val="superscript"/>
                <w:lang w:val="en-US" w:eastAsia="ru-RU"/>
              </w:rPr>
              <w:t>a</w:t>
            </w:r>
            <w:r w:rsidRPr="008B1480">
              <w:rPr>
                <w:rFonts w:eastAsia="Times New Roman"/>
                <w:color w:val="000000"/>
                <w:sz w:val="20"/>
                <w:szCs w:val="20"/>
                <w:lang w:eastAsia="ru-RU"/>
              </w:rPr>
              <w:t xml:space="preserve"> </w:t>
            </w:r>
            <w:r>
              <w:rPr>
                <w:rFonts w:eastAsia="Times New Roman"/>
                <w:color w:val="000000"/>
                <w:sz w:val="20"/>
                <w:szCs w:val="20"/>
                <w:lang w:val="en-US" w:eastAsia="ru-RU"/>
              </w:rPr>
              <w:t>C</w:t>
            </w:r>
            <w:r w:rsidRPr="008B1480">
              <w:rPr>
                <w:rFonts w:eastAsia="Times New Roman"/>
                <w:color w:val="000000"/>
                <w:sz w:val="20"/>
                <w:szCs w:val="20"/>
                <w:lang w:eastAsia="ru-RU"/>
              </w:rPr>
              <w:t xml:space="preserve">огласно алгоритму </w:t>
            </w:r>
            <w:r w:rsidRPr="008B1480">
              <w:rPr>
                <w:rFonts w:eastAsia="Times New Roman"/>
                <w:color w:val="000000"/>
                <w:sz w:val="20"/>
                <w:szCs w:val="20"/>
                <w:lang w:val="en-US" w:eastAsia="ru-RU"/>
              </w:rPr>
              <w:t>TLOVR</w:t>
            </w:r>
            <w:r w:rsidRPr="008B1480">
              <w:rPr>
                <w:rFonts w:eastAsia="Times New Roman"/>
                <w:color w:val="000000"/>
                <w:sz w:val="20"/>
                <w:szCs w:val="20"/>
                <w:lang w:eastAsia="ru-RU"/>
              </w:rPr>
              <w:t xml:space="preserve"> (</w:t>
            </w:r>
            <w:r w:rsidRPr="008B1480">
              <w:rPr>
                <w:rFonts w:eastAsia="Times New Roman"/>
                <w:color w:val="000000"/>
                <w:sz w:val="20"/>
                <w:szCs w:val="20"/>
                <w:lang w:val="en-US" w:eastAsia="ru-RU"/>
              </w:rPr>
              <w:t>TLOVR</w:t>
            </w:r>
            <w:r w:rsidRPr="008B1480">
              <w:rPr>
                <w:rFonts w:eastAsia="Times New Roman"/>
                <w:color w:val="000000"/>
                <w:sz w:val="20"/>
                <w:szCs w:val="20"/>
                <w:lang w:eastAsia="ru-RU"/>
              </w:rPr>
              <w:t xml:space="preserve"> = время до потери вирусологического ответа).</w:t>
            </w:r>
            <w:r w:rsidRPr="008B1480">
              <w:rPr>
                <w:rFonts w:eastAsia="Times New Roman"/>
                <w:color w:val="000000"/>
                <w:sz w:val="20"/>
                <w:szCs w:val="20"/>
                <w:lang w:eastAsia="ru-RU"/>
              </w:rPr>
              <w:br/>
            </w:r>
            <w:r w:rsidRPr="00F62FA0">
              <w:rPr>
                <w:rFonts w:eastAsia="Times New Roman"/>
                <w:color w:val="000000"/>
                <w:sz w:val="20"/>
                <w:szCs w:val="20"/>
                <w:vertAlign w:val="superscript"/>
                <w:lang w:val="en-US" w:eastAsia="ru-RU"/>
              </w:rPr>
              <w:t>b</w:t>
            </w:r>
            <w:r w:rsidRPr="008B1480">
              <w:rPr>
                <w:rFonts w:eastAsia="Times New Roman"/>
                <w:color w:val="000000"/>
                <w:sz w:val="20"/>
                <w:szCs w:val="20"/>
                <w:lang w:eastAsia="ru-RU"/>
              </w:rPr>
              <w:t xml:space="preserve"> Незавершение - это </w:t>
            </w:r>
            <w:r>
              <w:rPr>
                <w:rFonts w:eastAsia="Times New Roman"/>
                <w:color w:val="000000"/>
                <w:sz w:val="20"/>
                <w:szCs w:val="20"/>
                <w:lang w:eastAsia="ru-RU"/>
              </w:rPr>
              <w:t>исключение</w:t>
            </w:r>
            <w:r w:rsidRPr="008B1480">
              <w:rPr>
                <w:rFonts w:eastAsia="Times New Roman"/>
                <w:color w:val="000000"/>
                <w:sz w:val="20"/>
                <w:szCs w:val="20"/>
                <w:lang w:eastAsia="ru-RU"/>
              </w:rPr>
              <w:t xml:space="preserve"> (</w:t>
            </w:r>
            <w:r w:rsidRPr="008B1480">
              <w:rPr>
                <w:rFonts w:eastAsia="Times New Roman"/>
                <w:color w:val="000000"/>
                <w:sz w:val="20"/>
                <w:szCs w:val="20"/>
                <w:lang w:val="en-US" w:eastAsia="ru-RU"/>
              </w:rPr>
              <w:t>NC</w:t>
            </w:r>
            <w:r w:rsidRPr="008B1480">
              <w:rPr>
                <w:rFonts w:eastAsia="Times New Roman"/>
                <w:color w:val="000000"/>
                <w:sz w:val="20"/>
                <w:szCs w:val="20"/>
                <w:lang w:eastAsia="ru-RU"/>
              </w:rPr>
              <w:t xml:space="preserve"> = </w:t>
            </w:r>
            <w:r w:rsidRPr="008B1480">
              <w:rPr>
                <w:rFonts w:eastAsia="Times New Roman"/>
                <w:color w:val="000000"/>
                <w:sz w:val="20"/>
                <w:szCs w:val="20"/>
                <w:lang w:val="en-US" w:eastAsia="ru-RU"/>
              </w:rPr>
              <w:t>F</w:t>
            </w:r>
            <w:r w:rsidRPr="008B1480">
              <w:rPr>
                <w:rFonts w:eastAsia="Times New Roman"/>
                <w:color w:val="000000"/>
                <w:sz w:val="20"/>
                <w:szCs w:val="20"/>
                <w:lang w:eastAsia="ru-RU"/>
              </w:rPr>
              <w:t>).</w:t>
            </w:r>
            <w:r w:rsidRPr="008B1480">
              <w:rPr>
                <w:rFonts w:eastAsia="Times New Roman"/>
                <w:color w:val="000000"/>
                <w:sz w:val="20"/>
                <w:szCs w:val="20"/>
                <w:lang w:eastAsia="ru-RU"/>
              </w:rPr>
              <w:br/>
            </w:r>
            <w:r w:rsidRPr="00F62FA0">
              <w:rPr>
                <w:rFonts w:eastAsia="Times New Roman"/>
                <w:color w:val="000000"/>
                <w:sz w:val="20"/>
                <w:szCs w:val="20"/>
                <w:vertAlign w:val="superscript"/>
                <w:lang w:val="en-US" w:eastAsia="ru-RU"/>
              </w:rPr>
              <w:t>c</w:t>
            </w:r>
            <w:r w:rsidRPr="008B1480">
              <w:rPr>
                <w:rFonts w:eastAsia="Times New Roman"/>
                <w:color w:val="000000"/>
                <w:sz w:val="20"/>
                <w:szCs w:val="20"/>
                <w:lang w:eastAsia="ru-RU"/>
              </w:rPr>
              <w:t xml:space="preserve"> </w:t>
            </w:r>
            <w:r w:rsidR="007D01D4">
              <w:rPr>
                <w:rFonts w:eastAsia="Times New Roman"/>
                <w:color w:val="000000"/>
                <w:sz w:val="20"/>
                <w:szCs w:val="20"/>
                <w:lang w:eastAsia="ru-RU"/>
              </w:rPr>
              <w:t>Определение раз</w:t>
            </w:r>
            <w:r w:rsidR="007D01D4" w:rsidRPr="008B1480">
              <w:rPr>
                <w:rFonts w:eastAsia="Times New Roman"/>
                <w:color w:val="000000"/>
                <w:sz w:val="20"/>
                <w:szCs w:val="20"/>
                <w:lang w:eastAsia="ru-RU"/>
              </w:rPr>
              <w:t xml:space="preserve">личия </w:t>
            </w:r>
            <w:r w:rsidRPr="008B1480">
              <w:rPr>
                <w:rFonts w:eastAsia="Times New Roman"/>
                <w:color w:val="000000"/>
                <w:sz w:val="20"/>
                <w:szCs w:val="20"/>
                <w:lang w:eastAsia="ru-RU"/>
              </w:rPr>
              <w:t xml:space="preserve">в лечении </w:t>
            </w:r>
            <w:r w:rsidR="007D01D4" w:rsidRPr="008B1480">
              <w:rPr>
                <w:rFonts w:eastAsia="Times New Roman"/>
                <w:color w:val="000000"/>
                <w:sz w:val="20"/>
                <w:szCs w:val="20"/>
                <w:lang w:eastAsia="ru-RU"/>
              </w:rPr>
              <w:t>основан</w:t>
            </w:r>
            <w:r w:rsidR="007D01D4">
              <w:rPr>
                <w:rFonts w:eastAsia="Times New Roman"/>
                <w:color w:val="000000"/>
                <w:sz w:val="20"/>
                <w:szCs w:val="20"/>
                <w:lang w:eastAsia="ru-RU"/>
              </w:rPr>
              <w:t>о</w:t>
            </w:r>
            <w:r w:rsidR="007D01D4" w:rsidRPr="008B1480">
              <w:rPr>
                <w:rFonts w:eastAsia="Times New Roman"/>
                <w:color w:val="000000"/>
                <w:sz w:val="20"/>
                <w:szCs w:val="20"/>
                <w:lang w:eastAsia="ru-RU"/>
              </w:rPr>
              <w:t xml:space="preserve"> </w:t>
            </w:r>
            <w:r w:rsidRPr="008B1480">
              <w:rPr>
                <w:rFonts w:eastAsia="Times New Roman"/>
                <w:color w:val="000000"/>
                <w:sz w:val="20"/>
                <w:szCs w:val="20"/>
                <w:lang w:eastAsia="ru-RU"/>
              </w:rPr>
              <w:t xml:space="preserve">на методе наименьших квадратов из модели </w:t>
            </w:r>
            <w:r w:rsidRPr="008B1480">
              <w:rPr>
                <w:rFonts w:eastAsia="Times New Roman"/>
                <w:color w:val="000000"/>
                <w:sz w:val="20"/>
                <w:szCs w:val="20"/>
                <w:lang w:val="en-US" w:eastAsia="ru-RU"/>
              </w:rPr>
              <w:t>ANCOVA</w:t>
            </w:r>
            <w:r w:rsidRPr="008B1480">
              <w:rPr>
                <w:rFonts w:eastAsia="Times New Roman"/>
                <w:color w:val="000000"/>
                <w:sz w:val="20"/>
                <w:szCs w:val="20"/>
                <w:lang w:eastAsia="ru-RU"/>
              </w:rPr>
              <w:t xml:space="preserve">, включая факторы стратификации. </w:t>
            </w:r>
            <w:r w:rsidR="007D01D4">
              <w:rPr>
                <w:rFonts w:eastAsia="Times New Roman"/>
                <w:color w:val="000000"/>
                <w:sz w:val="20"/>
                <w:szCs w:val="20"/>
                <w:lang w:val="en-US" w:eastAsia="ru-RU"/>
              </w:rPr>
              <w:t>p</w:t>
            </w:r>
            <w:r w:rsidRPr="008B1480">
              <w:rPr>
                <w:rFonts w:eastAsia="Times New Roman"/>
                <w:color w:val="000000"/>
                <w:sz w:val="20"/>
                <w:szCs w:val="20"/>
                <w:lang w:eastAsia="ru-RU"/>
              </w:rPr>
              <w:t xml:space="preserve">-значение &lt;0,0001 для среднего снижения РНК ВИЧ-1; </w:t>
            </w:r>
            <w:r w:rsidR="007D01D4">
              <w:rPr>
                <w:rFonts w:eastAsia="Times New Roman"/>
                <w:color w:val="000000"/>
                <w:sz w:val="20"/>
                <w:szCs w:val="20"/>
                <w:lang w:val="en-US" w:eastAsia="ru-RU"/>
              </w:rPr>
              <w:t>p</w:t>
            </w:r>
            <w:r w:rsidR="007D01D4">
              <w:rPr>
                <w:rFonts w:eastAsia="Times New Roman"/>
                <w:color w:val="000000"/>
                <w:sz w:val="20"/>
                <w:szCs w:val="20"/>
                <w:lang w:eastAsia="ru-RU"/>
              </w:rPr>
              <w:t>-значение</w:t>
            </w:r>
            <w:r w:rsidRPr="008B1480">
              <w:rPr>
                <w:rFonts w:eastAsia="Times New Roman"/>
                <w:color w:val="000000"/>
                <w:sz w:val="20"/>
                <w:szCs w:val="20"/>
                <w:lang w:eastAsia="ru-RU"/>
              </w:rPr>
              <w:t xml:space="preserve"> = 0,0006 для среднего изменения числа клеток </w:t>
            </w:r>
            <w:r w:rsidRPr="008B1480">
              <w:rPr>
                <w:rFonts w:eastAsia="Times New Roman"/>
                <w:color w:val="000000"/>
                <w:sz w:val="20"/>
                <w:szCs w:val="20"/>
                <w:lang w:val="en-US" w:eastAsia="ru-RU"/>
              </w:rPr>
              <w:t>CD</w:t>
            </w:r>
            <w:r w:rsidRPr="008B1480">
              <w:rPr>
                <w:rFonts w:eastAsia="Times New Roman"/>
                <w:color w:val="000000"/>
                <w:sz w:val="20"/>
                <w:szCs w:val="20"/>
                <w:lang w:eastAsia="ru-RU"/>
              </w:rPr>
              <w:t>4.</w:t>
            </w:r>
            <w:r w:rsidRPr="008B1480">
              <w:rPr>
                <w:rFonts w:eastAsia="Times New Roman"/>
                <w:color w:val="000000"/>
                <w:sz w:val="20"/>
                <w:szCs w:val="20"/>
                <w:lang w:eastAsia="ru-RU"/>
              </w:rPr>
              <w:br/>
            </w:r>
            <w:r w:rsidRPr="00F62FA0">
              <w:rPr>
                <w:rFonts w:eastAsia="Times New Roman"/>
                <w:color w:val="000000"/>
                <w:sz w:val="20"/>
                <w:szCs w:val="20"/>
                <w:vertAlign w:val="superscript"/>
                <w:lang w:val="en-US" w:eastAsia="ru-RU"/>
              </w:rPr>
              <w:t>d</w:t>
            </w:r>
            <w:r w:rsidRPr="008B1480">
              <w:rPr>
                <w:rFonts w:eastAsia="Times New Roman"/>
                <w:color w:val="000000"/>
                <w:sz w:val="20"/>
                <w:szCs w:val="20"/>
                <w:lang w:eastAsia="ru-RU"/>
              </w:rPr>
              <w:t xml:space="preserve"> </w:t>
            </w:r>
            <w:r>
              <w:rPr>
                <w:rFonts w:eastAsia="Times New Roman"/>
                <w:color w:val="000000"/>
                <w:sz w:val="20"/>
                <w:szCs w:val="20"/>
                <w:lang w:eastAsia="ru-RU"/>
              </w:rPr>
              <w:t>Доверительный интервал</w:t>
            </w:r>
            <w:r w:rsidRPr="008B1480">
              <w:rPr>
                <w:rFonts w:eastAsia="Times New Roman"/>
                <w:color w:val="000000"/>
                <w:sz w:val="20"/>
                <w:szCs w:val="20"/>
                <w:lang w:eastAsia="ru-RU"/>
              </w:rPr>
              <w:t xml:space="preserve"> наблюдаемой разницы в частоте ответов; </w:t>
            </w:r>
            <w:r w:rsidRPr="008B1480">
              <w:rPr>
                <w:rFonts w:eastAsia="Times New Roman"/>
                <w:color w:val="000000"/>
                <w:sz w:val="20"/>
                <w:szCs w:val="20"/>
                <w:lang w:val="en-US" w:eastAsia="ru-RU"/>
              </w:rPr>
              <w:t>P</w:t>
            </w:r>
            <w:r w:rsidRPr="008B1480">
              <w:rPr>
                <w:rFonts w:eastAsia="Times New Roman"/>
                <w:color w:val="000000"/>
                <w:sz w:val="20"/>
                <w:szCs w:val="20"/>
                <w:lang w:eastAsia="ru-RU"/>
              </w:rPr>
              <w:t>-значение &lt;0,0001 из модели логистической регрессии, включая факторы стратификации.</w:t>
            </w:r>
            <w:r w:rsidRPr="008B1480">
              <w:rPr>
                <w:rFonts w:eastAsia="Times New Roman"/>
                <w:color w:val="000000"/>
                <w:sz w:val="20"/>
                <w:szCs w:val="20"/>
                <w:lang w:eastAsia="ru-RU"/>
              </w:rPr>
              <w:br/>
            </w:r>
            <w:r w:rsidRPr="00F62FA0">
              <w:rPr>
                <w:rFonts w:eastAsia="Times New Roman"/>
                <w:color w:val="000000"/>
                <w:sz w:val="20"/>
                <w:szCs w:val="20"/>
                <w:vertAlign w:val="superscript"/>
                <w:lang w:val="en-US" w:eastAsia="ru-RU"/>
              </w:rPr>
              <w:t>e</w:t>
            </w:r>
            <w:r w:rsidRPr="008B1480">
              <w:rPr>
                <w:rFonts w:eastAsia="Times New Roman"/>
                <w:color w:val="000000"/>
                <w:sz w:val="20"/>
                <w:szCs w:val="20"/>
                <w:lang w:eastAsia="ru-RU"/>
              </w:rPr>
              <w:t xml:space="preserve"> </w:t>
            </w:r>
            <w:r>
              <w:rPr>
                <w:rFonts w:eastAsia="Times New Roman"/>
                <w:color w:val="000000"/>
                <w:sz w:val="20"/>
                <w:szCs w:val="20"/>
                <w:lang w:eastAsia="ru-RU"/>
              </w:rPr>
              <w:t>Доверительный интервал</w:t>
            </w:r>
            <w:r w:rsidRPr="008B1480">
              <w:rPr>
                <w:rFonts w:eastAsia="Times New Roman"/>
                <w:color w:val="000000"/>
                <w:sz w:val="20"/>
                <w:szCs w:val="20"/>
                <w:lang w:eastAsia="ru-RU"/>
              </w:rPr>
              <w:t xml:space="preserve"> наблюдаемой разницы в частоте ответов;</w:t>
            </w:r>
            <w:r w:rsidR="007D01D4">
              <w:rPr>
                <w:rFonts w:eastAsia="Times New Roman"/>
                <w:color w:val="000000"/>
                <w:sz w:val="20"/>
                <w:szCs w:val="20"/>
                <w:lang w:eastAsia="ru-RU"/>
              </w:rPr>
              <w:t xml:space="preserve"> </w:t>
            </w:r>
            <w:r w:rsidRPr="00F62FA0">
              <w:rPr>
                <w:rFonts w:eastAsia="Times New Roman"/>
                <w:color w:val="000000"/>
                <w:sz w:val="20"/>
                <w:szCs w:val="20"/>
                <w:lang w:val="en-US" w:eastAsia="ru-RU"/>
              </w:rPr>
              <w:t>P</w:t>
            </w:r>
            <w:r w:rsidRPr="008B1480">
              <w:rPr>
                <w:rFonts w:eastAsia="Times New Roman"/>
                <w:color w:val="000000"/>
                <w:sz w:val="20"/>
                <w:szCs w:val="20"/>
                <w:lang w:eastAsia="ru-RU"/>
              </w:rPr>
              <w:t>-</w:t>
            </w:r>
            <w:r w:rsidR="007D01D4">
              <w:rPr>
                <w:rFonts w:eastAsia="Times New Roman"/>
                <w:color w:val="000000"/>
                <w:sz w:val="20"/>
                <w:szCs w:val="20"/>
                <w:lang w:eastAsia="ru-RU"/>
              </w:rPr>
              <w:t>значение</w:t>
            </w:r>
            <w:r w:rsidR="007D01D4" w:rsidRPr="008B1480">
              <w:rPr>
                <w:rFonts w:eastAsia="Times New Roman"/>
                <w:color w:val="000000"/>
                <w:sz w:val="20"/>
                <w:szCs w:val="20"/>
                <w:lang w:eastAsia="ru-RU"/>
              </w:rPr>
              <w:t xml:space="preserve"> </w:t>
            </w:r>
            <w:r w:rsidRPr="008B1480">
              <w:rPr>
                <w:rFonts w:eastAsia="Times New Roman"/>
                <w:color w:val="000000"/>
                <w:sz w:val="20"/>
                <w:szCs w:val="20"/>
                <w:lang w:eastAsia="ru-RU"/>
              </w:rPr>
              <w:t>= 0.0408.</w:t>
            </w:r>
            <w:r w:rsidRPr="008B1480">
              <w:rPr>
                <w:rFonts w:eastAsia="Times New Roman"/>
                <w:color w:val="000000"/>
                <w:sz w:val="20"/>
                <w:szCs w:val="20"/>
                <w:lang w:eastAsia="ru-RU"/>
              </w:rPr>
              <w:br/>
            </w:r>
            <w:r w:rsidRPr="00F62FA0">
              <w:rPr>
                <w:rFonts w:eastAsia="Times New Roman"/>
                <w:color w:val="000000"/>
                <w:sz w:val="20"/>
                <w:szCs w:val="20"/>
                <w:vertAlign w:val="superscript"/>
                <w:lang w:val="en-US" w:eastAsia="ru-RU"/>
              </w:rPr>
              <w:t>f</w:t>
            </w:r>
            <w:r w:rsidRPr="008B1480">
              <w:rPr>
                <w:rFonts w:eastAsia="Times New Roman"/>
                <w:color w:val="000000"/>
                <w:sz w:val="20"/>
                <w:szCs w:val="20"/>
                <w:lang w:eastAsia="ru-RU"/>
              </w:rPr>
              <w:t xml:space="preserve"> </w:t>
            </w:r>
            <w:r>
              <w:rPr>
                <w:rFonts w:eastAsia="Times New Roman"/>
                <w:color w:val="000000"/>
                <w:sz w:val="20"/>
                <w:szCs w:val="20"/>
                <w:lang w:eastAsia="ru-RU"/>
              </w:rPr>
              <w:t>Доверительный интервал</w:t>
            </w:r>
            <w:r w:rsidRPr="008B1480">
              <w:rPr>
                <w:rFonts w:eastAsia="Times New Roman"/>
                <w:color w:val="000000"/>
                <w:sz w:val="20"/>
                <w:szCs w:val="20"/>
                <w:lang w:eastAsia="ru-RU"/>
              </w:rPr>
              <w:t xml:space="preserve"> наблюдаемой разницы в частоте ответов; </w:t>
            </w:r>
            <w:r w:rsidRPr="00F62FA0">
              <w:rPr>
                <w:rFonts w:eastAsia="Times New Roman"/>
                <w:color w:val="000000"/>
                <w:sz w:val="20"/>
                <w:szCs w:val="20"/>
                <w:lang w:val="en-US" w:eastAsia="ru-RU"/>
              </w:rPr>
              <w:t>P</w:t>
            </w:r>
            <w:r w:rsidRPr="008B1480">
              <w:rPr>
                <w:rFonts w:eastAsia="Times New Roman"/>
                <w:color w:val="000000"/>
                <w:sz w:val="20"/>
                <w:szCs w:val="20"/>
                <w:lang w:eastAsia="ru-RU"/>
              </w:rPr>
              <w:t>-</w:t>
            </w:r>
            <w:r w:rsidR="007D01D4">
              <w:rPr>
                <w:rFonts w:eastAsia="Times New Roman"/>
                <w:color w:val="000000"/>
                <w:sz w:val="20"/>
                <w:szCs w:val="20"/>
                <w:lang w:eastAsia="ru-RU"/>
              </w:rPr>
              <w:t>значение</w:t>
            </w:r>
            <w:r w:rsidR="007D01D4" w:rsidRPr="008B1480">
              <w:rPr>
                <w:rFonts w:eastAsia="Times New Roman"/>
                <w:color w:val="000000"/>
                <w:sz w:val="20"/>
                <w:szCs w:val="20"/>
                <w:lang w:eastAsia="ru-RU"/>
              </w:rPr>
              <w:t xml:space="preserve"> </w:t>
            </w:r>
            <w:r>
              <w:rPr>
                <w:rFonts w:eastAsia="Times New Roman"/>
                <w:color w:val="000000"/>
                <w:sz w:val="20"/>
                <w:szCs w:val="20"/>
                <w:lang w:eastAsia="ru-RU"/>
              </w:rPr>
              <w:t>для</w:t>
            </w:r>
            <w:r w:rsidRPr="008B1480">
              <w:rPr>
                <w:rFonts w:eastAsia="Times New Roman"/>
                <w:color w:val="000000"/>
                <w:sz w:val="20"/>
                <w:szCs w:val="20"/>
                <w:lang w:eastAsia="ru-RU"/>
              </w:rPr>
              <w:t xml:space="preserve"> </w:t>
            </w:r>
            <w:r w:rsidRPr="00F62FA0">
              <w:rPr>
                <w:rFonts w:eastAsia="Times New Roman"/>
                <w:color w:val="000000"/>
                <w:sz w:val="20"/>
                <w:szCs w:val="20"/>
                <w:lang w:val="en-US" w:eastAsia="ru-RU"/>
              </w:rPr>
              <w:t>CMH</w:t>
            </w:r>
            <w:r>
              <w:rPr>
                <w:rFonts w:eastAsia="Times New Roman"/>
                <w:color w:val="000000"/>
                <w:sz w:val="20"/>
                <w:szCs w:val="20"/>
                <w:lang w:eastAsia="ru-RU"/>
              </w:rPr>
              <w:t>-теста</w:t>
            </w:r>
            <w:r w:rsidRPr="008B1480">
              <w:rPr>
                <w:rFonts w:eastAsia="Times New Roman"/>
                <w:color w:val="000000"/>
                <w:sz w:val="20"/>
                <w:szCs w:val="20"/>
                <w:lang w:eastAsia="ru-RU"/>
              </w:rPr>
              <w:t xml:space="preserve"> с учетом факторов стратификации = 0,0199 для </w:t>
            </w:r>
            <w:r w:rsidRPr="008B0B82">
              <w:rPr>
                <w:rFonts w:eastAsia="Times New Roman"/>
                <w:i/>
                <w:color w:val="000000"/>
                <w:sz w:val="20"/>
                <w:szCs w:val="20"/>
                <w:lang w:val="en-US" w:eastAsia="ru-RU"/>
              </w:rPr>
              <w:t>de</w:t>
            </w:r>
            <w:r w:rsidRPr="008B0B82">
              <w:rPr>
                <w:rFonts w:eastAsia="Times New Roman"/>
                <w:i/>
                <w:color w:val="000000"/>
                <w:sz w:val="20"/>
                <w:szCs w:val="20"/>
                <w:lang w:eastAsia="ru-RU"/>
              </w:rPr>
              <w:t xml:space="preserve"> </w:t>
            </w:r>
            <w:r w:rsidRPr="008B0B82">
              <w:rPr>
                <w:rFonts w:eastAsia="Times New Roman"/>
                <w:i/>
                <w:color w:val="000000"/>
                <w:sz w:val="20"/>
                <w:szCs w:val="20"/>
                <w:lang w:val="en-US" w:eastAsia="ru-RU"/>
              </w:rPr>
              <w:t>novo</w:t>
            </w:r>
            <w:r w:rsidRPr="008B1480">
              <w:rPr>
                <w:rFonts w:eastAsia="Times New Roman"/>
                <w:color w:val="000000"/>
                <w:sz w:val="20"/>
                <w:szCs w:val="20"/>
                <w:lang w:eastAsia="ru-RU"/>
              </w:rPr>
              <w:t xml:space="preserve"> и &lt;0,0001 для </w:t>
            </w:r>
            <w:r w:rsidRPr="008B0B82">
              <w:rPr>
                <w:rFonts w:eastAsia="Times New Roman"/>
                <w:i/>
                <w:color w:val="000000"/>
                <w:sz w:val="20"/>
                <w:szCs w:val="20"/>
                <w:lang w:val="en-US" w:eastAsia="ru-RU"/>
              </w:rPr>
              <w:t>non</w:t>
            </w:r>
            <w:r w:rsidRPr="008B0B82">
              <w:rPr>
                <w:rFonts w:eastAsia="Times New Roman"/>
                <w:i/>
                <w:color w:val="000000"/>
                <w:sz w:val="20"/>
                <w:szCs w:val="20"/>
                <w:lang w:eastAsia="ru-RU"/>
              </w:rPr>
              <w:t xml:space="preserve"> </w:t>
            </w:r>
            <w:r w:rsidRPr="008B0B82">
              <w:rPr>
                <w:rFonts w:eastAsia="Times New Roman"/>
                <w:i/>
                <w:color w:val="000000"/>
                <w:sz w:val="20"/>
                <w:szCs w:val="20"/>
                <w:lang w:val="en-US" w:eastAsia="ru-RU"/>
              </w:rPr>
              <w:t>de</w:t>
            </w:r>
            <w:r w:rsidRPr="008B0B82">
              <w:rPr>
                <w:rFonts w:eastAsia="Times New Roman"/>
                <w:i/>
                <w:color w:val="000000"/>
                <w:sz w:val="20"/>
                <w:szCs w:val="20"/>
                <w:lang w:eastAsia="ru-RU"/>
              </w:rPr>
              <w:t xml:space="preserve"> </w:t>
            </w:r>
            <w:r w:rsidRPr="008B0B82">
              <w:rPr>
                <w:rFonts w:eastAsia="Times New Roman"/>
                <w:i/>
                <w:color w:val="000000"/>
                <w:sz w:val="20"/>
                <w:szCs w:val="20"/>
                <w:lang w:val="en-US" w:eastAsia="ru-RU"/>
              </w:rPr>
              <w:t>novo</w:t>
            </w:r>
            <w:r w:rsidRPr="008B1480">
              <w:rPr>
                <w:rFonts w:eastAsia="Times New Roman"/>
                <w:color w:val="000000"/>
                <w:sz w:val="20"/>
                <w:szCs w:val="20"/>
                <w:lang w:eastAsia="ru-RU"/>
              </w:rPr>
              <w:t>.</w:t>
            </w:r>
          </w:p>
          <w:p w14:paraId="0F474E0D" w14:textId="67520C5A" w:rsidR="007D01D4" w:rsidRPr="008B1480" w:rsidRDefault="007D01D4" w:rsidP="008B0B82">
            <w:pPr>
              <w:jc w:val="left"/>
              <w:rPr>
                <w:rFonts w:eastAsia="Times New Roman"/>
                <w:color w:val="000000"/>
                <w:sz w:val="20"/>
                <w:szCs w:val="20"/>
                <w:lang w:eastAsia="ru-RU"/>
              </w:rPr>
            </w:pPr>
            <w:r>
              <w:rPr>
                <w:rFonts w:eastAsia="Times New Roman"/>
                <w:color w:val="000000"/>
                <w:sz w:val="20"/>
                <w:szCs w:val="20"/>
                <w:lang w:eastAsia="ru-RU"/>
              </w:rPr>
              <w:t>БТ – базовая терапия.</w:t>
            </w:r>
          </w:p>
        </w:tc>
      </w:tr>
    </w:tbl>
    <w:p w14:paraId="3BEF2FDC" w14:textId="77777777" w:rsidR="00447C82" w:rsidRDefault="00447C82" w:rsidP="001C0A37">
      <w:pPr>
        <w:pStyle w:val="affb"/>
        <w:spacing w:before="0" w:after="0" w:line="240" w:lineRule="auto"/>
        <w:ind w:firstLine="709"/>
      </w:pPr>
    </w:p>
    <w:p w14:paraId="26D4C331" w14:textId="5897A31E" w:rsidR="00A11664" w:rsidRPr="00EE1D8E" w:rsidRDefault="00A11664" w:rsidP="008B0B82">
      <w:pPr>
        <w:pStyle w:val="affb"/>
        <w:spacing w:before="0" w:after="0" w:line="240" w:lineRule="auto"/>
        <w:ind w:firstLine="709"/>
      </w:pPr>
      <w:r w:rsidRPr="00EE1D8E">
        <w:t>Поскольку наблюдалось значительное взаимодействие между этравирином энфувиртидом</w:t>
      </w:r>
      <w:r w:rsidR="00241A58" w:rsidRPr="00EE1D8E">
        <w:t xml:space="preserve"> (</w:t>
      </w:r>
      <w:r w:rsidRPr="00EE1D8E">
        <w:t>ENF</w:t>
      </w:r>
      <w:r w:rsidR="00241A58" w:rsidRPr="00EE1D8E">
        <w:t>)</w:t>
      </w:r>
      <w:r w:rsidRPr="00EE1D8E">
        <w:t>, первичный анализ был</w:t>
      </w:r>
      <w:r w:rsidR="00241A58" w:rsidRPr="00EE1D8E">
        <w:t xml:space="preserve"> проведен </w:t>
      </w:r>
      <w:r w:rsidRPr="00241A58">
        <w:t xml:space="preserve">для 2 страт ENF (пациенты, повторно использующие или не использующие ENF, по сравнению с пациентами, использующими ENF </w:t>
      </w:r>
      <w:r w:rsidRPr="008B0B82">
        <w:rPr>
          <w:i/>
        </w:rPr>
        <w:t>de novo</w:t>
      </w:r>
      <w:r w:rsidRPr="00EE1D8E">
        <w:t>).</w:t>
      </w:r>
      <w:r w:rsidR="00241A58" w:rsidRPr="00EE1D8E">
        <w:t xml:space="preserve"> По результатам</w:t>
      </w:r>
      <w:r w:rsidRPr="00EE1D8E">
        <w:t xml:space="preserve"> объединенного анализа DUET-1 и DUET-2 на 48-й неделе</w:t>
      </w:r>
      <w:r w:rsidRPr="00241A58">
        <w:t>, этравирин</w:t>
      </w:r>
      <w:r w:rsidR="00241A58" w:rsidRPr="00241A58">
        <w:t xml:space="preserve"> </w:t>
      </w:r>
      <w:r w:rsidRPr="00241A58">
        <w:t xml:space="preserve">превосходил плацебо независимо от того, использовался ли ENF </w:t>
      </w:r>
      <w:r w:rsidRPr="008B0B82">
        <w:rPr>
          <w:i/>
        </w:rPr>
        <w:t>de novo</w:t>
      </w:r>
      <w:r w:rsidRPr="00EE1D8E">
        <w:t xml:space="preserve"> (p = 0,0199) или</w:t>
      </w:r>
      <w:r w:rsidR="00241A58" w:rsidRPr="00EE1D8E">
        <w:t xml:space="preserve"> </w:t>
      </w:r>
      <w:r w:rsidRPr="00EE1D8E">
        <w:t xml:space="preserve">нет (р &lt; 0,0001). Результаты этого анализа (данные недели 48) по </w:t>
      </w:r>
      <w:r w:rsidR="00241A58" w:rsidRPr="00EE1D8E">
        <w:t>стратам в соответствии с приемом</w:t>
      </w:r>
      <w:r w:rsidRPr="00EE1D8E">
        <w:t xml:space="preserve"> ENF </w:t>
      </w:r>
      <w:r w:rsidR="00241A58" w:rsidRPr="00EE1D8E">
        <w:t>представлены</w:t>
      </w:r>
      <w:r w:rsidRPr="00EE1D8E">
        <w:t xml:space="preserve"> в таблице </w:t>
      </w:r>
      <w:r w:rsidR="00241A58" w:rsidRPr="00EE1D8E">
        <w:t>4-3</w:t>
      </w:r>
      <w:r w:rsidRPr="00EE1D8E">
        <w:t>.</w:t>
      </w:r>
    </w:p>
    <w:p w14:paraId="3B9D4453" w14:textId="60834401" w:rsidR="00A11664" w:rsidRPr="00EE1D8E" w:rsidRDefault="00A11664" w:rsidP="008B0B82">
      <w:pPr>
        <w:pStyle w:val="affb"/>
        <w:spacing w:before="0" w:after="0" w:line="240" w:lineRule="auto"/>
        <w:ind w:firstLine="709"/>
      </w:pPr>
      <w:r w:rsidRPr="00954791">
        <w:t>По данным 48-недельного анализа (</w:t>
      </w:r>
      <w:r w:rsidRPr="00795D03">
        <w:t xml:space="preserve">таблица 4-3), значительно большее количество пациентов, получавших этравирин, чем плацебо, достигло вирусной нагрузки ВИЧ &lt;50 копий/мл (60,6 </w:t>
      </w:r>
      <w:r w:rsidRPr="00795D03">
        <w:rPr>
          <w:lang w:val="en-US"/>
        </w:rPr>
        <w:t>vs</w:t>
      </w:r>
      <w:r w:rsidRPr="0037611F">
        <w:t xml:space="preserve">. 39,7% </w:t>
      </w:r>
      <w:r w:rsidRPr="00124A6B">
        <w:t xml:space="preserve">соответственно; </w:t>
      </w:r>
      <w:r w:rsidRPr="008B0B82">
        <w:rPr>
          <w:lang w:val="en-US"/>
        </w:rPr>
        <w:t>p</w:t>
      </w:r>
      <w:r w:rsidRPr="008B0B82">
        <w:t xml:space="preserve"> &lt;0,0001), а доля пациентов, как минимум, с одним подтвержденным или вероятно связанным со СПИДом заболеванием/смертельным исходом была значительно меньше (5,8 против 9,8%; p = 0,0408) </w:t>
      </w:r>
      <w:r w:rsidRPr="008B0B82">
        <w:fldChar w:fldCharType="begin"/>
      </w:r>
      <w:r w:rsidRPr="008B0B82">
        <w:instrText xml:space="preserve"> ADDIN ZOTERO_ITEM CSL_CITATION {"citationID":"usjkHNOg","properties":{"formattedCitation":"(64)","plainCitation":"(64)","noteIndex":0},"citationItems":[{"id":2630,"uris":["http://zotero.org/users/5483459/items/LZI5IBAG"],"itemData":{"id":2630,"type":"webpage","title":"Efficacy and safety of etravirine in treatment-experienced, HIV-1 patients: pooled 48 week analysis of two randomized, controlled trials - PubMed","URL":"https://pubmed.ncbi.nlm.nih.gov/19710593/","accessed":{"date-parts":[["2022",8,23]]}}}],"schema":"https://github.com/citation-style-language/schema/raw/master/csl-citation.json"} </w:instrText>
      </w:r>
      <w:r w:rsidRPr="008B0B82">
        <w:fldChar w:fldCharType="separate"/>
      </w:r>
      <w:r w:rsidRPr="008B0B82">
        <w:t>[64, 23]</w:t>
      </w:r>
      <w:r w:rsidRPr="008B0B82">
        <w:fldChar w:fldCharType="end"/>
      </w:r>
      <w:r>
        <w:t>.</w:t>
      </w:r>
    </w:p>
    <w:p w14:paraId="47528558" w14:textId="4528C2E3" w:rsidR="00447C82" w:rsidRPr="00F61FFB" w:rsidRDefault="00447C82" w:rsidP="00EA34B0">
      <w:pPr>
        <w:ind w:firstLine="709"/>
        <w:contextualSpacing/>
      </w:pPr>
      <w:r w:rsidRPr="008B1480">
        <w:t xml:space="preserve">Анализ </w:t>
      </w:r>
      <w:r w:rsidR="00241A58">
        <w:t xml:space="preserve">в </w:t>
      </w:r>
      <w:r w:rsidR="006C7287" w:rsidRPr="008B1480">
        <w:t>подгрупп</w:t>
      </w:r>
      <w:r w:rsidR="006C7287">
        <w:t xml:space="preserve">ах </w:t>
      </w:r>
      <w:r w:rsidR="00241A58">
        <w:t>по</w:t>
      </w:r>
      <w:r w:rsidRPr="008B1480">
        <w:t xml:space="preserve"> </w:t>
      </w:r>
      <w:r w:rsidR="00241A58" w:rsidRPr="008B1480">
        <w:t>вирусологическо</w:t>
      </w:r>
      <w:r w:rsidR="00241A58">
        <w:t>му</w:t>
      </w:r>
      <w:r w:rsidR="00241A58" w:rsidRPr="008B1480">
        <w:t xml:space="preserve"> ответ</w:t>
      </w:r>
      <w:r w:rsidR="00241A58">
        <w:t>у</w:t>
      </w:r>
      <w:r w:rsidR="00241A58" w:rsidRPr="008B1480">
        <w:t xml:space="preserve"> </w:t>
      </w:r>
      <w:r w:rsidRPr="008B1480">
        <w:t>(</w:t>
      </w:r>
      <w:r w:rsidR="00241A58" w:rsidRPr="008B1480">
        <w:t>определяемо</w:t>
      </w:r>
      <w:r w:rsidR="00241A58">
        <w:t>му</w:t>
      </w:r>
      <w:r w:rsidR="00241A58" w:rsidRPr="008B1480">
        <w:t xml:space="preserve"> </w:t>
      </w:r>
      <w:r w:rsidRPr="008B1480">
        <w:t xml:space="preserve">как вирусная нагрузка &lt;50 копий РНК ВИЧ-1/мл) на 48-й неделе по исходной вирусной нагрузке и исходному количеству </w:t>
      </w:r>
      <w:r w:rsidRPr="008B1480">
        <w:rPr>
          <w:lang w:val="en-US"/>
        </w:rPr>
        <w:t>CD</w:t>
      </w:r>
      <w:r w:rsidRPr="008B1480">
        <w:t xml:space="preserve">4 (объединенные данные </w:t>
      </w:r>
      <w:r w:rsidRPr="008B1480">
        <w:rPr>
          <w:lang w:val="en-US"/>
        </w:rPr>
        <w:t>DUET</w:t>
      </w:r>
      <w:r w:rsidRPr="008B1480">
        <w:t xml:space="preserve">) представлен в </w:t>
      </w:r>
      <w:r w:rsidR="00B244C2" w:rsidRPr="00B244C2">
        <w:t>таблице 4-4</w:t>
      </w:r>
      <w:r w:rsidR="00C8797E" w:rsidRPr="00B244C2">
        <w:t xml:space="preserve"> </w:t>
      </w:r>
      <w:r w:rsidR="00EA34B0" w:rsidRPr="00EA34B0">
        <w:t>[23].</w:t>
      </w:r>
    </w:p>
    <w:p w14:paraId="2296FAF6" w14:textId="77777777" w:rsidR="00EA34B0" w:rsidRPr="00F61FFB" w:rsidRDefault="00EA34B0" w:rsidP="00EA34B0">
      <w:pPr>
        <w:ind w:firstLine="709"/>
        <w:contextualSpacing/>
      </w:pPr>
    </w:p>
    <w:p w14:paraId="43D25EEE" w14:textId="47C95AED" w:rsidR="00447C82" w:rsidRPr="00492CF6" w:rsidRDefault="00B244C2" w:rsidP="00447C82">
      <w:pPr>
        <w:contextualSpacing/>
      </w:pPr>
      <w:r w:rsidRPr="00B244C2">
        <w:rPr>
          <w:b/>
        </w:rPr>
        <w:t>Таблица 4-4</w:t>
      </w:r>
      <w:r w:rsidR="00147F06">
        <w:rPr>
          <w:b/>
        </w:rPr>
        <w:t>.</w:t>
      </w:r>
      <w:r w:rsidR="00447C82" w:rsidRPr="00B244C2">
        <w:t xml:space="preserve"> </w:t>
      </w:r>
      <w:r w:rsidR="00447C82">
        <w:t xml:space="preserve">Объединенные данные исследований </w:t>
      </w:r>
      <w:r w:rsidR="00447C82" w:rsidRPr="00F62FA0">
        <w:rPr>
          <w:lang w:val="en-US"/>
        </w:rPr>
        <w:t>DUET</w:t>
      </w:r>
      <w:r w:rsidR="00447C82" w:rsidRPr="00492CF6">
        <w:t xml:space="preserve">-1 </w:t>
      </w:r>
      <w:r w:rsidR="00447C82">
        <w:t>и</w:t>
      </w:r>
      <w:r w:rsidR="00447C82" w:rsidRPr="00492CF6">
        <w:t xml:space="preserve"> </w:t>
      </w:r>
      <w:r w:rsidR="00447C82" w:rsidRPr="00F62FA0">
        <w:rPr>
          <w:lang w:val="en-US"/>
        </w:rPr>
        <w:t>DUET</w:t>
      </w:r>
      <w:r w:rsidR="00447C82">
        <w:t>-2.</w:t>
      </w:r>
    </w:p>
    <w:tbl>
      <w:tblPr>
        <w:tblW w:w="9371" w:type="dxa"/>
        <w:tblInd w:w="-5" w:type="dxa"/>
        <w:tblLook w:val="04A0" w:firstRow="1" w:lastRow="0" w:firstColumn="1" w:lastColumn="0" w:noHBand="0" w:noVBand="1"/>
      </w:tblPr>
      <w:tblGrid>
        <w:gridCol w:w="4410"/>
        <w:gridCol w:w="2409"/>
        <w:gridCol w:w="2552"/>
      </w:tblGrid>
      <w:tr w:rsidR="00447C82" w:rsidRPr="00492CF6" w14:paraId="423CF4CC" w14:textId="77777777" w:rsidTr="00421CA0">
        <w:trPr>
          <w:trHeight w:val="540"/>
          <w:tblHeader/>
        </w:trPr>
        <w:tc>
          <w:tcPr>
            <w:tcW w:w="441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90A1C1" w14:textId="77777777" w:rsidR="00447C82" w:rsidRPr="001C3254" w:rsidRDefault="00447C82" w:rsidP="008B0B82">
            <w:pPr>
              <w:jc w:val="center"/>
              <w:rPr>
                <w:rFonts w:eastAsia="Times New Roman"/>
                <w:b/>
                <w:bCs/>
                <w:color w:val="000000"/>
                <w:lang w:eastAsia="ru-RU"/>
              </w:rPr>
            </w:pPr>
            <w:r>
              <w:rPr>
                <w:rFonts w:eastAsia="Times New Roman"/>
                <w:b/>
                <w:bCs/>
                <w:color w:val="000000"/>
                <w:lang w:eastAsia="ru-RU"/>
              </w:rPr>
              <w:t>Подгруппы</w:t>
            </w:r>
          </w:p>
        </w:tc>
        <w:tc>
          <w:tcPr>
            <w:tcW w:w="49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9A6C63" w14:textId="77777777" w:rsidR="00447C82" w:rsidRPr="00492CF6" w:rsidRDefault="00447C82" w:rsidP="008B0B82">
            <w:pPr>
              <w:jc w:val="center"/>
              <w:rPr>
                <w:rFonts w:eastAsia="Times New Roman"/>
                <w:b/>
                <w:bCs/>
                <w:color w:val="000000"/>
                <w:lang w:eastAsia="ru-RU"/>
              </w:rPr>
            </w:pPr>
            <w:r w:rsidRPr="00492CF6">
              <w:rPr>
                <w:rFonts w:eastAsia="Times New Roman"/>
                <w:b/>
                <w:bCs/>
                <w:color w:val="000000"/>
                <w:lang w:eastAsia="ru-RU"/>
              </w:rPr>
              <w:t>Доля субъектов с РНК ВИЧ-1 &lt; 50 копий/мл на 48-й неделе</w:t>
            </w:r>
          </w:p>
        </w:tc>
      </w:tr>
      <w:tr w:rsidR="00447C82" w:rsidRPr="001C3254" w14:paraId="0315A829" w14:textId="77777777" w:rsidTr="00421CA0">
        <w:trPr>
          <w:trHeight w:val="570"/>
          <w:tblHeader/>
        </w:trPr>
        <w:tc>
          <w:tcPr>
            <w:tcW w:w="441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7FFFD" w14:textId="77777777" w:rsidR="00447C82" w:rsidRPr="00492CF6" w:rsidRDefault="00447C82" w:rsidP="008B0B82">
            <w:pPr>
              <w:jc w:val="center"/>
              <w:rPr>
                <w:rFonts w:eastAsia="Times New Roman"/>
                <w:b/>
                <w:bCs/>
                <w:color w:val="000000"/>
                <w:lang w:eastAsia="ru-RU"/>
              </w:rPr>
            </w:pPr>
          </w:p>
        </w:tc>
        <w:tc>
          <w:tcPr>
            <w:tcW w:w="2409" w:type="dxa"/>
            <w:tcBorders>
              <w:top w:val="single" w:sz="4" w:space="0" w:color="auto"/>
              <w:left w:val="nil"/>
              <w:bottom w:val="nil"/>
              <w:right w:val="single" w:sz="4" w:space="0" w:color="auto"/>
            </w:tcBorders>
            <w:shd w:val="clear" w:color="auto" w:fill="D9D9D9" w:themeFill="background1" w:themeFillShade="D9"/>
            <w:vAlign w:val="center"/>
            <w:hideMark/>
          </w:tcPr>
          <w:p w14:paraId="77746A7E" w14:textId="77777777" w:rsidR="00447C82" w:rsidRPr="001C3254" w:rsidRDefault="00447C82" w:rsidP="00EE1D8E">
            <w:pPr>
              <w:jc w:val="center"/>
              <w:rPr>
                <w:rFonts w:eastAsia="Times New Roman"/>
                <w:b/>
                <w:bCs/>
                <w:color w:val="000000"/>
                <w:lang w:eastAsia="ru-RU"/>
              </w:rPr>
            </w:pPr>
            <w:r>
              <w:rPr>
                <w:rFonts w:eastAsia="Times New Roman"/>
                <w:b/>
                <w:bCs/>
                <w:color w:val="000000"/>
                <w:lang w:eastAsia="ru-RU"/>
              </w:rPr>
              <w:t xml:space="preserve">Этравирин + БТ           </w:t>
            </w:r>
            <w:r w:rsidRPr="001C3254">
              <w:rPr>
                <w:rFonts w:eastAsia="Times New Roman"/>
                <w:b/>
                <w:bCs/>
                <w:color w:val="000000"/>
                <w:lang w:eastAsia="ru-RU"/>
              </w:rPr>
              <w:t xml:space="preserve"> N = 599</w:t>
            </w:r>
          </w:p>
        </w:tc>
        <w:tc>
          <w:tcPr>
            <w:tcW w:w="2552" w:type="dxa"/>
            <w:tcBorders>
              <w:top w:val="single" w:sz="4" w:space="0" w:color="auto"/>
              <w:left w:val="nil"/>
              <w:bottom w:val="nil"/>
              <w:right w:val="single" w:sz="4" w:space="0" w:color="auto"/>
            </w:tcBorders>
            <w:shd w:val="clear" w:color="auto" w:fill="D9D9D9" w:themeFill="background1" w:themeFillShade="D9"/>
            <w:vAlign w:val="center"/>
            <w:hideMark/>
          </w:tcPr>
          <w:p w14:paraId="48265EF5" w14:textId="77777777" w:rsidR="00447C82" w:rsidRPr="001C3254" w:rsidRDefault="00447C82" w:rsidP="00EE1D8E">
            <w:pPr>
              <w:jc w:val="center"/>
              <w:rPr>
                <w:rFonts w:eastAsia="Times New Roman"/>
                <w:b/>
                <w:bCs/>
                <w:color w:val="000000"/>
                <w:lang w:eastAsia="ru-RU"/>
              </w:rPr>
            </w:pPr>
            <w:r>
              <w:rPr>
                <w:rFonts w:eastAsia="Times New Roman"/>
                <w:b/>
                <w:bCs/>
                <w:color w:val="000000"/>
                <w:lang w:eastAsia="ru-RU"/>
              </w:rPr>
              <w:t xml:space="preserve">Плацебо + БТ                </w:t>
            </w:r>
            <w:r w:rsidRPr="001C3254">
              <w:rPr>
                <w:rFonts w:eastAsia="Times New Roman"/>
                <w:b/>
                <w:bCs/>
                <w:color w:val="000000"/>
                <w:lang w:eastAsia="ru-RU"/>
              </w:rPr>
              <w:t xml:space="preserve"> N = 604</w:t>
            </w:r>
          </w:p>
        </w:tc>
      </w:tr>
      <w:tr w:rsidR="00447C82" w:rsidRPr="001C3254" w14:paraId="58ED1117" w14:textId="77777777" w:rsidTr="00421CA0">
        <w:trPr>
          <w:trHeight w:val="290"/>
        </w:trPr>
        <w:tc>
          <w:tcPr>
            <w:tcW w:w="4410" w:type="dxa"/>
            <w:tcBorders>
              <w:top w:val="single" w:sz="4" w:space="0" w:color="auto"/>
              <w:left w:val="single" w:sz="4" w:space="0" w:color="auto"/>
              <w:bottom w:val="nil"/>
              <w:right w:val="single" w:sz="4" w:space="0" w:color="auto"/>
            </w:tcBorders>
            <w:shd w:val="clear" w:color="auto" w:fill="auto"/>
            <w:noWrap/>
            <w:vAlign w:val="bottom"/>
            <w:hideMark/>
          </w:tcPr>
          <w:p w14:paraId="70E0E77C" w14:textId="77777777" w:rsidR="00447C82" w:rsidRPr="001C3254" w:rsidRDefault="00447C82" w:rsidP="00447C82">
            <w:pPr>
              <w:rPr>
                <w:rFonts w:eastAsia="Times New Roman"/>
                <w:color w:val="000000"/>
                <w:lang w:eastAsia="ru-RU"/>
              </w:rPr>
            </w:pPr>
            <w:r w:rsidRPr="00492CF6">
              <w:rPr>
                <w:rFonts w:eastAsia="Times New Roman"/>
                <w:color w:val="000000"/>
                <w:lang w:eastAsia="ru-RU"/>
              </w:rPr>
              <w:t>Исходный уровень РНК ВИЧ-1</w:t>
            </w:r>
          </w:p>
        </w:tc>
        <w:tc>
          <w:tcPr>
            <w:tcW w:w="2409" w:type="dxa"/>
            <w:tcBorders>
              <w:top w:val="single" w:sz="4" w:space="0" w:color="auto"/>
              <w:left w:val="nil"/>
              <w:bottom w:val="nil"/>
              <w:right w:val="single" w:sz="4" w:space="0" w:color="auto"/>
            </w:tcBorders>
            <w:shd w:val="clear" w:color="auto" w:fill="auto"/>
            <w:noWrap/>
            <w:vAlign w:val="bottom"/>
            <w:hideMark/>
          </w:tcPr>
          <w:p w14:paraId="7F1D81E5" w14:textId="77777777" w:rsidR="00447C82" w:rsidRPr="001C3254" w:rsidRDefault="00447C82" w:rsidP="00447C82">
            <w:pPr>
              <w:jc w:val="center"/>
              <w:rPr>
                <w:rFonts w:eastAsia="Times New Roman"/>
                <w:color w:val="000000"/>
                <w:lang w:eastAsia="ru-RU"/>
              </w:rPr>
            </w:pPr>
            <w:r w:rsidRPr="001C3254">
              <w:rPr>
                <w:rFonts w:eastAsia="Times New Roman"/>
                <w:color w:val="000000"/>
                <w:lang w:eastAsia="ru-RU"/>
              </w:rPr>
              <w:t> </w:t>
            </w:r>
          </w:p>
        </w:tc>
        <w:tc>
          <w:tcPr>
            <w:tcW w:w="2552" w:type="dxa"/>
            <w:tcBorders>
              <w:top w:val="single" w:sz="4" w:space="0" w:color="auto"/>
              <w:left w:val="nil"/>
              <w:bottom w:val="nil"/>
              <w:right w:val="single" w:sz="4" w:space="0" w:color="auto"/>
            </w:tcBorders>
            <w:shd w:val="clear" w:color="auto" w:fill="auto"/>
            <w:noWrap/>
            <w:vAlign w:val="bottom"/>
            <w:hideMark/>
          </w:tcPr>
          <w:p w14:paraId="2A0D3D15" w14:textId="77777777" w:rsidR="00447C82" w:rsidRPr="001C3254" w:rsidRDefault="00447C82" w:rsidP="00447C82">
            <w:pPr>
              <w:jc w:val="center"/>
              <w:rPr>
                <w:rFonts w:eastAsia="Times New Roman"/>
                <w:color w:val="000000"/>
                <w:lang w:eastAsia="ru-RU"/>
              </w:rPr>
            </w:pPr>
            <w:r w:rsidRPr="001C3254">
              <w:rPr>
                <w:rFonts w:eastAsia="Times New Roman"/>
                <w:color w:val="000000"/>
                <w:lang w:eastAsia="ru-RU"/>
              </w:rPr>
              <w:t> </w:t>
            </w:r>
          </w:p>
        </w:tc>
      </w:tr>
      <w:tr w:rsidR="00447C82" w:rsidRPr="001C3254" w14:paraId="1C34258B" w14:textId="77777777" w:rsidTr="00421CA0">
        <w:trPr>
          <w:trHeight w:val="290"/>
        </w:trPr>
        <w:tc>
          <w:tcPr>
            <w:tcW w:w="4410" w:type="dxa"/>
            <w:tcBorders>
              <w:top w:val="nil"/>
              <w:left w:val="single" w:sz="4" w:space="0" w:color="auto"/>
              <w:bottom w:val="nil"/>
              <w:right w:val="single" w:sz="4" w:space="0" w:color="auto"/>
            </w:tcBorders>
            <w:shd w:val="clear" w:color="auto" w:fill="auto"/>
            <w:noWrap/>
            <w:vAlign w:val="bottom"/>
            <w:hideMark/>
          </w:tcPr>
          <w:p w14:paraId="19B57D9E" w14:textId="4F766347" w:rsidR="00447C82" w:rsidRPr="001C3254" w:rsidRDefault="00447C82">
            <w:pPr>
              <w:rPr>
                <w:rFonts w:eastAsia="Times New Roman"/>
                <w:color w:val="000000"/>
                <w:lang w:eastAsia="ru-RU"/>
              </w:rPr>
            </w:pPr>
            <w:r w:rsidRPr="001C3254">
              <w:rPr>
                <w:rFonts w:eastAsia="Times New Roman"/>
                <w:color w:val="000000"/>
                <w:lang w:eastAsia="ru-RU"/>
              </w:rPr>
              <w:t>&lt; 30</w:t>
            </w:r>
            <w:r w:rsidR="004133BB">
              <w:rPr>
                <w:rFonts w:eastAsia="Times New Roman"/>
                <w:color w:val="000000"/>
                <w:lang w:eastAsia="ru-RU"/>
              </w:rPr>
              <w:t> </w:t>
            </w:r>
            <w:r w:rsidRPr="001C3254">
              <w:rPr>
                <w:rFonts w:eastAsia="Times New Roman"/>
                <w:color w:val="000000"/>
                <w:lang w:eastAsia="ru-RU"/>
              </w:rPr>
              <w:t xml:space="preserve">000 </w:t>
            </w:r>
            <w:r>
              <w:rPr>
                <w:rFonts w:eastAsia="Times New Roman"/>
                <w:color w:val="000000"/>
                <w:lang w:eastAsia="ru-RU"/>
              </w:rPr>
              <w:t>копий/мл</w:t>
            </w:r>
          </w:p>
        </w:tc>
        <w:tc>
          <w:tcPr>
            <w:tcW w:w="2409" w:type="dxa"/>
            <w:tcBorders>
              <w:top w:val="nil"/>
              <w:left w:val="nil"/>
              <w:bottom w:val="nil"/>
              <w:right w:val="single" w:sz="4" w:space="0" w:color="auto"/>
            </w:tcBorders>
            <w:shd w:val="clear" w:color="auto" w:fill="auto"/>
            <w:noWrap/>
            <w:vAlign w:val="bottom"/>
            <w:hideMark/>
          </w:tcPr>
          <w:p w14:paraId="62A0DD34" w14:textId="54CE0C4D" w:rsidR="00447C82" w:rsidRPr="001C3254" w:rsidRDefault="00447C82" w:rsidP="00447C82">
            <w:pPr>
              <w:jc w:val="center"/>
              <w:rPr>
                <w:rFonts w:eastAsia="Times New Roman"/>
                <w:color w:val="000000"/>
                <w:lang w:eastAsia="ru-RU"/>
              </w:rPr>
            </w:pPr>
            <w:r w:rsidRPr="001C3254">
              <w:rPr>
                <w:rFonts w:eastAsia="Times New Roman"/>
                <w:color w:val="000000"/>
                <w:lang w:eastAsia="ru-RU"/>
              </w:rPr>
              <w:t>75</w:t>
            </w:r>
            <w:r w:rsidR="00241A58">
              <w:rPr>
                <w:rFonts w:eastAsia="Times New Roman"/>
                <w:color w:val="000000"/>
                <w:lang w:eastAsia="ru-RU"/>
              </w:rPr>
              <w:t>,</w:t>
            </w:r>
            <w:r w:rsidRPr="001C3254">
              <w:rPr>
                <w:rFonts w:eastAsia="Times New Roman"/>
                <w:color w:val="000000"/>
                <w:lang w:eastAsia="ru-RU"/>
              </w:rPr>
              <w:t>8%</w:t>
            </w:r>
          </w:p>
        </w:tc>
        <w:tc>
          <w:tcPr>
            <w:tcW w:w="2552" w:type="dxa"/>
            <w:tcBorders>
              <w:top w:val="nil"/>
              <w:left w:val="nil"/>
              <w:bottom w:val="nil"/>
              <w:right w:val="single" w:sz="4" w:space="0" w:color="auto"/>
            </w:tcBorders>
            <w:shd w:val="clear" w:color="auto" w:fill="auto"/>
            <w:noWrap/>
            <w:vAlign w:val="bottom"/>
            <w:hideMark/>
          </w:tcPr>
          <w:p w14:paraId="505306AE" w14:textId="7FBAC4AE" w:rsidR="00447C82" w:rsidRPr="001C3254" w:rsidRDefault="00447C82" w:rsidP="00447C82">
            <w:pPr>
              <w:jc w:val="center"/>
              <w:rPr>
                <w:rFonts w:eastAsia="Times New Roman"/>
                <w:color w:val="000000"/>
                <w:lang w:eastAsia="ru-RU"/>
              </w:rPr>
            </w:pPr>
            <w:r w:rsidRPr="001C3254">
              <w:rPr>
                <w:rFonts w:eastAsia="Times New Roman"/>
                <w:color w:val="000000"/>
                <w:lang w:eastAsia="ru-RU"/>
              </w:rPr>
              <w:t>55</w:t>
            </w:r>
            <w:r w:rsidR="00241A58">
              <w:rPr>
                <w:rFonts w:eastAsia="Times New Roman"/>
                <w:color w:val="000000"/>
                <w:lang w:eastAsia="ru-RU"/>
              </w:rPr>
              <w:t>,</w:t>
            </w:r>
            <w:r w:rsidRPr="001C3254">
              <w:rPr>
                <w:rFonts w:eastAsia="Times New Roman"/>
                <w:color w:val="000000"/>
                <w:lang w:eastAsia="ru-RU"/>
              </w:rPr>
              <w:t>7%</w:t>
            </w:r>
          </w:p>
        </w:tc>
      </w:tr>
      <w:tr w:rsidR="00447C82" w:rsidRPr="001C3254" w14:paraId="5DD666F8" w14:textId="77777777" w:rsidTr="00421CA0">
        <w:trPr>
          <w:trHeight w:val="290"/>
        </w:trPr>
        <w:tc>
          <w:tcPr>
            <w:tcW w:w="4410" w:type="dxa"/>
            <w:tcBorders>
              <w:top w:val="nil"/>
              <w:left w:val="single" w:sz="4" w:space="0" w:color="auto"/>
              <w:bottom w:val="nil"/>
              <w:right w:val="single" w:sz="4" w:space="0" w:color="auto"/>
            </w:tcBorders>
            <w:shd w:val="clear" w:color="auto" w:fill="auto"/>
            <w:noWrap/>
            <w:vAlign w:val="bottom"/>
            <w:hideMark/>
          </w:tcPr>
          <w:p w14:paraId="1791014B" w14:textId="2A037D8C" w:rsidR="00447C82" w:rsidRPr="001C3254" w:rsidRDefault="00447C82">
            <w:pPr>
              <w:rPr>
                <w:rFonts w:eastAsia="Times New Roman"/>
                <w:color w:val="000000"/>
                <w:lang w:eastAsia="ru-RU"/>
              </w:rPr>
            </w:pPr>
            <w:r>
              <w:rPr>
                <w:rFonts w:eastAsia="Times New Roman"/>
                <w:color w:val="000000"/>
                <w:lang w:eastAsia="ru-RU"/>
              </w:rPr>
              <w:t>≥ 30</w:t>
            </w:r>
            <w:r w:rsidR="004133BB">
              <w:rPr>
                <w:rFonts w:eastAsia="Times New Roman"/>
                <w:color w:val="000000"/>
                <w:lang w:eastAsia="ru-RU"/>
              </w:rPr>
              <w:t> </w:t>
            </w:r>
            <w:r>
              <w:rPr>
                <w:rFonts w:eastAsia="Times New Roman"/>
                <w:color w:val="000000"/>
                <w:lang w:eastAsia="ru-RU"/>
              </w:rPr>
              <w:t>000 и</w:t>
            </w:r>
            <w:r w:rsidRPr="001C3254">
              <w:rPr>
                <w:rFonts w:eastAsia="Times New Roman"/>
                <w:color w:val="000000"/>
                <w:lang w:eastAsia="ru-RU"/>
              </w:rPr>
              <w:t xml:space="preserve"> &lt; 100</w:t>
            </w:r>
            <w:r w:rsidR="004133BB">
              <w:rPr>
                <w:rFonts w:eastAsia="Times New Roman"/>
                <w:color w:val="000000"/>
                <w:lang w:eastAsia="ru-RU"/>
              </w:rPr>
              <w:t> </w:t>
            </w:r>
            <w:r w:rsidRPr="001C3254">
              <w:rPr>
                <w:rFonts w:eastAsia="Times New Roman"/>
                <w:color w:val="000000"/>
                <w:lang w:eastAsia="ru-RU"/>
              </w:rPr>
              <w:t xml:space="preserve">000 </w:t>
            </w:r>
            <w:r>
              <w:rPr>
                <w:rFonts w:eastAsia="Times New Roman"/>
                <w:color w:val="000000"/>
                <w:lang w:eastAsia="ru-RU"/>
              </w:rPr>
              <w:t>копий/мл</w:t>
            </w:r>
          </w:p>
        </w:tc>
        <w:tc>
          <w:tcPr>
            <w:tcW w:w="2409" w:type="dxa"/>
            <w:tcBorders>
              <w:top w:val="nil"/>
              <w:left w:val="nil"/>
              <w:bottom w:val="nil"/>
              <w:right w:val="single" w:sz="4" w:space="0" w:color="auto"/>
            </w:tcBorders>
            <w:shd w:val="clear" w:color="auto" w:fill="auto"/>
            <w:noWrap/>
            <w:vAlign w:val="bottom"/>
            <w:hideMark/>
          </w:tcPr>
          <w:p w14:paraId="30EB4BC6" w14:textId="3B1837D4" w:rsidR="00447C82" w:rsidRPr="001C3254" w:rsidRDefault="00447C82" w:rsidP="00447C82">
            <w:pPr>
              <w:jc w:val="center"/>
              <w:rPr>
                <w:rFonts w:eastAsia="Times New Roman"/>
                <w:color w:val="000000"/>
                <w:lang w:eastAsia="ru-RU"/>
              </w:rPr>
            </w:pPr>
            <w:r w:rsidRPr="001C3254">
              <w:rPr>
                <w:rFonts w:eastAsia="Times New Roman"/>
                <w:color w:val="000000"/>
                <w:lang w:eastAsia="ru-RU"/>
              </w:rPr>
              <w:t>61</w:t>
            </w:r>
            <w:r w:rsidR="00241A58">
              <w:rPr>
                <w:rFonts w:eastAsia="Times New Roman"/>
                <w:color w:val="000000"/>
                <w:lang w:eastAsia="ru-RU"/>
              </w:rPr>
              <w:t>,</w:t>
            </w:r>
            <w:r w:rsidRPr="001C3254">
              <w:rPr>
                <w:rFonts w:eastAsia="Times New Roman"/>
                <w:color w:val="000000"/>
                <w:lang w:eastAsia="ru-RU"/>
              </w:rPr>
              <w:t>2%</w:t>
            </w:r>
          </w:p>
        </w:tc>
        <w:tc>
          <w:tcPr>
            <w:tcW w:w="2552" w:type="dxa"/>
            <w:tcBorders>
              <w:top w:val="nil"/>
              <w:left w:val="nil"/>
              <w:bottom w:val="nil"/>
              <w:right w:val="single" w:sz="4" w:space="0" w:color="auto"/>
            </w:tcBorders>
            <w:shd w:val="clear" w:color="auto" w:fill="auto"/>
            <w:noWrap/>
            <w:vAlign w:val="bottom"/>
            <w:hideMark/>
          </w:tcPr>
          <w:p w14:paraId="4DC6C73E" w14:textId="2B229A28" w:rsidR="00447C82" w:rsidRPr="001C3254" w:rsidRDefault="00447C82" w:rsidP="00447C82">
            <w:pPr>
              <w:jc w:val="center"/>
              <w:rPr>
                <w:rFonts w:eastAsia="Times New Roman"/>
                <w:color w:val="000000"/>
                <w:lang w:eastAsia="ru-RU"/>
              </w:rPr>
            </w:pPr>
            <w:r w:rsidRPr="001C3254">
              <w:rPr>
                <w:rFonts w:eastAsia="Times New Roman"/>
                <w:color w:val="000000"/>
                <w:lang w:eastAsia="ru-RU"/>
              </w:rPr>
              <w:t>38</w:t>
            </w:r>
            <w:r w:rsidR="00241A58">
              <w:rPr>
                <w:rFonts w:eastAsia="Times New Roman"/>
                <w:color w:val="000000"/>
                <w:lang w:eastAsia="ru-RU"/>
              </w:rPr>
              <w:t>,</w:t>
            </w:r>
            <w:r w:rsidRPr="001C3254">
              <w:rPr>
                <w:rFonts w:eastAsia="Times New Roman"/>
                <w:color w:val="000000"/>
                <w:lang w:eastAsia="ru-RU"/>
              </w:rPr>
              <w:t>5%</w:t>
            </w:r>
          </w:p>
        </w:tc>
      </w:tr>
      <w:tr w:rsidR="00447C82" w:rsidRPr="001C3254" w14:paraId="6EF56B4B" w14:textId="77777777" w:rsidTr="00421CA0">
        <w:trPr>
          <w:trHeight w:val="29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14:paraId="053922F2" w14:textId="1222E8BB" w:rsidR="00447C82" w:rsidRPr="001C3254" w:rsidRDefault="00447C82">
            <w:pPr>
              <w:rPr>
                <w:rFonts w:eastAsia="Times New Roman"/>
                <w:color w:val="000000"/>
                <w:lang w:eastAsia="ru-RU"/>
              </w:rPr>
            </w:pPr>
            <w:r w:rsidRPr="001C3254">
              <w:rPr>
                <w:rFonts w:eastAsia="Times New Roman"/>
                <w:color w:val="000000"/>
                <w:lang w:eastAsia="ru-RU"/>
              </w:rPr>
              <w:t>≥ 100</w:t>
            </w:r>
            <w:r w:rsidR="004133BB">
              <w:rPr>
                <w:rFonts w:eastAsia="Times New Roman"/>
                <w:color w:val="000000"/>
                <w:lang w:eastAsia="ru-RU"/>
              </w:rPr>
              <w:t> </w:t>
            </w:r>
            <w:r w:rsidRPr="001C3254">
              <w:rPr>
                <w:rFonts w:eastAsia="Times New Roman"/>
                <w:color w:val="000000"/>
                <w:lang w:eastAsia="ru-RU"/>
              </w:rPr>
              <w:t xml:space="preserve">000 </w:t>
            </w:r>
            <w:r>
              <w:rPr>
                <w:rFonts w:eastAsia="Times New Roman"/>
                <w:color w:val="000000"/>
                <w:lang w:eastAsia="ru-RU"/>
              </w:rPr>
              <w:t>копий/мл</w:t>
            </w:r>
          </w:p>
        </w:tc>
        <w:tc>
          <w:tcPr>
            <w:tcW w:w="2409" w:type="dxa"/>
            <w:tcBorders>
              <w:top w:val="nil"/>
              <w:left w:val="nil"/>
              <w:bottom w:val="single" w:sz="4" w:space="0" w:color="auto"/>
              <w:right w:val="single" w:sz="4" w:space="0" w:color="auto"/>
            </w:tcBorders>
            <w:shd w:val="clear" w:color="auto" w:fill="auto"/>
            <w:noWrap/>
            <w:vAlign w:val="bottom"/>
            <w:hideMark/>
          </w:tcPr>
          <w:p w14:paraId="7BFE5223" w14:textId="6980B7B6" w:rsidR="00447C82" w:rsidRPr="001C3254" w:rsidRDefault="00447C82" w:rsidP="00447C82">
            <w:pPr>
              <w:jc w:val="center"/>
              <w:rPr>
                <w:rFonts w:eastAsia="Times New Roman"/>
                <w:color w:val="000000"/>
                <w:lang w:eastAsia="ru-RU"/>
              </w:rPr>
            </w:pPr>
            <w:r w:rsidRPr="001C3254">
              <w:rPr>
                <w:rFonts w:eastAsia="Times New Roman"/>
                <w:color w:val="000000"/>
                <w:lang w:eastAsia="ru-RU"/>
              </w:rPr>
              <w:t>49</w:t>
            </w:r>
            <w:r w:rsidR="00241A58">
              <w:rPr>
                <w:rFonts w:eastAsia="Times New Roman"/>
                <w:color w:val="000000"/>
                <w:lang w:eastAsia="ru-RU"/>
              </w:rPr>
              <w:t>,</w:t>
            </w:r>
            <w:r w:rsidRPr="001C3254">
              <w:rPr>
                <w:rFonts w:eastAsia="Times New Roman"/>
                <w:color w:val="000000"/>
                <w:lang w:eastAsia="ru-RU"/>
              </w:rPr>
              <w:t>1%</w:t>
            </w:r>
          </w:p>
        </w:tc>
        <w:tc>
          <w:tcPr>
            <w:tcW w:w="2552" w:type="dxa"/>
            <w:tcBorders>
              <w:top w:val="nil"/>
              <w:left w:val="nil"/>
              <w:bottom w:val="single" w:sz="4" w:space="0" w:color="auto"/>
              <w:right w:val="single" w:sz="4" w:space="0" w:color="auto"/>
            </w:tcBorders>
            <w:shd w:val="clear" w:color="auto" w:fill="auto"/>
            <w:noWrap/>
            <w:vAlign w:val="bottom"/>
            <w:hideMark/>
          </w:tcPr>
          <w:p w14:paraId="66A1F9B4" w14:textId="0A14B064" w:rsidR="00447C82" w:rsidRPr="001C3254" w:rsidRDefault="00447C82" w:rsidP="00447C82">
            <w:pPr>
              <w:jc w:val="center"/>
              <w:rPr>
                <w:rFonts w:eastAsia="Times New Roman"/>
                <w:color w:val="000000"/>
                <w:lang w:eastAsia="ru-RU"/>
              </w:rPr>
            </w:pPr>
            <w:r w:rsidRPr="001C3254">
              <w:rPr>
                <w:rFonts w:eastAsia="Times New Roman"/>
                <w:color w:val="000000"/>
                <w:lang w:eastAsia="ru-RU"/>
              </w:rPr>
              <w:t>28</w:t>
            </w:r>
            <w:r w:rsidR="00241A58">
              <w:rPr>
                <w:rFonts w:eastAsia="Times New Roman"/>
                <w:color w:val="000000"/>
                <w:lang w:eastAsia="ru-RU"/>
              </w:rPr>
              <w:t>,</w:t>
            </w:r>
            <w:r w:rsidRPr="001C3254">
              <w:rPr>
                <w:rFonts w:eastAsia="Times New Roman"/>
                <w:color w:val="000000"/>
                <w:lang w:eastAsia="ru-RU"/>
              </w:rPr>
              <w:t>1%</w:t>
            </w:r>
          </w:p>
        </w:tc>
      </w:tr>
      <w:tr w:rsidR="00447C82" w:rsidRPr="00492CF6" w14:paraId="318DBC8F" w14:textId="77777777" w:rsidTr="00421CA0">
        <w:trPr>
          <w:trHeight w:val="290"/>
        </w:trPr>
        <w:tc>
          <w:tcPr>
            <w:tcW w:w="4410" w:type="dxa"/>
            <w:tcBorders>
              <w:top w:val="nil"/>
              <w:left w:val="single" w:sz="4" w:space="0" w:color="auto"/>
              <w:bottom w:val="nil"/>
              <w:right w:val="single" w:sz="4" w:space="0" w:color="auto"/>
            </w:tcBorders>
            <w:shd w:val="clear" w:color="auto" w:fill="auto"/>
            <w:noWrap/>
            <w:vAlign w:val="bottom"/>
            <w:hideMark/>
          </w:tcPr>
          <w:p w14:paraId="58221494" w14:textId="77777777" w:rsidR="00447C82" w:rsidRPr="00492CF6" w:rsidRDefault="00447C82" w:rsidP="00447C82">
            <w:pPr>
              <w:rPr>
                <w:rFonts w:eastAsia="Times New Roman"/>
                <w:color w:val="000000"/>
                <w:lang w:eastAsia="ru-RU"/>
              </w:rPr>
            </w:pPr>
            <w:r>
              <w:rPr>
                <w:rFonts w:eastAsia="Times New Roman"/>
                <w:color w:val="000000"/>
                <w:lang w:eastAsia="ru-RU"/>
              </w:rPr>
              <w:t>Исходный уровень</w:t>
            </w:r>
            <w:r w:rsidRPr="00492CF6">
              <w:rPr>
                <w:rFonts w:eastAsia="Times New Roman"/>
                <w:color w:val="000000"/>
                <w:lang w:eastAsia="ru-RU"/>
              </w:rPr>
              <w:t xml:space="preserve"> </w:t>
            </w:r>
            <w:r>
              <w:rPr>
                <w:rFonts w:eastAsia="Times New Roman"/>
                <w:color w:val="000000"/>
                <w:lang w:val="en-US" w:eastAsia="ru-RU"/>
              </w:rPr>
              <w:t>CD</w:t>
            </w:r>
            <w:r w:rsidRPr="00492CF6">
              <w:rPr>
                <w:rFonts w:eastAsia="Times New Roman"/>
                <w:color w:val="000000"/>
                <w:lang w:eastAsia="ru-RU"/>
              </w:rPr>
              <w:t>4 (</w:t>
            </w:r>
            <w:r w:rsidRPr="001C3254">
              <w:rPr>
                <w:rFonts w:eastAsia="Times New Roman"/>
                <w:color w:val="000000"/>
                <w:lang w:val="en-US" w:eastAsia="ru-RU"/>
              </w:rPr>
              <w:t>x</w:t>
            </w:r>
            <w:r w:rsidRPr="00492CF6">
              <w:rPr>
                <w:rFonts w:eastAsia="Times New Roman"/>
                <w:color w:val="000000"/>
                <w:lang w:eastAsia="ru-RU"/>
              </w:rPr>
              <w:t xml:space="preserve"> 10 6 /</w:t>
            </w:r>
            <w:r w:rsidRPr="001C3254">
              <w:rPr>
                <w:rFonts w:eastAsia="Times New Roman"/>
                <w:color w:val="000000"/>
                <w:lang w:val="en-US" w:eastAsia="ru-RU"/>
              </w:rPr>
              <w:t>l</w:t>
            </w:r>
            <w:r w:rsidRPr="00492CF6">
              <w:rPr>
                <w:rFonts w:eastAsia="Times New Roman"/>
                <w:color w:val="000000"/>
                <w:lang w:eastAsia="ru-RU"/>
              </w:rPr>
              <w:t>)</w:t>
            </w:r>
          </w:p>
        </w:tc>
        <w:tc>
          <w:tcPr>
            <w:tcW w:w="2409" w:type="dxa"/>
            <w:tcBorders>
              <w:top w:val="nil"/>
              <w:left w:val="nil"/>
              <w:bottom w:val="nil"/>
              <w:right w:val="single" w:sz="4" w:space="0" w:color="auto"/>
            </w:tcBorders>
            <w:shd w:val="clear" w:color="auto" w:fill="auto"/>
            <w:noWrap/>
            <w:vAlign w:val="bottom"/>
            <w:hideMark/>
          </w:tcPr>
          <w:p w14:paraId="2E7C6708" w14:textId="77777777" w:rsidR="00447C82" w:rsidRPr="00492CF6" w:rsidRDefault="00447C82" w:rsidP="00447C82">
            <w:pPr>
              <w:jc w:val="center"/>
              <w:rPr>
                <w:rFonts w:eastAsia="Times New Roman"/>
                <w:color w:val="000000"/>
                <w:lang w:eastAsia="ru-RU"/>
              </w:rPr>
            </w:pPr>
            <w:r w:rsidRPr="001C3254">
              <w:rPr>
                <w:rFonts w:eastAsia="Times New Roman"/>
                <w:color w:val="000000"/>
                <w:lang w:val="en-US" w:eastAsia="ru-RU"/>
              </w:rPr>
              <w:t> </w:t>
            </w:r>
          </w:p>
        </w:tc>
        <w:tc>
          <w:tcPr>
            <w:tcW w:w="2552" w:type="dxa"/>
            <w:tcBorders>
              <w:top w:val="nil"/>
              <w:left w:val="nil"/>
              <w:bottom w:val="nil"/>
              <w:right w:val="single" w:sz="4" w:space="0" w:color="auto"/>
            </w:tcBorders>
            <w:shd w:val="clear" w:color="auto" w:fill="auto"/>
            <w:noWrap/>
            <w:vAlign w:val="bottom"/>
            <w:hideMark/>
          </w:tcPr>
          <w:p w14:paraId="75895BA5" w14:textId="77777777" w:rsidR="00447C82" w:rsidRPr="00492CF6" w:rsidRDefault="00447C82" w:rsidP="00447C82">
            <w:pPr>
              <w:jc w:val="center"/>
              <w:rPr>
                <w:rFonts w:eastAsia="Times New Roman"/>
                <w:color w:val="000000"/>
                <w:lang w:eastAsia="ru-RU"/>
              </w:rPr>
            </w:pPr>
            <w:r w:rsidRPr="001C3254">
              <w:rPr>
                <w:rFonts w:eastAsia="Times New Roman"/>
                <w:color w:val="000000"/>
                <w:lang w:val="en-US" w:eastAsia="ru-RU"/>
              </w:rPr>
              <w:t> </w:t>
            </w:r>
          </w:p>
        </w:tc>
      </w:tr>
      <w:tr w:rsidR="00447C82" w:rsidRPr="001C3254" w14:paraId="79E2631D" w14:textId="77777777" w:rsidTr="00421CA0">
        <w:trPr>
          <w:trHeight w:val="290"/>
        </w:trPr>
        <w:tc>
          <w:tcPr>
            <w:tcW w:w="4410" w:type="dxa"/>
            <w:tcBorders>
              <w:top w:val="nil"/>
              <w:left w:val="single" w:sz="4" w:space="0" w:color="auto"/>
              <w:bottom w:val="nil"/>
              <w:right w:val="single" w:sz="4" w:space="0" w:color="auto"/>
            </w:tcBorders>
            <w:shd w:val="clear" w:color="auto" w:fill="auto"/>
            <w:noWrap/>
            <w:vAlign w:val="bottom"/>
            <w:hideMark/>
          </w:tcPr>
          <w:p w14:paraId="258777EB" w14:textId="77777777" w:rsidR="00447C82" w:rsidRPr="001C3254" w:rsidRDefault="00447C82" w:rsidP="00447C82">
            <w:pPr>
              <w:rPr>
                <w:rFonts w:eastAsia="Times New Roman"/>
                <w:color w:val="000000"/>
                <w:lang w:eastAsia="ru-RU"/>
              </w:rPr>
            </w:pPr>
            <w:r w:rsidRPr="001C3254">
              <w:rPr>
                <w:rFonts w:eastAsia="Times New Roman"/>
                <w:color w:val="000000"/>
                <w:lang w:eastAsia="ru-RU"/>
              </w:rPr>
              <w:t>&lt; 50</w:t>
            </w:r>
          </w:p>
        </w:tc>
        <w:tc>
          <w:tcPr>
            <w:tcW w:w="2409" w:type="dxa"/>
            <w:tcBorders>
              <w:top w:val="nil"/>
              <w:left w:val="nil"/>
              <w:bottom w:val="nil"/>
              <w:right w:val="single" w:sz="4" w:space="0" w:color="auto"/>
            </w:tcBorders>
            <w:shd w:val="clear" w:color="auto" w:fill="auto"/>
            <w:noWrap/>
            <w:vAlign w:val="bottom"/>
            <w:hideMark/>
          </w:tcPr>
          <w:p w14:paraId="59102E2A" w14:textId="56BF95B0" w:rsidR="00447C82" w:rsidRPr="001C3254" w:rsidRDefault="00447C82" w:rsidP="00447C82">
            <w:pPr>
              <w:jc w:val="center"/>
              <w:rPr>
                <w:rFonts w:eastAsia="Times New Roman"/>
                <w:color w:val="000000"/>
                <w:lang w:eastAsia="ru-RU"/>
              </w:rPr>
            </w:pPr>
            <w:r w:rsidRPr="001C3254">
              <w:rPr>
                <w:rFonts w:eastAsia="Times New Roman"/>
                <w:color w:val="000000"/>
                <w:lang w:eastAsia="ru-RU"/>
              </w:rPr>
              <w:t>45</w:t>
            </w:r>
            <w:r w:rsidR="00241A58">
              <w:rPr>
                <w:rFonts w:eastAsia="Times New Roman"/>
                <w:color w:val="000000"/>
                <w:lang w:eastAsia="ru-RU"/>
              </w:rPr>
              <w:t>,</w:t>
            </w:r>
            <w:r w:rsidRPr="001C3254">
              <w:rPr>
                <w:rFonts w:eastAsia="Times New Roman"/>
                <w:color w:val="000000"/>
                <w:lang w:eastAsia="ru-RU"/>
              </w:rPr>
              <w:t>1%</w:t>
            </w:r>
          </w:p>
        </w:tc>
        <w:tc>
          <w:tcPr>
            <w:tcW w:w="2552" w:type="dxa"/>
            <w:tcBorders>
              <w:top w:val="nil"/>
              <w:left w:val="nil"/>
              <w:bottom w:val="nil"/>
              <w:right w:val="single" w:sz="4" w:space="0" w:color="auto"/>
            </w:tcBorders>
            <w:shd w:val="clear" w:color="auto" w:fill="auto"/>
            <w:noWrap/>
            <w:vAlign w:val="bottom"/>
            <w:hideMark/>
          </w:tcPr>
          <w:p w14:paraId="5CC7D926" w14:textId="0EDE64F8" w:rsidR="00447C82" w:rsidRPr="001C3254" w:rsidRDefault="00447C82" w:rsidP="00447C82">
            <w:pPr>
              <w:jc w:val="center"/>
              <w:rPr>
                <w:rFonts w:eastAsia="Times New Roman"/>
                <w:color w:val="000000"/>
                <w:lang w:eastAsia="ru-RU"/>
              </w:rPr>
            </w:pPr>
            <w:r w:rsidRPr="001C3254">
              <w:rPr>
                <w:rFonts w:eastAsia="Times New Roman"/>
                <w:color w:val="000000"/>
                <w:lang w:eastAsia="ru-RU"/>
              </w:rPr>
              <w:t>21</w:t>
            </w:r>
            <w:r w:rsidR="00241A58">
              <w:rPr>
                <w:rFonts w:eastAsia="Times New Roman"/>
                <w:color w:val="000000"/>
                <w:lang w:eastAsia="ru-RU"/>
              </w:rPr>
              <w:t>,</w:t>
            </w:r>
            <w:r w:rsidRPr="001C3254">
              <w:rPr>
                <w:rFonts w:eastAsia="Times New Roman"/>
                <w:color w:val="000000"/>
                <w:lang w:eastAsia="ru-RU"/>
              </w:rPr>
              <w:t>5%</w:t>
            </w:r>
          </w:p>
        </w:tc>
      </w:tr>
      <w:tr w:rsidR="00447C82" w:rsidRPr="001C3254" w14:paraId="5F2CA557" w14:textId="77777777" w:rsidTr="00421CA0">
        <w:trPr>
          <w:trHeight w:val="290"/>
        </w:trPr>
        <w:tc>
          <w:tcPr>
            <w:tcW w:w="4410" w:type="dxa"/>
            <w:tcBorders>
              <w:top w:val="nil"/>
              <w:left w:val="single" w:sz="4" w:space="0" w:color="auto"/>
              <w:bottom w:val="nil"/>
              <w:right w:val="single" w:sz="4" w:space="0" w:color="auto"/>
            </w:tcBorders>
            <w:shd w:val="clear" w:color="auto" w:fill="auto"/>
            <w:noWrap/>
            <w:vAlign w:val="bottom"/>
            <w:hideMark/>
          </w:tcPr>
          <w:p w14:paraId="7D014758" w14:textId="77777777" w:rsidR="00447C82" w:rsidRPr="001C3254" w:rsidRDefault="00447C82" w:rsidP="00447C82">
            <w:pPr>
              <w:rPr>
                <w:rFonts w:eastAsia="Times New Roman"/>
                <w:color w:val="000000"/>
                <w:lang w:eastAsia="ru-RU"/>
              </w:rPr>
            </w:pPr>
            <w:r>
              <w:rPr>
                <w:rFonts w:eastAsia="Times New Roman"/>
                <w:color w:val="000000"/>
                <w:lang w:eastAsia="ru-RU"/>
              </w:rPr>
              <w:t xml:space="preserve">≥ 50 </w:t>
            </w:r>
            <w:r w:rsidRPr="001C3254">
              <w:rPr>
                <w:rFonts w:eastAsia="Times New Roman"/>
                <w:color w:val="000000"/>
                <w:lang w:eastAsia="ru-RU"/>
              </w:rPr>
              <w:t xml:space="preserve"> &lt; 200</w:t>
            </w:r>
          </w:p>
        </w:tc>
        <w:tc>
          <w:tcPr>
            <w:tcW w:w="2409" w:type="dxa"/>
            <w:tcBorders>
              <w:top w:val="nil"/>
              <w:left w:val="nil"/>
              <w:bottom w:val="nil"/>
              <w:right w:val="single" w:sz="4" w:space="0" w:color="auto"/>
            </w:tcBorders>
            <w:shd w:val="clear" w:color="auto" w:fill="auto"/>
            <w:noWrap/>
            <w:vAlign w:val="bottom"/>
            <w:hideMark/>
          </w:tcPr>
          <w:p w14:paraId="351AE5E4" w14:textId="04D44461" w:rsidR="00447C82" w:rsidRPr="001C3254" w:rsidRDefault="00447C82" w:rsidP="00447C82">
            <w:pPr>
              <w:jc w:val="center"/>
              <w:rPr>
                <w:rFonts w:eastAsia="Times New Roman"/>
                <w:color w:val="000000"/>
                <w:lang w:eastAsia="ru-RU"/>
              </w:rPr>
            </w:pPr>
            <w:r w:rsidRPr="001C3254">
              <w:rPr>
                <w:rFonts w:eastAsia="Times New Roman"/>
                <w:color w:val="000000"/>
                <w:lang w:eastAsia="ru-RU"/>
              </w:rPr>
              <w:t>65</w:t>
            </w:r>
            <w:r w:rsidR="00241A58">
              <w:rPr>
                <w:rFonts w:eastAsia="Times New Roman"/>
                <w:color w:val="000000"/>
                <w:lang w:eastAsia="ru-RU"/>
              </w:rPr>
              <w:t>,</w:t>
            </w:r>
            <w:r w:rsidRPr="001C3254">
              <w:rPr>
                <w:rFonts w:eastAsia="Times New Roman"/>
                <w:color w:val="000000"/>
                <w:lang w:eastAsia="ru-RU"/>
              </w:rPr>
              <w:t>4%</w:t>
            </w:r>
          </w:p>
        </w:tc>
        <w:tc>
          <w:tcPr>
            <w:tcW w:w="2552" w:type="dxa"/>
            <w:tcBorders>
              <w:top w:val="nil"/>
              <w:left w:val="nil"/>
              <w:bottom w:val="nil"/>
              <w:right w:val="single" w:sz="4" w:space="0" w:color="auto"/>
            </w:tcBorders>
            <w:shd w:val="clear" w:color="auto" w:fill="auto"/>
            <w:noWrap/>
            <w:vAlign w:val="bottom"/>
            <w:hideMark/>
          </w:tcPr>
          <w:p w14:paraId="63F23D75" w14:textId="5E4FFF40" w:rsidR="00447C82" w:rsidRPr="001C3254" w:rsidRDefault="00447C82" w:rsidP="00447C82">
            <w:pPr>
              <w:jc w:val="center"/>
              <w:rPr>
                <w:rFonts w:eastAsia="Times New Roman"/>
                <w:color w:val="000000"/>
                <w:lang w:eastAsia="ru-RU"/>
              </w:rPr>
            </w:pPr>
            <w:r w:rsidRPr="001C3254">
              <w:rPr>
                <w:rFonts w:eastAsia="Times New Roman"/>
                <w:color w:val="000000"/>
                <w:lang w:eastAsia="ru-RU"/>
              </w:rPr>
              <w:t>47</w:t>
            </w:r>
            <w:r w:rsidR="00241A58">
              <w:rPr>
                <w:rFonts w:eastAsia="Times New Roman"/>
                <w:color w:val="000000"/>
                <w:lang w:eastAsia="ru-RU"/>
              </w:rPr>
              <w:t>,</w:t>
            </w:r>
            <w:r w:rsidRPr="001C3254">
              <w:rPr>
                <w:rFonts w:eastAsia="Times New Roman"/>
                <w:color w:val="000000"/>
                <w:lang w:eastAsia="ru-RU"/>
              </w:rPr>
              <w:t>6%</w:t>
            </w:r>
          </w:p>
        </w:tc>
      </w:tr>
      <w:tr w:rsidR="00447C82" w:rsidRPr="001C3254" w14:paraId="12C66696" w14:textId="77777777" w:rsidTr="00421CA0">
        <w:trPr>
          <w:trHeight w:val="290"/>
        </w:trPr>
        <w:tc>
          <w:tcPr>
            <w:tcW w:w="4410" w:type="dxa"/>
            <w:tcBorders>
              <w:top w:val="nil"/>
              <w:left w:val="single" w:sz="4" w:space="0" w:color="auto"/>
              <w:bottom w:val="nil"/>
              <w:right w:val="single" w:sz="4" w:space="0" w:color="auto"/>
            </w:tcBorders>
            <w:shd w:val="clear" w:color="auto" w:fill="auto"/>
            <w:noWrap/>
            <w:vAlign w:val="bottom"/>
            <w:hideMark/>
          </w:tcPr>
          <w:p w14:paraId="4ECFF3C4" w14:textId="77777777" w:rsidR="00447C82" w:rsidRPr="001C3254" w:rsidRDefault="00447C82" w:rsidP="00447C82">
            <w:pPr>
              <w:rPr>
                <w:rFonts w:eastAsia="Times New Roman"/>
                <w:color w:val="000000"/>
                <w:lang w:eastAsia="ru-RU"/>
              </w:rPr>
            </w:pPr>
            <w:r>
              <w:rPr>
                <w:rFonts w:eastAsia="Times New Roman"/>
                <w:color w:val="000000"/>
                <w:lang w:eastAsia="ru-RU"/>
              </w:rPr>
              <w:t xml:space="preserve">≥ 200 </w:t>
            </w:r>
            <w:r w:rsidRPr="001C3254">
              <w:rPr>
                <w:rFonts w:eastAsia="Times New Roman"/>
                <w:color w:val="000000"/>
                <w:lang w:eastAsia="ru-RU"/>
              </w:rPr>
              <w:t xml:space="preserve"> &lt; 350</w:t>
            </w:r>
          </w:p>
        </w:tc>
        <w:tc>
          <w:tcPr>
            <w:tcW w:w="2409" w:type="dxa"/>
            <w:tcBorders>
              <w:top w:val="nil"/>
              <w:left w:val="nil"/>
              <w:bottom w:val="nil"/>
              <w:right w:val="single" w:sz="4" w:space="0" w:color="auto"/>
            </w:tcBorders>
            <w:shd w:val="clear" w:color="auto" w:fill="auto"/>
            <w:noWrap/>
            <w:vAlign w:val="bottom"/>
            <w:hideMark/>
          </w:tcPr>
          <w:p w14:paraId="1AC77508" w14:textId="3E001510" w:rsidR="00447C82" w:rsidRPr="001C3254" w:rsidRDefault="00447C82" w:rsidP="00447C82">
            <w:pPr>
              <w:jc w:val="center"/>
              <w:rPr>
                <w:rFonts w:eastAsia="Times New Roman"/>
                <w:color w:val="000000"/>
                <w:lang w:eastAsia="ru-RU"/>
              </w:rPr>
            </w:pPr>
            <w:r w:rsidRPr="001C3254">
              <w:rPr>
                <w:rFonts w:eastAsia="Times New Roman"/>
                <w:color w:val="000000"/>
                <w:lang w:eastAsia="ru-RU"/>
              </w:rPr>
              <w:t>73</w:t>
            </w:r>
            <w:r w:rsidR="00241A58">
              <w:rPr>
                <w:rFonts w:eastAsia="Times New Roman"/>
                <w:color w:val="000000"/>
                <w:lang w:eastAsia="ru-RU"/>
              </w:rPr>
              <w:t>,</w:t>
            </w:r>
            <w:r w:rsidRPr="001C3254">
              <w:rPr>
                <w:rFonts w:eastAsia="Times New Roman"/>
                <w:color w:val="000000"/>
                <w:lang w:eastAsia="ru-RU"/>
              </w:rPr>
              <w:t>9%</w:t>
            </w:r>
          </w:p>
        </w:tc>
        <w:tc>
          <w:tcPr>
            <w:tcW w:w="2552" w:type="dxa"/>
            <w:tcBorders>
              <w:top w:val="nil"/>
              <w:left w:val="nil"/>
              <w:bottom w:val="nil"/>
              <w:right w:val="single" w:sz="4" w:space="0" w:color="auto"/>
            </w:tcBorders>
            <w:shd w:val="clear" w:color="auto" w:fill="auto"/>
            <w:noWrap/>
            <w:vAlign w:val="bottom"/>
            <w:hideMark/>
          </w:tcPr>
          <w:p w14:paraId="70E16AAD" w14:textId="2434E659" w:rsidR="00447C82" w:rsidRPr="001C3254" w:rsidRDefault="00447C82" w:rsidP="00447C82">
            <w:pPr>
              <w:jc w:val="center"/>
              <w:rPr>
                <w:rFonts w:eastAsia="Times New Roman"/>
                <w:color w:val="000000"/>
                <w:lang w:eastAsia="ru-RU"/>
              </w:rPr>
            </w:pPr>
            <w:r w:rsidRPr="001C3254">
              <w:rPr>
                <w:rFonts w:eastAsia="Times New Roman"/>
                <w:color w:val="000000"/>
                <w:lang w:eastAsia="ru-RU"/>
              </w:rPr>
              <w:t>52</w:t>
            </w:r>
            <w:r w:rsidR="00241A58">
              <w:rPr>
                <w:rFonts w:eastAsia="Times New Roman"/>
                <w:color w:val="000000"/>
                <w:lang w:eastAsia="ru-RU"/>
              </w:rPr>
              <w:t>,</w:t>
            </w:r>
            <w:r w:rsidRPr="001C3254">
              <w:rPr>
                <w:rFonts w:eastAsia="Times New Roman"/>
                <w:color w:val="000000"/>
                <w:lang w:eastAsia="ru-RU"/>
              </w:rPr>
              <w:t>0%</w:t>
            </w:r>
          </w:p>
        </w:tc>
      </w:tr>
      <w:tr w:rsidR="00447C82" w:rsidRPr="001C3254" w14:paraId="7E24229D" w14:textId="77777777" w:rsidTr="00421CA0">
        <w:trPr>
          <w:trHeight w:val="290"/>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14:paraId="605A4602" w14:textId="77777777" w:rsidR="00447C82" w:rsidRPr="001C3254" w:rsidRDefault="00447C82" w:rsidP="00447C82">
            <w:pPr>
              <w:rPr>
                <w:rFonts w:eastAsia="Times New Roman"/>
                <w:color w:val="000000"/>
                <w:lang w:eastAsia="ru-RU"/>
              </w:rPr>
            </w:pPr>
            <w:r w:rsidRPr="001C3254">
              <w:rPr>
                <w:rFonts w:eastAsia="Times New Roman"/>
                <w:color w:val="000000"/>
                <w:lang w:eastAsia="ru-RU"/>
              </w:rPr>
              <w:t>≥ 350</w:t>
            </w:r>
          </w:p>
        </w:tc>
        <w:tc>
          <w:tcPr>
            <w:tcW w:w="2409" w:type="dxa"/>
            <w:tcBorders>
              <w:top w:val="nil"/>
              <w:left w:val="nil"/>
              <w:bottom w:val="single" w:sz="4" w:space="0" w:color="auto"/>
              <w:right w:val="single" w:sz="4" w:space="0" w:color="auto"/>
            </w:tcBorders>
            <w:shd w:val="clear" w:color="auto" w:fill="auto"/>
            <w:noWrap/>
            <w:vAlign w:val="bottom"/>
            <w:hideMark/>
          </w:tcPr>
          <w:p w14:paraId="023C9971" w14:textId="1C75AE83" w:rsidR="00447C82" w:rsidRPr="001C3254" w:rsidRDefault="00447C82" w:rsidP="00447C82">
            <w:pPr>
              <w:jc w:val="center"/>
              <w:rPr>
                <w:rFonts w:eastAsia="Times New Roman"/>
                <w:color w:val="000000"/>
                <w:lang w:eastAsia="ru-RU"/>
              </w:rPr>
            </w:pPr>
            <w:r w:rsidRPr="001C3254">
              <w:rPr>
                <w:rFonts w:eastAsia="Times New Roman"/>
                <w:color w:val="000000"/>
                <w:lang w:eastAsia="ru-RU"/>
              </w:rPr>
              <w:t>72</w:t>
            </w:r>
            <w:r w:rsidR="00241A58">
              <w:rPr>
                <w:rFonts w:eastAsia="Times New Roman"/>
                <w:color w:val="000000"/>
                <w:lang w:eastAsia="ru-RU"/>
              </w:rPr>
              <w:t>,</w:t>
            </w:r>
            <w:r w:rsidRPr="001C3254">
              <w:rPr>
                <w:rFonts w:eastAsia="Times New Roman"/>
                <w:color w:val="000000"/>
                <w:lang w:eastAsia="ru-RU"/>
              </w:rPr>
              <w:t>4%</w:t>
            </w:r>
          </w:p>
        </w:tc>
        <w:tc>
          <w:tcPr>
            <w:tcW w:w="2552" w:type="dxa"/>
            <w:tcBorders>
              <w:top w:val="nil"/>
              <w:left w:val="nil"/>
              <w:bottom w:val="single" w:sz="4" w:space="0" w:color="auto"/>
              <w:right w:val="single" w:sz="4" w:space="0" w:color="auto"/>
            </w:tcBorders>
            <w:shd w:val="clear" w:color="auto" w:fill="auto"/>
            <w:noWrap/>
            <w:vAlign w:val="bottom"/>
            <w:hideMark/>
          </w:tcPr>
          <w:p w14:paraId="69D727F0" w14:textId="69B4AAAF" w:rsidR="00447C82" w:rsidRPr="001C3254" w:rsidRDefault="00447C82" w:rsidP="00447C82">
            <w:pPr>
              <w:jc w:val="center"/>
              <w:rPr>
                <w:rFonts w:eastAsia="Times New Roman"/>
                <w:color w:val="000000"/>
                <w:lang w:eastAsia="ru-RU"/>
              </w:rPr>
            </w:pPr>
            <w:r w:rsidRPr="001C3254">
              <w:rPr>
                <w:rFonts w:eastAsia="Times New Roman"/>
                <w:color w:val="000000"/>
                <w:lang w:eastAsia="ru-RU"/>
              </w:rPr>
              <w:t>50</w:t>
            </w:r>
            <w:r w:rsidR="00241A58">
              <w:rPr>
                <w:rFonts w:eastAsia="Times New Roman"/>
                <w:color w:val="000000"/>
                <w:lang w:eastAsia="ru-RU"/>
              </w:rPr>
              <w:t>,</w:t>
            </w:r>
            <w:r w:rsidRPr="001C3254">
              <w:rPr>
                <w:rFonts w:eastAsia="Times New Roman"/>
                <w:color w:val="000000"/>
                <w:lang w:eastAsia="ru-RU"/>
              </w:rPr>
              <w:t>8%</w:t>
            </w:r>
          </w:p>
        </w:tc>
      </w:tr>
      <w:tr w:rsidR="00241A58" w:rsidRPr="001C3254" w14:paraId="7879175B" w14:textId="77777777" w:rsidTr="00421CA0">
        <w:trPr>
          <w:trHeight w:val="274"/>
        </w:trPr>
        <w:tc>
          <w:tcPr>
            <w:tcW w:w="937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D4E56A" w14:textId="77777777" w:rsidR="00241A58" w:rsidRPr="001C3254" w:rsidRDefault="00241A58" w:rsidP="00241A58">
            <w:pPr>
              <w:rPr>
                <w:rFonts w:eastAsia="Times New Roman"/>
                <w:b/>
                <w:bCs/>
                <w:color w:val="000000"/>
                <w:sz w:val="20"/>
                <w:szCs w:val="20"/>
                <w:lang w:eastAsia="ru-RU"/>
              </w:rPr>
            </w:pPr>
            <w:r w:rsidRPr="001C3254">
              <w:rPr>
                <w:rFonts w:eastAsia="Times New Roman"/>
                <w:b/>
                <w:bCs/>
                <w:color w:val="000000"/>
                <w:sz w:val="20"/>
                <w:szCs w:val="20"/>
                <w:lang w:eastAsia="ru-RU"/>
              </w:rPr>
              <w:t>Примечание:</w:t>
            </w:r>
          </w:p>
          <w:p w14:paraId="4B50DE9D" w14:textId="0C71D2FA" w:rsidR="00241A58" w:rsidRPr="001C3254" w:rsidRDefault="00241A58" w:rsidP="00EE1D8E">
            <w:pPr>
              <w:rPr>
                <w:rFonts w:eastAsia="Times New Roman"/>
                <w:b/>
                <w:bCs/>
                <w:color w:val="000000"/>
                <w:sz w:val="20"/>
                <w:szCs w:val="20"/>
                <w:lang w:eastAsia="ru-RU"/>
              </w:rPr>
            </w:pPr>
            <w:r>
              <w:rPr>
                <w:rFonts w:eastAsia="Times New Roman"/>
                <w:color w:val="000000"/>
                <w:sz w:val="20"/>
                <w:szCs w:val="20"/>
                <w:lang w:eastAsia="ru-RU"/>
              </w:rPr>
              <w:t>Согласно</w:t>
            </w:r>
            <w:r w:rsidRPr="00492CF6">
              <w:rPr>
                <w:rFonts w:eastAsia="Times New Roman"/>
                <w:color w:val="000000"/>
                <w:sz w:val="20"/>
                <w:szCs w:val="20"/>
                <w:lang w:eastAsia="ru-RU"/>
              </w:rPr>
              <w:t xml:space="preserve"> алгоритму </w:t>
            </w:r>
            <w:r w:rsidRPr="00492CF6">
              <w:rPr>
                <w:rFonts w:eastAsia="Times New Roman"/>
                <w:color w:val="000000"/>
                <w:sz w:val="20"/>
                <w:szCs w:val="20"/>
                <w:lang w:val="en-US" w:eastAsia="ru-RU"/>
              </w:rPr>
              <w:t>TLOVR</w:t>
            </w:r>
            <w:r w:rsidRPr="00492CF6">
              <w:rPr>
                <w:rFonts w:eastAsia="Times New Roman"/>
                <w:color w:val="000000"/>
                <w:sz w:val="20"/>
                <w:szCs w:val="20"/>
                <w:lang w:eastAsia="ru-RU"/>
              </w:rPr>
              <w:t xml:space="preserve"> </w:t>
            </w:r>
            <w:r w:rsidRPr="008B1480">
              <w:rPr>
                <w:rFonts w:eastAsia="Times New Roman"/>
                <w:color w:val="000000"/>
                <w:sz w:val="20"/>
                <w:szCs w:val="20"/>
                <w:lang w:eastAsia="ru-RU"/>
              </w:rPr>
              <w:t>(</w:t>
            </w:r>
            <w:r w:rsidRPr="008B1480">
              <w:rPr>
                <w:rFonts w:eastAsia="Times New Roman"/>
                <w:color w:val="000000"/>
                <w:sz w:val="20"/>
                <w:szCs w:val="20"/>
                <w:lang w:val="en-US" w:eastAsia="ru-RU"/>
              </w:rPr>
              <w:t>TLOVR</w:t>
            </w:r>
            <w:r>
              <w:rPr>
                <w:rFonts w:eastAsia="Times New Roman"/>
                <w:color w:val="000000"/>
                <w:sz w:val="20"/>
                <w:szCs w:val="20"/>
                <w:lang w:eastAsia="ru-RU"/>
              </w:rPr>
              <w:t xml:space="preserve"> = время до потери </w:t>
            </w:r>
            <w:r w:rsidRPr="008B1480">
              <w:rPr>
                <w:rFonts w:eastAsia="Times New Roman"/>
                <w:color w:val="000000"/>
                <w:sz w:val="20"/>
                <w:szCs w:val="20"/>
                <w:lang w:eastAsia="ru-RU"/>
              </w:rPr>
              <w:t>вирусологического ответа).</w:t>
            </w:r>
          </w:p>
        </w:tc>
      </w:tr>
    </w:tbl>
    <w:p w14:paraId="551AF055" w14:textId="77777777" w:rsidR="007331DA" w:rsidRPr="008B0B82" w:rsidRDefault="007331DA" w:rsidP="00A76175"/>
    <w:p w14:paraId="6277DC68" w14:textId="77777777" w:rsidR="00421CA0" w:rsidRDefault="00421CA0" w:rsidP="008B0B82">
      <w:pPr>
        <w:rPr>
          <w:i/>
        </w:rPr>
        <w:sectPr w:rsidR="00421CA0" w:rsidSect="00AB01E2">
          <w:pgSz w:w="11906" w:h="16838"/>
          <w:pgMar w:top="1134" w:right="849" w:bottom="1134" w:left="1701" w:header="708" w:footer="709" w:gutter="0"/>
          <w:cols w:space="708"/>
          <w:docGrid w:linePitch="360"/>
        </w:sectPr>
      </w:pPr>
    </w:p>
    <w:p w14:paraId="7CD12583" w14:textId="167A0754" w:rsidR="007331DA" w:rsidRPr="008B0B82" w:rsidRDefault="007331DA" w:rsidP="008B0B82">
      <w:pPr>
        <w:rPr>
          <w:i/>
        </w:rPr>
      </w:pPr>
      <w:r>
        <w:rPr>
          <w:i/>
        </w:rPr>
        <w:t xml:space="preserve">Анализ по данным </w:t>
      </w:r>
      <w:r w:rsidR="00CC15AC">
        <w:rPr>
          <w:i/>
        </w:rPr>
        <w:t>генотипа и фенотипа на исходном уровне</w:t>
      </w:r>
    </w:p>
    <w:p w14:paraId="33B0193D" w14:textId="6DB86D74" w:rsidR="00C8797E" w:rsidRDefault="00C8797E" w:rsidP="00EE1D8E">
      <w:pPr>
        <w:ind w:firstLine="709"/>
      </w:pPr>
      <w:r w:rsidRPr="005C597A">
        <w:t xml:space="preserve">В </w:t>
      </w:r>
      <w:r>
        <w:t xml:space="preserve">исследованиях </w:t>
      </w:r>
      <w:r w:rsidRPr="005C597A">
        <w:rPr>
          <w:lang w:val="en-US"/>
        </w:rPr>
        <w:t>DUET</w:t>
      </w:r>
      <w:r w:rsidRPr="005C597A">
        <w:t xml:space="preserve">-1 и </w:t>
      </w:r>
      <w:r w:rsidRPr="005C597A">
        <w:rPr>
          <w:lang w:val="en-US"/>
        </w:rPr>
        <w:t>DUET</w:t>
      </w:r>
      <w:r w:rsidRPr="005C597A">
        <w:t xml:space="preserve">-2 наличие на исходном уровне 3 или более </w:t>
      </w:r>
      <w:r>
        <w:t xml:space="preserve">из </w:t>
      </w:r>
      <w:r w:rsidRPr="005C597A">
        <w:t xml:space="preserve">следующих мутаций: </w:t>
      </w:r>
      <w:r w:rsidRPr="005C597A">
        <w:rPr>
          <w:lang w:val="en-US"/>
        </w:rPr>
        <w:t>V</w:t>
      </w:r>
      <w:r w:rsidRPr="005C597A">
        <w:t>90</w:t>
      </w:r>
      <w:r w:rsidRPr="005C597A">
        <w:rPr>
          <w:lang w:val="en-US"/>
        </w:rPr>
        <w:t>I</w:t>
      </w:r>
      <w:r w:rsidRPr="005C597A">
        <w:t xml:space="preserve">, </w:t>
      </w:r>
      <w:r w:rsidRPr="005C597A">
        <w:rPr>
          <w:lang w:val="en-US"/>
        </w:rPr>
        <w:t>A</w:t>
      </w:r>
      <w:r w:rsidRPr="005C597A">
        <w:t>98</w:t>
      </w:r>
      <w:r w:rsidRPr="005C597A">
        <w:rPr>
          <w:lang w:val="en-US"/>
        </w:rPr>
        <w:t>G</w:t>
      </w:r>
      <w:r w:rsidRPr="005C597A">
        <w:t xml:space="preserve">, </w:t>
      </w:r>
      <w:r w:rsidRPr="005C597A">
        <w:rPr>
          <w:lang w:val="en-US"/>
        </w:rPr>
        <w:t>L</w:t>
      </w:r>
      <w:r w:rsidRPr="005C597A">
        <w:t>100</w:t>
      </w:r>
      <w:r w:rsidRPr="005C597A">
        <w:rPr>
          <w:lang w:val="en-US"/>
        </w:rPr>
        <w:t>I</w:t>
      </w:r>
      <w:r w:rsidRPr="005C597A">
        <w:t xml:space="preserve">, </w:t>
      </w:r>
      <w:r w:rsidRPr="005C597A">
        <w:rPr>
          <w:lang w:val="en-US"/>
        </w:rPr>
        <w:t>K</w:t>
      </w:r>
      <w:r w:rsidRPr="005C597A">
        <w:t>101</w:t>
      </w:r>
      <w:r w:rsidRPr="005C597A">
        <w:rPr>
          <w:lang w:val="en-US"/>
        </w:rPr>
        <w:t>E</w:t>
      </w:r>
      <w:r w:rsidRPr="005C597A">
        <w:t xml:space="preserve">, </w:t>
      </w:r>
      <w:r w:rsidRPr="005C597A">
        <w:rPr>
          <w:lang w:val="en-US"/>
        </w:rPr>
        <w:t>K</w:t>
      </w:r>
      <w:r w:rsidRPr="005C597A">
        <w:t>101</w:t>
      </w:r>
      <w:r w:rsidRPr="005C597A">
        <w:rPr>
          <w:lang w:val="en-US"/>
        </w:rPr>
        <w:t>P</w:t>
      </w:r>
      <w:r w:rsidRPr="005C597A">
        <w:t xml:space="preserve">, </w:t>
      </w:r>
      <w:r w:rsidRPr="005C597A">
        <w:rPr>
          <w:lang w:val="en-US"/>
        </w:rPr>
        <w:t>V</w:t>
      </w:r>
      <w:r w:rsidRPr="005C597A">
        <w:t>106</w:t>
      </w:r>
      <w:r w:rsidRPr="005C597A">
        <w:rPr>
          <w:lang w:val="en-US"/>
        </w:rPr>
        <w:t>I</w:t>
      </w:r>
      <w:r w:rsidRPr="005C597A">
        <w:t xml:space="preserve">, </w:t>
      </w:r>
      <w:r w:rsidRPr="005C597A">
        <w:rPr>
          <w:lang w:val="en-US"/>
        </w:rPr>
        <w:t>V</w:t>
      </w:r>
      <w:r w:rsidRPr="005C597A">
        <w:t>179</w:t>
      </w:r>
      <w:r w:rsidRPr="005C597A">
        <w:rPr>
          <w:lang w:val="en-US"/>
        </w:rPr>
        <w:t>D</w:t>
      </w:r>
      <w:r w:rsidRPr="005C597A">
        <w:t xml:space="preserve">, </w:t>
      </w:r>
      <w:r w:rsidRPr="005C597A">
        <w:rPr>
          <w:lang w:val="en-US"/>
        </w:rPr>
        <w:t>V</w:t>
      </w:r>
      <w:r w:rsidRPr="005C597A">
        <w:t>179</w:t>
      </w:r>
      <w:r w:rsidRPr="005C597A">
        <w:rPr>
          <w:lang w:val="en-US"/>
        </w:rPr>
        <w:t>F</w:t>
      </w:r>
      <w:r w:rsidRPr="005C597A">
        <w:t xml:space="preserve">, </w:t>
      </w:r>
      <w:r w:rsidRPr="005C597A">
        <w:rPr>
          <w:lang w:val="en-US"/>
        </w:rPr>
        <w:t>Y</w:t>
      </w:r>
      <w:r w:rsidRPr="005C597A">
        <w:t>181</w:t>
      </w:r>
      <w:r w:rsidRPr="005C597A">
        <w:rPr>
          <w:lang w:val="en-US"/>
        </w:rPr>
        <w:t>C</w:t>
      </w:r>
      <w:r w:rsidRPr="005C597A">
        <w:t xml:space="preserve">, </w:t>
      </w:r>
      <w:r w:rsidRPr="005C597A">
        <w:rPr>
          <w:lang w:val="en-US"/>
        </w:rPr>
        <w:t>Y</w:t>
      </w:r>
      <w:r w:rsidRPr="005C597A">
        <w:t>181</w:t>
      </w:r>
      <w:r w:rsidRPr="005C597A">
        <w:rPr>
          <w:lang w:val="en-US"/>
        </w:rPr>
        <w:t>I</w:t>
      </w:r>
      <w:r w:rsidRPr="005C597A">
        <w:t xml:space="preserve">, </w:t>
      </w:r>
      <w:r w:rsidRPr="005C597A">
        <w:rPr>
          <w:lang w:val="en-US"/>
        </w:rPr>
        <w:t>Y</w:t>
      </w:r>
      <w:r w:rsidRPr="005C597A">
        <w:t>181</w:t>
      </w:r>
      <w:r w:rsidRPr="005C597A">
        <w:rPr>
          <w:lang w:val="en-US"/>
        </w:rPr>
        <w:t>V</w:t>
      </w:r>
      <w:r w:rsidRPr="005C597A">
        <w:t xml:space="preserve">, </w:t>
      </w:r>
      <w:r w:rsidRPr="005C597A">
        <w:rPr>
          <w:lang w:val="en-US"/>
        </w:rPr>
        <w:t>G</w:t>
      </w:r>
      <w:r w:rsidRPr="005C597A">
        <w:t>190</w:t>
      </w:r>
      <w:r w:rsidRPr="005C597A">
        <w:rPr>
          <w:lang w:val="en-US"/>
        </w:rPr>
        <w:t>A</w:t>
      </w:r>
      <w:r w:rsidRPr="005C597A">
        <w:t xml:space="preserve"> и </w:t>
      </w:r>
      <w:r w:rsidRPr="005C597A">
        <w:rPr>
          <w:lang w:val="en-US"/>
        </w:rPr>
        <w:t>G</w:t>
      </w:r>
      <w:r w:rsidRPr="005C597A">
        <w:t>190</w:t>
      </w:r>
      <w:r w:rsidRPr="005C597A">
        <w:rPr>
          <w:lang w:val="en-US"/>
        </w:rPr>
        <w:t>S</w:t>
      </w:r>
      <w:r w:rsidRPr="005C597A">
        <w:t xml:space="preserve"> (этравирин </w:t>
      </w:r>
      <w:r w:rsidRPr="005C597A">
        <w:rPr>
          <w:lang w:val="en-US"/>
        </w:rPr>
        <w:t>RAMs</w:t>
      </w:r>
      <w:r w:rsidRPr="005C597A">
        <w:t>)</w:t>
      </w:r>
      <w:r w:rsidR="00422B92">
        <w:t>,</w:t>
      </w:r>
      <w:r w:rsidRPr="005C597A">
        <w:t xml:space="preserve"> был</w:t>
      </w:r>
      <w:r>
        <w:t>о</w:t>
      </w:r>
      <w:r w:rsidRPr="005C597A">
        <w:t xml:space="preserve"> связан</w:t>
      </w:r>
      <w:r>
        <w:t>о</w:t>
      </w:r>
      <w:r w:rsidRPr="005C597A">
        <w:t xml:space="preserve"> со снижением вирусологического ответа на этравирин </w:t>
      </w:r>
      <w:r w:rsidRPr="00B244C2">
        <w:t>(</w:t>
      </w:r>
      <w:r w:rsidR="00B244C2" w:rsidRPr="00B244C2">
        <w:t>таблица 4-5).</w:t>
      </w:r>
      <w:r w:rsidRPr="00B244C2">
        <w:t xml:space="preserve"> </w:t>
      </w:r>
      <w:r w:rsidR="00422B92">
        <w:t>Перечисленные мутации также происходили в присутствии мутаций, ассоциированных с резистентностью к другим ННИОТ. Мутация V179F никогда не присутствовала без мутации Y181C.</w:t>
      </w:r>
    </w:p>
    <w:p w14:paraId="05C50691" w14:textId="5761C5CA" w:rsidR="00C8797E" w:rsidRDefault="00C8797E" w:rsidP="00C8797E">
      <w:pPr>
        <w:ind w:firstLine="709"/>
        <w:contextualSpacing/>
      </w:pPr>
      <w:r w:rsidRPr="005C597A">
        <w:t>Выводы относительно релевантности конкретных мутаций или мутационных паттернов могут быть изменены с учетом дополнительных данных, и рекомендуется всегда обращаться к текущим системам интерпретации для анализа результатов теста на</w:t>
      </w:r>
      <w:r w:rsidR="00EA34B0">
        <w:t xml:space="preserve"> резистентность</w:t>
      </w:r>
      <w:r w:rsidR="00EA34B0" w:rsidRPr="00EA34B0">
        <w:t xml:space="preserve"> [23].</w:t>
      </w:r>
    </w:p>
    <w:p w14:paraId="13249118" w14:textId="4224869E" w:rsidR="00147F06" w:rsidRDefault="00147F06">
      <w:pPr>
        <w:rPr>
          <w:b/>
        </w:rPr>
      </w:pPr>
    </w:p>
    <w:p w14:paraId="07EECE07" w14:textId="12B2157C" w:rsidR="00C8797E" w:rsidRPr="005C597A" w:rsidRDefault="00B244C2" w:rsidP="00C8797E">
      <w:pPr>
        <w:contextualSpacing/>
      </w:pPr>
      <w:r w:rsidRPr="00B244C2">
        <w:rPr>
          <w:b/>
        </w:rPr>
        <w:t>Таблица 4-5</w:t>
      </w:r>
      <w:r w:rsidR="00147F06">
        <w:rPr>
          <w:b/>
        </w:rPr>
        <w:t>.</w:t>
      </w:r>
      <w:r w:rsidR="00C8797E" w:rsidRPr="00B244C2">
        <w:rPr>
          <w:b/>
        </w:rPr>
        <w:t xml:space="preserve"> </w:t>
      </w:r>
      <w:r w:rsidR="00C8797E" w:rsidRPr="005C597A">
        <w:t xml:space="preserve">Доля субъектов с &lt; 50 копий РНК ВИЧ-1/мл на 48-й неделе по исходному количеству </w:t>
      </w:r>
      <w:r w:rsidR="00C8797E">
        <w:t>мутаций, индуцированных Этравирином</w:t>
      </w:r>
      <w:r w:rsidR="00C8797E" w:rsidRPr="005C597A">
        <w:t xml:space="preserve">, исключенной из объединенных исследований </w:t>
      </w:r>
      <w:r w:rsidR="00C8797E" w:rsidRPr="005C597A">
        <w:rPr>
          <w:lang w:val="en-US"/>
        </w:rPr>
        <w:t>DUET</w:t>
      </w:r>
      <w:r w:rsidR="00C8797E" w:rsidRPr="005C597A">
        <w:t xml:space="preserve">-1 и </w:t>
      </w:r>
      <w:r w:rsidR="00C8797E" w:rsidRPr="005C597A">
        <w:rPr>
          <w:lang w:val="en-US"/>
        </w:rPr>
        <w:t>DUET</w:t>
      </w:r>
      <w:r w:rsidR="00C8797E" w:rsidRPr="005C597A">
        <w:t>-2.</w:t>
      </w:r>
    </w:p>
    <w:tbl>
      <w:tblPr>
        <w:tblW w:w="9359" w:type="dxa"/>
        <w:tblInd w:w="-5" w:type="dxa"/>
        <w:tblLook w:val="04A0" w:firstRow="1" w:lastRow="0" w:firstColumn="1" w:lastColumn="0" w:noHBand="0" w:noVBand="1"/>
      </w:tblPr>
      <w:tblGrid>
        <w:gridCol w:w="3278"/>
        <w:gridCol w:w="3453"/>
        <w:gridCol w:w="2628"/>
      </w:tblGrid>
      <w:tr w:rsidR="00421CA0" w:rsidRPr="00CD7646" w14:paraId="54B9936D" w14:textId="77777777" w:rsidTr="00421CA0">
        <w:trPr>
          <w:trHeight w:val="835"/>
        </w:trPr>
        <w:tc>
          <w:tcPr>
            <w:tcW w:w="3278" w:type="dxa"/>
            <w:vMerge w:val="restart"/>
            <w:tcBorders>
              <w:top w:val="single" w:sz="4" w:space="0" w:color="auto"/>
              <w:left w:val="single" w:sz="4" w:space="0" w:color="auto"/>
              <w:right w:val="single" w:sz="4" w:space="0" w:color="auto"/>
            </w:tcBorders>
            <w:shd w:val="clear" w:color="000000" w:fill="D9D9D9"/>
            <w:vAlign w:val="center"/>
            <w:hideMark/>
          </w:tcPr>
          <w:p w14:paraId="6F629903" w14:textId="0EE2613B" w:rsidR="00421CA0" w:rsidRPr="005C597A" w:rsidRDefault="00421CA0" w:rsidP="00421CA0">
            <w:pPr>
              <w:contextualSpacing/>
              <w:jc w:val="center"/>
              <w:rPr>
                <w:rFonts w:eastAsia="Times New Roman"/>
                <w:b/>
                <w:bCs/>
                <w:color w:val="000000"/>
                <w:lang w:eastAsia="ru-RU"/>
              </w:rPr>
            </w:pPr>
            <w:r>
              <w:rPr>
                <w:rFonts w:eastAsia="Times New Roman"/>
                <w:b/>
                <w:bCs/>
                <w:color w:val="000000"/>
                <w:lang w:eastAsia="ru-RU"/>
              </w:rPr>
              <w:t>Исходное количество мутаций, индуцированных этравирином</w:t>
            </w:r>
            <w:r w:rsidRPr="005C597A">
              <w:rPr>
                <w:rFonts w:eastAsia="Times New Roman"/>
                <w:color w:val="000000"/>
                <w:sz w:val="20"/>
                <w:szCs w:val="20"/>
                <w:lang w:eastAsia="ru-RU"/>
              </w:rPr>
              <w:t>*</w:t>
            </w:r>
          </w:p>
        </w:tc>
        <w:tc>
          <w:tcPr>
            <w:tcW w:w="6081"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34950A51" w14:textId="77777777" w:rsidR="00421CA0" w:rsidRPr="00CD7646" w:rsidRDefault="00421CA0" w:rsidP="00C8797E">
            <w:pPr>
              <w:contextualSpacing/>
              <w:jc w:val="center"/>
              <w:rPr>
                <w:rFonts w:eastAsia="Times New Roman"/>
                <w:b/>
                <w:bCs/>
                <w:color w:val="000000"/>
                <w:lang w:eastAsia="ru-RU"/>
              </w:rPr>
            </w:pPr>
            <w:r>
              <w:rPr>
                <w:rFonts w:eastAsia="Times New Roman"/>
                <w:b/>
                <w:bCs/>
                <w:color w:val="000000"/>
                <w:lang w:eastAsia="ru-RU"/>
              </w:rPr>
              <w:t>Этравирин</w:t>
            </w:r>
            <w:r w:rsidRPr="00CD7646">
              <w:rPr>
                <w:rFonts w:eastAsia="Times New Roman"/>
                <w:b/>
                <w:bCs/>
                <w:color w:val="000000"/>
                <w:lang w:eastAsia="ru-RU"/>
              </w:rPr>
              <w:t xml:space="preserve"> N = 549</w:t>
            </w:r>
          </w:p>
        </w:tc>
      </w:tr>
      <w:tr w:rsidR="00421CA0" w:rsidRPr="00CD7646" w14:paraId="4E31A4DB" w14:textId="77777777" w:rsidTr="00421CA0">
        <w:trPr>
          <w:trHeight w:val="285"/>
        </w:trPr>
        <w:tc>
          <w:tcPr>
            <w:tcW w:w="3278" w:type="dxa"/>
            <w:vMerge/>
            <w:tcBorders>
              <w:left w:val="single" w:sz="4" w:space="0" w:color="auto"/>
              <w:bottom w:val="single" w:sz="4" w:space="0" w:color="auto"/>
              <w:right w:val="single" w:sz="4" w:space="0" w:color="auto"/>
            </w:tcBorders>
            <w:shd w:val="clear" w:color="000000" w:fill="D9D9D9"/>
            <w:noWrap/>
            <w:vAlign w:val="center"/>
            <w:hideMark/>
          </w:tcPr>
          <w:p w14:paraId="6E5999CE" w14:textId="2979F6F1" w:rsidR="00421CA0" w:rsidRPr="00CD7646" w:rsidRDefault="00421CA0" w:rsidP="00C8797E">
            <w:pPr>
              <w:jc w:val="center"/>
              <w:rPr>
                <w:rFonts w:eastAsia="Times New Roman"/>
                <w:b/>
                <w:bCs/>
                <w:color w:val="000000"/>
                <w:lang w:eastAsia="ru-RU"/>
              </w:rPr>
            </w:pPr>
          </w:p>
        </w:tc>
        <w:tc>
          <w:tcPr>
            <w:tcW w:w="3453" w:type="dxa"/>
            <w:tcBorders>
              <w:top w:val="nil"/>
              <w:left w:val="nil"/>
              <w:bottom w:val="single" w:sz="4" w:space="0" w:color="auto"/>
              <w:right w:val="single" w:sz="4" w:space="0" w:color="auto"/>
            </w:tcBorders>
            <w:shd w:val="clear" w:color="000000" w:fill="D9D9D9"/>
            <w:noWrap/>
            <w:vAlign w:val="center"/>
            <w:hideMark/>
          </w:tcPr>
          <w:p w14:paraId="7E6E7289" w14:textId="77777777" w:rsidR="00421CA0" w:rsidRPr="00CD7646" w:rsidRDefault="00421CA0" w:rsidP="00C8797E">
            <w:pPr>
              <w:jc w:val="center"/>
              <w:rPr>
                <w:rFonts w:eastAsia="Times New Roman"/>
                <w:b/>
                <w:bCs/>
                <w:color w:val="000000"/>
                <w:lang w:eastAsia="ru-RU"/>
              </w:rPr>
            </w:pPr>
            <w:r w:rsidRPr="005C597A">
              <w:rPr>
                <w:rFonts w:eastAsia="Times New Roman"/>
                <w:b/>
                <w:bCs/>
                <w:color w:val="000000"/>
                <w:lang w:eastAsia="ru-RU"/>
              </w:rPr>
              <w:t>Повторно использованный</w:t>
            </w:r>
            <w:r>
              <w:rPr>
                <w:rFonts w:eastAsia="Times New Roman"/>
                <w:b/>
                <w:bCs/>
                <w:color w:val="000000"/>
                <w:lang w:eastAsia="ru-RU"/>
              </w:rPr>
              <w:t xml:space="preserve"> </w:t>
            </w:r>
            <w:r w:rsidRPr="005C597A">
              <w:rPr>
                <w:rFonts w:eastAsia="Times New Roman"/>
                <w:b/>
                <w:bCs/>
                <w:color w:val="000000"/>
                <w:lang w:eastAsia="ru-RU"/>
              </w:rPr>
              <w:t>/</w:t>
            </w:r>
            <w:r>
              <w:rPr>
                <w:rFonts w:eastAsia="Times New Roman"/>
                <w:b/>
                <w:bCs/>
                <w:color w:val="000000"/>
                <w:lang w:eastAsia="ru-RU"/>
              </w:rPr>
              <w:t xml:space="preserve"> </w:t>
            </w:r>
            <w:r w:rsidRPr="005C597A">
              <w:rPr>
                <w:rFonts w:eastAsia="Times New Roman"/>
                <w:b/>
                <w:bCs/>
                <w:color w:val="000000"/>
                <w:lang w:eastAsia="ru-RU"/>
              </w:rPr>
              <w:t>неиспользованный ENF</w:t>
            </w:r>
          </w:p>
        </w:tc>
        <w:tc>
          <w:tcPr>
            <w:tcW w:w="2628" w:type="dxa"/>
            <w:tcBorders>
              <w:top w:val="nil"/>
              <w:left w:val="nil"/>
              <w:bottom w:val="single" w:sz="4" w:space="0" w:color="auto"/>
              <w:right w:val="single" w:sz="4" w:space="0" w:color="auto"/>
            </w:tcBorders>
            <w:shd w:val="clear" w:color="000000" w:fill="D9D9D9"/>
            <w:noWrap/>
            <w:vAlign w:val="center"/>
            <w:hideMark/>
          </w:tcPr>
          <w:p w14:paraId="6E2CF7F7" w14:textId="77777777" w:rsidR="00421CA0" w:rsidRPr="00CD7646" w:rsidRDefault="00421CA0" w:rsidP="00C8797E">
            <w:pPr>
              <w:jc w:val="center"/>
              <w:rPr>
                <w:rFonts w:eastAsia="Times New Roman"/>
                <w:b/>
                <w:bCs/>
                <w:color w:val="000000"/>
                <w:lang w:eastAsia="ru-RU"/>
              </w:rPr>
            </w:pPr>
            <w:r w:rsidRPr="008B0B82">
              <w:rPr>
                <w:rFonts w:eastAsia="Times New Roman"/>
                <w:b/>
                <w:bCs/>
                <w:i/>
                <w:color w:val="000000"/>
                <w:lang w:eastAsia="ru-RU"/>
              </w:rPr>
              <w:t>de novo</w:t>
            </w:r>
            <w:r w:rsidRPr="00CD7646">
              <w:rPr>
                <w:rFonts w:eastAsia="Times New Roman"/>
                <w:b/>
                <w:bCs/>
                <w:color w:val="000000"/>
                <w:lang w:eastAsia="ru-RU"/>
              </w:rPr>
              <w:t xml:space="preserve"> ENF</w:t>
            </w:r>
          </w:p>
        </w:tc>
      </w:tr>
      <w:tr w:rsidR="00C8797E" w:rsidRPr="00CD7646" w14:paraId="38CAE49D" w14:textId="77777777" w:rsidTr="00421CA0">
        <w:trPr>
          <w:trHeight w:val="285"/>
        </w:trPr>
        <w:tc>
          <w:tcPr>
            <w:tcW w:w="3278" w:type="dxa"/>
            <w:tcBorders>
              <w:top w:val="nil"/>
              <w:left w:val="single" w:sz="4" w:space="0" w:color="auto"/>
              <w:bottom w:val="single" w:sz="4" w:space="0" w:color="auto"/>
              <w:right w:val="single" w:sz="4" w:space="0" w:color="auto"/>
            </w:tcBorders>
            <w:shd w:val="clear" w:color="auto" w:fill="auto"/>
            <w:noWrap/>
            <w:vAlign w:val="center"/>
            <w:hideMark/>
          </w:tcPr>
          <w:p w14:paraId="618E5593" w14:textId="77777777" w:rsidR="00C8797E" w:rsidRPr="00CD7646" w:rsidRDefault="00C8797E" w:rsidP="00C8797E">
            <w:pPr>
              <w:jc w:val="center"/>
              <w:rPr>
                <w:rFonts w:eastAsia="Times New Roman"/>
                <w:color w:val="000000"/>
                <w:lang w:eastAsia="ru-RU"/>
              </w:rPr>
            </w:pPr>
            <w:r>
              <w:rPr>
                <w:rFonts w:eastAsia="Times New Roman"/>
                <w:color w:val="000000"/>
                <w:lang w:eastAsia="ru-RU"/>
              </w:rPr>
              <w:t>Все диапазоны</w:t>
            </w:r>
          </w:p>
        </w:tc>
        <w:tc>
          <w:tcPr>
            <w:tcW w:w="3453" w:type="dxa"/>
            <w:tcBorders>
              <w:top w:val="nil"/>
              <w:left w:val="nil"/>
              <w:bottom w:val="single" w:sz="4" w:space="0" w:color="auto"/>
              <w:right w:val="single" w:sz="4" w:space="0" w:color="auto"/>
            </w:tcBorders>
            <w:shd w:val="clear" w:color="auto" w:fill="auto"/>
            <w:noWrap/>
            <w:vAlign w:val="center"/>
            <w:hideMark/>
          </w:tcPr>
          <w:p w14:paraId="2C75D773" w14:textId="5304E645" w:rsidR="00C8797E" w:rsidRPr="00CD7646" w:rsidRDefault="00C8797E" w:rsidP="00C8797E">
            <w:pPr>
              <w:jc w:val="center"/>
              <w:rPr>
                <w:rFonts w:eastAsia="Times New Roman"/>
                <w:color w:val="000000"/>
                <w:lang w:eastAsia="ru-RU"/>
              </w:rPr>
            </w:pPr>
            <w:r w:rsidRPr="00CD7646">
              <w:rPr>
                <w:rFonts w:eastAsia="Times New Roman"/>
                <w:color w:val="000000"/>
                <w:lang w:eastAsia="ru-RU"/>
              </w:rPr>
              <w:t>63</w:t>
            </w:r>
            <w:r w:rsidR="003811D5">
              <w:rPr>
                <w:rFonts w:eastAsia="Times New Roman"/>
                <w:color w:val="000000"/>
                <w:lang w:eastAsia="ru-RU"/>
              </w:rPr>
              <w:t>,</w:t>
            </w:r>
            <w:r w:rsidRPr="00CD7646">
              <w:rPr>
                <w:rFonts w:eastAsia="Times New Roman"/>
                <w:color w:val="000000"/>
                <w:lang w:eastAsia="ru-RU"/>
              </w:rPr>
              <w:t>3% (254/401)</w:t>
            </w:r>
          </w:p>
        </w:tc>
        <w:tc>
          <w:tcPr>
            <w:tcW w:w="2628" w:type="dxa"/>
            <w:tcBorders>
              <w:top w:val="nil"/>
              <w:left w:val="nil"/>
              <w:bottom w:val="single" w:sz="4" w:space="0" w:color="auto"/>
              <w:right w:val="single" w:sz="4" w:space="0" w:color="auto"/>
            </w:tcBorders>
            <w:shd w:val="clear" w:color="auto" w:fill="auto"/>
            <w:noWrap/>
            <w:vAlign w:val="center"/>
            <w:hideMark/>
          </w:tcPr>
          <w:p w14:paraId="3FD71199" w14:textId="7E02D814" w:rsidR="00C8797E" w:rsidRPr="00CD7646" w:rsidRDefault="00C8797E" w:rsidP="00C8797E">
            <w:pPr>
              <w:jc w:val="center"/>
              <w:rPr>
                <w:rFonts w:eastAsia="Times New Roman"/>
                <w:color w:val="000000"/>
                <w:lang w:eastAsia="ru-RU"/>
              </w:rPr>
            </w:pPr>
            <w:r w:rsidRPr="00CD7646">
              <w:rPr>
                <w:rFonts w:eastAsia="Times New Roman"/>
                <w:color w:val="000000"/>
                <w:lang w:eastAsia="ru-RU"/>
              </w:rPr>
              <w:t>78</w:t>
            </w:r>
            <w:r w:rsidR="003811D5">
              <w:rPr>
                <w:rFonts w:eastAsia="Times New Roman"/>
                <w:color w:val="000000"/>
                <w:lang w:eastAsia="ru-RU"/>
              </w:rPr>
              <w:t>,</w:t>
            </w:r>
            <w:r w:rsidRPr="00CD7646">
              <w:rPr>
                <w:rFonts w:eastAsia="Times New Roman"/>
                <w:color w:val="000000"/>
                <w:lang w:eastAsia="ru-RU"/>
              </w:rPr>
              <w:t>4% (109/139)</w:t>
            </w:r>
          </w:p>
        </w:tc>
      </w:tr>
      <w:tr w:rsidR="00C8797E" w:rsidRPr="00CD7646" w14:paraId="134BCC04" w14:textId="77777777" w:rsidTr="00421CA0">
        <w:trPr>
          <w:trHeight w:val="285"/>
        </w:trPr>
        <w:tc>
          <w:tcPr>
            <w:tcW w:w="3278" w:type="dxa"/>
            <w:tcBorders>
              <w:top w:val="nil"/>
              <w:left w:val="single" w:sz="4" w:space="0" w:color="auto"/>
              <w:bottom w:val="single" w:sz="4" w:space="0" w:color="auto"/>
              <w:right w:val="single" w:sz="4" w:space="0" w:color="auto"/>
            </w:tcBorders>
            <w:shd w:val="clear" w:color="auto" w:fill="auto"/>
            <w:noWrap/>
            <w:vAlign w:val="center"/>
            <w:hideMark/>
          </w:tcPr>
          <w:p w14:paraId="5AB12031" w14:textId="77777777" w:rsidR="00C8797E" w:rsidRPr="00CD7646" w:rsidRDefault="00C8797E" w:rsidP="00C8797E">
            <w:pPr>
              <w:jc w:val="center"/>
              <w:rPr>
                <w:rFonts w:eastAsia="Times New Roman"/>
                <w:color w:val="000000"/>
                <w:lang w:eastAsia="ru-RU"/>
              </w:rPr>
            </w:pPr>
            <w:r w:rsidRPr="00CD7646">
              <w:rPr>
                <w:rFonts w:eastAsia="Times New Roman"/>
                <w:color w:val="000000"/>
                <w:lang w:eastAsia="ru-RU"/>
              </w:rPr>
              <w:t>0</w:t>
            </w:r>
          </w:p>
        </w:tc>
        <w:tc>
          <w:tcPr>
            <w:tcW w:w="3453" w:type="dxa"/>
            <w:tcBorders>
              <w:top w:val="nil"/>
              <w:left w:val="nil"/>
              <w:bottom w:val="single" w:sz="4" w:space="0" w:color="auto"/>
              <w:right w:val="single" w:sz="4" w:space="0" w:color="auto"/>
            </w:tcBorders>
            <w:shd w:val="clear" w:color="auto" w:fill="auto"/>
            <w:noWrap/>
            <w:vAlign w:val="center"/>
            <w:hideMark/>
          </w:tcPr>
          <w:p w14:paraId="582CEABD" w14:textId="4E287080" w:rsidR="00C8797E" w:rsidRPr="00CD7646" w:rsidRDefault="00C8797E" w:rsidP="00C8797E">
            <w:pPr>
              <w:jc w:val="center"/>
              <w:rPr>
                <w:rFonts w:eastAsia="Times New Roman"/>
                <w:color w:val="000000"/>
                <w:lang w:eastAsia="ru-RU"/>
              </w:rPr>
            </w:pPr>
            <w:r w:rsidRPr="00CD7646">
              <w:rPr>
                <w:rFonts w:eastAsia="Times New Roman"/>
                <w:color w:val="000000"/>
                <w:lang w:eastAsia="ru-RU"/>
              </w:rPr>
              <w:t>74</w:t>
            </w:r>
            <w:r w:rsidR="003811D5">
              <w:rPr>
                <w:rFonts w:eastAsia="Times New Roman"/>
                <w:color w:val="000000"/>
                <w:lang w:eastAsia="ru-RU"/>
              </w:rPr>
              <w:t>,</w:t>
            </w:r>
            <w:r w:rsidRPr="00CD7646">
              <w:rPr>
                <w:rFonts w:eastAsia="Times New Roman"/>
                <w:color w:val="000000"/>
                <w:lang w:eastAsia="ru-RU"/>
              </w:rPr>
              <w:t>1% (117/158)</w:t>
            </w:r>
          </w:p>
        </w:tc>
        <w:tc>
          <w:tcPr>
            <w:tcW w:w="2628" w:type="dxa"/>
            <w:tcBorders>
              <w:top w:val="nil"/>
              <w:left w:val="nil"/>
              <w:bottom w:val="single" w:sz="4" w:space="0" w:color="auto"/>
              <w:right w:val="single" w:sz="4" w:space="0" w:color="auto"/>
            </w:tcBorders>
            <w:shd w:val="clear" w:color="auto" w:fill="auto"/>
            <w:noWrap/>
            <w:vAlign w:val="center"/>
            <w:hideMark/>
          </w:tcPr>
          <w:p w14:paraId="4E3646ED" w14:textId="0070B472" w:rsidR="00C8797E" w:rsidRPr="00CD7646" w:rsidRDefault="00C8797E" w:rsidP="00C8797E">
            <w:pPr>
              <w:jc w:val="center"/>
              <w:rPr>
                <w:rFonts w:eastAsia="Times New Roman"/>
                <w:color w:val="000000"/>
                <w:lang w:eastAsia="ru-RU"/>
              </w:rPr>
            </w:pPr>
            <w:r w:rsidRPr="00CD7646">
              <w:rPr>
                <w:rFonts w:eastAsia="Times New Roman"/>
                <w:color w:val="000000"/>
                <w:lang w:eastAsia="ru-RU"/>
              </w:rPr>
              <w:t>91</w:t>
            </w:r>
            <w:r w:rsidR="003811D5">
              <w:rPr>
                <w:rFonts w:eastAsia="Times New Roman"/>
                <w:color w:val="000000"/>
                <w:lang w:eastAsia="ru-RU"/>
              </w:rPr>
              <w:t>,</w:t>
            </w:r>
            <w:r w:rsidRPr="00CD7646">
              <w:rPr>
                <w:rFonts w:eastAsia="Times New Roman"/>
                <w:color w:val="000000"/>
                <w:lang w:eastAsia="ru-RU"/>
              </w:rPr>
              <w:t>3% (42/46)</w:t>
            </w:r>
          </w:p>
        </w:tc>
      </w:tr>
      <w:tr w:rsidR="00C8797E" w:rsidRPr="00CD7646" w14:paraId="5CE43501" w14:textId="77777777" w:rsidTr="00421CA0">
        <w:trPr>
          <w:trHeight w:val="285"/>
        </w:trPr>
        <w:tc>
          <w:tcPr>
            <w:tcW w:w="3278" w:type="dxa"/>
            <w:tcBorders>
              <w:top w:val="nil"/>
              <w:left w:val="single" w:sz="4" w:space="0" w:color="auto"/>
              <w:bottom w:val="single" w:sz="4" w:space="0" w:color="auto"/>
              <w:right w:val="single" w:sz="4" w:space="0" w:color="auto"/>
            </w:tcBorders>
            <w:shd w:val="clear" w:color="auto" w:fill="auto"/>
            <w:noWrap/>
            <w:vAlign w:val="center"/>
            <w:hideMark/>
          </w:tcPr>
          <w:p w14:paraId="5DDE67BB" w14:textId="77777777" w:rsidR="00C8797E" w:rsidRPr="00CD7646" w:rsidRDefault="00C8797E" w:rsidP="00C8797E">
            <w:pPr>
              <w:jc w:val="center"/>
              <w:rPr>
                <w:rFonts w:eastAsia="Times New Roman"/>
                <w:color w:val="000000"/>
                <w:lang w:eastAsia="ru-RU"/>
              </w:rPr>
            </w:pPr>
            <w:r w:rsidRPr="00CD7646">
              <w:rPr>
                <w:rFonts w:eastAsia="Times New Roman"/>
                <w:color w:val="000000"/>
                <w:lang w:eastAsia="ru-RU"/>
              </w:rPr>
              <w:t>1</w:t>
            </w:r>
          </w:p>
        </w:tc>
        <w:tc>
          <w:tcPr>
            <w:tcW w:w="3453" w:type="dxa"/>
            <w:tcBorders>
              <w:top w:val="nil"/>
              <w:left w:val="nil"/>
              <w:bottom w:val="single" w:sz="4" w:space="0" w:color="auto"/>
              <w:right w:val="single" w:sz="4" w:space="0" w:color="auto"/>
            </w:tcBorders>
            <w:shd w:val="clear" w:color="auto" w:fill="auto"/>
            <w:noWrap/>
            <w:vAlign w:val="center"/>
            <w:hideMark/>
          </w:tcPr>
          <w:p w14:paraId="383E4634" w14:textId="7EC73A00" w:rsidR="00C8797E" w:rsidRPr="00CD7646" w:rsidRDefault="00C8797E" w:rsidP="00C8797E">
            <w:pPr>
              <w:jc w:val="center"/>
              <w:rPr>
                <w:rFonts w:eastAsia="Times New Roman"/>
                <w:color w:val="000000"/>
                <w:lang w:eastAsia="ru-RU"/>
              </w:rPr>
            </w:pPr>
            <w:r w:rsidRPr="00CD7646">
              <w:rPr>
                <w:rFonts w:eastAsia="Times New Roman"/>
                <w:color w:val="000000"/>
                <w:lang w:eastAsia="ru-RU"/>
              </w:rPr>
              <w:t>61</w:t>
            </w:r>
            <w:r w:rsidR="003811D5">
              <w:rPr>
                <w:rFonts w:eastAsia="Times New Roman"/>
                <w:color w:val="000000"/>
                <w:lang w:eastAsia="ru-RU"/>
              </w:rPr>
              <w:t>,</w:t>
            </w:r>
            <w:r w:rsidRPr="00CD7646">
              <w:rPr>
                <w:rFonts w:eastAsia="Times New Roman"/>
                <w:color w:val="000000"/>
                <w:lang w:eastAsia="ru-RU"/>
              </w:rPr>
              <w:t>3% (73/119)</w:t>
            </w:r>
          </w:p>
        </w:tc>
        <w:tc>
          <w:tcPr>
            <w:tcW w:w="2628" w:type="dxa"/>
            <w:tcBorders>
              <w:top w:val="nil"/>
              <w:left w:val="nil"/>
              <w:bottom w:val="single" w:sz="4" w:space="0" w:color="auto"/>
              <w:right w:val="single" w:sz="4" w:space="0" w:color="auto"/>
            </w:tcBorders>
            <w:shd w:val="clear" w:color="auto" w:fill="auto"/>
            <w:noWrap/>
            <w:vAlign w:val="center"/>
            <w:hideMark/>
          </w:tcPr>
          <w:p w14:paraId="4818077E" w14:textId="3C0901DF" w:rsidR="00C8797E" w:rsidRPr="00CD7646" w:rsidRDefault="00C8797E" w:rsidP="00C8797E">
            <w:pPr>
              <w:jc w:val="center"/>
              <w:rPr>
                <w:rFonts w:eastAsia="Times New Roman"/>
                <w:color w:val="000000"/>
                <w:lang w:eastAsia="ru-RU"/>
              </w:rPr>
            </w:pPr>
            <w:r w:rsidRPr="00CD7646">
              <w:rPr>
                <w:rFonts w:eastAsia="Times New Roman"/>
                <w:color w:val="000000"/>
                <w:lang w:eastAsia="ru-RU"/>
              </w:rPr>
              <w:t>80</w:t>
            </w:r>
            <w:r w:rsidR="003811D5">
              <w:rPr>
                <w:rFonts w:eastAsia="Times New Roman"/>
                <w:color w:val="000000"/>
                <w:lang w:eastAsia="ru-RU"/>
              </w:rPr>
              <w:t>,</w:t>
            </w:r>
            <w:r w:rsidRPr="00CD7646">
              <w:rPr>
                <w:rFonts w:eastAsia="Times New Roman"/>
                <w:color w:val="000000"/>
                <w:lang w:eastAsia="ru-RU"/>
              </w:rPr>
              <w:t>4% (41/51)</w:t>
            </w:r>
          </w:p>
        </w:tc>
      </w:tr>
      <w:tr w:rsidR="00C8797E" w:rsidRPr="00CD7646" w14:paraId="13956C2A" w14:textId="77777777" w:rsidTr="00421CA0">
        <w:trPr>
          <w:trHeight w:val="285"/>
        </w:trPr>
        <w:tc>
          <w:tcPr>
            <w:tcW w:w="3278" w:type="dxa"/>
            <w:tcBorders>
              <w:top w:val="nil"/>
              <w:left w:val="single" w:sz="4" w:space="0" w:color="auto"/>
              <w:bottom w:val="single" w:sz="4" w:space="0" w:color="auto"/>
              <w:right w:val="single" w:sz="4" w:space="0" w:color="auto"/>
            </w:tcBorders>
            <w:shd w:val="clear" w:color="auto" w:fill="auto"/>
            <w:noWrap/>
            <w:vAlign w:val="center"/>
            <w:hideMark/>
          </w:tcPr>
          <w:p w14:paraId="39D24519" w14:textId="77777777" w:rsidR="00C8797E" w:rsidRPr="00CD7646" w:rsidRDefault="00C8797E" w:rsidP="00C8797E">
            <w:pPr>
              <w:jc w:val="center"/>
              <w:rPr>
                <w:rFonts w:eastAsia="Times New Roman"/>
                <w:color w:val="000000"/>
                <w:lang w:eastAsia="ru-RU"/>
              </w:rPr>
            </w:pPr>
            <w:r w:rsidRPr="00CD7646">
              <w:rPr>
                <w:rFonts w:eastAsia="Times New Roman"/>
                <w:color w:val="000000"/>
                <w:lang w:eastAsia="ru-RU"/>
              </w:rPr>
              <w:t>2</w:t>
            </w:r>
          </w:p>
        </w:tc>
        <w:tc>
          <w:tcPr>
            <w:tcW w:w="3453" w:type="dxa"/>
            <w:tcBorders>
              <w:top w:val="nil"/>
              <w:left w:val="nil"/>
              <w:bottom w:val="single" w:sz="4" w:space="0" w:color="auto"/>
              <w:right w:val="single" w:sz="4" w:space="0" w:color="auto"/>
            </w:tcBorders>
            <w:shd w:val="clear" w:color="auto" w:fill="auto"/>
            <w:noWrap/>
            <w:vAlign w:val="center"/>
            <w:hideMark/>
          </w:tcPr>
          <w:p w14:paraId="52B1B2D6" w14:textId="40998E5F" w:rsidR="00C8797E" w:rsidRPr="00CD7646" w:rsidRDefault="00C8797E" w:rsidP="00C8797E">
            <w:pPr>
              <w:jc w:val="center"/>
              <w:rPr>
                <w:rFonts w:eastAsia="Times New Roman"/>
                <w:color w:val="000000"/>
                <w:lang w:eastAsia="ru-RU"/>
              </w:rPr>
            </w:pPr>
            <w:r w:rsidRPr="00CD7646">
              <w:rPr>
                <w:rFonts w:eastAsia="Times New Roman"/>
                <w:color w:val="000000"/>
                <w:lang w:eastAsia="ru-RU"/>
              </w:rPr>
              <w:t>64</w:t>
            </w:r>
            <w:r w:rsidR="003811D5">
              <w:rPr>
                <w:rFonts w:eastAsia="Times New Roman"/>
                <w:color w:val="000000"/>
                <w:lang w:eastAsia="ru-RU"/>
              </w:rPr>
              <w:t>,</w:t>
            </w:r>
            <w:r w:rsidRPr="00CD7646">
              <w:rPr>
                <w:rFonts w:eastAsia="Times New Roman"/>
                <w:color w:val="000000"/>
                <w:lang w:eastAsia="ru-RU"/>
              </w:rPr>
              <w:t>1% (41/64)</w:t>
            </w:r>
          </w:p>
        </w:tc>
        <w:tc>
          <w:tcPr>
            <w:tcW w:w="2628" w:type="dxa"/>
            <w:tcBorders>
              <w:top w:val="nil"/>
              <w:left w:val="nil"/>
              <w:bottom w:val="single" w:sz="4" w:space="0" w:color="auto"/>
              <w:right w:val="single" w:sz="4" w:space="0" w:color="auto"/>
            </w:tcBorders>
            <w:shd w:val="clear" w:color="auto" w:fill="auto"/>
            <w:noWrap/>
            <w:vAlign w:val="center"/>
            <w:hideMark/>
          </w:tcPr>
          <w:p w14:paraId="0626A505" w14:textId="5DF79B7E" w:rsidR="00C8797E" w:rsidRPr="00CD7646" w:rsidRDefault="00C8797E" w:rsidP="00C8797E">
            <w:pPr>
              <w:jc w:val="center"/>
              <w:rPr>
                <w:rFonts w:eastAsia="Times New Roman"/>
                <w:color w:val="000000"/>
                <w:lang w:eastAsia="ru-RU"/>
              </w:rPr>
            </w:pPr>
            <w:r w:rsidRPr="00CD7646">
              <w:rPr>
                <w:rFonts w:eastAsia="Times New Roman"/>
                <w:color w:val="000000"/>
                <w:lang w:eastAsia="ru-RU"/>
              </w:rPr>
              <w:t>66</w:t>
            </w:r>
            <w:r w:rsidR="003811D5">
              <w:rPr>
                <w:rFonts w:eastAsia="Times New Roman"/>
                <w:color w:val="000000"/>
                <w:lang w:eastAsia="ru-RU"/>
              </w:rPr>
              <w:t>,</w:t>
            </w:r>
            <w:r w:rsidRPr="00CD7646">
              <w:rPr>
                <w:rFonts w:eastAsia="Times New Roman"/>
                <w:color w:val="000000"/>
                <w:lang w:eastAsia="ru-RU"/>
              </w:rPr>
              <w:t>7% (18/27)</w:t>
            </w:r>
          </w:p>
        </w:tc>
      </w:tr>
      <w:tr w:rsidR="00C8797E" w:rsidRPr="00CD7646" w14:paraId="277DB2AD" w14:textId="77777777" w:rsidTr="00421CA0">
        <w:trPr>
          <w:trHeight w:val="285"/>
        </w:trPr>
        <w:tc>
          <w:tcPr>
            <w:tcW w:w="3278" w:type="dxa"/>
            <w:tcBorders>
              <w:top w:val="nil"/>
              <w:left w:val="single" w:sz="4" w:space="0" w:color="auto"/>
              <w:bottom w:val="single" w:sz="4" w:space="0" w:color="auto"/>
              <w:right w:val="single" w:sz="4" w:space="0" w:color="auto"/>
            </w:tcBorders>
            <w:shd w:val="clear" w:color="auto" w:fill="auto"/>
            <w:noWrap/>
            <w:vAlign w:val="center"/>
            <w:hideMark/>
          </w:tcPr>
          <w:p w14:paraId="66633556" w14:textId="77777777" w:rsidR="00C8797E" w:rsidRPr="00CD7646" w:rsidRDefault="00C8797E" w:rsidP="00C8797E">
            <w:pPr>
              <w:jc w:val="center"/>
              <w:rPr>
                <w:rFonts w:eastAsia="Times New Roman"/>
                <w:color w:val="000000"/>
                <w:lang w:eastAsia="ru-RU"/>
              </w:rPr>
            </w:pPr>
            <w:r w:rsidRPr="00CD7646">
              <w:rPr>
                <w:rFonts w:eastAsia="Times New Roman"/>
                <w:color w:val="000000"/>
                <w:lang w:eastAsia="ru-RU"/>
              </w:rPr>
              <w:t>≥ 3</w:t>
            </w:r>
          </w:p>
        </w:tc>
        <w:tc>
          <w:tcPr>
            <w:tcW w:w="3453" w:type="dxa"/>
            <w:tcBorders>
              <w:top w:val="nil"/>
              <w:left w:val="nil"/>
              <w:bottom w:val="single" w:sz="4" w:space="0" w:color="auto"/>
              <w:right w:val="single" w:sz="4" w:space="0" w:color="auto"/>
            </w:tcBorders>
            <w:shd w:val="clear" w:color="auto" w:fill="auto"/>
            <w:noWrap/>
            <w:vAlign w:val="center"/>
            <w:hideMark/>
          </w:tcPr>
          <w:p w14:paraId="07021949" w14:textId="7F150776" w:rsidR="00C8797E" w:rsidRPr="00CD7646" w:rsidRDefault="00C8797E" w:rsidP="00C8797E">
            <w:pPr>
              <w:jc w:val="center"/>
              <w:rPr>
                <w:rFonts w:eastAsia="Times New Roman"/>
                <w:color w:val="000000"/>
                <w:lang w:eastAsia="ru-RU"/>
              </w:rPr>
            </w:pPr>
            <w:r w:rsidRPr="00CD7646">
              <w:rPr>
                <w:rFonts w:eastAsia="Times New Roman"/>
                <w:color w:val="000000"/>
                <w:lang w:eastAsia="ru-RU"/>
              </w:rPr>
              <w:t>38</w:t>
            </w:r>
            <w:r w:rsidR="003811D5">
              <w:rPr>
                <w:rFonts w:eastAsia="Times New Roman"/>
                <w:color w:val="000000"/>
                <w:lang w:eastAsia="ru-RU"/>
              </w:rPr>
              <w:t>,</w:t>
            </w:r>
            <w:r w:rsidRPr="00CD7646">
              <w:rPr>
                <w:rFonts w:eastAsia="Times New Roman"/>
                <w:color w:val="000000"/>
                <w:lang w:eastAsia="ru-RU"/>
              </w:rPr>
              <w:t>3% (23/60)</w:t>
            </w:r>
          </w:p>
        </w:tc>
        <w:tc>
          <w:tcPr>
            <w:tcW w:w="2628" w:type="dxa"/>
            <w:tcBorders>
              <w:top w:val="nil"/>
              <w:left w:val="nil"/>
              <w:bottom w:val="single" w:sz="4" w:space="0" w:color="auto"/>
              <w:right w:val="single" w:sz="4" w:space="0" w:color="auto"/>
            </w:tcBorders>
            <w:shd w:val="clear" w:color="auto" w:fill="auto"/>
            <w:noWrap/>
            <w:vAlign w:val="center"/>
            <w:hideMark/>
          </w:tcPr>
          <w:p w14:paraId="7690AE5A" w14:textId="64CC4023" w:rsidR="00C8797E" w:rsidRPr="00CD7646" w:rsidRDefault="00C8797E" w:rsidP="00C8797E">
            <w:pPr>
              <w:jc w:val="center"/>
              <w:rPr>
                <w:rFonts w:eastAsia="Times New Roman"/>
                <w:color w:val="000000"/>
                <w:lang w:eastAsia="ru-RU"/>
              </w:rPr>
            </w:pPr>
            <w:r w:rsidRPr="00CD7646">
              <w:rPr>
                <w:rFonts w:eastAsia="Times New Roman"/>
                <w:color w:val="000000"/>
                <w:lang w:eastAsia="ru-RU"/>
              </w:rPr>
              <w:t>53</w:t>
            </w:r>
            <w:r w:rsidR="003811D5">
              <w:rPr>
                <w:rFonts w:eastAsia="Times New Roman"/>
                <w:color w:val="000000"/>
                <w:lang w:eastAsia="ru-RU"/>
              </w:rPr>
              <w:t>,</w:t>
            </w:r>
            <w:r w:rsidRPr="00CD7646">
              <w:rPr>
                <w:rFonts w:eastAsia="Times New Roman"/>
                <w:color w:val="000000"/>
                <w:lang w:eastAsia="ru-RU"/>
              </w:rPr>
              <w:t>3% (8/15)</w:t>
            </w:r>
          </w:p>
        </w:tc>
      </w:tr>
      <w:tr w:rsidR="00C8797E" w:rsidRPr="00CD7646" w14:paraId="0112797D" w14:textId="77777777" w:rsidTr="00421CA0">
        <w:trPr>
          <w:trHeight w:val="285"/>
        </w:trPr>
        <w:tc>
          <w:tcPr>
            <w:tcW w:w="3278" w:type="dxa"/>
            <w:tcBorders>
              <w:top w:val="nil"/>
              <w:left w:val="single" w:sz="4" w:space="0" w:color="auto"/>
              <w:bottom w:val="single" w:sz="4" w:space="0" w:color="auto"/>
              <w:right w:val="single" w:sz="4" w:space="0" w:color="auto"/>
            </w:tcBorders>
            <w:shd w:val="clear" w:color="auto" w:fill="auto"/>
            <w:noWrap/>
            <w:vAlign w:val="center"/>
            <w:hideMark/>
          </w:tcPr>
          <w:p w14:paraId="1C3C539E" w14:textId="77777777" w:rsidR="00C8797E" w:rsidRPr="00CD7646" w:rsidRDefault="00C8797E" w:rsidP="00C8797E">
            <w:pPr>
              <w:jc w:val="center"/>
              <w:rPr>
                <w:rFonts w:eastAsia="Times New Roman"/>
                <w:color w:val="000000"/>
                <w:lang w:eastAsia="ru-RU"/>
              </w:rPr>
            </w:pPr>
            <w:r w:rsidRPr="00CD7646">
              <w:rPr>
                <w:rFonts w:eastAsia="Times New Roman"/>
                <w:color w:val="000000"/>
                <w:lang w:eastAsia="ru-RU"/>
              </w:rPr>
              <w:t> </w:t>
            </w:r>
          </w:p>
        </w:tc>
        <w:tc>
          <w:tcPr>
            <w:tcW w:w="60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6093C9" w14:textId="77777777" w:rsidR="00C8797E" w:rsidRPr="00CD7646" w:rsidRDefault="00C8797E" w:rsidP="00C8797E">
            <w:pPr>
              <w:jc w:val="center"/>
              <w:rPr>
                <w:rFonts w:eastAsia="Times New Roman"/>
                <w:color w:val="000000"/>
                <w:lang w:eastAsia="ru-RU"/>
              </w:rPr>
            </w:pPr>
            <w:r>
              <w:rPr>
                <w:rFonts w:eastAsia="Times New Roman"/>
                <w:color w:val="000000"/>
                <w:lang w:eastAsia="ru-RU"/>
              </w:rPr>
              <w:t>Плацебо</w:t>
            </w:r>
            <w:r w:rsidRPr="00CD7646">
              <w:rPr>
                <w:rFonts w:eastAsia="Times New Roman"/>
                <w:color w:val="000000"/>
                <w:lang w:eastAsia="ru-RU"/>
              </w:rPr>
              <w:t xml:space="preserve"> N = 569</w:t>
            </w:r>
          </w:p>
        </w:tc>
      </w:tr>
      <w:tr w:rsidR="00C8797E" w:rsidRPr="00CD7646" w14:paraId="4AFD99B7" w14:textId="77777777" w:rsidTr="00421CA0">
        <w:trPr>
          <w:trHeight w:val="285"/>
        </w:trPr>
        <w:tc>
          <w:tcPr>
            <w:tcW w:w="3278" w:type="dxa"/>
            <w:tcBorders>
              <w:top w:val="nil"/>
              <w:left w:val="single" w:sz="4" w:space="0" w:color="auto"/>
              <w:bottom w:val="single" w:sz="4" w:space="0" w:color="auto"/>
              <w:right w:val="single" w:sz="4" w:space="0" w:color="auto"/>
            </w:tcBorders>
            <w:shd w:val="clear" w:color="auto" w:fill="auto"/>
            <w:noWrap/>
            <w:vAlign w:val="center"/>
            <w:hideMark/>
          </w:tcPr>
          <w:p w14:paraId="3CCB605D" w14:textId="77777777" w:rsidR="00C8797E" w:rsidRPr="00CD7646" w:rsidRDefault="00C8797E" w:rsidP="00C8797E">
            <w:pPr>
              <w:contextualSpacing/>
              <w:jc w:val="center"/>
              <w:rPr>
                <w:rFonts w:eastAsia="Times New Roman"/>
                <w:color w:val="000000"/>
                <w:lang w:eastAsia="ru-RU"/>
              </w:rPr>
            </w:pPr>
            <w:r>
              <w:rPr>
                <w:rFonts w:eastAsia="Times New Roman"/>
                <w:color w:val="000000"/>
                <w:lang w:eastAsia="ru-RU"/>
              </w:rPr>
              <w:t>Все диапазоны</w:t>
            </w:r>
          </w:p>
        </w:tc>
        <w:tc>
          <w:tcPr>
            <w:tcW w:w="3453" w:type="dxa"/>
            <w:tcBorders>
              <w:top w:val="nil"/>
              <w:left w:val="nil"/>
              <w:bottom w:val="single" w:sz="4" w:space="0" w:color="auto"/>
              <w:right w:val="single" w:sz="4" w:space="0" w:color="auto"/>
            </w:tcBorders>
            <w:shd w:val="clear" w:color="auto" w:fill="auto"/>
            <w:noWrap/>
            <w:vAlign w:val="center"/>
            <w:hideMark/>
          </w:tcPr>
          <w:p w14:paraId="613CB337" w14:textId="0AC56BBD" w:rsidR="00C8797E" w:rsidRPr="00CD7646" w:rsidRDefault="00C8797E" w:rsidP="00C8797E">
            <w:pPr>
              <w:contextualSpacing/>
              <w:jc w:val="center"/>
              <w:rPr>
                <w:rFonts w:eastAsia="Times New Roman"/>
                <w:color w:val="000000"/>
                <w:lang w:eastAsia="ru-RU"/>
              </w:rPr>
            </w:pPr>
            <w:r w:rsidRPr="00CD7646">
              <w:rPr>
                <w:rFonts w:eastAsia="Times New Roman"/>
                <w:color w:val="000000"/>
                <w:lang w:eastAsia="ru-RU"/>
              </w:rPr>
              <w:t>37</w:t>
            </w:r>
            <w:r w:rsidR="003811D5">
              <w:rPr>
                <w:rFonts w:eastAsia="Times New Roman"/>
                <w:color w:val="000000"/>
                <w:lang w:eastAsia="ru-RU"/>
              </w:rPr>
              <w:t>,</w:t>
            </w:r>
            <w:r w:rsidRPr="00CD7646">
              <w:rPr>
                <w:rFonts w:eastAsia="Times New Roman"/>
                <w:color w:val="000000"/>
                <w:lang w:eastAsia="ru-RU"/>
              </w:rPr>
              <w:t>1% (147/396)</w:t>
            </w:r>
          </w:p>
        </w:tc>
        <w:tc>
          <w:tcPr>
            <w:tcW w:w="2628" w:type="dxa"/>
            <w:tcBorders>
              <w:top w:val="nil"/>
              <w:left w:val="nil"/>
              <w:bottom w:val="single" w:sz="4" w:space="0" w:color="auto"/>
              <w:right w:val="single" w:sz="4" w:space="0" w:color="auto"/>
            </w:tcBorders>
            <w:shd w:val="clear" w:color="auto" w:fill="auto"/>
            <w:noWrap/>
            <w:vAlign w:val="center"/>
            <w:hideMark/>
          </w:tcPr>
          <w:p w14:paraId="70B42BB4" w14:textId="52C2F026" w:rsidR="00C8797E" w:rsidRPr="00CD7646" w:rsidRDefault="00C8797E" w:rsidP="00C8797E">
            <w:pPr>
              <w:contextualSpacing/>
              <w:jc w:val="center"/>
              <w:rPr>
                <w:rFonts w:eastAsia="Times New Roman"/>
                <w:color w:val="000000"/>
                <w:lang w:eastAsia="ru-RU"/>
              </w:rPr>
            </w:pPr>
            <w:r w:rsidRPr="00CD7646">
              <w:rPr>
                <w:rFonts w:eastAsia="Times New Roman"/>
                <w:color w:val="000000"/>
                <w:lang w:eastAsia="ru-RU"/>
              </w:rPr>
              <w:t>64</w:t>
            </w:r>
            <w:r w:rsidR="003811D5">
              <w:rPr>
                <w:rFonts w:eastAsia="Times New Roman"/>
                <w:color w:val="000000"/>
                <w:lang w:eastAsia="ru-RU"/>
              </w:rPr>
              <w:t>,</w:t>
            </w:r>
            <w:r w:rsidRPr="00CD7646">
              <w:rPr>
                <w:rFonts w:eastAsia="Times New Roman"/>
                <w:color w:val="000000"/>
                <w:lang w:eastAsia="ru-RU"/>
              </w:rPr>
              <w:t>1% (93/145)</w:t>
            </w:r>
          </w:p>
        </w:tc>
      </w:tr>
      <w:tr w:rsidR="00C8797E" w:rsidRPr="00CD7646" w14:paraId="0318A99D" w14:textId="77777777" w:rsidTr="00421CA0">
        <w:trPr>
          <w:trHeight w:val="763"/>
        </w:trPr>
        <w:tc>
          <w:tcPr>
            <w:tcW w:w="935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EEEF2" w14:textId="77777777" w:rsidR="00C8797E" w:rsidRPr="00CD7646" w:rsidRDefault="00C8797E" w:rsidP="00C8797E">
            <w:pPr>
              <w:contextualSpacing/>
              <w:rPr>
                <w:rFonts w:eastAsia="Times New Roman"/>
                <w:b/>
                <w:bCs/>
                <w:color w:val="000000"/>
                <w:sz w:val="20"/>
                <w:szCs w:val="20"/>
                <w:lang w:eastAsia="ru-RU"/>
              </w:rPr>
            </w:pPr>
            <w:r w:rsidRPr="00CD7646">
              <w:rPr>
                <w:rFonts w:eastAsia="Times New Roman"/>
                <w:b/>
                <w:bCs/>
                <w:color w:val="000000"/>
                <w:sz w:val="20"/>
                <w:szCs w:val="20"/>
                <w:lang w:eastAsia="ru-RU"/>
              </w:rPr>
              <w:t>Примечание:</w:t>
            </w:r>
          </w:p>
          <w:p w14:paraId="3821C894" w14:textId="2552B845" w:rsidR="00C8797E" w:rsidRPr="00CD7646" w:rsidRDefault="00C8797E" w:rsidP="008B0B82">
            <w:pPr>
              <w:contextualSpacing/>
              <w:rPr>
                <w:rFonts w:eastAsia="Times New Roman"/>
                <w:b/>
                <w:bCs/>
                <w:color w:val="000000"/>
                <w:sz w:val="20"/>
                <w:szCs w:val="20"/>
                <w:lang w:eastAsia="ru-RU"/>
              </w:rPr>
            </w:pP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V</w:t>
            </w:r>
            <w:r w:rsidRPr="005C597A">
              <w:rPr>
                <w:rFonts w:eastAsia="Times New Roman"/>
                <w:color w:val="000000"/>
                <w:sz w:val="20"/>
                <w:szCs w:val="20"/>
                <w:lang w:eastAsia="ru-RU"/>
              </w:rPr>
              <w:t>90</w:t>
            </w:r>
            <w:r w:rsidRPr="00CD7646">
              <w:rPr>
                <w:rFonts w:eastAsia="Times New Roman"/>
                <w:color w:val="000000"/>
                <w:sz w:val="20"/>
                <w:szCs w:val="20"/>
                <w:lang w:val="en-US" w:eastAsia="ru-RU"/>
              </w:rPr>
              <w:t>I</w:t>
            </w: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A</w:t>
            </w:r>
            <w:r w:rsidRPr="005C597A">
              <w:rPr>
                <w:rFonts w:eastAsia="Times New Roman"/>
                <w:color w:val="000000"/>
                <w:sz w:val="20"/>
                <w:szCs w:val="20"/>
                <w:lang w:eastAsia="ru-RU"/>
              </w:rPr>
              <w:t>98</w:t>
            </w:r>
            <w:r w:rsidRPr="00CD7646">
              <w:rPr>
                <w:rFonts w:eastAsia="Times New Roman"/>
                <w:color w:val="000000"/>
                <w:sz w:val="20"/>
                <w:szCs w:val="20"/>
                <w:lang w:val="en-US" w:eastAsia="ru-RU"/>
              </w:rPr>
              <w:t>G</w:t>
            </w: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L</w:t>
            </w:r>
            <w:r w:rsidRPr="005C597A">
              <w:rPr>
                <w:rFonts w:eastAsia="Times New Roman"/>
                <w:color w:val="000000"/>
                <w:sz w:val="20"/>
                <w:szCs w:val="20"/>
                <w:lang w:eastAsia="ru-RU"/>
              </w:rPr>
              <w:t>100</w:t>
            </w:r>
            <w:r w:rsidRPr="00CD7646">
              <w:rPr>
                <w:rFonts w:eastAsia="Times New Roman"/>
                <w:color w:val="000000"/>
                <w:sz w:val="20"/>
                <w:szCs w:val="20"/>
                <w:lang w:val="en-US" w:eastAsia="ru-RU"/>
              </w:rPr>
              <w:t>I</w:t>
            </w: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K</w:t>
            </w:r>
            <w:r w:rsidRPr="005C597A">
              <w:rPr>
                <w:rFonts w:eastAsia="Times New Roman"/>
                <w:color w:val="000000"/>
                <w:sz w:val="20"/>
                <w:szCs w:val="20"/>
                <w:lang w:eastAsia="ru-RU"/>
              </w:rPr>
              <w:t>101</w:t>
            </w:r>
            <w:r w:rsidRPr="00CD7646">
              <w:rPr>
                <w:rFonts w:eastAsia="Times New Roman"/>
                <w:color w:val="000000"/>
                <w:sz w:val="20"/>
                <w:szCs w:val="20"/>
                <w:lang w:val="en-US" w:eastAsia="ru-RU"/>
              </w:rPr>
              <w:t>E</w:t>
            </w:r>
            <w:r w:rsidRPr="005C597A">
              <w:rPr>
                <w:rFonts w:eastAsia="Times New Roman"/>
                <w:color w:val="000000"/>
                <w:sz w:val="20"/>
                <w:szCs w:val="20"/>
                <w:lang w:eastAsia="ru-RU"/>
              </w:rPr>
              <w:t>/</w:t>
            </w:r>
            <w:r w:rsidRPr="00CD7646">
              <w:rPr>
                <w:rFonts w:eastAsia="Times New Roman"/>
                <w:color w:val="000000"/>
                <w:sz w:val="20"/>
                <w:szCs w:val="20"/>
                <w:lang w:val="en-US" w:eastAsia="ru-RU"/>
              </w:rPr>
              <w:t>P</w:t>
            </w: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V</w:t>
            </w:r>
            <w:r w:rsidRPr="005C597A">
              <w:rPr>
                <w:rFonts w:eastAsia="Times New Roman"/>
                <w:color w:val="000000"/>
                <w:sz w:val="20"/>
                <w:szCs w:val="20"/>
                <w:lang w:eastAsia="ru-RU"/>
              </w:rPr>
              <w:t>106</w:t>
            </w:r>
            <w:r w:rsidRPr="00CD7646">
              <w:rPr>
                <w:rFonts w:eastAsia="Times New Roman"/>
                <w:color w:val="000000"/>
                <w:sz w:val="20"/>
                <w:szCs w:val="20"/>
                <w:lang w:val="en-US" w:eastAsia="ru-RU"/>
              </w:rPr>
              <w:t>I</w:t>
            </w: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V</w:t>
            </w:r>
            <w:r w:rsidRPr="005C597A">
              <w:rPr>
                <w:rFonts w:eastAsia="Times New Roman"/>
                <w:color w:val="000000"/>
                <w:sz w:val="20"/>
                <w:szCs w:val="20"/>
                <w:lang w:eastAsia="ru-RU"/>
              </w:rPr>
              <w:t>179</w:t>
            </w:r>
            <w:r w:rsidRPr="00CD7646">
              <w:rPr>
                <w:rFonts w:eastAsia="Times New Roman"/>
                <w:color w:val="000000"/>
                <w:sz w:val="20"/>
                <w:szCs w:val="20"/>
                <w:lang w:val="en-US" w:eastAsia="ru-RU"/>
              </w:rPr>
              <w:t>D</w:t>
            </w:r>
            <w:r w:rsidRPr="005C597A">
              <w:rPr>
                <w:rFonts w:eastAsia="Times New Roman"/>
                <w:color w:val="000000"/>
                <w:sz w:val="20"/>
                <w:szCs w:val="20"/>
                <w:lang w:eastAsia="ru-RU"/>
              </w:rPr>
              <w:t>/</w:t>
            </w:r>
            <w:r w:rsidRPr="00CD7646">
              <w:rPr>
                <w:rFonts w:eastAsia="Times New Roman"/>
                <w:color w:val="000000"/>
                <w:sz w:val="20"/>
                <w:szCs w:val="20"/>
                <w:lang w:val="en-US" w:eastAsia="ru-RU"/>
              </w:rPr>
              <w:t>F</w:t>
            </w: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Y</w:t>
            </w:r>
            <w:r w:rsidRPr="005C597A">
              <w:rPr>
                <w:rFonts w:eastAsia="Times New Roman"/>
                <w:color w:val="000000"/>
                <w:sz w:val="20"/>
                <w:szCs w:val="20"/>
                <w:lang w:eastAsia="ru-RU"/>
              </w:rPr>
              <w:t>181</w:t>
            </w:r>
            <w:r w:rsidRPr="00CD7646">
              <w:rPr>
                <w:rFonts w:eastAsia="Times New Roman"/>
                <w:color w:val="000000"/>
                <w:sz w:val="20"/>
                <w:szCs w:val="20"/>
                <w:lang w:val="en-US" w:eastAsia="ru-RU"/>
              </w:rPr>
              <w:t>C</w:t>
            </w:r>
            <w:r w:rsidRPr="005C597A">
              <w:rPr>
                <w:rFonts w:eastAsia="Times New Roman"/>
                <w:color w:val="000000"/>
                <w:sz w:val="20"/>
                <w:szCs w:val="20"/>
                <w:lang w:eastAsia="ru-RU"/>
              </w:rPr>
              <w:t>/</w:t>
            </w:r>
            <w:r w:rsidRPr="00CD7646">
              <w:rPr>
                <w:rFonts w:eastAsia="Times New Roman"/>
                <w:color w:val="000000"/>
                <w:sz w:val="20"/>
                <w:szCs w:val="20"/>
                <w:lang w:val="en-US" w:eastAsia="ru-RU"/>
              </w:rPr>
              <w:t>I</w:t>
            </w:r>
            <w:r w:rsidRPr="005C597A">
              <w:rPr>
                <w:rFonts w:eastAsia="Times New Roman"/>
                <w:color w:val="000000"/>
                <w:sz w:val="20"/>
                <w:szCs w:val="20"/>
                <w:lang w:eastAsia="ru-RU"/>
              </w:rPr>
              <w:t>/</w:t>
            </w:r>
            <w:r w:rsidRPr="00CD7646">
              <w:rPr>
                <w:rFonts w:eastAsia="Times New Roman"/>
                <w:color w:val="000000"/>
                <w:sz w:val="20"/>
                <w:szCs w:val="20"/>
                <w:lang w:val="en-US" w:eastAsia="ru-RU"/>
              </w:rPr>
              <w:t>V</w:t>
            </w:r>
            <w:r w:rsidRPr="005C597A">
              <w:rPr>
                <w:rFonts w:eastAsia="Times New Roman"/>
                <w:color w:val="000000"/>
                <w:sz w:val="20"/>
                <w:szCs w:val="20"/>
                <w:lang w:eastAsia="ru-RU"/>
              </w:rPr>
              <w:t xml:space="preserve">, </w:t>
            </w:r>
            <w:r w:rsidRPr="00CD7646">
              <w:rPr>
                <w:rFonts w:eastAsia="Times New Roman"/>
                <w:color w:val="000000"/>
                <w:sz w:val="20"/>
                <w:szCs w:val="20"/>
                <w:lang w:val="en-US" w:eastAsia="ru-RU"/>
              </w:rPr>
              <w:t>G</w:t>
            </w:r>
            <w:r w:rsidRPr="005C597A">
              <w:rPr>
                <w:rFonts w:eastAsia="Times New Roman"/>
                <w:color w:val="000000"/>
                <w:sz w:val="20"/>
                <w:szCs w:val="20"/>
                <w:lang w:eastAsia="ru-RU"/>
              </w:rPr>
              <w:t>190</w:t>
            </w:r>
            <w:r w:rsidRPr="00CD7646">
              <w:rPr>
                <w:rFonts w:eastAsia="Times New Roman"/>
                <w:color w:val="000000"/>
                <w:sz w:val="20"/>
                <w:szCs w:val="20"/>
                <w:lang w:val="en-US" w:eastAsia="ru-RU"/>
              </w:rPr>
              <w:t>A</w:t>
            </w:r>
            <w:r w:rsidRPr="005C597A">
              <w:rPr>
                <w:rFonts w:eastAsia="Times New Roman"/>
                <w:color w:val="000000"/>
                <w:sz w:val="20"/>
                <w:szCs w:val="20"/>
                <w:lang w:eastAsia="ru-RU"/>
              </w:rPr>
              <w:t>/</w:t>
            </w:r>
            <w:r w:rsidRPr="00CD7646">
              <w:rPr>
                <w:rFonts w:eastAsia="Times New Roman"/>
                <w:color w:val="000000"/>
                <w:sz w:val="20"/>
                <w:szCs w:val="20"/>
                <w:lang w:val="en-US" w:eastAsia="ru-RU"/>
              </w:rPr>
              <w:t>S</w:t>
            </w:r>
            <w:r w:rsidRPr="005C597A">
              <w:rPr>
                <w:rFonts w:eastAsia="Times New Roman"/>
                <w:color w:val="000000"/>
                <w:sz w:val="20"/>
                <w:szCs w:val="20"/>
                <w:lang w:eastAsia="ru-RU"/>
              </w:rPr>
              <w:br/>
              <w:t xml:space="preserve">Примечание: все пациенты в исследованиях </w:t>
            </w:r>
            <w:r w:rsidRPr="005C597A">
              <w:rPr>
                <w:rFonts w:eastAsia="Times New Roman"/>
                <w:color w:val="000000"/>
                <w:sz w:val="20"/>
                <w:szCs w:val="20"/>
                <w:lang w:val="en-US" w:eastAsia="ru-RU"/>
              </w:rPr>
              <w:t>DUET</w:t>
            </w:r>
            <w:r w:rsidRPr="005C597A">
              <w:rPr>
                <w:rFonts w:eastAsia="Times New Roman"/>
                <w:color w:val="000000"/>
                <w:sz w:val="20"/>
                <w:szCs w:val="20"/>
                <w:lang w:eastAsia="ru-RU"/>
              </w:rPr>
              <w:t xml:space="preserve"> получали фоновую схему</w:t>
            </w:r>
            <w:r w:rsidR="003811D5">
              <w:rPr>
                <w:rFonts w:eastAsia="Times New Roman"/>
                <w:color w:val="000000"/>
                <w:sz w:val="20"/>
                <w:szCs w:val="20"/>
                <w:lang w:eastAsia="ru-RU"/>
              </w:rPr>
              <w:t xml:space="preserve"> терапии</w:t>
            </w:r>
            <w:r w:rsidRPr="005C597A">
              <w:rPr>
                <w:rFonts w:eastAsia="Times New Roman"/>
                <w:color w:val="000000"/>
                <w:sz w:val="20"/>
                <w:szCs w:val="20"/>
                <w:lang w:eastAsia="ru-RU"/>
              </w:rPr>
              <w:t>, состоящую из дарунавира/ритонавира, выбранных исследователем НИОТ и энфувиртида (по выбору).</w:t>
            </w:r>
          </w:p>
        </w:tc>
      </w:tr>
    </w:tbl>
    <w:p w14:paraId="642FA953" w14:textId="77777777" w:rsidR="00C8797E" w:rsidRPr="005C597A" w:rsidRDefault="00C8797E" w:rsidP="00C8797E">
      <w:pPr>
        <w:ind w:firstLine="709"/>
        <w:contextualSpacing/>
      </w:pPr>
    </w:p>
    <w:p w14:paraId="137FC553" w14:textId="1BAA1B18" w:rsidR="00C8797E" w:rsidRPr="005C597A" w:rsidRDefault="00C8797E" w:rsidP="00C8797E">
      <w:pPr>
        <w:ind w:firstLine="709"/>
        <w:contextualSpacing/>
      </w:pPr>
      <w:r w:rsidRPr="005C597A">
        <w:t xml:space="preserve">Присутствие </w:t>
      </w:r>
      <w:r w:rsidR="003811D5">
        <w:t>только мутации</w:t>
      </w:r>
      <w:r w:rsidR="003811D5" w:rsidRPr="005C597A">
        <w:t xml:space="preserve"> </w:t>
      </w:r>
      <w:r w:rsidRPr="005C597A">
        <w:rPr>
          <w:lang w:val="en-US"/>
        </w:rPr>
        <w:t>K</w:t>
      </w:r>
      <w:r w:rsidRPr="005C597A">
        <w:t>103</w:t>
      </w:r>
      <w:r w:rsidRPr="005C597A">
        <w:rPr>
          <w:lang w:val="en-US"/>
        </w:rPr>
        <w:t>N</w:t>
      </w:r>
      <w:r w:rsidRPr="005C597A">
        <w:t xml:space="preserve">, </w:t>
      </w:r>
      <w:r w:rsidR="003811D5" w:rsidRPr="005C597A">
        <w:t>котор</w:t>
      </w:r>
      <w:r w:rsidR="003811D5">
        <w:t>ая</w:t>
      </w:r>
      <w:r w:rsidR="003811D5" w:rsidRPr="005C597A">
        <w:t xml:space="preserve"> </w:t>
      </w:r>
      <w:r w:rsidRPr="005C597A">
        <w:t>был</w:t>
      </w:r>
      <w:r w:rsidR="003811D5">
        <w:t>а</w:t>
      </w:r>
      <w:r w:rsidRPr="005C597A">
        <w:t xml:space="preserve"> наиболее распространенной мутацией ННИОТ в </w:t>
      </w:r>
      <w:r w:rsidRPr="005C597A">
        <w:rPr>
          <w:lang w:val="en-US"/>
        </w:rPr>
        <w:t>DUET</w:t>
      </w:r>
      <w:r w:rsidRPr="005C597A">
        <w:t xml:space="preserve">-1 и </w:t>
      </w:r>
      <w:r w:rsidRPr="005C597A">
        <w:rPr>
          <w:lang w:val="en-US"/>
        </w:rPr>
        <w:t>DUET</w:t>
      </w:r>
      <w:r w:rsidRPr="005C597A">
        <w:t xml:space="preserve">-2 на исходном уровне, не было </w:t>
      </w:r>
      <w:r w:rsidR="003811D5">
        <w:t>расценено</w:t>
      </w:r>
      <w:r w:rsidR="003811D5" w:rsidRPr="005C597A">
        <w:t xml:space="preserve"> </w:t>
      </w:r>
      <w:r w:rsidRPr="005C597A">
        <w:t xml:space="preserve">как мутация, связанная с устойчивостью к этравирину. Более того, наличие одной только этой мутации не влияло на ответ в группе этравирина. </w:t>
      </w:r>
      <w:r w:rsidRPr="00C8797E">
        <w:t xml:space="preserve">Для заключения о влиянии </w:t>
      </w:r>
      <w:r w:rsidRPr="005C597A">
        <w:rPr>
          <w:lang w:val="en-US"/>
        </w:rPr>
        <w:t>K</w:t>
      </w:r>
      <w:r w:rsidRPr="00C8797E">
        <w:t>103</w:t>
      </w:r>
      <w:r w:rsidRPr="005C597A">
        <w:rPr>
          <w:lang w:val="en-US"/>
        </w:rPr>
        <w:t>N</w:t>
      </w:r>
      <w:r w:rsidRPr="00C8797E">
        <w:t xml:space="preserve"> на другие мутации ННИОТ необходимы дополнительные данные.</w:t>
      </w:r>
    </w:p>
    <w:p w14:paraId="27C1C869" w14:textId="73D91F23" w:rsidR="00C8797E" w:rsidRPr="005C597A" w:rsidRDefault="00C8797E" w:rsidP="00C8797E">
      <w:pPr>
        <w:ind w:firstLine="709"/>
        <w:contextualSpacing/>
        <w:rPr>
          <w:rFonts w:eastAsia="Times New Roman"/>
          <w:color w:val="000000"/>
          <w:lang w:eastAsia="ru-RU"/>
        </w:rPr>
      </w:pPr>
      <w:r w:rsidRPr="005C597A">
        <w:rPr>
          <w:rFonts w:eastAsia="Times New Roman"/>
          <w:color w:val="000000"/>
          <w:lang w:eastAsia="ru-RU"/>
        </w:rPr>
        <w:t xml:space="preserve">Данные исследований DUET позволяют предположить, что исходная кратность изменения (FC) </w:t>
      </w:r>
      <w:r w:rsidR="00AB23F9">
        <w:rPr>
          <w:rFonts w:eastAsia="Times New Roman"/>
          <w:color w:val="000000"/>
          <w:lang w:eastAsia="ru-RU"/>
        </w:rPr>
        <w:t xml:space="preserve">значения </w:t>
      </w:r>
      <w:r w:rsidRPr="005C597A">
        <w:rPr>
          <w:rFonts w:eastAsia="Times New Roman"/>
          <w:color w:val="000000"/>
          <w:lang w:eastAsia="ru-RU"/>
        </w:rPr>
        <w:t>EC</w:t>
      </w:r>
      <w:r w:rsidRPr="00C8797E">
        <w:rPr>
          <w:rFonts w:eastAsia="Times New Roman"/>
          <w:color w:val="000000"/>
          <w:vertAlign w:val="subscript"/>
          <w:lang w:eastAsia="ru-RU"/>
        </w:rPr>
        <w:t>50</w:t>
      </w:r>
      <w:r w:rsidRPr="005C597A">
        <w:rPr>
          <w:rFonts w:eastAsia="Times New Roman"/>
          <w:color w:val="000000"/>
          <w:lang w:eastAsia="ru-RU"/>
        </w:rPr>
        <w:t xml:space="preserve"> по сравнению с этравирином была прогностическим фактором вирусологического исхода с постепенным уменьшением ответов, наблюдаемых выше FC 3 и FC 13.</w:t>
      </w:r>
    </w:p>
    <w:p w14:paraId="78461567" w14:textId="4F9235A7" w:rsidR="00C8797E" w:rsidRDefault="00C8797E" w:rsidP="00DF34DD">
      <w:pPr>
        <w:ind w:firstLine="709"/>
        <w:contextualSpacing/>
      </w:pPr>
      <w:r w:rsidRPr="005C597A">
        <w:t xml:space="preserve">Подгруппы </w:t>
      </w:r>
      <w:r w:rsidRPr="00F62FA0">
        <w:rPr>
          <w:lang w:val="en-US"/>
        </w:rPr>
        <w:t>FC</w:t>
      </w:r>
      <w:r w:rsidRPr="005C597A">
        <w:t xml:space="preserve"> основаны на выбранных популяциях пациентов в </w:t>
      </w:r>
      <w:r w:rsidRPr="005C597A">
        <w:rPr>
          <w:lang w:val="en-US"/>
        </w:rPr>
        <w:t>DUET</w:t>
      </w:r>
      <w:r w:rsidRPr="005C597A">
        <w:t xml:space="preserve">-1 и </w:t>
      </w:r>
      <w:r w:rsidRPr="005C597A">
        <w:rPr>
          <w:lang w:val="en-US"/>
        </w:rPr>
        <w:t>DUET</w:t>
      </w:r>
      <w:r w:rsidRPr="005C597A">
        <w:t>-2 и не предназначены для представления окончательных пограничных значений клинической чувствительности к этравирину</w:t>
      </w:r>
      <w:r w:rsidR="00087BDF">
        <w:t xml:space="preserve"> </w:t>
      </w:r>
      <w:r w:rsidR="00EA34B0" w:rsidRPr="00EA34B0">
        <w:t>[</w:t>
      </w:r>
      <w:r w:rsidR="00EA34B0" w:rsidRPr="008B0B82">
        <w:t>23, 64].</w:t>
      </w:r>
    </w:p>
    <w:p w14:paraId="0C3CA631" w14:textId="77777777" w:rsidR="006D49DE" w:rsidRDefault="006D49DE" w:rsidP="008B0B82">
      <w:pPr>
        <w:contextualSpacing/>
        <w:rPr>
          <w:i/>
        </w:rPr>
      </w:pPr>
    </w:p>
    <w:p w14:paraId="1B53D3B8" w14:textId="77777777" w:rsidR="00421CA0" w:rsidRDefault="00421CA0" w:rsidP="008B0B82">
      <w:pPr>
        <w:contextualSpacing/>
        <w:rPr>
          <w:i/>
        </w:rPr>
        <w:sectPr w:rsidR="00421CA0" w:rsidSect="00AB01E2">
          <w:pgSz w:w="11906" w:h="16838"/>
          <w:pgMar w:top="1134" w:right="849" w:bottom="1134" w:left="1701" w:header="708" w:footer="709" w:gutter="0"/>
          <w:cols w:space="708"/>
          <w:docGrid w:linePitch="360"/>
        </w:sectPr>
      </w:pPr>
    </w:p>
    <w:p w14:paraId="712D7307" w14:textId="52A19166" w:rsidR="00087BDF" w:rsidRPr="008B0B82" w:rsidRDefault="00087BDF" w:rsidP="008B0B82">
      <w:pPr>
        <w:contextualSpacing/>
        <w:rPr>
          <w:i/>
        </w:rPr>
      </w:pPr>
      <w:r w:rsidRPr="008B0B82">
        <w:rPr>
          <w:i/>
        </w:rPr>
        <w:t>Исследование прямого сравнения с ингибитором протеазы у пациентов, ранее не получавших ингибитор протеазы (исследование TMC125-C227)</w:t>
      </w:r>
    </w:p>
    <w:p w14:paraId="15153F06" w14:textId="26FD792D" w:rsidR="00F61FFB" w:rsidRPr="005E7A55" w:rsidRDefault="00F61FFB" w:rsidP="00F61FFB">
      <w:pPr>
        <w:ind w:firstLine="709"/>
        <w:contextualSpacing/>
      </w:pPr>
      <w:r w:rsidRPr="005E7A55">
        <w:rPr>
          <w:lang w:val="en-US"/>
        </w:rPr>
        <w:t>TMC</w:t>
      </w:r>
      <w:r w:rsidRPr="005E7A55">
        <w:t>125-</w:t>
      </w:r>
      <w:r w:rsidRPr="005E7A55">
        <w:rPr>
          <w:lang w:val="en-US"/>
        </w:rPr>
        <w:t>C</w:t>
      </w:r>
      <w:r w:rsidRPr="005E7A55">
        <w:t xml:space="preserve">227 — предварительное рандомизированное открытое исследование с активным контролем, в котором изучалась эффективность и безопасность этравирина в схеме лечения, которая не одобрена по текущим показаниям. В исследовании </w:t>
      </w:r>
      <w:r w:rsidRPr="005E7A55">
        <w:rPr>
          <w:lang w:val="en-US"/>
        </w:rPr>
        <w:t>TMC</w:t>
      </w:r>
      <w:r w:rsidRPr="005E7A55">
        <w:t>125-</w:t>
      </w:r>
      <w:r w:rsidRPr="005E7A55">
        <w:rPr>
          <w:lang w:val="en-US"/>
        </w:rPr>
        <w:t>C</w:t>
      </w:r>
      <w:r w:rsidRPr="005E7A55">
        <w:t>227 этравирин (</w:t>
      </w:r>
      <w:r w:rsidRPr="005E7A55">
        <w:rPr>
          <w:lang w:val="en-US"/>
        </w:rPr>
        <w:t>N</w:t>
      </w:r>
      <w:r w:rsidRPr="005E7A55">
        <w:t xml:space="preserve"> = 59) </w:t>
      </w:r>
      <w:r w:rsidR="00B94AF4">
        <w:t>применяли</w:t>
      </w:r>
      <w:r w:rsidR="00B94AF4" w:rsidRPr="005E7A55">
        <w:t xml:space="preserve"> </w:t>
      </w:r>
      <w:r w:rsidRPr="005E7A55">
        <w:t xml:space="preserve">с 2 выбранными исследователями НИОТ (т. е. без </w:t>
      </w:r>
      <w:r w:rsidR="00B94AF4">
        <w:t>бустированного</w:t>
      </w:r>
      <w:r w:rsidR="00B94AF4" w:rsidRPr="005E7A55">
        <w:t xml:space="preserve"> </w:t>
      </w:r>
      <w:r w:rsidRPr="005E7A55">
        <w:t xml:space="preserve">ритонавиром </w:t>
      </w:r>
      <w:r w:rsidR="00B94AF4">
        <w:t>ингибитоора протеазы</w:t>
      </w:r>
      <w:r w:rsidRPr="005E7A55">
        <w:t xml:space="preserve">) и сравнивали с выбранной исследователем комбинацией </w:t>
      </w:r>
      <w:r w:rsidR="00B94AF4">
        <w:t>ингибитора протеазы</w:t>
      </w:r>
      <w:r w:rsidR="00B94AF4" w:rsidRPr="005E7A55">
        <w:t xml:space="preserve"> </w:t>
      </w:r>
      <w:r w:rsidRPr="005E7A55">
        <w:t>с 2 НИОТ (</w:t>
      </w:r>
      <w:r w:rsidRPr="005E7A55">
        <w:rPr>
          <w:lang w:val="en-US"/>
        </w:rPr>
        <w:t>N</w:t>
      </w:r>
      <w:r w:rsidRPr="005E7A55">
        <w:t xml:space="preserve"> = 57). Исследуемая популяция включала пациентов, ранее не получавших </w:t>
      </w:r>
      <w:r w:rsidR="00B94AF4">
        <w:t>ингибиторы протеазы</w:t>
      </w:r>
      <w:r w:rsidRPr="005E7A55">
        <w:t>, ранее получавших ННИОТ, с признаками резистентности к ННИОТ.</w:t>
      </w:r>
    </w:p>
    <w:p w14:paraId="6B1F7396" w14:textId="5B2A7503" w:rsidR="00F61FFB" w:rsidRPr="005E7A55" w:rsidRDefault="00F61FFB" w:rsidP="00F61FFB">
      <w:pPr>
        <w:ind w:firstLine="709"/>
        <w:contextualSpacing/>
      </w:pPr>
      <w:r w:rsidRPr="005E7A55">
        <w:t xml:space="preserve">На 12-й неделе вирусологический ответ был выше в контрольной группе </w:t>
      </w:r>
      <w:r w:rsidR="00B94AF4">
        <w:t>ингибитора протеазы</w:t>
      </w:r>
      <w:r w:rsidR="00B94AF4" w:rsidRPr="005E7A55">
        <w:t xml:space="preserve"> </w:t>
      </w:r>
      <w:r w:rsidRPr="005E7A55">
        <w:t xml:space="preserve">(-2,2 </w:t>
      </w:r>
      <w:r w:rsidRPr="005E7A55">
        <w:rPr>
          <w:lang w:val="en-US"/>
        </w:rPr>
        <w:t>log</w:t>
      </w:r>
      <w:r w:rsidRPr="005E7A55">
        <w:t xml:space="preserve">10 копий/мл от исходного уровня; </w:t>
      </w:r>
      <w:r w:rsidRPr="005E7A55">
        <w:rPr>
          <w:lang w:val="en-US"/>
        </w:rPr>
        <w:t>n</w:t>
      </w:r>
      <w:r w:rsidRPr="005E7A55">
        <w:t xml:space="preserve"> = 53) по сравнению с группой этравирина (-1,4 </w:t>
      </w:r>
      <w:r w:rsidRPr="005E7A55">
        <w:rPr>
          <w:lang w:val="en-US"/>
        </w:rPr>
        <w:t>log</w:t>
      </w:r>
      <w:r w:rsidRPr="005E7A55">
        <w:t xml:space="preserve">10 копий/мл от исходного уровня; </w:t>
      </w:r>
      <w:r w:rsidRPr="005E7A55">
        <w:rPr>
          <w:lang w:val="en-US"/>
        </w:rPr>
        <w:t>n</w:t>
      </w:r>
      <w:r w:rsidRPr="005E7A55">
        <w:t xml:space="preserve"> = 40). Это различие между группами </w:t>
      </w:r>
      <w:r w:rsidR="00B94AF4">
        <w:t xml:space="preserve">терапии </w:t>
      </w:r>
      <w:r w:rsidRPr="005E7A55">
        <w:t>было статистически значимым.</w:t>
      </w:r>
    </w:p>
    <w:p w14:paraId="30A23A5A" w14:textId="2130EB9C" w:rsidR="00F61FFB" w:rsidRDefault="00F61FFB" w:rsidP="00EE1D8E">
      <w:pPr>
        <w:ind w:firstLine="709"/>
        <w:contextualSpacing/>
      </w:pPr>
      <w:r w:rsidRPr="005E7A55">
        <w:t>Основываясь на этих результатах испытаний, этравирин не рекомендуется для использования в комбинации с Н</w:t>
      </w:r>
      <w:r w:rsidR="00A10480">
        <w:t>Н</w:t>
      </w:r>
      <w:r w:rsidR="00B94AF4" w:rsidRPr="005E7A55">
        <w:t>ИОТ</w:t>
      </w:r>
      <w:r w:rsidR="00A10480">
        <w:t xml:space="preserve"> или НИОТ</w:t>
      </w:r>
      <w:r w:rsidRPr="005E7A55">
        <w:t xml:space="preserve"> только у пациентов, у которых наблюдалась вирусологическая неудача при лечении схемами, содержащими ННИОТ и </w:t>
      </w:r>
      <w:r w:rsidR="00A10480">
        <w:t>НИОТ</w:t>
      </w:r>
      <w:r w:rsidRPr="00F61FFB">
        <w:t xml:space="preserve"> [</w:t>
      </w:r>
      <w:r w:rsidRPr="008B0B82">
        <w:t>23]</w:t>
      </w:r>
      <w:r w:rsidR="002A76E3">
        <w:t>.</w:t>
      </w:r>
    </w:p>
    <w:p w14:paraId="18F136D3" w14:textId="77777777" w:rsidR="00FB1F87" w:rsidRDefault="00FB1F87" w:rsidP="00EE1D8E">
      <w:pPr>
        <w:ind w:firstLine="709"/>
        <w:contextualSpacing/>
      </w:pPr>
    </w:p>
    <w:p w14:paraId="42387164" w14:textId="64424428" w:rsidR="00FB1F87" w:rsidRDefault="00FB1F87" w:rsidP="008B0B82">
      <w:pPr>
        <w:pStyle w:val="4"/>
        <w:spacing w:before="0" w:after="0"/>
        <w:rPr>
          <w:b w:val="0"/>
          <w:color w:val="000000"/>
          <w:u w:val="single"/>
        </w:rPr>
      </w:pPr>
      <w:bookmarkStart w:id="168" w:name="_Toc117179230"/>
      <w:r w:rsidRPr="00047B0E">
        <w:rPr>
          <w:rFonts w:ascii="Times New Roman" w:hAnsi="Times New Roman"/>
          <w:sz w:val="24"/>
          <w:szCs w:val="24"/>
        </w:rPr>
        <w:t>4.3.1.</w:t>
      </w:r>
      <w:r>
        <w:rPr>
          <w:rFonts w:ascii="Times New Roman" w:hAnsi="Times New Roman"/>
          <w:sz w:val="24"/>
          <w:szCs w:val="24"/>
        </w:rPr>
        <w:t>2</w:t>
      </w:r>
      <w:r w:rsidRPr="00047B0E">
        <w:rPr>
          <w:rFonts w:ascii="Times New Roman" w:hAnsi="Times New Roman"/>
          <w:sz w:val="24"/>
          <w:szCs w:val="24"/>
        </w:rPr>
        <w:t xml:space="preserve">. </w:t>
      </w:r>
      <w:r w:rsidRPr="00875CAB">
        <w:rPr>
          <w:rFonts w:ascii="Times New Roman" w:hAnsi="Times New Roman"/>
          <w:sz w:val="24"/>
          <w:szCs w:val="24"/>
        </w:rPr>
        <w:t xml:space="preserve">ВИЧ-инфицированные </w:t>
      </w:r>
      <w:r>
        <w:rPr>
          <w:rFonts w:ascii="Times New Roman" w:hAnsi="Times New Roman"/>
          <w:sz w:val="24"/>
          <w:szCs w:val="24"/>
        </w:rPr>
        <w:t xml:space="preserve">педиатрические </w:t>
      </w:r>
      <w:r w:rsidRPr="00875CAB">
        <w:rPr>
          <w:rFonts w:ascii="Times New Roman" w:hAnsi="Times New Roman"/>
          <w:sz w:val="24"/>
          <w:szCs w:val="24"/>
        </w:rPr>
        <w:t>пациенты</w:t>
      </w:r>
      <w:r>
        <w:rPr>
          <w:rFonts w:ascii="Times New Roman" w:hAnsi="Times New Roman"/>
          <w:sz w:val="24"/>
          <w:szCs w:val="24"/>
        </w:rPr>
        <w:t>, ранее получавшие лечение</w:t>
      </w:r>
      <w:bookmarkEnd w:id="168"/>
    </w:p>
    <w:p w14:paraId="66275A35" w14:textId="2F5AC9DC" w:rsidR="002A76E3" w:rsidRDefault="002A76E3" w:rsidP="008B0B82">
      <w:pPr>
        <w:contextualSpacing/>
      </w:pPr>
    </w:p>
    <w:p w14:paraId="0F6AED36" w14:textId="26FA3A4B" w:rsidR="00FB1F87" w:rsidRPr="00A76175" w:rsidRDefault="002A76E3" w:rsidP="00EE1D8E">
      <w:pPr>
        <w:pStyle w:val="affb"/>
        <w:spacing w:before="0" w:after="0" w:line="240" w:lineRule="auto"/>
        <w:rPr>
          <w:i/>
        </w:rPr>
      </w:pPr>
      <w:r w:rsidRPr="00A76175">
        <w:rPr>
          <w:i/>
        </w:rPr>
        <w:t>Педиатрическ</w:t>
      </w:r>
      <w:r w:rsidR="00EE1D8E" w:rsidRPr="00A76175">
        <w:rPr>
          <w:i/>
        </w:rPr>
        <w:t>ие</w:t>
      </w:r>
      <w:r w:rsidRPr="00A76175">
        <w:rPr>
          <w:i/>
        </w:rPr>
        <w:t xml:space="preserve"> </w:t>
      </w:r>
      <w:r w:rsidR="00FB1F87" w:rsidRPr="00A76175">
        <w:rPr>
          <w:i/>
        </w:rPr>
        <w:t>пациенты в возрасте от 6 до 18 лет невключительн</w:t>
      </w:r>
      <w:r w:rsidR="006C7287">
        <w:rPr>
          <w:i/>
        </w:rPr>
        <w:t>о</w:t>
      </w:r>
    </w:p>
    <w:p w14:paraId="28716365" w14:textId="196FC321" w:rsidR="00FB1F87" w:rsidRPr="00337937" w:rsidRDefault="00FB1F87" w:rsidP="00FB1F87">
      <w:pPr>
        <w:pStyle w:val="affb"/>
        <w:spacing w:before="0" w:after="0" w:line="240" w:lineRule="auto"/>
        <w:ind w:firstLine="709"/>
      </w:pPr>
      <w:r>
        <w:rPr>
          <w:lang w:val="en-US"/>
        </w:rPr>
        <w:t>PIANO</w:t>
      </w:r>
      <w:r w:rsidRPr="008B0B82">
        <w:t xml:space="preserve"> (</w:t>
      </w:r>
      <w:r w:rsidRPr="008E124D">
        <w:rPr>
          <w:lang w:val="en-US"/>
        </w:rPr>
        <w:t>TMC</w:t>
      </w:r>
      <w:r w:rsidRPr="008E124D">
        <w:t>125-</w:t>
      </w:r>
      <w:r w:rsidRPr="008E124D">
        <w:rPr>
          <w:lang w:val="en-US"/>
        </w:rPr>
        <w:t>C</w:t>
      </w:r>
      <w:r w:rsidRPr="008E124D">
        <w:t>213</w:t>
      </w:r>
      <w:r w:rsidRPr="008B0B82">
        <w:t>)</w:t>
      </w:r>
      <w:r w:rsidRPr="008E124D">
        <w:t xml:space="preserve"> – </w:t>
      </w:r>
      <w:r>
        <w:t>несравнительное</w:t>
      </w:r>
      <w:r w:rsidRPr="008E124D">
        <w:t xml:space="preserve"> </w:t>
      </w:r>
      <w:r>
        <w:t>исследование</w:t>
      </w:r>
      <w:r w:rsidRPr="008E124D">
        <w:t xml:space="preserve"> </w:t>
      </w:r>
      <w:r w:rsidRPr="00076D06">
        <w:rPr>
          <w:lang w:val="en-US"/>
        </w:rPr>
        <w:t>II</w:t>
      </w:r>
      <w:r w:rsidRPr="00076D06">
        <w:t xml:space="preserve"> </w:t>
      </w:r>
      <w:r>
        <w:t>фазы</w:t>
      </w:r>
      <w:r w:rsidRPr="008E124D">
        <w:t xml:space="preserve">, </w:t>
      </w:r>
      <w:r>
        <w:t>в</w:t>
      </w:r>
      <w:r w:rsidRPr="008E124D">
        <w:t xml:space="preserve"> </w:t>
      </w:r>
      <w:r>
        <w:t>рамках</w:t>
      </w:r>
      <w:r w:rsidRPr="008E124D">
        <w:t xml:space="preserve"> </w:t>
      </w:r>
      <w:r>
        <w:t>которого</w:t>
      </w:r>
      <w:r w:rsidRPr="008E124D">
        <w:t xml:space="preserve"> </w:t>
      </w:r>
      <w:r>
        <w:t>оценивали</w:t>
      </w:r>
      <w:r w:rsidRPr="008E124D">
        <w:t xml:space="preserve"> </w:t>
      </w:r>
      <w:r>
        <w:t>фармакокинетику</w:t>
      </w:r>
      <w:r w:rsidRPr="008E124D">
        <w:t xml:space="preserve">, </w:t>
      </w:r>
      <w:r>
        <w:t>безопасность</w:t>
      </w:r>
      <w:r w:rsidRPr="008E124D">
        <w:t xml:space="preserve">, </w:t>
      </w:r>
      <w:r>
        <w:t xml:space="preserve">переносимость и эффективность этравирина с участием </w:t>
      </w:r>
      <w:r w:rsidRPr="008E124D">
        <w:t xml:space="preserve">101 </w:t>
      </w:r>
      <w:r>
        <w:t xml:space="preserve">ВИЧ-1 -инфицированного ребенка с опытом предшествующей терапии в возрасте от </w:t>
      </w:r>
      <w:r w:rsidRPr="008E124D">
        <w:t xml:space="preserve">6 </w:t>
      </w:r>
      <w:r>
        <w:t xml:space="preserve">до </w:t>
      </w:r>
      <w:r w:rsidRPr="00597A60">
        <w:t>&lt;</w:t>
      </w:r>
      <w:r>
        <w:t xml:space="preserve">18 лет весом не менее </w:t>
      </w:r>
      <w:r w:rsidRPr="008E124D">
        <w:t xml:space="preserve">16 </w:t>
      </w:r>
      <w:r>
        <w:t>кг</w:t>
      </w:r>
      <w:r w:rsidRPr="008E124D">
        <w:t xml:space="preserve">. </w:t>
      </w:r>
      <w:r>
        <w:t>Пациенты</w:t>
      </w:r>
      <w:r w:rsidRPr="00F0447F">
        <w:t xml:space="preserve">, </w:t>
      </w:r>
      <w:r>
        <w:t>находящиеся</w:t>
      </w:r>
      <w:r w:rsidRPr="00F0447F">
        <w:t xml:space="preserve"> </w:t>
      </w:r>
      <w:r>
        <w:t>на</w:t>
      </w:r>
      <w:r w:rsidRPr="00F0447F">
        <w:t xml:space="preserve"> </w:t>
      </w:r>
      <w:r>
        <w:t>АРТ</w:t>
      </w:r>
      <w:r w:rsidRPr="00F0447F">
        <w:t xml:space="preserve">, </w:t>
      </w:r>
      <w:r>
        <w:t>были</w:t>
      </w:r>
      <w:r w:rsidRPr="00F0447F">
        <w:t xml:space="preserve"> </w:t>
      </w:r>
      <w:r>
        <w:t>включены</w:t>
      </w:r>
      <w:r w:rsidRPr="00F0447F">
        <w:t xml:space="preserve"> </w:t>
      </w:r>
      <w:r>
        <w:t>в</w:t>
      </w:r>
      <w:r w:rsidRPr="00F0447F">
        <w:t xml:space="preserve"> </w:t>
      </w:r>
      <w:r>
        <w:t>исследование</w:t>
      </w:r>
      <w:r w:rsidRPr="00F0447F">
        <w:t xml:space="preserve"> </w:t>
      </w:r>
      <w:r>
        <w:t>в</w:t>
      </w:r>
      <w:r w:rsidRPr="00F0447F">
        <w:t xml:space="preserve"> </w:t>
      </w:r>
      <w:r>
        <w:t xml:space="preserve">случае, если вирусная нагрузка в плазме была </w:t>
      </w:r>
      <w:r w:rsidRPr="00F0447F">
        <w:t xml:space="preserve">500 </w:t>
      </w:r>
      <w:r>
        <w:t>копий</w:t>
      </w:r>
      <w:r w:rsidRPr="00F0447F">
        <w:t>/</w:t>
      </w:r>
      <w:r>
        <w:t>мл и более ВИЧ</w:t>
      </w:r>
      <w:r w:rsidRPr="00F0447F">
        <w:t xml:space="preserve">-1 </w:t>
      </w:r>
      <w:r>
        <w:t>РНК, а также подтвержденной чувствительности к этравирину (на этапе скрининга)</w:t>
      </w:r>
      <w:r w:rsidRPr="00F0447F">
        <w:t xml:space="preserve">. </w:t>
      </w:r>
      <w:r>
        <w:t>Медианная</w:t>
      </w:r>
      <w:r w:rsidRPr="00F264CA">
        <w:t xml:space="preserve"> </w:t>
      </w:r>
      <w:r>
        <w:t>исходная</w:t>
      </w:r>
      <w:r w:rsidRPr="00F264CA">
        <w:t xml:space="preserve"> </w:t>
      </w:r>
      <w:r>
        <w:t>вирусная</w:t>
      </w:r>
      <w:r w:rsidRPr="00F264CA">
        <w:t xml:space="preserve"> </w:t>
      </w:r>
      <w:r>
        <w:t>нагрузка</w:t>
      </w:r>
      <w:r w:rsidRPr="00F264CA">
        <w:t xml:space="preserve"> </w:t>
      </w:r>
      <w:r>
        <w:t>составляла</w:t>
      </w:r>
      <w:r w:rsidRPr="00F264CA">
        <w:t xml:space="preserve"> 3,9 </w:t>
      </w:r>
      <w:r w:rsidRPr="008E124D">
        <w:rPr>
          <w:lang w:val="en-US"/>
        </w:rPr>
        <w:t>log</w:t>
      </w:r>
      <w:r w:rsidRPr="00F264CA">
        <w:t xml:space="preserve">10 </w:t>
      </w:r>
      <w:r>
        <w:t>копий</w:t>
      </w:r>
      <w:r w:rsidRPr="00F264CA">
        <w:t>/</w:t>
      </w:r>
      <w:r>
        <w:t>мл</w:t>
      </w:r>
      <w:r w:rsidRPr="00F264CA">
        <w:t xml:space="preserve">, </w:t>
      </w:r>
      <w:r>
        <w:t xml:space="preserve">медианное количество </w:t>
      </w:r>
      <w:r w:rsidRPr="008E124D">
        <w:rPr>
          <w:lang w:val="en-US"/>
        </w:rPr>
        <w:t>CD</w:t>
      </w:r>
      <w:r w:rsidRPr="00F264CA">
        <w:t>4</w:t>
      </w:r>
      <w:r w:rsidRPr="008347AB">
        <w:t>+</w:t>
      </w:r>
      <w:r>
        <w:t xml:space="preserve">-клеток – </w:t>
      </w:r>
      <w:r w:rsidRPr="00F264CA">
        <w:t xml:space="preserve">385 </w:t>
      </w:r>
      <w:r>
        <w:t>*</w:t>
      </w:r>
      <w:r w:rsidRPr="00F264CA">
        <w:t>10</w:t>
      </w:r>
      <w:r w:rsidRPr="0036686B">
        <w:rPr>
          <w:vertAlign w:val="superscript"/>
        </w:rPr>
        <w:t>6</w:t>
      </w:r>
      <w:r w:rsidRPr="00F264CA">
        <w:t xml:space="preserve"> </w:t>
      </w:r>
      <w:r>
        <w:t xml:space="preserve">клеток </w:t>
      </w:r>
      <w:r w:rsidRPr="00F264CA">
        <w:t>/</w:t>
      </w:r>
      <w:r>
        <w:t>мм</w:t>
      </w:r>
      <w:r w:rsidRPr="0036686B">
        <w:rPr>
          <w:vertAlign w:val="superscript"/>
        </w:rPr>
        <w:t>3</w:t>
      </w:r>
      <w:r>
        <w:rPr>
          <w:vertAlign w:val="superscript"/>
        </w:rPr>
        <w:t xml:space="preserve"> </w:t>
      </w:r>
      <w:r>
        <w:fldChar w:fldCharType="begin"/>
      </w:r>
      <w:r>
        <w:instrText xml:space="preserve"> ADDIN ZOTERO_ITEM CSL_CITATION {"citationID":"Q7R9Dqo3","properties":{"formattedCitation":"(79)","plainCitation":"(79)","noteIndex":0},"citationItems":[{"id":"iY4E1EKJ/5rEUSN1Z","uris":["http://zotero.org/users/1055192/items/FSJAD9EW"],"itemData":{"id":31873,"type":"article","title":"INTELENCE (etravirine) tablets, for oral use. Highlights of prescribing information.","URL":"https://www.janssenlabels.com/package-insert/product-monograph/prescribing-information/INTELENCE-pi.pdf","author":[{"family":"Janssen Pharmaceutical Companie","given":""}],"issued":{"date-parts":[["2019",7]]}}}],"schema":"https://github.com/citation-style-language/schema/raw/master/csl-citation.json"} </w:instrText>
      </w:r>
      <w:r>
        <w:fldChar w:fldCharType="separate"/>
      </w:r>
      <w:r w:rsidRPr="005E2B83">
        <w:t>[</w:t>
      </w:r>
      <w:r w:rsidRPr="00A10B41">
        <w:t>79</w:t>
      </w:r>
      <w:r w:rsidRPr="005E2B83">
        <w:t>]</w:t>
      </w:r>
      <w:r>
        <w:fldChar w:fldCharType="end"/>
      </w:r>
      <w:r w:rsidRPr="00F264CA">
        <w:t xml:space="preserve">. </w:t>
      </w:r>
    </w:p>
    <w:p w14:paraId="683AF993" w14:textId="77777777" w:rsidR="00FB1F87" w:rsidRDefault="00FB1F87" w:rsidP="00FB1F87">
      <w:pPr>
        <w:contextualSpacing/>
        <w:rPr>
          <w:b/>
        </w:rPr>
      </w:pPr>
    </w:p>
    <w:p w14:paraId="3A91C4AE" w14:textId="647B39F4" w:rsidR="00FB1F87" w:rsidRPr="00026406" w:rsidRDefault="00FB1F87" w:rsidP="00FB1F87">
      <w:pPr>
        <w:contextualSpacing/>
      </w:pPr>
      <w:r w:rsidRPr="00B244C2">
        <w:rPr>
          <w:b/>
        </w:rPr>
        <w:t>Таблица 4-</w:t>
      </w:r>
      <w:r>
        <w:rPr>
          <w:b/>
        </w:rPr>
        <w:t>6</w:t>
      </w:r>
      <w:r w:rsidRPr="00B244C2">
        <w:rPr>
          <w:b/>
        </w:rPr>
        <w:t>.</w:t>
      </w:r>
      <w:r w:rsidRPr="00B244C2">
        <w:t xml:space="preserve">  </w:t>
      </w:r>
      <w:r w:rsidRPr="00D55DA3">
        <w:t>Вирусологический ответ (</w:t>
      </w:r>
      <w:r>
        <w:t xml:space="preserve">в популяции </w:t>
      </w:r>
      <w:r w:rsidRPr="00D55DA3">
        <w:t xml:space="preserve">ITT </w:t>
      </w:r>
      <w:r>
        <w:t>анализ проводился в соответствии с алгоритмом</w:t>
      </w:r>
      <w:r w:rsidRPr="00D55DA3">
        <w:t xml:space="preserve"> TLOVR), изменение log10 вирусной нагрузки по сравнению с исходным уровнем (NC = F) и изменение по сравнению с исходным уровнем процентного содержания и количества CD4</w:t>
      </w:r>
      <w:r>
        <w:t>-</w:t>
      </w:r>
      <w:r w:rsidRPr="00D55DA3">
        <w:t>клеток (NC = F) на 24-й неделе исследования TMC125-C213 и объединенные исследования DUET</w:t>
      </w:r>
      <w:r w:rsidR="00EE1D8E">
        <w:t>.</w:t>
      </w:r>
    </w:p>
    <w:tbl>
      <w:tblPr>
        <w:tblW w:w="9383" w:type="dxa"/>
        <w:tblInd w:w="-5" w:type="dxa"/>
        <w:tblLook w:val="04A0" w:firstRow="1" w:lastRow="0" w:firstColumn="1" w:lastColumn="0" w:noHBand="0" w:noVBand="1"/>
      </w:tblPr>
      <w:tblGrid>
        <w:gridCol w:w="2567"/>
        <w:gridCol w:w="1559"/>
        <w:gridCol w:w="1701"/>
        <w:gridCol w:w="1701"/>
        <w:gridCol w:w="1855"/>
      </w:tblGrid>
      <w:tr w:rsidR="00FB1F87" w:rsidRPr="00DA5EB1" w14:paraId="7494C593" w14:textId="77777777" w:rsidTr="00421CA0">
        <w:trPr>
          <w:trHeight w:val="570"/>
          <w:tblHeader/>
        </w:trPr>
        <w:tc>
          <w:tcPr>
            <w:tcW w:w="2567" w:type="dxa"/>
            <w:tcBorders>
              <w:top w:val="single" w:sz="4" w:space="0" w:color="auto"/>
              <w:left w:val="single" w:sz="4" w:space="0" w:color="auto"/>
              <w:bottom w:val="nil"/>
              <w:right w:val="single" w:sz="4" w:space="0" w:color="auto"/>
            </w:tcBorders>
            <w:shd w:val="clear" w:color="000000" w:fill="D9D9D9"/>
            <w:noWrap/>
            <w:vAlign w:val="center"/>
            <w:hideMark/>
          </w:tcPr>
          <w:p w14:paraId="053323D4" w14:textId="77777777" w:rsidR="00FB1F87" w:rsidRPr="00DA5EB1" w:rsidRDefault="00FB1F87" w:rsidP="00421CA0">
            <w:pPr>
              <w:rPr>
                <w:rFonts w:eastAsia="Times New Roman"/>
                <w:b/>
                <w:bCs/>
                <w:color w:val="000000"/>
                <w:lang w:eastAsia="ru-RU"/>
              </w:rPr>
            </w:pPr>
            <w:r>
              <w:rPr>
                <w:rFonts w:eastAsia="Times New Roman"/>
                <w:b/>
                <w:bCs/>
                <w:color w:val="000000"/>
                <w:lang w:eastAsia="ru-RU"/>
              </w:rPr>
              <w:t>Исследование</w:t>
            </w:r>
          </w:p>
        </w:tc>
        <w:tc>
          <w:tcPr>
            <w:tcW w:w="1559" w:type="dxa"/>
            <w:tcBorders>
              <w:top w:val="single" w:sz="4" w:space="0" w:color="auto"/>
              <w:left w:val="nil"/>
              <w:bottom w:val="nil"/>
              <w:right w:val="single" w:sz="4" w:space="0" w:color="auto"/>
            </w:tcBorders>
            <w:shd w:val="clear" w:color="000000" w:fill="D9D9D9"/>
            <w:noWrap/>
            <w:vAlign w:val="center"/>
            <w:hideMark/>
          </w:tcPr>
          <w:p w14:paraId="15F21C9D" w14:textId="77777777" w:rsidR="00FB1F87" w:rsidRPr="00DA5EB1" w:rsidRDefault="00FB1F87" w:rsidP="00421CA0">
            <w:pPr>
              <w:jc w:val="center"/>
              <w:rPr>
                <w:rFonts w:eastAsia="Times New Roman"/>
                <w:b/>
                <w:bCs/>
                <w:color w:val="000000"/>
                <w:lang w:eastAsia="ru-RU"/>
              </w:rPr>
            </w:pPr>
            <w:r w:rsidRPr="00DA5EB1">
              <w:rPr>
                <w:rFonts w:eastAsia="Times New Roman"/>
                <w:b/>
                <w:bCs/>
                <w:color w:val="000000"/>
                <w:lang w:eastAsia="ru-RU"/>
              </w:rPr>
              <w:t>TMC125-C213</w:t>
            </w:r>
          </w:p>
        </w:tc>
        <w:tc>
          <w:tcPr>
            <w:tcW w:w="1701" w:type="dxa"/>
            <w:tcBorders>
              <w:top w:val="single" w:sz="4" w:space="0" w:color="auto"/>
              <w:left w:val="nil"/>
              <w:bottom w:val="nil"/>
              <w:right w:val="single" w:sz="4" w:space="0" w:color="auto"/>
            </w:tcBorders>
            <w:shd w:val="clear" w:color="000000" w:fill="D9D9D9"/>
            <w:noWrap/>
            <w:vAlign w:val="center"/>
            <w:hideMark/>
          </w:tcPr>
          <w:p w14:paraId="0440670A" w14:textId="77777777" w:rsidR="00FB1F87" w:rsidRPr="00DA5EB1" w:rsidRDefault="00FB1F87" w:rsidP="00421CA0">
            <w:pPr>
              <w:jc w:val="center"/>
              <w:rPr>
                <w:rFonts w:eastAsia="Times New Roman"/>
                <w:b/>
                <w:bCs/>
                <w:color w:val="000000"/>
                <w:lang w:eastAsia="ru-RU"/>
              </w:rPr>
            </w:pPr>
            <w:r w:rsidRPr="00DA5EB1">
              <w:rPr>
                <w:rFonts w:eastAsia="Times New Roman"/>
                <w:b/>
                <w:bCs/>
                <w:color w:val="000000"/>
                <w:lang w:eastAsia="ru-RU"/>
              </w:rPr>
              <w:t>TMC125-C213</w:t>
            </w:r>
          </w:p>
        </w:tc>
        <w:tc>
          <w:tcPr>
            <w:tcW w:w="1701" w:type="dxa"/>
            <w:tcBorders>
              <w:top w:val="single" w:sz="4" w:space="0" w:color="auto"/>
              <w:left w:val="nil"/>
              <w:bottom w:val="nil"/>
              <w:right w:val="single" w:sz="4" w:space="0" w:color="auto"/>
            </w:tcBorders>
            <w:shd w:val="clear" w:color="000000" w:fill="D9D9D9"/>
            <w:noWrap/>
            <w:vAlign w:val="center"/>
            <w:hideMark/>
          </w:tcPr>
          <w:p w14:paraId="35BDA05B" w14:textId="77777777" w:rsidR="00FB1F87" w:rsidRPr="00DA5EB1" w:rsidRDefault="00FB1F87" w:rsidP="00421CA0">
            <w:pPr>
              <w:jc w:val="center"/>
              <w:rPr>
                <w:rFonts w:eastAsia="Times New Roman"/>
                <w:b/>
                <w:bCs/>
                <w:color w:val="000000"/>
                <w:lang w:eastAsia="ru-RU"/>
              </w:rPr>
            </w:pPr>
            <w:r w:rsidRPr="00DA5EB1">
              <w:rPr>
                <w:rFonts w:eastAsia="Times New Roman"/>
                <w:b/>
                <w:bCs/>
                <w:color w:val="000000"/>
                <w:lang w:eastAsia="ru-RU"/>
              </w:rPr>
              <w:t>TMC125-C213</w:t>
            </w:r>
          </w:p>
        </w:tc>
        <w:tc>
          <w:tcPr>
            <w:tcW w:w="1855" w:type="dxa"/>
            <w:tcBorders>
              <w:top w:val="single" w:sz="4" w:space="0" w:color="auto"/>
              <w:left w:val="nil"/>
              <w:bottom w:val="nil"/>
              <w:right w:val="single" w:sz="4" w:space="0" w:color="auto"/>
            </w:tcBorders>
            <w:shd w:val="clear" w:color="000000" w:fill="D9D9D9"/>
            <w:vAlign w:val="center"/>
            <w:hideMark/>
          </w:tcPr>
          <w:p w14:paraId="46BDA5F7" w14:textId="77777777" w:rsidR="00FB1F87" w:rsidRPr="00DA5EB1" w:rsidRDefault="00FB1F87" w:rsidP="00421CA0">
            <w:pPr>
              <w:jc w:val="center"/>
              <w:rPr>
                <w:rFonts w:eastAsia="Times New Roman"/>
                <w:b/>
                <w:bCs/>
                <w:color w:val="000000"/>
                <w:lang w:eastAsia="ru-RU"/>
              </w:rPr>
            </w:pPr>
            <w:r>
              <w:rPr>
                <w:rFonts w:eastAsia="Times New Roman"/>
                <w:b/>
                <w:bCs/>
                <w:color w:val="000000"/>
                <w:lang w:eastAsia="ru-RU"/>
              </w:rPr>
              <w:t>Объединенные исследования DUET</w:t>
            </w:r>
          </w:p>
        </w:tc>
      </w:tr>
      <w:tr w:rsidR="00FB1F87" w:rsidRPr="00DA5EB1" w14:paraId="7F05E900" w14:textId="77777777" w:rsidTr="00421CA0">
        <w:trPr>
          <w:trHeight w:val="290"/>
          <w:tblHeader/>
        </w:trPr>
        <w:tc>
          <w:tcPr>
            <w:tcW w:w="2567" w:type="dxa"/>
            <w:tcBorders>
              <w:top w:val="nil"/>
              <w:left w:val="single" w:sz="4" w:space="0" w:color="auto"/>
              <w:bottom w:val="nil"/>
              <w:right w:val="single" w:sz="4" w:space="0" w:color="auto"/>
            </w:tcBorders>
            <w:shd w:val="clear" w:color="000000" w:fill="D9D9D9"/>
            <w:noWrap/>
            <w:vAlign w:val="center"/>
            <w:hideMark/>
          </w:tcPr>
          <w:p w14:paraId="0A6C983C" w14:textId="44C03FD8" w:rsidR="00FB1F87" w:rsidRPr="00DA5EB1" w:rsidRDefault="00FB1F87" w:rsidP="00421CA0">
            <w:pPr>
              <w:rPr>
                <w:rFonts w:eastAsia="Times New Roman"/>
                <w:b/>
                <w:bCs/>
                <w:color w:val="000000"/>
                <w:lang w:eastAsia="ru-RU"/>
              </w:rPr>
            </w:pPr>
            <w:r>
              <w:rPr>
                <w:rFonts w:eastAsia="Times New Roman"/>
                <w:b/>
                <w:bCs/>
                <w:color w:val="000000"/>
                <w:lang w:eastAsia="ru-RU"/>
              </w:rPr>
              <w:t>Возраст на момент скрининга</w:t>
            </w:r>
            <w:r w:rsidR="00EE1D8E">
              <w:rPr>
                <w:rFonts w:eastAsia="Times New Roman"/>
                <w:b/>
                <w:bCs/>
                <w:color w:val="000000"/>
                <w:lang w:eastAsia="ru-RU"/>
              </w:rPr>
              <w:t>, лет</w:t>
            </w:r>
          </w:p>
        </w:tc>
        <w:tc>
          <w:tcPr>
            <w:tcW w:w="1559" w:type="dxa"/>
            <w:tcBorders>
              <w:top w:val="nil"/>
              <w:left w:val="nil"/>
              <w:bottom w:val="nil"/>
              <w:right w:val="single" w:sz="4" w:space="0" w:color="auto"/>
            </w:tcBorders>
            <w:shd w:val="clear" w:color="000000" w:fill="D9D9D9"/>
            <w:noWrap/>
            <w:vAlign w:val="center"/>
            <w:hideMark/>
          </w:tcPr>
          <w:p w14:paraId="0318E4C8" w14:textId="124E698F" w:rsidR="00FB1F87" w:rsidRPr="00DA5EB1" w:rsidRDefault="00FB1F87" w:rsidP="00421CA0">
            <w:pPr>
              <w:jc w:val="center"/>
              <w:rPr>
                <w:rFonts w:eastAsia="Times New Roman"/>
                <w:b/>
                <w:bCs/>
                <w:color w:val="000000"/>
                <w:lang w:eastAsia="ru-RU"/>
              </w:rPr>
            </w:pPr>
            <w:r>
              <w:rPr>
                <w:rFonts w:eastAsia="Times New Roman"/>
                <w:b/>
                <w:bCs/>
                <w:color w:val="000000"/>
                <w:lang w:eastAsia="ru-RU"/>
              </w:rPr>
              <w:t xml:space="preserve">От 6 до &lt; 12 </w:t>
            </w:r>
          </w:p>
        </w:tc>
        <w:tc>
          <w:tcPr>
            <w:tcW w:w="1701" w:type="dxa"/>
            <w:tcBorders>
              <w:top w:val="nil"/>
              <w:left w:val="nil"/>
              <w:bottom w:val="nil"/>
              <w:right w:val="single" w:sz="4" w:space="0" w:color="auto"/>
            </w:tcBorders>
            <w:shd w:val="clear" w:color="000000" w:fill="D9D9D9"/>
            <w:noWrap/>
            <w:vAlign w:val="center"/>
            <w:hideMark/>
          </w:tcPr>
          <w:p w14:paraId="6D0D7BDC" w14:textId="4DC54B22" w:rsidR="00FB1F87" w:rsidRPr="00DA5EB1" w:rsidRDefault="00FB1F87" w:rsidP="00421CA0">
            <w:pPr>
              <w:jc w:val="center"/>
              <w:rPr>
                <w:rFonts w:eastAsia="Times New Roman"/>
                <w:b/>
                <w:bCs/>
                <w:color w:val="000000"/>
                <w:lang w:eastAsia="ru-RU"/>
              </w:rPr>
            </w:pPr>
            <w:r>
              <w:rPr>
                <w:rFonts w:eastAsia="Times New Roman"/>
                <w:b/>
                <w:bCs/>
                <w:color w:val="000000"/>
                <w:lang w:eastAsia="ru-RU"/>
              </w:rPr>
              <w:t xml:space="preserve">От 12 до &lt; 18 </w:t>
            </w:r>
          </w:p>
        </w:tc>
        <w:tc>
          <w:tcPr>
            <w:tcW w:w="1701" w:type="dxa"/>
            <w:tcBorders>
              <w:top w:val="nil"/>
              <w:left w:val="nil"/>
              <w:bottom w:val="nil"/>
              <w:right w:val="single" w:sz="4" w:space="0" w:color="auto"/>
            </w:tcBorders>
            <w:shd w:val="clear" w:color="000000" w:fill="D9D9D9"/>
            <w:noWrap/>
            <w:vAlign w:val="center"/>
            <w:hideMark/>
          </w:tcPr>
          <w:p w14:paraId="39559166" w14:textId="4897A0F8" w:rsidR="00FB1F87" w:rsidRPr="00DA5EB1" w:rsidRDefault="00FB1F87" w:rsidP="00421CA0">
            <w:pPr>
              <w:jc w:val="center"/>
              <w:rPr>
                <w:rFonts w:eastAsia="Times New Roman"/>
                <w:b/>
                <w:bCs/>
                <w:color w:val="000000"/>
                <w:lang w:eastAsia="ru-RU"/>
              </w:rPr>
            </w:pPr>
            <w:r>
              <w:rPr>
                <w:rFonts w:eastAsia="Times New Roman"/>
                <w:b/>
                <w:bCs/>
                <w:color w:val="000000"/>
                <w:lang w:eastAsia="ru-RU"/>
              </w:rPr>
              <w:t xml:space="preserve">От 6 до &lt; 18 </w:t>
            </w:r>
          </w:p>
        </w:tc>
        <w:tc>
          <w:tcPr>
            <w:tcW w:w="1855" w:type="dxa"/>
            <w:tcBorders>
              <w:top w:val="nil"/>
              <w:left w:val="nil"/>
              <w:bottom w:val="nil"/>
              <w:right w:val="single" w:sz="4" w:space="0" w:color="auto"/>
            </w:tcBorders>
            <w:shd w:val="clear" w:color="000000" w:fill="D9D9D9"/>
            <w:noWrap/>
            <w:vAlign w:val="center"/>
            <w:hideMark/>
          </w:tcPr>
          <w:p w14:paraId="22B7C4CE" w14:textId="188BA100" w:rsidR="00FB1F87" w:rsidRPr="00DA5EB1" w:rsidRDefault="00FB1F87" w:rsidP="00421CA0">
            <w:pPr>
              <w:jc w:val="center"/>
              <w:rPr>
                <w:rFonts w:eastAsia="Times New Roman"/>
                <w:b/>
                <w:bCs/>
                <w:color w:val="000000"/>
                <w:lang w:eastAsia="ru-RU"/>
              </w:rPr>
            </w:pPr>
            <w:r w:rsidRPr="00DA5EB1">
              <w:rPr>
                <w:rFonts w:eastAsia="Times New Roman"/>
                <w:b/>
                <w:bCs/>
                <w:color w:val="000000"/>
                <w:lang w:eastAsia="ru-RU"/>
              </w:rPr>
              <w:t xml:space="preserve">≥ 18 </w:t>
            </w:r>
          </w:p>
        </w:tc>
      </w:tr>
      <w:tr w:rsidR="00EE1D8E" w:rsidRPr="00DA5EB1" w14:paraId="2D3FA4D0" w14:textId="77777777" w:rsidTr="00421CA0">
        <w:trPr>
          <w:trHeight w:val="290"/>
          <w:tblHeader/>
        </w:trPr>
        <w:tc>
          <w:tcPr>
            <w:tcW w:w="2567" w:type="dxa"/>
            <w:vMerge w:val="restart"/>
            <w:tcBorders>
              <w:top w:val="nil"/>
              <w:left w:val="single" w:sz="4" w:space="0" w:color="auto"/>
              <w:right w:val="single" w:sz="4" w:space="0" w:color="auto"/>
            </w:tcBorders>
            <w:shd w:val="clear" w:color="000000" w:fill="D9D9D9"/>
            <w:noWrap/>
            <w:vAlign w:val="center"/>
            <w:hideMark/>
          </w:tcPr>
          <w:p w14:paraId="20C8A0DC" w14:textId="699C7B41" w:rsidR="00EE1D8E" w:rsidRPr="00DA5EB1" w:rsidRDefault="00EE1D8E" w:rsidP="00421CA0">
            <w:pPr>
              <w:rPr>
                <w:rFonts w:eastAsia="Times New Roman"/>
                <w:b/>
                <w:bCs/>
                <w:color w:val="000000"/>
                <w:lang w:eastAsia="ru-RU"/>
              </w:rPr>
            </w:pPr>
            <w:r>
              <w:rPr>
                <w:rFonts w:eastAsia="Times New Roman"/>
                <w:b/>
                <w:bCs/>
                <w:color w:val="000000"/>
                <w:lang w:eastAsia="ru-RU"/>
              </w:rPr>
              <w:t>Группа лечения</w:t>
            </w:r>
          </w:p>
        </w:tc>
        <w:tc>
          <w:tcPr>
            <w:tcW w:w="1559" w:type="dxa"/>
            <w:tcBorders>
              <w:top w:val="nil"/>
              <w:left w:val="nil"/>
              <w:bottom w:val="nil"/>
              <w:right w:val="single" w:sz="4" w:space="0" w:color="auto"/>
            </w:tcBorders>
            <w:shd w:val="clear" w:color="000000" w:fill="D9D9D9"/>
            <w:noWrap/>
            <w:vAlign w:val="center"/>
            <w:hideMark/>
          </w:tcPr>
          <w:p w14:paraId="4BCFD523" w14:textId="77777777" w:rsidR="00EE1D8E" w:rsidRPr="00DA5EB1" w:rsidRDefault="00EE1D8E" w:rsidP="00421CA0">
            <w:pPr>
              <w:jc w:val="center"/>
              <w:rPr>
                <w:rFonts w:eastAsia="Times New Roman"/>
                <w:b/>
                <w:bCs/>
                <w:color w:val="000000"/>
                <w:lang w:eastAsia="ru-RU"/>
              </w:rPr>
            </w:pPr>
            <w:r>
              <w:rPr>
                <w:rFonts w:eastAsia="Times New Roman"/>
                <w:b/>
                <w:bCs/>
                <w:color w:val="000000"/>
                <w:lang w:eastAsia="ru-RU"/>
              </w:rPr>
              <w:t>Этравирин</w:t>
            </w:r>
          </w:p>
        </w:tc>
        <w:tc>
          <w:tcPr>
            <w:tcW w:w="1701" w:type="dxa"/>
            <w:tcBorders>
              <w:top w:val="nil"/>
              <w:left w:val="nil"/>
              <w:bottom w:val="nil"/>
              <w:right w:val="single" w:sz="4" w:space="0" w:color="auto"/>
            </w:tcBorders>
            <w:shd w:val="clear" w:color="000000" w:fill="D9D9D9"/>
            <w:noWrap/>
            <w:vAlign w:val="center"/>
            <w:hideMark/>
          </w:tcPr>
          <w:p w14:paraId="7F3088E9" w14:textId="77777777" w:rsidR="00EE1D8E" w:rsidRPr="00DA5EB1" w:rsidRDefault="00EE1D8E" w:rsidP="00421CA0">
            <w:pPr>
              <w:jc w:val="center"/>
              <w:rPr>
                <w:rFonts w:eastAsia="Times New Roman"/>
                <w:b/>
                <w:bCs/>
                <w:color w:val="000000"/>
                <w:lang w:eastAsia="ru-RU"/>
              </w:rPr>
            </w:pPr>
            <w:r>
              <w:rPr>
                <w:rFonts w:eastAsia="Times New Roman"/>
                <w:b/>
                <w:bCs/>
                <w:color w:val="000000"/>
                <w:lang w:eastAsia="ru-RU"/>
              </w:rPr>
              <w:t>Этравирин</w:t>
            </w:r>
          </w:p>
        </w:tc>
        <w:tc>
          <w:tcPr>
            <w:tcW w:w="1701" w:type="dxa"/>
            <w:tcBorders>
              <w:top w:val="nil"/>
              <w:left w:val="nil"/>
              <w:bottom w:val="nil"/>
              <w:right w:val="single" w:sz="4" w:space="0" w:color="auto"/>
            </w:tcBorders>
            <w:shd w:val="clear" w:color="000000" w:fill="D9D9D9"/>
            <w:noWrap/>
            <w:vAlign w:val="center"/>
            <w:hideMark/>
          </w:tcPr>
          <w:p w14:paraId="040153C0" w14:textId="77777777" w:rsidR="00EE1D8E" w:rsidRPr="00DA5EB1" w:rsidRDefault="00EE1D8E" w:rsidP="00421CA0">
            <w:pPr>
              <w:jc w:val="center"/>
              <w:rPr>
                <w:rFonts w:eastAsia="Times New Roman"/>
                <w:b/>
                <w:bCs/>
                <w:color w:val="000000"/>
                <w:lang w:eastAsia="ru-RU"/>
              </w:rPr>
            </w:pPr>
            <w:r>
              <w:rPr>
                <w:rFonts w:eastAsia="Times New Roman"/>
                <w:b/>
                <w:bCs/>
                <w:color w:val="000000"/>
                <w:lang w:eastAsia="ru-RU"/>
              </w:rPr>
              <w:t>Этравирин</w:t>
            </w:r>
          </w:p>
        </w:tc>
        <w:tc>
          <w:tcPr>
            <w:tcW w:w="1855" w:type="dxa"/>
            <w:tcBorders>
              <w:top w:val="nil"/>
              <w:left w:val="nil"/>
              <w:bottom w:val="nil"/>
              <w:right w:val="single" w:sz="4" w:space="0" w:color="auto"/>
            </w:tcBorders>
            <w:shd w:val="clear" w:color="000000" w:fill="D9D9D9"/>
            <w:noWrap/>
            <w:vAlign w:val="center"/>
            <w:hideMark/>
          </w:tcPr>
          <w:p w14:paraId="41F69F07" w14:textId="77777777" w:rsidR="00EE1D8E" w:rsidRPr="00DA5EB1" w:rsidRDefault="00EE1D8E" w:rsidP="00421CA0">
            <w:pPr>
              <w:jc w:val="center"/>
              <w:rPr>
                <w:rFonts w:eastAsia="Times New Roman"/>
                <w:b/>
                <w:bCs/>
                <w:color w:val="000000"/>
                <w:lang w:eastAsia="ru-RU"/>
              </w:rPr>
            </w:pPr>
            <w:r>
              <w:rPr>
                <w:rFonts w:eastAsia="Times New Roman"/>
                <w:b/>
                <w:bCs/>
                <w:color w:val="000000"/>
                <w:lang w:eastAsia="ru-RU"/>
              </w:rPr>
              <w:t>Этравирин</w:t>
            </w:r>
          </w:p>
        </w:tc>
      </w:tr>
      <w:tr w:rsidR="00EE1D8E" w:rsidRPr="00DA5EB1" w14:paraId="14A26966" w14:textId="77777777" w:rsidTr="00421CA0">
        <w:trPr>
          <w:trHeight w:val="290"/>
          <w:tblHeader/>
        </w:trPr>
        <w:tc>
          <w:tcPr>
            <w:tcW w:w="2567" w:type="dxa"/>
            <w:vMerge/>
            <w:tcBorders>
              <w:left w:val="single" w:sz="4" w:space="0" w:color="auto"/>
              <w:bottom w:val="single" w:sz="4" w:space="0" w:color="auto"/>
              <w:right w:val="single" w:sz="4" w:space="0" w:color="auto"/>
            </w:tcBorders>
            <w:shd w:val="clear" w:color="000000" w:fill="D9D9D9"/>
            <w:noWrap/>
            <w:vAlign w:val="center"/>
            <w:hideMark/>
          </w:tcPr>
          <w:p w14:paraId="7DA28E29" w14:textId="4786D50F" w:rsidR="00EE1D8E" w:rsidRPr="00DA5EB1" w:rsidRDefault="00EE1D8E" w:rsidP="00421CA0">
            <w:pPr>
              <w:rPr>
                <w:rFonts w:eastAsia="Times New Roman"/>
                <w:b/>
                <w:bCs/>
                <w:color w:val="000000"/>
                <w:lang w:eastAsia="ru-RU"/>
              </w:rPr>
            </w:pPr>
          </w:p>
        </w:tc>
        <w:tc>
          <w:tcPr>
            <w:tcW w:w="1559" w:type="dxa"/>
            <w:tcBorders>
              <w:top w:val="nil"/>
              <w:left w:val="nil"/>
              <w:bottom w:val="single" w:sz="4" w:space="0" w:color="auto"/>
              <w:right w:val="single" w:sz="4" w:space="0" w:color="auto"/>
            </w:tcBorders>
            <w:shd w:val="clear" w:color="000000" w:fill="D9D9D9"/>
            <w:noWrap/>
            <w:vAlign w:val="center"/>
            <w:hideMark/>
          </w:tcPr>
          <w:p w14:paraId="6034A97D" w14:textId="77777777" w:rsidR="00EE1D8E" w:rsidRPr="00DA5EB1" w:rsidRDefault="00EE1D8E" w:rsidP="00421CA0">
            <w:pPr>
              <w:jc w:val="center"/>
              <w:rPr>
                <w:rFonts w:eastAsia="Times New Roman"/>
                <w:b/>
                <w:bCs/>
                <w:color w:val="000000"/>
                <w:lang w:eastAsia="ru-RU"/>
              </w:rPr>
            </w:pPr>
            <w:r w:rsidRPr="00DA5EB1">
              <w:rPr>
                <w:rFonts w:eastAsia="Times New Roman"/>
                <w:b/>
                <w:bCs/>
                <w:color w:val="000000"/>
                <w:lang w:eastAsia="ru-RU"/>
              </w:rPr>
              <w:t>N = 41</w:t>
            </w:r>
          </w:p>
        </w:tc>
        <w:tc>
          <w:tcPr>
            <w:tcW w:w="1701" w:type="dxa"/>
            <w:tcBorders>
              <w:top w:val="nil"/>
              <w:left w:val="nil"/>
              <w:bottom w:val="single" w:sz="4" w:space="0" w:color="auto"/>
              <w:right w:val="single" w:sz="4" w:space="0" w:color="auto"/>
            </w:tcBorders>
            <w:shd w:val="clear" w:color="000000" w:fill="D9D9D9"/>
            <w:noWrap/>
            <w:vAlign w:val="center"/>
            <w:hideMark/>
          </w:tcPr>
          <w:p w14:paraId="5F56FE25" w14:textId="77777777" w:rsidR="00EE1D8E" w:rsidRPr="00DA5EB1" w:rsidRDefault="00EE1D8E" w:rsidP="00421CA0">
            <w:pPr>
              <w:jc w:val="center"/>
              <w:rPr>
                <w:rFonts w:eastAsia="Times New Roman"/>
                <w:b/>
                <w:bCs/>
                <w:color w:val="000000"/>
                <w:lang w:eastAsia="ru-RU"/>
              </w:rPr>
            </w:pPr>
            <w:r w:rsidRPr="00DA5EB1">
              <w:rPr>
                <w:rFonts w:eastAsia="Times New Roman"/>
                <w:b/>
                <w:bCs/>
                <w:color w:val="000000"/>
                <w:lang w:eastAsia="ru-RU"/>
              </w:rPr>
              <w:t>N = 60</w:t>
            </w:r>
          </w:p>
        </w:tc>
        <w:tc>
          <w:tcPr>
            <w:tcW w:w="1701" w:type="dxa"/>
            <w:tcBorders>
              <w:top w:val="nil"/>
              <w:left w:val="nil"/>
              <w:bottom w:val="single" w:sz="4" w:space="0" w:color="auto"/>
              <w:right w:val="single" w:sz="4" w:space="0" w:color="auto"/>
            </w:tcBorders>
            <w:shd w:val="clear" w:color="000000" w:fill="D9D9D9"/>
            <w:noWrap/>
            <w:vAlign w:val="center"/>
            <w:hideMark/>
          </w:tcPr>
          <w:p w14:paraId="2760B433" w14:textId="77777777" w:rsidR="00EE1D8E" w:rsidRPr="00DA5EB1" w:rsidRDefault="00EE1D8E" w:rsidP="00421CA0">
            <w:pPr>
              <w:jc w:val="center"/>
              <w:rPr>
                <w:rFonts w:eastAsia="Times New Roman"/>
                <w:b/>
                <w:bCs/>
                <w:color w:val="000000"/>
                <w:lang w:eastAsia="ru-RU"/>
              </w:rPr>
            </w:pPr>
            <w:r w:rsidRPr="00DA5EB1">
              <w:rPr>
                <w:rFonts w:eastAsia="Times New Roman"/>
                <w:b/>
                <w:bCs/>
                <w:color w:val="000000"/>
                <w:lang w:eastAsia="ru-RU"/>
              </w:rPr>
              <w:t>N = 101</w:t>
            </w:r>
          </w:p>
        </w:tc>
        <w:tc>
          <w:tcPr>
            <w:tcW w:w="1855" w:type="dxa"/>
            <w:tcBorders>
              <w:top w:val="nil"/>
              <w:left w:val="nil"/>
              <w:bottom w:val="single" w:sz="4" w:space="0" w:color="auto"/>
              <w:right w:val="single" w:sz="4" w:space="0" w:color="auto"/>
            </w:tcBorders>
            <w:shd w:val="clear" w:color="000000" w:fill="D9D9D9"/>
            <w:noWrap/>
            <w:vAlign w:val="center"/>
            <w:hideMark/>
          </w:tcPr>
          <w:p w14:paraId="43EDCB70" w14:textId="77777777" w:rsidR="00EE1D8E" w:rsidRPr="00DA5EB1" w:rsidRDefault="00EE1D8E" w:rsidP="00421CA0">
            <w:pPr>
              <w:jc w:val="center"/>
              <w:rPr>
                <w:rFonts w:eastAsia="Times New Roman"/>
                <w:b/>
                <w:bCs/>
                <w:color w:val="000000"/>
                <w:lang w:eastAsia="ru-RU"/>
              </w:rPr>
            </w:pPr>
            <w:r w:rsidRPr="00DA5EB1">
              <w:rPr>
                <w:rFonts w:eastAsia="Times New Roman"/>
                <w:b/>
                <w:bCs/>
                <w:color w:val="000000"/>
                <w:lang w:eastAsia="ru-RU"/>
              </w:rPr>
              <w:t>N = 599</w:t>
            </w:r>
          </w:p>
        </w:tc>
      </w:tr>
      <w:tr w:rsidR="00FB1F87" w:rsidRPr="00DA5EB1" w14:paraId="0CEE3965" w14:textId="77777777" w:rsidTr="00421CA0">
        <w:trPr>
          <w:trHeight w:val="290"/>
        </w:trPr>
        <w:tc>
          <w:tcPr>
            <w:tcW w:w="938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5B21C23" w14:textId="77777777" w:rsidR="00FB1F87" w:rsidRPr="00586B91" w:rsidRDefault="00FB1F87" w:rsidP="00421CA0">
            <w:pPr>
              <w:rPr>
                <w:rFonts w:eastAsia="Times New Roman"/>
                <w:i/>
                <w:color w:val="000000"/>
                <w:lang w:eastAsia="ru-RU"/>
              </w:rPr>
            </w:pPr>
            <w:r w:rsidRPr="00586B91">
              <w:rPr>
                <w:rFonts w:eastAsia="Times New Roman"/>
                <w:i/>
                <w:color w:val="000000"/>
                <w:lang w:eastAsia="ru-RU"/>
              </w:rPr>
              <w:t>Вирологические параметры</w:t>
            </w:r>
          </w:p>
        </w:tc>
      </w:tr>
      <w:tr w:rsidR="00FB1F87" w:rsidRPr="00DA5EB1" w14:paraId="2210CD4C" w14:textId="77777777" w:rsidTr="00421CA0">
        <w:trPr>
          <w:trHeight w:val="850"/>
        </w:trPr>
        <w:tc>
          <w:tcPr>
            <w:tcW w:w="2567" w:type="dxa"/>
            <w:tcBorders>
              <w:top w:val="nil"/>
              <w:left w:val="single" w:sz="4" w:space="0" w:color="auto"/>
              <w:bottom w:val="single" w:sz="4" w:space="0" w:color="auto"/>
              <w:right w:val="single" w:sz="4" w:space="0" w:color="auto"/>
            </w:tcBorders>
            <w:shd w:val="clear" w:color="auto" w:fill="auto"/>
            <w:vAlign w:val="bottom"/>
            <w:hideMark/>
          </w:tcPr>
          <w:p w14:paraId="2A1C8087" w14:textId="77777777" w:rsidR="00FB1F87" w:rsidRPr="00586B91" w:rsidRDefault="00FB1F87" w:rsidP="00421CA0">
            <w:pPr>
              <w:rPr>
                <w:rFonts w:eastAsia="Times New Roman"/>
                <w:color w:val="000000"/>
                <w:lang w:eastAsia="ru-RU"/>
              </w:rPr>
            </w:pPr>
            <w:r w:rsidRPr="00586B91">
              <w:rPr>
                <w:rFonts w:eastAsia="Times New Roman"/>
                <w:color w:val="000000"/>
                <w:lang w:eastAsia="ru-RU"/>
              </w:rPr>
              <w:t xml:space="preserve">Вирусная нагрузка &lt; 50 копий/мл </w:t>
            </w:r>
            <w:r>
              <w:rPr>
                <w:rFonts w:eastAsia="Times New Roman"/>
                <w:color w:val="000000"/>
                <w:lang w:eastAsia="ru-RU"/>
              </w:rPr>
              <w:t>на</w:t>
            </w:r>
          </w:p>
          <w:p w14:paraId="227B94A9" w14:textId="77777777" w:rsidR="00FB1F87" w:rsidRPr="00586B91" w:rsidRDefault="00FB1F87" w:rsidP="00421CA0">
            <w:pPr>
              <w:rPr>
                <w:rFonts w:eastAsia="Times New Roman"/>
                <w:color w:val="000000"/>
                <w:lang w:eastAsia="ru-RU"/>
              </w:rPr>
            </w:pPr>
            <w:r w:rsidRPr="00586B91">
              <w:rPr>
                <w:rFonts w:eastAsia="Times New Roman"/>
                <w:color w:val="000000"/>
                <w:lang w:eastAsia="ru-RU"/>
              </w:rPr>
              <w:t>24 недел</w:t>
            </w:r>
            <w:r>
              <w:rPr>
                <w:rFonts w:eastAsia="Times New Roman"/>
                <w:color w:val="000000"/>
                <w:lang w:eastAsia="ru-RU"/>
              </w:rPr>
              <w:t>е</w:t>
            </w:r>
            <w:r w:rsidRPr="00586B91">
              <w:rPr>
                <w:rFonts w:eastAsia="Times New Roman"/>
                <w:color w:val="000000"/>
                <w:lang w:eastAsia="ru-RU"/>
              </w:rPr>
              <w:t xml:space="preserve">, </w:t>
            </w:r>
            <w:r>
              <w:rPr>
                <w:rFonts w:eastAsia="Times New Roman"/>
                <w:color w:val="000000"/>
                <w:lang w:val="en-US" w:eastAsia="ru-RU"/>
              </w:rPr>
              <w:t>n</w:t>
            </w:r>
            <w:r w:rsidRPr="00586B91">
              <w:rPr>
                <w:rFonts w:eastAsia="Times New Roman"/>
                <w:color w:val="000000"/>
                <w:lang w:eastAsia="ru-RU"/>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14:paraId="7A02D428" w14:textId="7A45EB71" w:rsidR="00FB1F87" w:rsidRPr="00DA5EB1" w:rsidRDefault="00FB1F87" w:rsidP="00421CA0">
            <w:pPr>
              <w:jc w:val="center"/>
              <w:rPr>
                <w:rFonts w:eastAsia="Times New Roman"/>
                <w:color w:val="000000"/>
                <w:lang w:eastAsia="ru-RU"/>
              </w:rPr>
            </w:pPr>
            <w:r w:rsidRPr="00DA5EB1">
              <w:rPr>
                <w:rFonts w:eastAsia="Times New Roman"/>
                <w:color w:val="000000"/>
                <w:lang w:eastAsia="ru-RU"/>
              </w:rPr>
              <w:t>24 (58</w:t>
            </w:r>
            <w:r w:rsidR="00EE1D8E">
              <w:rPr>
                <w:rFonts w:eastAsia="Times New Roman"/>
                <w:color w:val="000000"/>
                <w:lang w:eastAsia="ru-RU"/>
              </w:rPr>
              <w:t>,</w:t>
            </w:r>
            <w:r w:rsidRPr="00DA5EB1">
              <w:rPr>
                <w:rFonts w:eastAsia="Times New Roman"/>
                <w:color w:val="000000"/>
                <w:lang w:eastAsia="ru-RU"/>
              </w:rPr>
              <w:t>5)</w:t>
            </w:r>
          </w:p>
        </w:tc>
        <w:tc>
          <w:tcPr>
            <w:tcW w:w="1701" w:type="dxa"/>
            <w:tcBorders>
              <w:top w:val="nil"/>
              <w:left w:val="nil"/>
              <w:bottom w:val="single" w:sz="4" w:space="0" w:color="auto"/>
              <w:right w:val="single" w:sz="4" w:space="0" w:color="auto"/>
            </w:tcBorders>
            <w:shd w:val="clear" w:color="auto" w:fill="auto"/>
            <w:noWrap/>
            <w:vAlign w:val="center"/>
            <w:hideMark/>
          </w:tcPr>
          <w:p w14:paraId="59920EA5" w14:textId="594B172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28 (46</w:t>
            </w:r>
            <w:r w:rsidR="00EE1D8E">
              <w:rPr>
                <w:rFonts w:eastAsia="Times New Roman"/>
                <w:color w:val="000000"/>
                <w:lang w:eastAsia="ru-RU"/>
              </w:rPr>
              <w:t>,</w:t>
            </w:r>
            <w:r w:rsidRPr="00DA5EB1">
              <w:rPr>
                <w:rFonts w:eastAsia="Times New Roman"/>
                <w:color w:val="000000"/>
                <w:lang w:eastAsia="ru-RU"/>
              </w:rPr>
              <w:t>7)</w:t>
            </w:r>
          </w:p>
        </w:tc>
        <w:tc>
          <w:tcPr>
            <w:tcW w:w="1701" w:type="dxa"/>
            <w:tcBorders>
              <w:top w:val="nil"/>
              <w:left w:val="nil"/>
              <w:bottom w:val="single" w:sz="4" w:space="0" w:color="auto"/>
              <w:right w:val="single" w:sz="4" w:space="0" w:color="auto"/>
            </w:tcBorders>
            <w:shd w:val="clear" w:color="auto" w:fill="auto"/>
            <w:noWrap/>
            <w:vAlign w:val="center"/>
            <w:hideMark/>
          </w:tcPr>
          <w:p w14:paraId="5348C38E" w14:textId="6C9872DF" w:rsidR="00FB1F87" w:rsidRPr="00DA5EB1" w:rsidRDefault="00FB1F87" w:rsidP="00421CA0">
            <w:pPr>
              <w:jc w:val="center"/>
              <w:rPr>
                <w:rFonts w:eastAsia="Times New Roman"/>
                <w:color w:val="000000"/>
                <w:lang w:eastAsia="ru-RU"/>
              </w:rPr>
            </w:pPr>
            <w:r w:rsidRPr="00DA5EB1">
              <w:rPr>
                <w:rFonts w:eastAsia="Times New Roman"/>
                <w:color w:val="000000"/>
                <w:lang w:eastAsia="ru-RU"/>
              </w:rPr>
              <w:t>52 (51</w:t>
            </w:r>
            <w:r w:rsidR="00EE1D8E">
              <w:rPr>
                <w:rFonts w:eastAsia="Times New Roman"/>
                <w:color w:val="000000"/>
                <w:lang w:eastAsia="ru-RU"/>
              </w:rPr>
              <w:t>,</w:t>
            </w:r>
            <w:r w:rsidRPr="00DA5EB1">
              <w:rPr>
                <w:rFonts w:eastAsia="Times New Roman"/>
                <w:color w:val="000000"/>
                <w:lang w:eastAsia="ru-RU"/>
              </w:rPr>
              <w:t>5)</w:t>
            </w:r>
          </w:p>
        </w:tc>
        <w:tc>
          <w:tcPr>
            <w:tcW w:w="1855" w:type="dxa"/>
            <w:tcBorders>
              <w:top w:val="nil"/>
              <w:left w:val="nil"/>
              <w:bottom w:val="single" w:sz="4" w:space="0" w:color="auto"/>
              <w:right w:val="single" w:sz="4" w:space="0" w:color="auto"/>
            </w:tcBorders>
            <w:shd w:val="clear" w:color="auto" w:fill="auto"/>
            <w:noWrap/>
            <w:vAlign w:val="center"/>
            <w:hideMark/>
          </w:tcPr>
          <w:p w14:paraId="298302D7" w14:textId="384003BD" w:rsidR="00FB1F87" w:rsidRPr="00DA5EB1" w:rsidRDefault="00FB1F87" w:rsidP="00421CA0">
            <w:pPr>
              <w:jc w:val="center"/>
              <w:rPr>
                <w:rFonts w:eastAsia="Times New Roman"/>
                <w:color w:val="000000"/>
                <w:lang w:eastAsia="ru-RU"/>
              </w:rPr>
            </w:pPr>
            <w:r w:rsidRPr="00DA5EB1">
              <w:rPr>
                <w:rFonts w:eastAsia="Times New Roman"/>
                <w:color w:val="000000"/>
                <w:lang w:eastAsia="ru-RU"/>
              </w:rPr>
              <w:t>363 (60</w:t>
            </w:r>
            <w:r w:rsidR="00EE1D8E">
              <w:rPr>
                <w:rFonts w:eastAsia="Times New Roman"/>
                <w:color w:val="000000"/>
                <w:lang w:eastAsia="ru-RU"/>
              </w:rPr>
              <w:t>,</w:t>
            </w:r>
            <w:r w:rsidRPr="00DA5EB1">
              <w:rPr>
                <w:rFonts w:eastAsia="Times New Roman"/>
                <w:color w:val="000000"/>
                <w:lang w:eastAsia="ru-RU"/>
              </w:rPr>
              <w:t>6)</w:t>
            </w:r>
          </w:p>
        </w:tc>
      </w:tr>
      <w:tr w:rsidR="00FB1F87" w:rsidRPr="00DA5EB1" w14:paraId="5CFB963E" w14:textId="77777777" w:rsidTr="00421CA0">
        <w:trPr>
          <w:trHeight w:val="850"/>
        </w:trPr>
        <w:tc>
          <w:tcPr>
            <w:tcW w:w="2567" w:type="dxa"/>
            <w:tcBorders>
              <w:top w:val="nil"/>
              <w:left w:val="single" w:sz="4" w:space="0" w:color="auto"/>
              <w:bottom w:val="single" w:sz="4" w:space="0" w:color="auto"/>
              <w:right w:val="single" w:sz="4" w:space="0" w:color="auto"/>
            </w:tcBorders>
            <w:shd w:val="clear" w:color="auto" w:fill="auto"/>
            <w:vAlign w:val="bottom"/>
            <w:hideMark/>
          </w:tcPr>
          <w:p w14:paraId="79A09241" w14:textId="77777777" w:rsidR="00FB1F87" w:rsidRPr="00586B91" w:rsidRDefault="00FB1F87" w:rsidP="00421CA0">
            <w:pPr>
              <w:rPr>
                <w:rFonts w:eastAsia="Times New Roman"/>
                <w:color w:val="000000"/>
                <w:lang w:eastAsia="ru-RU"/>
              </w:rPr>
            </w:pPr>
            <w:r>
              <w:rPr>
                <w:rFonts w:eastAsia="Times New Roman"/>
                <w:color w:val="000000"/>
                <w:lang w:eastAsia="ru-RU"/>
              </w:rPr>
              <w:t>Вирусная</w:t>
            </w:r>
            <w:r w:rsidRPr="00FB4494">
              <w:rPr>
                <w:rFonts w:eastAsia="Times New Roman"/>
                <w:color w:val="000000"/>
                <w:lang w:eastAsia="ru-RU"/>
              </w:rPr>
              <w:t xml:space="preserve"> </w:t>
            </w:r>
            <w:r>
              <w:rPr>
                <w:rFonts w:eastAsia="Times New Roman"/>
                <w:color w:val="000000"/>
                <w:lang w:eastAsia="ru-RU"/>
              </w:rPr>
              <w:t>нагрузка</w:t>
            </w:r>
            <w:r w:rsidRPr="00FB4494">
              <w:rPr>
                <w:rFonts w:eastAsia="Times New Roman"/>
                <w:color w:val="000000"/>
                <w:lang w:eastAsia="ru-RU"/>
              </w:rPr>
              <w:t xml:space="preserve"> &lt; 400 </w:t>
            </w:r>
            <w:r w:rsidRPr="00586B91">
              <w:rPr>
                <w:rFonts w:eastAsia="Times New Roman"/>
                <w:color w:val="000000"/>
                <w:lang w:eastAsia="ru-RU"/>
              </w:rPr>
              <w:t xml:space="preserve">копий/мл </w:t>
            </w:r>
            <w:r>
              <w:rPr>
                <w:rFonts w:eastAsia="Times New Roman"/>
                <w:color w:val="000000"/>
                <w:lang w:eastAsia="ru-RU"/>
              </w:rPr>
              <w:t>на</w:t>
            </w:r>
          </w:p>
          <w:p w14:paraId="2017C9EA" w14:textId="77777777" w:rsidR="00FB1F87" w:rsidRPr="00FB4494" w:rsidRDefault="00FB1F87" w:rsidP="00421CA0">
            <w:pPr>
              <w:rPr>
                <w:rFonts w:eastAsia="Times New Roman"/>
                <w:color w:val="000000"/>
                <w:lang w:eastAsia="ru-RU"/>
              </w:rPr>
            </w:pPr>
            <w:r w:rsidRPr="00586B91">
              <w:rPr>
                <w:rFonts w:eastAsia="Times New Roman"/>
                <w:color w:val="000000"/>
                <w:lang w:eastAsia="ru-RU"/>
              </w:rPr>
              <w:t>24 недел</w:t>
            </w:r>
            <w:r>
              <w:rPr>
                <w:rFonts w:eastAsia="Times New Roman"/>
                <w:color w:val="000000"/>
                <w:lang w:eastAsia="ru-RU"/>
              </w:rPr>
              <w:t>е</w:t>
            </w:r>
            <w:r w:rsidRPr="00586B91">
              <w:rPr>
                <w:rFonts w:eastAsia="Times New Roman"/>
                <w:color w:val="000000"/>
                <w:lang w:eastAsia="ru-RU"/>
              </w:rPr>
              <w:t xml:space="preserve">, </w:t>
            </w:r>
            <w:r>
              <w:rPr>
                <w:rFonts w:eastAsia="Times New Roman"/>
                <w:color w:val="000000"/>
                <w:lang w:val="en-US" w:eastAsia="ru-RU"/>
              </w:rPr>
              <w:t>n</w:t>
            </w:r>
            <w:r w:rsidRPr="00586B91">
              <w:rPr>
                <w:rFonts w:eastAsia="Times New Roman"/>
                <w:color w:val="000000"/>
                <w:lang w:eastAsia="ru-RU"/>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14:paraId="4BA9EB0D" w14:textId="3BC09D95" w:rsidR="00FB1F87" w:rsidRPr="00DA5EB1" w:rsidRDefault="00FB1F87" w:rsidP="00421CA0">
            <w:pPr>
              <w:jc w:val="center"/>
              <w:rPr>
                <w:rFonts w:eastAsia="Times New Roman"/>
                <w:color w:val="000000"/>
                <w:lang w:eastAsia="ru-RU"/>
              </w:rPr>
            </w:pPr>
            <w:r w:rsidRPr="00DA5EB1">
              <w:rPr>
                <w:rFonts w:eastAsia="Times New Roman"/>
                <w:color w:val="000000"/>
                <w:lang w:eastAsia="ru-RU"/>
              </w:rPr>
              <w:t>28 (68</w:t>
            </w:r>
            <w:r w:rsidR="00EE1D8E">
              <w:rPr>
                <w:rFonts w:eastAsia="Times New Roman"/>
                <w:color w:val="000000"/>
                <w:lang w:eastAsia="ru-RU"/>
              </w:rPr>
              <w:t>,</w:t>
            </w:r>
            <w:r w:rsidRPr="00DA5EB1">
              <w:rPr>
                <w:rFonts w:eastAsia="Times New Roman"/>
                <w:color w:val="000000"/>
                <w:lang w:eastAsia="ru-RU"/>
              </w:rPr>
              <w:t>3)</w:t>
            </w:r>
          </w:p>
        </w:tc>
        <w:tc>
          <w:tcPr>
            <w:tcW w:w="1701" w:type="dxa"/>
            <w:tcBorders>
              <w:top w:val="nil"/>
              <w:left w:val="nil"/>
              <w:bottom w:val="single" w:sz="4" w:space="0" w:color="auto"/>
              <w:right w:val="single" w:sz="4" w:space="0" w:color="auto"/>
            </w:tcBorders>
            <w:shd w:val="clear" w:color="auto" w:fill="auto"/>
            <w:noWrap/>
            <w:vAlign w:val="center"/>
            <w:hideMark/>
          </w:tcPr>
          <w:p w14:paraId="50AB31C8" w14:textId="702D80E0" w:rsidR="00FB1F87" w:rsidRPr="00DA5EB1" w:rsidRDefault="00FB1F87" w:rsidP="00421CA0">
            <w:pPr>
              <w:jc w:val="center"/>
              <w:rPr>
                <w:rFonts w:eastAsia="Times New Roman"/>
                <w:color w:val="000000"/>
                <w:lang w:eastAsia="ru-RU"/>
              </w:rPr>
            </w:pPr>
            <w:r w:rsidRPr="00DA5EB1">
              <w:rPr>
                <w:rFonts w:eastAsia="Times New Roman"/>
                <w:color w:val="000000"/>
                <w:lang w:eastAsia="ru-RU"/>
              </w:rPr>
              <w:t>38 (63</w:t>
            </w:r>
            <w:r w:rsidR="00EE1D8E">
              <w:rPr>
                <w:rFonts w:eastAsia="Times New Roman"/>
                <w:color w:val="000000"/>
                <w:lang w:eastAsia="ru-RU"/>
              </w:rPr>
              <w:t>,</w:t>
            </w:r>
            <w:r w:rsidRPr="00DA5EB1">
              <w:rPr>
                <w:rFonts w:eastAsia="Times New Roman"/>
                <w:color w:val="000000"/>
                <w:lang w:eastAsia="ru-RU"/>
              </w:rPr>
              <w:t>3)</w:t>
            </w:r>
          </w:p>
        </w:tc>
        <w:tc>
          <w:tcPr>
            <w:tcW w:w="1701" w:type="dxa"/>
            <w:tcBorders>
              <w:top w:val="nil"/>
              <w:left w:val="nil"/>
              <w:bottom w:val="single" w:sz="4" w:space="0" w:color="auto"/>
              <w:right w:val="single" w:sz="4" w:space="0" w:color="auto"/>
            </w:tcBorders>
            <w:shd w:val="clear" w:color="auto" w:fill="auto"/>
            <w:noWrap/>
            <w:vAlign w:val="center"/>
            <w:hideMark/>
          </w:tcPr>
          <w:p w14:paraId="52A19A40" w14:textId="0F34D372" w:rsidR="00FB1F87" w:rsidRPr="00DA5EB1" w:rsidRDefault="00FB1F87" w:rsidP="00421CA0">
            <w:pPr>
              <w:jc w:val="center"/>
              <w:rPr>
                <w:rFonts w:eastAsia="Times New Roman"/>
                <w:color w:val="000000"/>
                <w:lang w:eastAsia="ru-RU"/>
              </w:rPr>
            </w:pPr>
            <w:r w:rsidRPr="00DA5EB1">
              <w:rPr>
                <w:rFonts w:eastAsia="Times New Roman"/>
                <w:color w:val="000000"/>
                <w:lang w:eastAsia="ru-RU"/>
              </w:rPr>
              <w:t>66 (65</w:t>
            </w:r>
            <w:r w:rsidR="00EE1D8E">
              <w:rPr>
                <w:rFonts w:eastAsia="Times New Roman"/>
                <w:color w:val="000000"/>
                <w:lang w:eastAsia="ru-RU"/>
              </w:rPr>
              <w:t>,</w:t>
            </w:r>
            <w:r w:rsidRPr="00DA5EB1">
              <w:rPr>
                <w:rFonts w:eastAsia="Times New Roman"/>
                <w:color w:val="000000"/>
                <w:lang w:eastAsia="ru-RU"/>
              </w:rPr>
              <w:t>3)</w:t>
            </w:r>
          </w:p>
        </w:tc>
        <w:tc>
          <w:tcPr>
            <w:tcW w:w="1855" w:type="dxa"/>
            <w:tcBorders>
              <w:top w:val="nil"/>
              <w:left w:val="nil"/>
              <w:bottom w:val="single" w:sz="4" w:space="0" w:color="auto"/>
              <w:right w:val="single" w:sz="4" w:space="0" w:color="auto"/>
            </w:tcBorders>
            <w:shd w:val="clear" w:color="auto" w:fill="auto"/>
            <w:noWrap/>
            <w:vAlign w:val="center"/>
            <w:hideMark/>
          </w:tcPr>
          <w:p w14:paraId="1CA765DD" w14:textId="3E336C8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445 (74</w:t>
            </w:r>
            <w:r w:rsidR="00EE1D8E">
              <w:rPr>
                <w:rFonts w:eastAsia="Times New Roman"/>
                <w:color w:val="000000"/>
                <w:lang w:eastAsia="ru-RU"/>
              </w:rPr>
              <w:t>,</w:t>
            </w:r>
            <w:r w:rsidRPr="00DA5EB1">
              <w:rPr>
                <w:rFonts w:eastAsia="Times New Roman"/>
                <w:color w:val="000000"/>
                <w:lang w:eastAsia="ru-RU"/>
              </w:rPr>
              <w:t>3)</w:t>
            </w:r>
          </w:p>
        </w:tc>
      </w:tr>
      <w:tr w:rsidR="00FB1F87" w:rsidRPr="00DA5EB1" w14:paraId="6F036598" w14:textId="77777777" w:rsidTr="00421CA0">
        <w:trPr>
          <w:trHeight w:val="850"/>
        </w:trPr>
        <w:tc>
          <w:tcPr>
            <w:tcW w:w="2567" w:type="dxa"/>
            <w:tcBorders>
              <w:top w:val="nil"/>
              <w:left w:val="single" w:sz="4" w:space="0" w:color="auto"/>
              <w:bottom w:val="single" w:sz="4" w:space="0" w:color="auto"/>
              <w:right w:val="single" w:sz="4" w:space="0" w:color="auto"/>
            </w:tcBorders>
            <w:shd w:val="clear" w:color="auto" w:fill="auto"/>
            <w:vAlign w:val="bottom"/>
            <w:hideMark/>
          </w:tcPr>
          <w:p w14:paraId="3ABFA2E3" w14:textId="77777777" w:rsidR="00FB1F87" w:rsidRPr="00586B91" w:rsidRDefault="00FB1F87" w:rsidP="00421CA0">
            <w:pPr>
              <w:rPr>
                <w:rFonts w:eastAsia="Times New Roman"/>
                <w:color w:val="000000"/>
                <w:lang w:eastAsia="ru-RU"/>
              </w:rPr>
            </w:pPr>
            <w:r w:rsidRPr="00586B91">
              <w:rPr>
                <w:rFonts w:eastAsia="Times New Roman"/>
                <w:color w:val="000000"/>
                <w:lang w:eastAsia="ru-RU"/>
              </w:rPr>
              <w:t xml:space="preserve">Снижение на ≥ 1 </w:t>
            </w:r>
            <w:r w:rsidRPr="00586B91">
              <w:rPr>
                <w:rFonts w:eastAsia="Times New Roman"/>
                <w:color w:val="000000"/>
                <w:lang w:val="en-US" w:eastAsia="ru-RU"/>
              </w:rPr>
              <w:t>log</w:t>
            </w:r>
            <w:r w:rsidRPr="00586B91">
              <w:rPr>
                <w:rFonts w:eastAsia="Times New Roman"/>
                <w:color w:val="000000"/>
                <w:lang w:eastAsia="ru-RU"/>
              </w:rPr>
              <w:t xml:space="preserve">10 по сравнению с исходным уровнем на 24-й неделе, </w:t>
            </w:r>
            <w:r w:rsidRPr="00586B91">
              <w:rPr>
                <w:rFonts w:eastAsia="Times New Roman"/>
                <w:color w:val="000000"/>
                <w:lang w:val="en-US" w:eastAsia="ru-RU"/>
              </w:rPr>
              <w:t>n</w:t>
            </w:r>
            <w:r w:rsidRPr="00586B91">
              <w:rPr>
                <w:rFonts w:eastAsia="Times New Roman"/>
                <w:color w:val="000000"/>
                <w:lang w:eastAsia="ru-RU"/>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14:paraId="64D8BA8D" w14:textId="3D839F9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26 (63</w:t>
            </w:r>
            <w:r w:rsidR="00EE1D8E">
              <w:rPr>
                <w:rFonts w:eastAsia="Times New Roman"/>
                <w:color w:val="000000"/>
                <w:lang w:eastAsia="ru-RU"/>
              </w:rPr>
              <w:t>,</w:t>
            </w:r>
            <w:r w:rsidRPr="00DA5EB1">
              <w:rPr>
                <w:rFonts w:eastAsia="Times New Roman"/>
                <w:color w:val="000000"/>
                <w:lang w:eastAsia="ru-RU"/>
              </w:rPr>
              <w:t>4)</w:t>
            </w:r>
          </w:p>
        </w:tc>
        <w:tc>
          <w:tcPr>
            <w:tcW w:w="1701" w:type="dxa"/>
            <w:tcBorders>
              <w:top w:val="nil"/>
              <w:left w:val="nil"/>
              <w:bottom w:val="single" w:sz="4" w:space="0" w:color="auto"/>
              <w:right w:val="single" w:sz="4" w:space="0" w:color="auto"/>
            </w:tcBorders>
            <w:shd w:val="clear" w:color="auto" w:fill="auto"/>
            <w:noWrap/>
            <w:vAlign w:val="center"/>
            <w:hideMark/>
          </w:tcPr>
          <w:p w14:paraId="69799620" w14:textId="51834E22" w:rsidR="00FB1F87" w:rsidRPr="00DA5EB1" w:rsidRDefault="00FB1F87" w:rsidP="00421CA0">
            <w:pPr>
              <w:jc w:val="center"/>
              <w:rPr>
                <w:rFonts w:eastAsia="Times New Roman"/>
                <w:color w:val="000000"/>
                <w:lang w:eastAsia="ru-RU"/>
              </w:rPr>
            </w:pPr>
            <w:r w:rsidRPr="00DA5EB1">
              <w:rPr>
                <w:rFonts w:eastAsia="Times New Roman"/>
                <w:color w:val="000000"/>
                <w:lang w:eastAsia="ru-RU"/>
              </w:rPr>
              <w:t>38 (63</w:t>
            </w:r>
            <w:r w:rsidR="00EE1D8E">
              <w:rPr>
                <w:rFonts w:eastAsia="Times New Roman"/>
                <w:color w:val="000000"/>
                <w:lang w:eastAsia="ru-RU"/>
              </w:rPr>
              <w:t>,</w:t>
            </w:r>
            <w:r w:rsidRPr="00DA5EB1">
              <w:rPr>
                <w:rFonts w:eastAsia="Times New Roman"/>
                <w:color w:val="000000"/>
                <w:lang w:eastAsia="ru-RU"/>
              </w:rPr>
              <w:t>3)</w:t>
            </w:r>
          </w:p>
        </w:tc>
        <w:tc>
          <w:tcPr>
            <w:tcW w:w="1701" w:type="dxa"/>
            <w:tcBorders>
              <w:top w:val="nil"/>
              <w:left w:val="nil"/>
              <w:bottom w:val="single" w:sz="4" w:space="0" w:color="auto"/>
              <w:right w:val="single" w:sz="4" w:space="0" w:color="auto"/>
            </w:tcBorders>
            <w:shd w:val="clear" w:color="auto" w:fill="auto"/>
            <w:noWrap/>
            <w:vAlign w:val="center"/>
            <w:hideMark/>
          </w:tcPr>
          <w:p w14:paraId="788140D5" w14:textId="3E7542FD" w:rsidR="00FB1F87" w:rsidRPr="00DA5EB1" w:rsidRDefault="00FB1F87" w:rsidP="00421CA0">
            <w:pPr>
              <w:jc w:val="center"/>
              <w:rPr>
                <w:rFonts w:eastAsia="Times New Roman"/>
                <w:color w:val="000000"/>
                <w:lang w:eastAsia="ru-RU"/>
              </w:rPr>
            </w:pPr>
            <w:r w:rsidRPr="00DA5EB1">
              <w:rPr>
                <w:rFonts w:eastAsia="Times New Roman"/>
                <w:color w:val="000000"/>
                <w:lang w:eastAsia="ru-RU"/>
              </w:rPr>
              <w:t>64 (63</w:t>
            </w:r>
            <w:r w:rsidR="00EE1D8E">
              <w:rPr>
                <w:rFonts w:eastAsia="Times New Roman"/>
                <w:color w:val="000000"/>
                <w:lang w:eastAsia="ru-RU"/>
              </w:rPr>
              <w:t>,</w:t>
            </w:r>
            <w:r w:rsidRPr="00DA5EB1">
              <w:rPr>
                <w:rFonts w:eastAsia="Times New Roman"/>
                <w:color w:val="000000"/>
                <w:lang w:eastAsia="ru-RU"/>
              </w:rPr>
              <w:t>4)</w:t>
            </w:r>
          </w:p>
        </w:tc>
        <w:tc>
          <w:tcPr>
            <w:tcW w:w="1855" w:type="dxa"/>
            <w:tcBorders>
              <w:top w:val="nil"/>
              <w:left w:val="nil"/>
              <w:bottom w:val="single" w:sz="4" w:space="0" w:color="auto"/>
              <w:right w:val="single" w:sz="4" w:space="0" w:color="auto"/>
            </w:tcBorders>
            <w:shd w:val="clear" w:color="auto" w:fill="auto"/>
            <w:noWrap/>
            <w:vAlign w:val="center"/>
            <w:hideMark/>
          </w:tcPr>
          <w:p w14:paraId="11A12B36" w14:textId="5F180344" w:rsidR="00FB1F87" w:rsidRPr="00DA5EB1" w:rsidRDefault="00FB1F87" w:rsidP="00421CA0">
            <w:pPr>
              <w:jc w:val="center"/>
              <w:rPr>
                <w:rFonts w:eastAsia="Times New Roman"/>
                <w:color w:val="000000"/>
                <w:lang w:eastAsia="ru-RU"/>
              </w:rPr>
            </w:pPr>
            <w:r w:rsidRPr="00DA5EB1">
              <w:rPr>
                <w:rFonts w:eastAsia="Times New Roman"/>
                <w:color w:val="000000"/>
                <w:lang w:eastAsia="ru-RU"/>
              </w:rPr>
              <w:t>475 (79</w:t>
            </w:r>
            <w:r w:rsidR="00EE1D8E">
              <w:rPr>
                <w:rFonts w:eastAsia="Times New Roman"/>
                <w:color w:val="000000"/>
                <w:lang w:eastAsia="ru-RU"/>
              </w:rPr>
              <w:t>,</w:t>
            </w:r>
            <w:r w:rsidRPr="00DA5EB1">
              <w:rPr>
                <w:rFonts w:eastAsia="Times New Roman"/>
                <w:color w:val="000000"/>
                <w:lang w:eastAsia="ru-RU"/>
              </w:rPr>
              <w:t>3)</w:t>
            </w:r>
          </w:p>
        </w:tc>
      </w:tr>
      <w:tr w:rsidR="00FB1F87" w:rsidRPr="00DA5EB1" w14:paraId="3F8A9A14" w14:textId="77777777" w:rsidTr="00421CA0">
        <w:trPr>
          <w:trHeight w:val="290"/>
        </w:trPr>
        <w:tc>
          <w:tcPr>
            <w:tcW w:w="2567" w:type="dxa"/>
            <w:vMerge w:val="restart"/>
            <w:tcBorders>
              <w:top w:val="nil"/>
              <w:left w:val="single" w:sz="4" w:space="0" w:color="auto"/>
              <w:bottom w:val="single" w:sz="4" w:space="0" w:color="auto"/>
              <w:right w:val="single" w:sz="4" w:space="0" w:color="000000"/>
            </w:tcBorders>
            <w:shd w:val="clear" w:color="auto" w:fill="auto"/>
            <w:vAlign w:val="bottom"/>
            <w:hideMark/>
          </w:tcPr>
          <w:p w14:paraId="705D7426" w14:textId="77777777" w:rsidR="00FB1F87" w:rsidRPr="00586B91" w:rsidRDefault="00FB1F87" w:rsidP="00421CA0">
            <w:pPr>
              <w:rPr>
                <w:rFonts w:eastAsia="Times New Roman"/>
                <w:color w:val="000000"/>
                <w:lang w:eastAsia="ru-RU"/>
              </w:rPr>
            </w:pPr>
            <w:r w:rsidRPr="00586B91">
              <w:rPr>
                <w:rFonts w:eastAsia="Times New Roman"/>
                <w:color w:val="000000"/>
                <w:lang w:eastAsia="ru-RU"/>
              </w:rPr>
              <w:t xml:space="preserve">Изменение по сравнению с исходным уровнем </w:t>
            </w:r>
            <w:r w:rsidRPr="00586B91">
              <w:rPr>
                <w:rFonts w:eastAsia="Times New Roman"/>
                <w:color w:val="000000"/>
                <w:lang w:val="en-US" w:eastAsia="ru-RU"/>
              </w:rPr>
              <w:t>log</w:t>
            </w:r>
            <w:r w:rsidRPr="00586B91">
              <w:rPr>
                <w:rFonts w:eastAsia="Times New Roman"/>
                <w:color w:val="000000"/>
                <w:lang w:eastAsia="ru-RU"/>
              </w:rPr>
              <w:t>10 вирусной нагрузки (копий/мл) на 24-й неделе, среднее значение (</w:t>
            </w:r>
            <w:r w:rsidRPr="00586B91">
              <w:rPr>
                <w:rFonts w:eastAsia="Times New Roman"/>
                <w:color w:val="000000"/>
                <w:lang w:val="en-US" w:eastAsia="ru-RU"/>
              </w:rPr>
              <w:t>SE</w:t>
            </w:r>
            <w:r w:rsidRPr="00586B91">
              <w:rPr>
                <w:rFonts w:eastAsia="Times New Roman"/>
                <w:color w:val="000000"/>
                <w:lang w:eastAsia="ru-RU"/>
              </w:rPr>
              <w:t>) и медиана (диапазон)</w:t>
            </w:r>
          </w:p>
        </w:tc>
        <w:tc>
          <w:tcPr>
            <w:tcW w:w="1559" w:type="dxa"/>
            <w:tcBorders>
              <w:top w:val="single" w:sz="4" w:space="0" w:color="auto"/>
              <w:left w:val="single" w:sz="4" w:space="0" w:color="auto"/>
              <w:bottom w:val="nil"/>
              <w:right w:val="single" w:sz="4" w:space="0" w:color="auto"/>
            </w:tcBorders>
            <w:shd w:val="clear" w:color="auto" w:fill="auto"/>
            <w:noWrap/>
            <w:vAlign w:val="center"/>
            <w:hideMark/>
          </w:tcPr>
          <w:p w14:paraId="4C3DC06D" w14:textId="0FE5DFD1"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w:t>
            </w:r>
            <w:r w:rsidR="00EE1D8E">
              <w:rPr>
                <w:rFonts w:eastAsia="Times New Roman"/>
                <w:color w:val="000000"/>
                <w:lang w:eastAsia="ru-RU"/>
              </w:rPr>
              <w:t>,</w:t>
            </w:r>
            <w:r w:rsidRPr="00DA5EB1">
              <w:rPr>
                <w:rFonts w:eastAsia="Times New Roman"/>
                <w:color w:val="000000"/>
                <w:lang w:eastAsia="ru-RU"/>
              </w:rPr>
              <w:t>62 (0</w:t>
            </w:r>
            <w:r w:rsidR="00EE1D8E">
              <w:rPr>
                <w:rFonts w:eastAsia="Times New Roman"/>
                <w:color w:val="000000"/>
                <w:lang w:eastAsia="ru-RU"/>
              </w:rPr>
              <w:t>,</w:t>
            </w:r>
            <w:r w:rsidRPr="00DA5EB1">
              <w:rPr>
                <w:rFonts w:eastAsia="Times New Roman"/>
                <w:color w:val="000000"/>
                <w:lang w:eastAsia="ru-RU"/>
              </w:rPr>
              <w:t>21)</w:t>
            </w:r>
          </w:p>
        </w:tc>
        <w:tc>
          <w:tcPr>
            <w:tcW w:w="1701" w:type="dxa"/>
            <w:tcBorders>
              <w:top w:val="single" w:sz="4" w:space="0" w:color="auto"/>
              <w:left w:val="nil"/>
              <w:bottom w:val="nil"/>
              <w:right w:val="single" w:sz="4" w:space="0" w:color="auto"/>
            </w:tcBorders>
            <w:shd w:val="clear" w:color="auto" w:fill="auto"/>
            <w:noWrap/>
            <w:vAlign w:val="center"/>
            <w:hideMark/>
          </w:tcPr>
          <w:p w14:paraId="780C01B7" w14:textId="12D8637F"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w:t>
            </w:r>
            <w:r w:rsidR="00EE1D8E">
              <w:rPr>
                <w:rFonts w:eastAsia="Times New Roman"/>
                <w:color w:val="000000"/>
                <w:lang w:eastAsia="ru-RU"/>
              </w:rPr>
              <w:t>,</w:t>
            </w:r>
            <w:r w:rsidRPr="00DA5EB1">
              <w:rPr>
                <w:rFonts w:eastAsia="Times New Roman"/>
                <w:color w:val="000000"/>
                <w:lang w:eastAsia="ru-RU"/>
              </w:rPr>
              <w:t>44 (0</w:t>
            </w:r>
            <w:r w:rsidR="00EE1D8E">
              <w:rPr>
                <w:rFonts w:eastAsia="Times New Roman"/>
                <w:color w:val="000000"/>
                <w:lang w:eastAsia="ru-RU"/>
              </w:rPr>
              <w:t>,</w:t>
            </w:r>
            <w:r w:rsidRPr="00DA5EB1">
              <w:rPr>
                <w:rFonts w:eastAsia="Times New Roman"/>
                <w:color w:val="000000"/>
                <w:lang w:eastAsia="ru-RU"/>
              </w:rPr>
              <w:t>17)</w:t>
            </w:r>
          </w:p>
        </w:tc>
        <w:tc>
          <w:tcPr>
            <w:tcW w:w="1701" w:type="dxa"/>
            <w:tcBorders>
              <w:top w:val="single" w:sz="4" w:space="0" w:color="auto"/>
              <w:left w:val="nil"/>
              <w:bottom w:val="nil"/>
              <w:right w:val="single" w:sz="4" w:space="0" w:color="auto"/>
            </w:tcBorders>
            <w:shd w:val="clear" w:color="auto" w:fill="auto"/>
            <w:noWrap/>
            <w:vAlign w:val="center"/>
            <w:hideMark/>
          </w:tcPr>
          <w:p w14:paraId="7FAACDCD" w14:textId="5DA06F3A"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w:t>
            </w:r>
            <w:r w:rsidR="00EE1D8E">
              <w:rPr>
                <w:rFonts w:eastAsia="Times New Roman"/>
                <w:color w:val="000000"/>
                <w:lang w:eastAsia="ru-RU"/>
              </w:rPr>
              <w:t>,</w:t>
            </w:r>
            <w:r w:rsidRPr="00DA5EB1">
              <w:rPr>
                <w:rFonts w:eastAsia="Times New Roman"/>
                <w:color w:val="000000"/>
                <w:lang w:eastAsia="ru-RU"/>
              </w:rPr>
              <w:t>51 (0</w:t>
            </w:r>
            <w:r w:rsidR="00EE1D8E">
              <w:rPr>
                <w:rFonts w:eastAsia="Times New Roman"/>
                <w:color w:val="000000"/>
                <w:lang w:eastAsia="ru-RU"/>
              </w:rPr>
              <w:t>,</w:t>
            </w:r>
            <w:r w:rsidRPr="00DA5EB1">
              <w:rPr>
                <w:rFonts w:eastAsia="Times New Roman"/>
                <w:color w:val="000000"/>
                <w:lang w:eastAsia="ru-RU"/>
              </w:rPr>
              <w:t>13)</w:t>
            </w:r>
          </w:p>
        </w:tc>
        <w:tc>
          <w:tcPr>
            <w:tcW w:w="1855" w:type="dxa"/>
            <w:tcBorders>
              <w:top w:val="single" w:sz="4" w:space="0" w:color="auto"/>
              <w:left w:val="nil"/>
              <w:bottom w:val="nil"/>
              <w:right w:val="single" w:sz="4" w:space="0" w:color="auto"/>
            </w:tcBorders>
            <w:shd w:val="clear" w:color="auto" w:fill="auto"/>
            <w:noWrap/>
            <w:vAlign w:val="center"/>
            <w:hideMark/>
          </w:tcPr>
          <w:p w14:paraId="56A62948" w14:textId="734A2FF8" w:rsidR="00FB1F87" w:rsidRPr="00DA5EB1" w:rsidRDefault="00FB1F87" w:rsidP="00421CA0">
            <w:pPr>
              <w:jc w:val="center"/>
              <w:rPr>
                <w:rFonts w:eastAsia="Times New Roman"/>
                <w:color w:val="000000"/>
                <w:lang w:eastAsia="ru-RU"/>
              </w:rPr>
            </w:pPr>
            <w:r w:rsidRPr="00DA5EB1">
              <w:rPr>
                <w:rFonts w:eastAsia="Times New Roman"/>
                <w:color w:val="000000"/>
                <w:lang w:eastAsia="ru-RU"/>
              </w:rPr>
              <w:t>−2</w:t>
            </w:r>
            <w:r w:rsidR="00EE1D8E">
              <w:rPr>
                <w:rFonts w:eastAsia="Times New Roman"/>
                <w:color w:val="000000"/>
                <w:lang w:eastAsia="ru-RU"/>
              </w:rPr>
              <w:t>,</w:t>
            </w:r>
            <w:r w:rsidRPr="00DA5EB1">
              <w:rPr>
                <w:rFonts w:eastAsia="Times New Roman"/>
                <w:color w:val="000000"/>
                <w:lang w:eastAsia="ru-RU"/>
              </w:rPr>
              <w:t>37 (0</w:t>
            </w:r>
            <w:r w:rsidR="00EE1D8E">
              <w:rPr>
                <w:rFonts w:eastAsia="Times New Roman"/>
                <w:color w:val="000000"/>
                <w:lang w:eastAsia="ru-RU"/>
              </w:rPr>
              <w:t>,</w:t>
            </w:r>
            <w:r w:rsidRPr="00DA5EB1">
              <w:rPr>
                <w:rFonts w:eastAsia="Times New Roman"/>
                <w:color w:val="000000"/>
                <w:lang w:eastAsia="ru-RU"/>
              </w:rPr>
              <w:t>05)</w:t>
            </w:r>
          </w:p>
        </w:tc>
      </w:tr>
      <w:tr w:rsidR="00FB1F87" w:rsidRPr="00DA5EB1" w14:paraId="6E9FBC5D" w14:textId="77777777" w:rsidTr="00421CA0">
        <w:trPr>
          <w:trHeight w:val="290"/>
        </w:trPr>
        <w:tc>
          <w:tcPr>
            <w:tcW w:w="2567" w:type="dxa"/>
            <w:vMerge/>
            <w:tcBorders>
              <w:top w:val="nil"/>
              <w:left w:val="single" w:sz="4" w:space="0" w:color="auto"/>
              <w:bottom w:val="single" w:sz="4" w:space="0" w:color="auto"/>
              <w:right w:val="single" w:sz="4" w:space="0" w:color="000000"/>
            </w:tcBorders>
            <w:vAlign w:val="center"/>
            <w:hideMark/>
          </w:tcPr>
          <w:p w14:paraId="4345D2D3" w14:textId="77777777" w:rsidR="00FB1F87" w:rsidRPr="00DA5EB1" w:rsidRDefault="00FB1F87" w:rsidP="00421CA0">
            <w:pPr>
              <w:rPr>
                <w:rFonts w:eastAsia="Times New Roman"/>
                <w:color w:val="000000"/>
                <w:lang w:eastAsia="ru-RU"/>
              </w:rPr>
            </w:pP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68B5AF28" w14:textId="610289B4"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w:t>
            </w:r>
            <w:r w:rsidR="00EE1D8E">
              <w:rPr>
                <w:rFonts w:eastAsia="Times New Roman"/>
                <w:color w:val="000000"/>
                <w:lang w:eastAsia="ru-RU"/>
              </w:rPr>
              <w:t>,</w:t>
            </w:r>
            <w:r w:rsidRPr="00DA5EB1">
              <w:rPr>
                <w:rFonts w:eastAsia="Times New Roman"/>
                <w:color w:val="000000"/>
                <w:lang w:eastAsia="ru-RU"/>
              </w:rPr>
              <w:t>68 (-4</w:t>
            </w:r>
            <w:r w:rsidR="00EE1D8E">
              <w:rPr>
                <w:rFonts w:eastAsia="Times New Roman"/>
                <w:color w:val="000000"/>
                <w:lang w:eastAsia="ru-RU"/>
              </w:rPr>
              <w:t>,</w:t>
            </w:r>
            <w:r w:rsidRPr="00DA5EB1">
              <w:rPr>
                <w:rFonts w:eastAsia="Times New Roman"/>
                <w:color w:val="000000"/>
                <w:lang w:eastAsia="ru-RU"/>
              </w:rPr>
              <w:t>3; 0</w:t>
            </w:r>
            <w:r w:rsidR="00EE1D8E">
              <w:rPr>
                <w:rFonts w:eastAsia="Times New Roman"/>
                <w:color w:val="000000"/>
                <w:lang w:eastAsia="ru-RU"/>
              </w:rPr>
              <w:t>,</w:t>
            </w:r>
            <w:r w:rsidRPr="00DA5EB1">
              <w:rPr>
                <w:rFonts w:eastAsia="Times New Roman"/>
                <w:color w:val="000000"/>
                <w:lang w:eastAsia="ru-RU"/>
              </w:rPr>
              <w:t>9)</w:t>
            </w:r>
          </w:p>
        </w:tc>
        <w:tc>
          <w:tcPr>
            <w:tcW w:w="1701" w:type="dxa"/>
            <w:tcBorders>
              <w:top w:val="nil"/>
              <w:left w:val="nil"/>
              <w:bottom w:val="single" w:sz="4" w:space="0" w:color="auto"/>
              <w:right w:val="single" w:sz="4" w:space="0" w:color="auto"/>
            </w:tcBorders>
            <w:shd w:val="clear" w:color="auto" w:fill="auto"/>
            <w:noWrap/>
            <w:vAlign w:val="center"/>
            <w:hideMark/>
          </w:tcPr>
          <w:p w14:paraId="1D0D8ED0" w14:textId="4D9D2270"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w:t>
            </w:r>
            <w:r w:rsidR="00EE1D8E">
              <w:rPr>
                <w:rFonts w:eastAsia="Times New Roman"/>
                <w:color w:val="000000"/>
                <w:lang w:eastAsia="ru-RU"/>
              </w:rPr>
              <w:t>,</w:t>
            </w:r>
            <w:r w:rsidRPr="00DA5EB1">
              <w:rPr>
                <w:rFonts w:eastAsia="Times New Roman"/>
                <w:color w:val="000000"/>
                <w:lang w:eastAsia="ru-RU"/>
              </w:rPr>
              <w:t>68 (-4</w:t>
            </w:r>
            <w:r w:rsidR="00EE1D8E">
              <w:rPr>
                <w:rFonts w:eastAsia="Times New Roman"/>
                <w:color w:val="000000"/>
                <w:lang w:eastAsia="ru-RU"/>
              </w:rPr>
              <w:t>,</w:t>
            </w:r>
            <w:r w:rsidRPr="00DA5EB1">
              <w:rPr>
                <w:rFonts w:eastAsia="Times New Roman"/>
                <w:color w:val="000000"/>
                <w:lang w:eastAsia="ru-RU"/>
              </w:rPr>
              <w:t>0; 0</w:t>
            </w:r>
            <w:r w:rsidR="00EE1D8E">
              <w:rPr>
                <w:rFonts w:eastAsia="Times New Roman"/>
                <w:color w:val="000000"/>
                <w:lang w:eastAsia="ru-RU"/>
              </w:rPr>
              <w:t>,</w:t>
            </w:r>
            <w:r w:rsidRPr="00DA5EB1">
              <w:rPr>
                <w:rFonts w:eastAsia="Times New Roman"/>
                <w:color w:val="000000"/>
                <w:lang w:eastAsia="ru-RU"/>
              </w:rPr>
              <w:t>7)</w:t>
            </w:r>
          </w:p>
        </w:tc>
        <w:tc>
          <w:tcPr>
            <w:tcW w:w="1701" w:type="dxa"/>
            <w:tcBorders>
              <w:top w:val="nil"/>
              <w:left w:val="nil"/>
              <w:bottom w:val="single" w:sz="4" w:space="0" w:color="auto"/>
              <w:right w:val="single" w:sz="4" w:space="0" w:color="auto"/>
            </w:tcBorders>
            <w:shd w:val="clear" w:color="auto" w:fill="auto"/>
            <w:noWrap/>
            <w:vAlign w:val="center"/>
            <w:hideMark/>
          </w:tcPr>
          <w:p w14:paraId="2C2C9004" w14:textId="7B59589F"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w:t>
            </w:r>
            <w:r w:rsidR="00EE1D8E">
              <w:rPr>
                <w:rFonts w:eastAsia="Times New Roman"/>
                <w:color w:val="000000"/>
                <w:lang w:eastAsia="ru-RU"/>
              </w:rPr>
              <w:t>,</w:t>
            </w:r>
            <w:r w:rsidRPr="00DA5EB1">
              <w:rPr>
                <w:rFonts w:eastAsia="Times New Roman"/>
                <w:color w:val="000000"/>
                <w:lang w:eastAsia="ru-RU"/>
              </w:rPr>
              <w:t>68 (-4</w:t>
            </w:r>
            <w:r w:rsidR="00EE1D8E">
              <w:rPr>
                <w:rFonts w:eastAsia="Times New Roman"/>
                <w:color w:val="000000"/>
                <w:lang w:eastAsia="ru-RU"/>
              </w:rPr>
              <w:t>,</w:t>
            </w:r>
            <w:r w:rsidRPr="00DA5EB1">
              <w:rPr>
                <w:rFonts w:eastAsia="Times New Roman"/>
                <w:color w:val="000000"/>
                <w:lang w:eastAsia="ru-RU"/>
              </w:rPr>
              <w:t>3; 0</w:t>
            </w:r>
            <w:r w:rsidR="00EE1D8E">
              <w:rPr>
                <w:rFonts w:eastAsia="Times New Roman"/>
                <w:color w:val="000000"/>
                <w:lang w:eastAsia="ru-RU"/>
              </w:rPr>
              <w:t>,</w:t>
            </w:r>
            <w:r w:rsidRPr="00DA5EB1">
              <w:rPr>
                <w:rFonts w:eastAsia="Times New Roman"/>
                <w:color w:val="000000"/>
                <w:lang w:eastAsia="ru-RU"/>
              </w:rPr>
              <w:t>9)</w:t>
            </w:r>
          </w:p>
        </w:tc>
        <w:tc>
          <w:tcPr>
            <w:tcW w:w="1855" w:type="dxa"/>
            <w:tcBorders>
              <w:top w:val="nil"/>
              <w:left w:val="nil"/>
              <w:bottom w:val="single" w:sz="4" w:space="0" w:color="auto"/>
              <w:right w:val="single" w:sz="4" w:space="0" w:color="auto"/>
            </w:tcBorders>
            <w:shd w:val="clear" w:color="auto" w:fill="auto"/>
            <w:noWrap/>
            <w:vAlign w:val="center"/>
            <w:hideMark/>
          </w:tcPr>
          <w:p w14:paraId="449DA3BF" w14:textId="474AACF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−−2</w:t>
            </w:r>
            <w:r w:rsidR="00EE1D8E">
              <w:rPr>
                <w:rFonts w:eastAsia="Times New Roman"/>
                <w:color w:val="000000"/>
                <w:lang w:eastAsia="ru-RU"/>
              </w:rPr>
              <w:t>,</w:t>
            </w:r>
            <w:r w:rsidRPr="00DA5EB1">
              <w:rPr>
                <w:rFonts w:eastAsia="Times New Roman"/>
                <w:color w:val="000000"/>
                <w:lang w:eastAsia="ru-RU"/>
              </w:rPr>
              <w:t>78 (-4</w:t>
            </w:r>
            <w:r w:rsidR="00EE1D8E">
              <w:rPr>
                <w:rFonts w:eastAsia="Times New Roman"/>
                <w:color w:val="000000"/>
                <w:lang w:eastAsia="ru-RU"/>
              </w:rPr>
              <w:t>,</w:t>
            </w:r>
            <w:r w:rsidRPr="00DA5EB1">
              <w:rPr>
                <w:rFonts w:eastAsia="Times New Roman"/>
                <w:color w:val="000000"/>
                <w:lang w:eastAsia="ru-RU"/>
              </w:rPr>
              <w:t>6; 1</w:t>
            </w:r>
            <w:r w:rsidR="00EE1D8E">
              <w:rPr>
                <w:rFonts w:eastAsia="Times New Roman"/>
                <w:color w:val="000000"/>
                <w:lang w:eastAsia="ru-RU"/>
              </w:rPr>
              <w:t>,</w:t>
            </w:r>
            <w:r w:rsidRPr="00DA5EB1">
              <w:rPr>
                <w:rFonts w:eastAsia="Times New Roman"/>
                <w:color w:val="000000"/>
                <w:lang w:eastAsia="ru-RU"/>
              </w:rPr>
              <w:t>4)</w:t>
            </w:r>
          </w:p>
        </w:tc>
      </w:tr>
      <w:tr w:rsidR="00FB1F87" w:rsidRPr="00DA5EB1" w14:paraId="7C25BEB2" w14:textId="77777777" w:rsidTr="00421CA0">
        <w:trPr>
          <w:trHeight w:val="290"/>
        </w:trPr>
        <w:tc>
          <w:tcPr>
            <w:tcW w:w="938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A1DCC" w14:textId="77777777" w:rsidR="00FB1F87" w:rsidRPr="00586B91" w:rsidRDefault="00FB1F87" w:rsidP="00421CA0">
            <w:pPr>
              <w:rPr>
                <w:rFonts w:eastAsia="Times New Roman"/>
                <w:i/>
                <w:color w:val="000000"/>
                <w:lang w:eastAsia="ru-RU"/>
              </w:rPr>
            </w:pPr>
            <w:r w:rsidRPr="00586B91">
              <w:rPr>
                <w:rFonts w:eastAsia="Times New Roman"/>
                <w:i/>
                <w:color w:val="000000"/>
                <w:lang w:eastAsia="ru-RU"/>
              </w:rPr>
              <w:t>Иммунологические параметры</w:t>
            </w:r>
          </w:p>
        </w:tc>
      </w:tr>
      <w:tr w:rsidR="00FB1F87" w:rsidRPr="00DA5EB1" w14:paraId="4B6B56C1" w14:textId="77777777" w:rsidTr="00421CA0">
        <w:trPr>
          <w:trHeight w:val="290"/>
        </w:trPr>
        <w:tc>
          <w:tcPr>
            <w:tcW w:w="2567" w:type="dxa"/>
            <w:vMerge w:val="restart"/>
            <w:tcBorders>
              <w:top w:val="nil"/>
              <w:left w:val="single" w:sz="4" w:space="0" w:color="auto"/>
              <w:bottom w:val="single" w:sz="4" w:space="0" w:color="auto"/>
              <w:right w:val="single" w:sz="4" w:space="0" w:color="auto"/>
            </w:tcBorders>
            <w:shd w:val="clear" w:color="auto" w:fill="auto"/>
            <w:vAlign w:val="bottom"/>
            <w:hideMark/>
          </w:tcPr>
          <w:p w14:paraId="4F11BD95" w14:textId="77777777" w:rsidR="00FB1F87" w:rsidRPr="00586B91" w:rsidRDefault="00FB1F87" w:rsidP="00421CA0">
            <w:pPr>
              <w:rPr>
                <w:rFonts w:eastAsia="Times New Roman"/>
                <w:color w:val="000000"/>
                <w:lang w:eastAsia="ru-RU"/>
              </w:rPr>
            </w:pPr>
            <w:r w:rsidRPr="00586B91">
              <w:rPr>
                <w:rFonts w:eastAsia="Times New Roman"/>
                <w:color w:val="000000"/>
                <w:lang w:eastAsia="ru-RU"/>
              </w:rPr>
              <w:t xml:space="preserve">Изменение по сравнению с исходным уровнем числа клеток </w:t>
            </w:r>
            <w:r w:rsidRPr="00586B91">
              <w:rPr>
                <w:rFonts w:eastAsia="Times New Roman"/>
                <w:color w:val="000000"/>
                <w:lang w:val="en-US" w:eastAsia="ru-RU"/>
              </w:rPr>
              <w:t>CD</w:t>
            </w:r>
            <w:r w:rsidRPr="00586B91">
              <w:rPr>
                <w:rFonts w:eastAsia="Times New Roman"/>
                <w:color w:val="000000"/>
                <w:lang w:eastAsia="ru-RU"/>
              </w:rPr>
              <w:t>4 (</w:t>
            </w:r>
            <w:r w:rsidRPr="00586B91">
              <w:rPr>
                <w:rFonts w:eastAsia="Times New Roman"/>
                <w:color w:val="000000"/>
                <w:lang w:val="en-US" w:eastAsia="ru-RU"/>
              </w:rPr>
              <w:t>x</w:t>
            </w:r>
            <w:r w:rsidRPr="00586B91">
              <w:rPr>
                <w:rFonts w:eastAsia="Times New Roman"/>
                <w:color w:val="000000"/>
                <w:lang w:eastAsia="ru-RU"/>
              </w:rPr>
              <w:t xml:space="preserve"> 106 клеток/л), среднего значения (</w:t>
            </w:r>
            <w:r w:rsidRPr="00586B91">
              <w:rPr>
                <w:rFonts w:eastAsia="Times New Roman"/>
                <w:color w:val="000000"/>
                <w:lang w:val="en-US" w:eastAsia="ru-RU"/>
              </w:rPr>
              <w:t>SE</w:t>
            </w:r>
            <w:r w:rsidRPr="00586B91">
              <w:rPr>
                <w:rFonts w:eastAsia="Times New Roman"/>
                <w:color w:val="000000"/>
                <w:lang w:eastAsia="ru-RU"/>
              </w:rPr>
              <w:t>) и медианы (диапазон)</w:t>
            </w:r>
          </w:p>
        </w:tc>
        <w:tc>
          <w:tcPr>
            <w:tcW w:w="1559" w:type="dxa"/>
            <w:tcBorders>
              <w:top w:val="single" w:sz="4" w:space="0" w:color="auto"/>
              <w:left w:val="single" w:sz="4" w:space="0" w:color="auto"/>
              <w:bottom w:val="nil"/>
              <w:right w:val="single" w:sz="4" w:space="0" w:color="auto"/>
            </w:tcBorders>
            <w:shd w:val="clear" w:color="auto" w:fill="auto"/>
            <w:noWrap/>
            <w:vAlign w:val="center"/>
            <w:hideMark/>
          </w:tcPr>
          <w:p w14:paraId="76A2D95D" w14:textId="51DEC562"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125 (33</w:t>
            </w:r>
            <w:r w:rsidR="00EE1D8E">
              <w:rPr>
                <w:rFonts w:eastAsia="Times New Roman"/>
                <w:color w:val="000000"/>
                <w:lang w:eastAsia="ru-RU"/>
              </w:rPr>
              <w:t>,</w:t>
            </w:r>
            <w:r w:rsidRPr="00DA5EB1">
              <w:rPr>
                <w:rFonts w:eastAsia="Times New Roman"/>
                <w:color w:val="000000"/>
                <w:lang w:eastAsia="ru-RU"/>
              </w:rPr>
              <w:t>0)</w:t>
            </w:r>
          </w:p>
        </w:tc>
        <w:tc>
          <w:tcPr>
            <w:tcW w:w="1701" w:type="dxa"/>
            <w:tcBorders>
              <w:top w:val="single" w:sz="4" w:space="0" w:color="auto"/>
              <w:left w:val="nil"/>
              <w:bottom w:val="nil"/>
              <w:right w:val="single" w:sz="4" w:space="0" w:color="auto"/>
            </w:tcBorders>
            <w:shd w:val="clear" w:color="auto" w:fill="auto"/>
            <w:noWrap/>
            <w:vAlign w:val="center"/>
            <w:hideMark/>
          </w:tcPr>
          <w:p w14:paraId="6079B5A0" w14:textId="451EAF1A"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104 (17</w:t>
            </w:r>
            <w:r w:rsidR="00EE1D8E">
              <w:rPr>
                <w:rFonts w:eastAsia="Times New Roman"/>
                <w:color w:val="000000"/>
                <w:lang w:eastAsia="ru-RU"/>
              </w:rPr>
              <w:t>,</w:t>
            </w:r>
            <w:r w:rsidRPr="00DA5EB1">
              <w:rPr>
                <w:rFonts w:eastAsia="Times New Roman"/>
                <w:color w:val="000000"/>
                <w:lang w:eastAsia="ru-RU"/>
              </w:rPr>
              <w:t>5)</w:t>
            </w:r>
          </w:p>
        </w:tc>
        <w:tc>
          <w:tcPr>
            <w:tcW w:w="1701" w:type="dxa"/>
            <w:tcBorders>
              <w:top w:val="single" w:sz="4" w:space="0" w:color="auto"/>
              <w:left w:val="nil"/>
              <w:bottom w:val="nil"/>
              <w:right w:val="single" w:sz="4" w:space="0" w:color="auto"/>
            </w:tcBorders>
            <w:shd w:val="clear" w:color="auto" w:fill="auto"/>
            <w:noWrap/>
            <w:vAlign w:val="center"/>
            <w:hideMark/>
          </w:tcPr>
          <w:p w14:paraId="3839AA3F" w14:textId="69B4CD7B"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112 (16</w:t>
            </w:r>
            <w:r w:rsidR="00EE1D8E">
              <w:rPr>
                <w:rFonts w:eastAsia="Times New Roman"/>
                <w:color w:val="000000"/>
                <w:lang w:eastAsia="ru-RU"/>
              </w:rPr>
              <w:t>,</w:t>
            </w:r>
            <w:r w:rsidRPr="00DA5EB1">
              <w:rPr>
                <w:rFonts w:eastAsia="Times New Roman"/>
                <w:color w:val="000000"/>
                <w:lang w:eastAsia="ru-RU"/>
              </w:rPr>
              <w:t>9)</w:t>
            </w:r>
          </w:p>
        </w:tc>
        <w:tc>
          <w:tcPr>
            <w:tcW w:w="1855" w:type="dxa"/>
            <w:tcBorders>
              <w:top w:val="single" w:sz="4" w:space="0" w:color="auto"/>
              <w:left w:val="nil"/>
              <w:bottom w:val="nil"/>
              <w:right w:val="single" w:sz="4" w:space="0" w:color="auto"/>
            </w:tcBorders>
            <w:shd w:val="clear" w:color="auto" w:fill="auto"/>
            <w:noWrap/>
            <w:vAlign w:val="center"/>
            <w:hideMark/>
          </w:tcPr>
          <w:p w14:paraId="1744F4AD" w14:textId="0A25218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83</w:t>
            </w:r>
            <w:r w:rsidR="00EE1D8E">
              <w:rPr>
                <w:rFonts w:eastAsia="Times New Roman"/>
                <w:color w:val="000000"/>
                <w:lang w:eastAsia="ru-RU"/>
              </w:rPr>
              <w:t>,</w:t>
            </w:r>
            <w:r w:rsidRPr="00DA5EB1">
              <w:rPr>
                <w:rFonts w:eastAsia="Times New Roman"/>
                <w:color w:val="000000"/>
                <w:lang w:eastAsia="ru-RU"/>
              </w:rPr>
              <w:t>5 (3</w:t>
            </w:r>
            <w:r w:rsidR="00EE1D8E">
              <w:rPr>
                <w:rFonts w:eastAsia="Times New Roman"/>
                <w:color w:val="000000"/>
                <w:lang w:eastAsia="ru-RU"/>
              </w:rPr>
              <w:t>,</w:t>
            </w:r>
            <w:r w:rsidRPr="00DA5EB1">
              <w:rPr>
                <w:rFonts w:eastAsia="Times New Roman"/>
                <w:color w:val="000000"/>
                <w:lang w:eastAsia="ru-RU"/>
              </w:rPr>
              <w:t>64)</w:t>
            </w:r>
          </w:p>
        </w:tc>
      </w:tr>
      <w:tr w:rsidR="00FB1F87" w:rsidRPr="00DA5EB1" w14:paraId="1D31DA4B" w14:textId="77777777" w:rsidTr="00421CA0">
        <w:trPr>
          <w:trHeight w:val="290"/>
        </w:trPr>
        <w:tc>
          <w:tcPr>
            <w:tcW w:w="2567" w:type="dxa"/>
            <w:vMerge/>
            <w:tcBorders>
              <w:top w:val="nil"/>
              <w:left w:val="single" w:sz="4" w:space="0" w:color="auto"/>
              <w:bottom w:val="single" w:sz="4" w:space="0" w:color="auto"/>
              <w:right w:val="single" w:sz="4" w:space="0" w:color="auto"/>
            </w:tcBorders>
            <w:vAlign w:val="center"/>
            <w:hideMark/>
          </w:tcPr>
          <w:p w14:paraId="6FEC1602" w14:textId="77777777" w:rsidR="00FB1F87" w:rsidRPr="00DA5EB1" w:rsidRDefault="00FB1F87" w:rsidP="00421CA0">
            <w:pPr>
              <w:rPr>
                <w:rFonts w:eastAsia="Times New Roman"/>
                <w:color w:val="000000"/>
                <w:lang w:eastAsia="ru-RU"/>
              </w:rPr>
            </w:pP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4F153A25"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124 (-410; 718)</w:t>
            </w:r>
          </w:p>
        </w:tc>
        <w:tc>
          <w:tcPr>
            <w:tcW w:w="1701" w:type="dxa"/>
            <w:tcBorders>
              <w:top w:val="nil"/>
              <w:left w:val="nil"/>
              <w:bottom w:val="single" w:sz="4" w:space="0" w:color="auto"/>
              <w:right w:val="single" w:sz="4" w:space="0" w:color="auto"/>
            </w:tcBorders>
            <w:shd w:val="clear" w:color="auto" w:fill="auto"/>
            <w:noWrap/>
            <w:vAlign w:val="center"/>
            <w:hideMark/>
          </w:tcPr>
          <w:p w14:paraId="7C647B2C"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81 (-243; 472)</w:t>
            </w:r>
          </w:p>
        </w:tc>
        <w:tc>
          <w:tcPr>
            <w:tcW w:w="1701" w:type="dxa"/>
            <w:tcBorders>
              <w:top w:val="nil"/>
              <w:left w:val="nil"/>
              <w:bottom w:val="single" w:sz="4" w:space="0" w:color="auto"/>
              <w:right w:val="single" w:sz="4" w:space="0" w:color="auto"/>
            </w:tcBorders>
            <w:shd w:val="clear" w:color="auto" w:fill="auto"/>
            <w:noWrap/>
            <w:vAlign w:val="center"/>
            <w:hideMark/>
          </w:tcPr>
          <w:p w14:paraId="35D6501B"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108 (-410; 718)</w:t>
            </w:r>
          </w:p>
        </w:tc>
        <w:tc>
          <w:tcPr>
            <w:tcW w:w="1855" w:type="dxa"/>
            <w:tcBorders>
              <w:top w:val="nil"/>
              <w:left w:val="nil"/>
              <w:bottom w:val="single" w:sz="4" w:space="0" w:color="auto"/>
              <w:right w:val="single" w:sz="4" w:space="0" w:color="auto"/>
            </w:tcBorders>
            <w:shd w:val="clear" w:color="auto" w:fill="auto"/>
            <w:noWrap/>
            <w:vAlign w:val="center"/>
            <w:hideMark/>
          </w:tcPr>
          <w:p w14:paraId="79CBDEDE" w14:textId="572EB329" w:rsidR="00FB1F87" w:rsidRPr="00DA5EB1" w:rsidRDefault="00FB1F87" w:rsidP="00421CA0">
            <w:pPr>
              <w:jc w:val="center"/>
              <w:rPr>
                <w:rFonts w:eastAsia="Times New Roman"/>
                <w:color w:val="000000"/>
                <w:lang w:eastAsia="ru-RU"/>
              </w:rPr>
            </w:pPr>
            <w:r w:rsidRPr="00DA5EB1">
              <w:rPr>
                <w:rFonts w:eastAsia="Times New Roman"/>
                <w:color w:val="000000"/>
                <w:lang w:eastAsia="ru-RU"/>
              </w:rPr>
              <w:t>77</w:t>
            </w:r>
            <w:r w:rsidR="00EE1D8E">
              <w:rPr>
                <w:rFonts w:eastAsia="Times New Roman"/>
                <w:color w:val="000000"/>
                <w:lang w:eastAsia="ru-RU"/>
              </w:rPr>
              <w:t>,</w:t>
            </w:r>
            <w:r w:rsidRPr="00DA5EB1">
              <w:rPr>
                <w:rFonts w:eastAsia="Times New Roman"/>
                <w:color w:val="000000"/>
                <w:lang w:eastAsia="ru-RU"/>
              </w:rPr>
              <w:t>5 (-331; 517)</w:t>
            </w:r>
          </w:p>
        </w:tc>
      </w:tr>
      <w:tr w:rsidR="00FB1F87" w:rsidRPr="00DA5EB1" w14:paraId="1FA8BB37" w14:textId="77777777" w:rsidTr="00421CA0">
        <w:trPr>
          <w:trHeight w:val="290"/>
        </w:trPr>
        <w:tc>
          <w:tcPr>
            <w:tcW w:w="2567" w:type="dxa"/>
            <w:vMerge w:val="restart"/>
            <w:tcBorders>
              <w:top w:val="nil"/>
              <w:left w:val="single" w:sz="4" w:space="0" w:color="auto"/>
              <w:bottom w:val="single" w:sz="4" w:space="0" w:color="auto"/>
              <w:right w:val="single" w:sz="4" w:space="0" w:color="auto"/>
            </w:tcBorders>
            <w:shd w:val="clear" w:color="auto" w:fill="auto"/>
            <w:vAlign w:val="bottom"/>
            <w:hideMark/>
          </w:tcPr>
          <w:p w14:paraId="1C903B9A" w14:textId="77777777" w:rsidR="00FB1F87" w:rsidRPr="00586B91" w:rsidRDefault="00FB1F87" w:rsidP="00421CA0">
            <w:pPr>
              <w:rPr>
                <w:rFonts w:eastAsia="Times New Roman"/>
                <w:color w:val="000000"/>
                <w:lang w:eastAsia="ru-RU"/>
              </w:rPr>
            </w:pPr>
            <w:r w:rsidRPr="00586B91">
              <w:rPr>
                <w:rFonts w:eastAsia="Times New Roman"/>
                <w:color w:val="000000"/>
                <w:lang w:eastAsia="ru-RU"/>
              </w:rPr>
              <w:t xml:space="preserve">Изменение процентного содержания </w:t>
            </w:r>
            <w:r w:rsidRPr="00586B91">
              <w:rPr>
                <w:rFonts w:eastAsia="Times New Roman"/>
                <w:color w:val="000000"/>
                <w:lang w:val="en-US" w:eastAsia="ru-RU"/>
              </w:rPr>
              <w:t>CD</w:t>
            </w:r>
            <w:r w:rsidRPr="00586B91">
              <w:rPr>
                <w:rFonts w:eastAsia="Times New Roman"/>
                <w:color w:val="000000"/>
                <w:lang w:eastAsia="ru-RU"/>
              </w:rPr>
              <w:t>4 по сравнению с исходным уровнем, медиана (диапазон)</w:t>
            </w:r>
          </w:p>
        </w:tc>
        <w:tc>
          <w:tcPr>
            <w:tcW w:w="1559" w:type="dxa"/>
            <w:tcBorders>
              <w:top w:val="nil"/>
              <w:left w:val="nil"/>
              <w:bottom w:val="nil"/>
              <w:right w:val="single" w:sz="4" w:space="0" w:color="auto"/>
            </w:tcBorders>
            <w:shd w:val="clear" w:color="auto" w:fill="auto"/>
            <w:noWrap/>
            <w:vAlign w:val="center"/>
            <w:hideMark/>
          </w:tcPr>
          <w:p w14:paraId="644B39F1"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4%</w:t>
            </w:r>
          </w:p>
        </w:tc>
        <w:tc>
          <w:tcPr>
            <w:tcW w:w="1701" w:type="dxa"/>
            <w:tcBorders>
              <w:top w:val="nil"/>
              <w:left w:val="nil"/>
              <w:bottom w:val="nil"/>
              <w:right w:val="single" w:sz="4" w:space="0" w:color="auto"/>
            </w:tcBorders>
            <w:shd w:val="clear" w:color="auto" w:fill="auto"/>
            <w:noWrap/>
            <w:vAlign w:val="center"/>
            <w:hideMark/>
          </w:tcPr>
          <w:p w14:paraId="34FAB8D4"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3%</w:t>
            </w:r>
          </w:p>
        </w:tc>
        <w:tc>
          <w:tcPr>
            <w:tcW w:w="1701" w:type="dxa"/>
            <w:tcBorders>
              <w:top w:val="nil"/>
              <w:left w:val="nil"/>
              <w:bottom w:val="nil"/>
              <w:right w:val="single" w:sz="4" w:space="0" w:color="auto"/>
            </w:tcBorders>
            <w:shd w:val="clear" w:color="auto" w:fill="auto"/>
            <w:noWrap/>
            <w:vAlign w:val="center"/>
            <w:hideMark/>
          </w:tcPr>
          <w:p w14:paraId="11917489"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4%</w:t>
            </w:r>
          </w:p>
        </w:tc>
        <w:tc>
          <w:tcPr>
            <w:tcW w:w="1855" w:type="dxa"/>
            <w:tcBorders>
              <w:top w:val="nil"/>
              <w:left w:val="nil"/>
              <w:bottom w:val="nil"/>
              <w:right w:val="single" w:sz="4" w:space="0" w:color="auto"/>
            </w:tcBorders>
            <w:shd w:val="clear" w:color="auto" w:fill="auto"/>
            <w:noWrap/>
            <w:vAlign w:val="center"/>
            <w:hideMark/>
          </w:tcPr>
          <w:p w14:paraId="1430653E"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3%</w:t>
            </w:r>
          </w:p>
        </w:tc>
      </w:tr>
      <w:tr w:rsidR="00FB1F87" w:rsidRPr="00DA5EB1" w14:paraId="1E24F0B9" w14:textId="77777777" w:rsidTr="00421CA0">
        <w:trPr>
          <w:trHeight w:val="290"/>
        </w:trPr>
        <w:tc>
          <w:tcPr>
            <w:tcW w:w="2567" w:type="dxa"/>
            <w:vMerge/>
            <w:tcBorders>
              <w:top w:val="nil"/>
              <w:left w:val="single" w:sz="4" w:space="0" w:color="auto"/>
              <w:bottom w:val="single" w:sz="4" w:space="0" w:color="auto"/>
              <w:right w:val="single" w:sz="4" w:space="0" w:color="auto"/>
            </w:tcBorders>
            <w:vAlign w:val="center"/>
            <w:hideMark/>
          </w:tcPr>
          <w:p w14:paraId="2722EF98" w14:textId="77777777" w:rsidR="00FB1F87" w:rsidRPr="00DA5EB1" w:rsidRDefault="00FB1F87" w:rsidP="00421CA0">
            <w:pPr>
              <w:rPr>
                <w:rFonts w:eastAsia="Times New Roman"/>
                <w:color w:val="000000"/>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24E600E"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(-9; 20)</w:t>
            </w:r>
          </w:p>
        </w:tc>
        <w:tc>
          <w:tcPr>
            <w:tcW w:w="1701" w:type="dxa"/>
            <w:tcBorders>
              <w:top w:val="nil"/>
              <w:left w:val="nil"/>
              <w:bottom w:val="single" w:sz="4" w:space="0" w:color="auto"/>
              <w:right w:val="single" w:sz="4" w:space="0" w:color="auto"/>
            </w:tcBorders>
            <w:shd w:val="clear" w:color="auto" w:fill="auto"/>
            <w:noWrap/>
            <w:vAlign w:val="center"/>
            <w:hideMark/>
          </w:tcPr>
          <w:p w14:paraId="13C7B7A7"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(-4; 14)</w:t>
            </w:r>
          </w:p>
        </w:tc>
        <w:tc>
          <w:tcPr>
            <w:tcW w:w="1701" w:type="dxa"/>
            <w:tcBorders>
              <w:top w:val="nil"/>
              <w:left w:val="nil"/>
              <w:bottom w:val="single" w:sz="4" w:space="0" w:color="auto"/>
              <w:right w:val="single" w:sz="4" w:space="0" w:color="auto"/>
            </w:tcBorders>
            <w:shd w:val="clear" w:color="auto" w:fill="auto"/>
            <w:noWrap/>
            <w:vAlign w:val="center"/>
            <w:hideMark/>
          </w:tcPr>
          <w:p w14:paraId="6FDD4ED8"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(-9; 20)</w:t>
            </w:r>
          </w:p>
        </w:tc>
        <w:tc>
          <w:tcPr>
            <w:tcW w:w="1855" w:type="dxa"/>
            <w:tcBorders>
              <w:top w:val="nil"/>
              <w:left w:val="nil"/>
              <w:bottom w:val="single" w:sz="4" w:space="0" w:color="auto"/>
              <w:right w:val="single" w:sz="4" w:space="0" w:color="auto"/>
            </w:tcBorders>
            <w:shd w:val="clear" w:color="auto" w:fill="auto"/>
            <w:noWrap/>
            <w:vAlign w:val="center"/>
            <w:hideMark/>
          </w:tcPr>
          <w:p w14:paraId="1826A8C3" w14:textId="77777777" w:rsidR="00FB1F87" w:rsidRPr="00DA5EB1" w:rsidRDefault="00FB1F87" w:rsidP="00421CA0">
            <w:pPr>
              <w:jc w:val="center"/>
              <w:rPr>
                <w:rFonts w:eastAsia="Times New Roman"/>
                <w:color w:val="000000"/>
                <w:lang w:eastAsia="ru-RU"/>
              </w:rPr>
            </w:pPr>
            <w:r w:rsidRPr="00DA5EB1">
              <w:rPr>
                <w:rFonts w:eastAsia="Times New Roman"/>
                <w:color w:val="000000"/>
                <w:lang w:eastAsia="ru-RU"/>
              </w:rPr>
              <w:t>(-7; 23)</w:t>
            </w:r>
          </w:p>
        </w:tc>
      </w:tr>
      <w:tr w:rsidR="00FB1F87" w:rsidRPr="00DA5EB1" w14:paraId="58393F73" w14:textId="77777777" w:rsidTr="00421CA0">
        <w:trPr>
          <w:trHeight w:val="475"/>
        </w:trPr>
        <w:tc>
          <w:tcPr>
            <w:tcW w:w="938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39F4F" w14:textId="77777777" w:rsidR="00FB1F87" w:rsidRPr="00DA5EB1" w:rsidRDefault="00FB1F87" w:rsidP="00421CA0">
            <w:pPr>
              <w:pBdr>
                <w:bottom w:val="single" w:sz="4" w:space="1" w:color="auto"/>
              </w:pBdr>
              <w:rPr>
                <w:rFonts w:eastAsia="Times New Roman"/>
                <w:b/>
                <w:bCs/>
                <w:color w:val="000000"/>
                <w:sz w:val="20"/>
                <w:szCs w:val="20"/>
                <w:lang w:eastAsia="ru-RU"/>
              </w:rPr>
            </w:pPr>
            <w:r w:rsidRPr="00DA5EB1">
              <w:rPr>
                <w:rFonts w:eastAsia="Times New Roman"/>
                <w:b/>
                <w:bCs/>
                <w:color w:val="000000"/>
                <w:sz w:val="20"/>
                <w:szCs w:val="20"/>
                <w:lang w:eastAsia="ru-RU"/>
              </w:rPr>
              <w:t>Примечание:</w:t>
            </w:r>
          </w:p>
          <w:p w14:paraId="2BE1999E" w14:textId="77777777" w:rsidR="00FB1F87" w:rsidRDefault="00FB1F87" w:rsidP="00421CA0">
            <w:pPr>
              <w:pBdr>
                <w:bottom w:val="single" w:sz="4" w:space="1" w:color="auto"/>
              </w:pBdr>
              <w:jc w:val="left"/>
              <w:rPr>
                <w:rFonts w:eastAsia="Times New Roman"/>
                <w:color w:val="000000"/>
                <w:sz w:val="20"/>
                <w:szCs w:val="20"/>
                <w:lang w:eastAsia="ru-RU"/>
              </w:rPr>
            </w:pPr>
            <w:r w:rsidRPr="00DA5EB1">
              <w:rPr>
                <w:rFonts w:eastAsia="Times New Roman"/>
                <w:color w:val="000000"/>
                <w:sz w:val="20"/>
                <w:szCs w:val="20"/>
                <w:lang w:val="en-US" w:eastAsia="ru-RU"/>
              </w:rPr>
              <w:t>N</w:t>
            </w:r>
            <w:r w:rsidRPr="00586B91">
              <w:rPr>
                <w:rFonts w:eastAsia="Times New Roman"/>
                <w:color w:val="000000"/>
                <w:sz w:val="20"/>
                <w:szCs w:val="20"/>
                <w:lang w:eastAsia="ru-RU"/>
              </w:rPr>
              <w:t xml:space="preserve"> = </w:t>
            </w:r>
            <w:r>
              <w:rPr>
                <w:rFonts w:eastAsia="Times New Roman"/>
                <w:color w:val="000000"/>
                <w:sz w:val="20"/>
                <w:szCs w:val="20"/>
                <w:lang w:eastAsia="ru-RU"/>
              </w:rPr>
              <w:t>количество</w:t>
            </w:r>
            <w:r w:rsidRPr="00586B91">
              <w:rPr>
                <w:rFonts w:eastAsia="Times New Roman"/>
                <w:color w:val="000000"/>
                <w:sz w:val="20"/>
                <w:szCs w:val="20"/>
                <w:lang w:eastAsia="ru-RU"/>
              </w:rPr>
              <w:t xml:space="preserve"> </w:t>
            </w:r>
            <w:r>
              <w:rPr>
                <w:rFonts w:eastAsia="Times New Roman"/>
                <w:color w:val="000000"/>
                <w:sz w:val="20"/>
                <w:szCs w:val="20"/>
                <w:lang w:eastAsia="ru-RU"/>
              </w:rPr>
              <w:t>субъектов</w:t>
            </w:r>
            <w:r w:rsidRPr="00586B91">
              <w:rPr>
                <w:rFonts w:eastAsia="Times New Roman"/>
                <w:color w:val="000000"/>
                <w:sz w:val="20"/>
                <w:szCs w:val="20"/>
                <w:lang w:eastAsia="ru-RU"/>
              </w:rPr>
              <w:t xml:space="preserve">; </w:t>
            </w:r>
            <w:r>
              <w:rPr>
                <w:rFonts w:eastAsia="Times New Roman"/>
                <w:color w:val="000000"/>
                <w:sz w:val="20"/>
                <w:szCs w:val="20"/>
                <w:lang w:val="en-US" w:eastAsia="ru-RU"/>
              </w:rPr>
              <w:t>n</w:t>
            </w:r>
            <w:r w:rsidRPr="00586B91">
              <w:rPr>
                <w:rFonts w:eastAsia="Times New Roman"/>
                <w:color w:val="000000"/>
                <w:sz w:val="20"/>
                <w:szCs w:val="20"/>
                <w:lang w:eastAsia="ru-RU"/>
              </w:rPr>
              <w:t xml:space="preserve"> =</w:t>
            </w:r>
            <w:r>
              <w:rPr>
                <w:rFonts w:eastAsia="Times New Roman"/>
                <w:color w:val="000000"/>
                <w:sz w:val="20"/>
                <w:szCs w:val="20"/>
                <w:lang w:eastAsia="ru-RU"/>
              </w:rPr>
              <w:t>количество наблюдений</w:t>
            </w:r>
            <w:r w:rsidRPr="00586B91">
              <w:rPr>
                <w:rFonts w:eastAsia="Times New Roman"/>
                <w:color w:val="000000"/>
                <w:sz w:val="20"/>
                <w:szCs w:val="20"/>
                <w:lang w:eastAsia="ru-RU"/>
              </w:rPr>
              <w:t>.</w:t>
            </w:r>
          </w:p>
          <w:p w14:paraId="797352B7" w14:textId="4934B586" w:rsidR="00EE1D8E" w:rsidRPr="00EE1D8E" w:rsidRDefault="00EE1D8E" w:rsidP="00421CA0">
            <w:pPr>
              <w:pBdr>
                <w:bottom w:val="single" w:sz="4" w:space="1" w:color="auto"/>
              </w:pBdr>
              <w:jc w:val="left"/>
              <w:rPr>
                <w:rFonts w:eastAsia="Times New Roman"/>
                <w:b/>
                <w:bCs/>
                <w:color w:val="000000"/>
                <w:sz w:val="20"/>
                <w:szCs w:val="20"/>
                <w:lang w:eastAsia="ru-RU"/>
              </w:rPr>
            </w:pPr>
            <w:r>
              <w:rPr>
                <w:rFonts w:eastAsia="Times New Roman"/>
                <w:color w:val="000000"/>
                <w:sz w:val="20"/>
                <w:szCs w:val="20"/>
                <w:lang w:val="en-US" w:eastAsia="ru-RU"/>
              </w:rPr>
              <w:t>NC</w:t>
            </w:r>
            <w:r w:rsidRPr="008B0B82">
              <w:rPr>
                <w:rFonts w:eastAsia="Times New Roman"/>
                <w:color w:val="000000"/>
                <w:sz w:val="20"/>
                <w:szCs w:val="20"/>
                <w:lang w:eastAsia="ru-RU"/>
              </w:rPr>
              <w:t>=</w:t>
            </w:r>
            <w:r>
              <w:rPr>
                <w:rFonts w:eastAsia="Times New Roman"/>
                <w:color w:val="000000"/>
                <w:sz w:val="20"/>
                <w:szCs w:val="20"/>
                <w:lang w:val="en-US" w:eastAsia="ru-RU"/>
              </w:rPr>
              <w:t>F</w:t>
            </w:r>
            <w:r w:rsidRPr="008B0B82">
              <w:rPr>
                <w:rFonts w:eastAsia="Times New Roman"/>
                <w:color w:val="000000"/>
                <w:sz w:val="20"/>
                <w:szCs w:val="20"/>
                <w:lang w:eastAsia="ru-RU"/>
              </w:rPr>
              <w:t xml:space="preserve"> </w:t>
            </w:r>
            <w:r>
              <w:rPr>
                <w:rFonts w:eastAsia="Times New Roman"/>
                <w:color w:val="000000"/>
                <w:sz w:val="20"/>
                <w:szCs w:val="20"/>
                <w:lang w:eastAsia="ru-RU"/>
              </w:rPr>
              <w:t>–</w:t>
            </w:r>
            <w:r w:rsidRPr="008B0B82">
              <w:rPr>
                <w:rFonts w:eastAsia="Times New Roman"/>
                <w:color w:val="000000"/>
                <w:sz w:val="20"/>
                <w:szCs w:val="20"/>
                <w:lang w:eastAsia="ru-RU"/>
              </w:rPr>
              <w:t xml:space="preserve"> </w:t>
            </w:r>
            <w:r>
              <w:rPr>
                <w:rFonts w:eastAsia="Times New Roman"/>
                <w:color w:val="000000"/>
                <w:sz w:val="20"/>
                <w:szCs w:val="20"/>
                <w:lang w:eastAsia="ru-RU"/>
              </w:rPr>
              <w:t>подход, при котором н</w:t>
            </w:r>
            <w:r w:rsidRPr="008B1480">
              <w:rPr>
                <w:rFonts w:eastAsia="Times New Roman"/>
                <w:color w:val="000000"/>
                <w:sz w:val="20"/>
                <w:szCs w:val="20"/>
                <w:lang w:eastAsia="ru-RU"/>
              </w:rPr>
              <w:t xml:space="preserve">езавершение - это </w:t>
            </w:r>
            <w:r>
              <w:rPr>
                <w:rFonts w:eastAsia="Times New Roman"/>
                <w:color w:val="000000"/>
                <w:sz w:val="20"/>
                <w:szCs w:val="20"/>
                <w:lang w:eastAsia="ru-RU"/>
              </w:rPr>
              <w:t>исключение.</w:t>
            </w:r>
          </w:p>
        </w:tc>
      </w:tr>
    </w:tbl>
    <w:p w14:paraId="2743FA1E" w14:textId="77777777" w:rsidR="00FB1F87" w:rsidRDefault="00FB1F87" w:rsidP="00FB1F87">
      <w:pPr>
        <w:ind w:firstLine="709"/>
        <w:contextualSpacing/>
      </w:pPr>
    </w:p>
    <w:p w14:paraId="75DF147B" w14:textId="77777777" w:rsidR="00FB1F87" w:rsidRPr="00766450" w:rsidRDefault="00FB1F87" w:rsidP="00FB1F87">
      <w:pPr>
        <w:ind w:firstLine="709"/>
        <w:contextualSpacing/>
      </w:pPr>
      <w:r w:rsidRPr="00D55DA3">
        <w:t>На 48-й неделе 53,5% всех педиатрических пациентов имели подтвержденную неопределяемую вирусную нагрузку &lt; 50 копий РНК ВИЧ-1/мл в соответствии с алгоритмом TLOVR. Доля пациентов детского возраста с &lt; 400 копий РНК ВИЧ-1/мл составила 63,4%. Среднее изменение РНК ВИЧ-1 в плазме от исходного уровня до 48-й недели составило -1,53 log10 копий/мл, а среднее увеличение числа клеток CD4 по сравнению с исходным уровнем составило 156 x 10</w:t>
      </w:r>
      <w:r w:rsidRPr="008B0B82">
        <w:rPr>
          <w:vertAlign w:val="superscript"/>
        </w:rPr>
        <w:t>6</w:t>
      </w:r>
      <w:r w:rsidRPr="00D55DA3">
        <w:t xml:space="preserve"> клеток/л.</w:t>
      </w:r>
      <w:r w:rsidRPr="00DF34DD">
        <w:t xml:space="preserve"> [</w:t>
      </w:r>
      <w:r w:rsidRPr="00766450">
        <w:t>80].</w:t>
      </w:r>
    </w:p>
    <w:p w14:paraId="4016F30E" w14:textId="4E45DBEB" w:rsidR="00FB1F87" w:rsidRPr="00766450" w:rsidRDefault="00FB1F87" w:rsidP="00EE1D8E">
      <w:pPr>
        <w:pStyle w:val="affb"/>
        <w:spacing w:before="0" w:after="0" w:line="240" w:lineRule="auto"/>
        <w:rPr>
          <w:u w:val="single"/>
        </w:rPr>
      </w:pPr>
    </w:p>
    <w:p w14:paraId="41D199CE" w14:textId="032386F4" w:rsidR="00F338E7" w:rsidRPr="00A76175" w:rsidRDefault="00EE1D8E" w:rsidP="00EE1D8E">
      <w:pPr>
        <w:pStyle w:val="affb"/>
        <w:spacing w:before="0" w:after="0" w:line="240" w:lineRule="auto"/>
        <w:rPr>
          <w:i/>
        </w:rPr>
      </w:pPr>
      <w:r w:rsidRPr="00A76175">
        <w:rPr>
          <w:i/>
        </w:rPr>
        <w:t>Педиатрические пациенты в возрасте от 1 до 6 лет невключительно</w:t>
      </w:r>
    </w:p>
    <w:p w14:paraId="4B618E32" w14:textId="057786D5" w:rsidR="00B244C2" w:rsidRPr="00F61FFB" w:rsidRDefault="00B244C2">
      <w:pPr>
        <w:ind w:firstLine="709"/>
        <w:contextualSpacing/>
      </w:pPr>
      <w:r w:rsidRPr="00586B91">
        <w:rPr>
          <w:lang w:val="en-US"/>
        </w:rPr>
        <w:t>TMC</w:t>
      </w:r>
      <w:r w:rsidRPr="00586B91">
        <w:t>125-</w:t>
      </w:r>
      <w:r w:rsidRPr="00586B91">
        <w:rPr>
          <w:lang w:val="en-US"/>
        </w:rPr>
        <w:t>C</w:t>
      </w:r>
      <w:r w:rsidRPr="00586B91">
        <w:t>234/</w:t>
      </w:r>
      <w:r w:rsidRPr="00586B91">
        <w:rPr>
          <w:lang w:val="en-US"/>
        </w:rPr>
        <w:t>IMPAACT</w:t>
      </w:r>
      <w:r w:rsidRPr="00586B91">
        <w:t xml:space="preserve"> </w:t>
      </w:r>
      <w:r w:rsidRPr="00586B91">
        <w:rPr>
          <w:lang w:val="en-US"/>
        </w:rPr>
        <w:t>P</w:t>
      </w:r>
      <w:r w:rsidRPr="00586B91">
        <w:t xml:space="preserve">1090 — это исследование фазы </w:t>
      </w:r>
      <w:r w:rsidRPr="00586B91">
        <w:rPr>
          <w:lang w:val="en-US"/>
        </w:rPr>
        <w:t>I</w:t>
      </w:r>
      <w:r w:rsidRPr="00586B91">
        <w:t>/</w:t>
      </w:r>
      <w:r w:rsidRPr="00586B91">
        <w:rPr>
          <w:lang w:val="en-US"/>
        </w:rPr>
        <w:t>II</w:t>
      </w:r>
      <w:r w:rsidRPr="00586B91">
        <w:t xml:space="preserve">, в котором </w:t>
      </w:r>
      <w:r w:rsidR="00546C23" w:rsidRPr="00EF1D99">
        <w:t>оценива</w:t>
      </w:r>
      <w:r w:rsidR="00546C23">
        <w:t>ли</w:t>
      </w:r>
      <w:r w:rsidR="00546C23" w:rsidRPr="00EF1D99">
        <w:t xml:space="preserve"> </w:t>
      </w:r>
      <w:r w:rsidRPr="00EF1D99">
        <w:t xml:space="preserve">фармакокинетику, безопасность, переносимость и эффективность </w:t>
      </w:r>
      <w:r w:rsidR="00546C23">
        <w:rPr>
          <w:lang w:eastAsia="ru-RU"/>
        </w:rPr>
        <w:t>этравирина</w:t>
      </w:r>
      <w:r w:rsidRPr="00EF1D99">
        <w:t xml:space="preserve"> у 20</w:t>
      </w:r>
      <w:r w:rsidRPr="00586B91">
        <w:t xml:space="preserve"> ранее получавших антиретровирусное лечение ВИЧ-1-инфицированных детей в возрасте от 2 до 6 лет (когорта </w:t>
      </w:r>
      <w:r w:rsidRPr="00586B91">
        <w:rPr>
          <w:lang w:val="en-US"/>
        </w:rPr>
        <w:t>I</w:t>
      </w:r>
      <w:r>
        <w:t>),</w:t>
      </w:r>
      <w:r w:rsidRPr="00586B91">
        <w:t xml:space="preserve"> и 6 ранее получавших антиретровирусное лечение ВИЧ-1 инфицированных детей в возрасте от 1 года до 2 лет (когорта </w:t>
      </w:r>
      <w:r w:rsidRPr="00586B91">
        <w:rPr>
          <w:lang w:val="en-US"/>
        </w:rPr>
        <w:t>II</w:t>
      </w:r>
      <w:r w:rsidRPr="00586B91">
        <w:t xml:space="preserve">). В когорту </w:t>
      </w:r>
      <w:r w:rsidRPr="00586B91">
        <w:rPr>
          <w:lang w:val="en-US"/>
        </w:rPr>
        <w:t>III</w:t>
      </w:r>
      <w:r w:rsidRPr="00586B91">
        <w:t xml:space="preserve"> (от ≥ 2 месяцев до &lt; 1 года) не было включено ни одного пациента</w:t>
      </w:r>
      <w:r w:rsidR="00546C23">
        <w:t xml:space="preserve"> </w:t>
      </w:r>
      <w:r w:rsidR="00DF34DD" w:rsidRPr="00F61FFB">
        <w:t>[23, 37]</w:t>
      </w:r>
      <w:r w:rsidR="00546C23">
        <w:t>. В исследование были включены пациенты, получавшие лечение</w:t>
      </w:r>
      <w:r w:rsidR="00546C23" w:rsidRPr="00546C23">
        <w:t xml:space="preserve"> </w:t>
      </w:r>
      <w:r w:rsidR="00546C23">
        <w:t>в течение как минимум 8 недель, которое привело к вирусологической неудаче, или при перерыве в лечении не менее 4 недель с вирусологической неудачей в анамнезе на фоне антиретровирусной терапии, с подтвержденной вирусной нагрузкой РНК ВИЧ-1 в плазме выше 1000 копий/мл и без признаков фенотипическая резистентность к этравирину при скрининге.</w:t>
      </w:r>
    </w:p>
    <w:p w14:paraId="7B96F06B" w14:textId="3D2412FA" w:rsidR="00FB4494" w:rsidRDefault="00FB4494" w:rsidP="00FB4494">
      <w:pPr>
        <w:ind w:firstLine="709"/>
        <w:contextualSpacing/>
      </w:pPr>
      <w:r w:rsidRPr="00586B91">
        <w:t xml:space="preserve">В </w:t>
      </w:r>
      <w:r w:rsidR="00546C23" w:rsidRPr="008B0B82">
        <w:t xml:space="preserve">Таблице </w:t>
      </w:r>
      <w:r w:rsidR="00B244C2" w:rsidRPr="008B0B82">
        <w:t>4-</w:t>
      </w:r>
      <w:r w:rsidR="00546C23" w:rsidRPr="008B0B82">
        <w:t>7</w:t>
      </w:r>
      <w:r w:rsidR="00546C23" w:rsidRPr="00B244C2">
        <w:t xml:space="preserve"> </w:t>
      </w:r>
      <w:r w:rsidRPr="00586B91">
        <w:t xml:space="preserve">обобщены результаты вирусологического ответа для исследования </w:t>
      </w:r>
      <w:r w:rsidRPr="00586B91">
        <w:rPr>
          <w:lang w:val="en-US"/>
        </w:rPr>
        <w:t>TMC</w:t>
      </w:r>
      <w:r w:rsidRPr="00586B91">
        <w:t>125-</w:t>
      </w:r>
      <w:r w:rsidRPr="00586B91">
        <w:rPr>
          <w:lang w:val="en-US"/>
        </w:rPr>
        <w:t>C</w:t>
      </w:r>
      <w:r w:rsidRPr="00586B91">
        <w:t>234/</w:t>
      </w:r>
      <w:r w:rsidRPr="00586B91">
        <w:rPr>
          <w:lang w:val="en-US"/>
        </w:rPr>
        <w:t>IMPAACT</w:t>
      </w:r>
      <w:r w:rsidRPr="00586B91">
        <w:t xml:space="preserve"> </w:t>
      </w:r>
      <w:r w:rsidRPr="00586B91">
        <w:rPr>
          <w:lang w:val="en-US"/>
        </w:rPr>
        <w:t>P</w:t>
      </w:r>
      <w:r w:rsidRPr="00586B91">
        <w:t>1090.</w:t>
      </w:r>
    </w:p>
    <w:p w14:paraId="68923301" w14:textId="77777777" w:rsidR="00FB4494" w:rsidRPr="00586B91" w:rsidRDefault="00FB4494" w:rsidP="00FB4494">
      <w:pPr>
        <w:ind w:firstLine="709"/>
        <w:contextualSpacing/>
      </w:pPr>
    </w:p>
    <w:p w14:paraId="4BBB8A0D" w14:textId="014EA096" w:rsidR="00FB4494" w:rsidRPr="00D55DA3" w:rsidRDefault="00B244C2" w:rsidP="00FB4494">
      <w:pPr>
        <w:contextualSpacing/>
      </w:pPr>
      <w:r w:rsidRPr="00B244C2">
        <w:rPr>
          <w:b/>
        </w:rPr>
        <w:t>Таблица 4-</w:t>
      </w:r>
      <w:r w:rsidR="00546C23">
        <w:rPr>
          <w:b/>
        </w:rPr>
        <w:t>7.</w:t>
      </w:r>
      <w:r w:rsidR="00FB4494" w:rsidRPr="00B244C2">
        <w:t xml:space="preserve"> </w:t>
      </w:r>
      <w:r w:rsidR="00FB4494" w:rsidRPr="00D55DA3">
        <w:t xml:space="preserve">Вирусологический ответ </w:t>
      </w:r>
      <w:r w:rsidR="00FB4494" w:rsidRPr="00D55DA3">
        <w:rPr>
          <w:rFonts w:eastAsia="TimesNewRoman,Bold"/>
          <w:bCs/>
        </w:rPr>
        <w:t>(ITT-FDA Snapshot*)</w:t>
      </w:r>
      <w:r w:rsidR="00FB4494">
        <w:rPr>
          <w:rFonts w:eastAsia="TimesNewRoman,Bold"/>
          <w:bCs/>
        </w:rPr>
        <w:t xml:space="preserve"> </w:t>
      </w:r>
      <w:r w:rsidR="00FB4494" w:rsidRPr="00D55DA3">
        <w:t xml:space="preserve">на 48-й неделе исследования </w:t>
      </w:r>
      <w:r w:rsidR="00FB4494" w:rsidRPr="00D55DA3">
        <w:rPr>
          <w:lang w:val="en-US"/>
        </w:rPr>
        <w:t>TMC</w:t>
      </w:r>
      <w:r w:rsidR="00FB4494" w:rsidRPr="00D55DA3">
        <w:t>125-</w:t>
      </w:r>
      <w:r w:rsidR="00FB4494" w:rsidRPr="00D55DA3">
        <w:rPr>
          <w:lang w:val="en-US"/>
        </w:rPr>
        <w:t>C</w:t>
      </w:r>
      <w:r w:rsidR="00FB4494" w:rsidRPr="00D55DA3">
        <w:t>234/</w:t>
      </w:r>
      <w:r w:rsidR="00FB4494" w:rsidRPr="00D55DA3">
        <w:rPr>
          <w:lang w:val="en-US"/>
        </w:rPr>
        <w:t>IMPAACT</w:t>
      </w:r>
      <w:r w:rsidR="00FB4494" w:rsidRPr="00D55DA3">
        <w:t xml:space="preserve"> </w:t>
      </w:r>
      <w:r w:rsidR="00FB4494" w:rsidRPr="00D55DA3">
        <w:rPr>
          <w:lang w:val="en-US"/>
        </w:rPr>
        <w:t>P</w:t>
      </w:r>
      <w:r w:rsidR="00FB4494" w:rsidRPr="00D55DA3">
        <w:t>1090.</w:t>
      </w:r>
    </w:p>
    <w:tbl>
      <w:tblPr>
        <w:tblW w:w="9371" w:type="dxa"/>
        <w:tblInd w:w="-5" w:type="dxa"/>
        <w:tblLook w:val="04A0" w:firstRow="1" w:lastRow="0" w:firstColumn="1" w:lastColumn="0" w:noHBand="0" w:noVBand="1"/>
      </w:tblPr>
      <w:tblGrid>
        <w:gridCol w:w="3559"/>
        <w:gridCol w:w="2461"/>
        <w:gridCol w:w="3351"/>
      </w:tblGrid>
      <w:tr w:rsidR="00FB4494" w:rsidRPr="00551E03" w14:paraId="1EE03A7F" w14:textId="77777777" w:rsidTr="00421CA0">
        <w:trPr>
          <w:trHeight w:val="290"/>
          <w:tblHeader/>
        </w:trPr>
        <w:tc>
          <w:tcPr>
            <w:tcW w:w="3559"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58045D" w14:textId="59E9180A" w:rsidR="00FB4494" w:rsidRPr="00421CA0" w:rsidRDefault="00421CA0" w:rsidP="00421CA0">
            <w:pPr>
              <w:contextualSpacing/>
              <w:jc w:val="center"/>
              <w:rPr>
                <w:rFonts w:eastAsia="Times New Roman"/>
                <w:b/>
                <w:color w:val="000000"/>
                <w:lang w:eastAsia="ru-RU"/>
              </w:rPr>
            </w:pPr>
            <w:r w:rsidRPr="00421CA0">
              <w:rPr>
                <w:rFonts w:eastAsia="Times New Roman"/>
                <w:b/>
                <w:color w:val="000000"/>
                <w:lang w:eastAsia="ru-RU"/>
              </w:rPr>
              <w:t>Параметр</w:t>
            </w:r>
          </w:p>
        </w:tc>
        <w:tc>
          <w:tcPr>
            <w:tcW w:w="2461" w:type="dxa"/>
            <w:tcBorders>
              <w:top w:val="single" w:sz="4" w:space="0" w:color="auto"/>
              <w:left w:val="single" w:sz="4" w:space="0" w:color="auto"/>
              <w:bottom w:val="nil"/>
              <w:right w:val="single" w:sz="4" w:space="0" w:color="auto"/>
            </w:tcBorders>
            <w:shd w:val="clear" w:color="000000" w:fill="D9D9D9"/>
            <w:noWrap/>
            <w:vAlign w:val="center"/>
            <w:hideMark/>
          </w:tcPr>
          <w:p w14:paraId="58AC5021" w14:textId="77777777" w:rsidR="00FB4494" w:rsidRPr="00551E03" w:rsidRDefault="00FB4494" w:rsidP="00FB4494">
            <w:pPr>
              <w:contextualSpacing/>
              <w:jc w:val="center"/>
              <w:rPr>
                <w:rFonts w:eastAsia="Times New Roman"/>
                <w:b/>
                <w:bCs/>
                <w:color w:val="000000"/>
                <w:lang w:eastAsia="ru-RU"/>
              </w:rPr>
            </w:pPr>
            <w:r>
              <w:rPr>
                <w:rFonts w:eastAsia="Times New Roman"/>
                <w:b/>
                <w:bCs/>
                <w:color w:val="000000"/>
                <w:lang w:eastAsia="ru-RU"/>
              </w:rPr>
              <w:t>Когорта</w:t>
            </w:r>
            <w:r w:rsidRPr="00551E03">
              <w:rPr>
                <w:rFonts w:eastAsia="Times New Roman"/>
                <w:b/>
                <w:bCs/>
                <w:color w:val="000000"/>
                <w:lang w:eastAsia="ru-RU"/>
              </w:rPr>
              <w:t xml:space="preserve"> I</w:t>
            </w:r>
          </w:p>
        </w:tc>
        <w:tc>
          <w:tcPr>
            <w:tcW w:w="3351" w:type="dxa"/>
            <w:tcBorders>
              <w:top w:val="single" w:sz="4" w:space="0" w:color="auto"/>
              <w:left w:val="nil"/>
              <w:bottom w:val="nil"/>
              <w:right w:val="single" w:sz="4" w:space="0" w:color="auto"/>
            </w:tcBorders>
            <w:shd w:val="clear" w:color="000000" w:fill="D9D9D9"/>
            <w:noWrap/>
            <w:vAlign w:val="center"/>
            <w:hideMark/>
          </w:tcPr>
          <w:p w14:paraId="658AF4DA" w14:textId="77777777" w:rsidR="00FB4494" w:rsidRPr="00551E03" w:rsidRDefault="00FB4494" w:rsidP="00FB4494">
            <w:pPr>
              <w:contextualSpacing/>
              <w:jc w:val="center"/>
              <w:rPr>
                <w:rFonts w:eastAsia="Times New Roman"/>
                <w:b/>
                <w:bCs/>
                <w:color w:val="000000"/>
                <w:lang w:eastAsia="ru-RU"/>
              </w:rPr>
            </w:pPr>
            <w:r>
              <w:rPr>
                <w:rFonts w:eastAsia="Times New Roman"/>
                <w:b/>
                <w:bCs/>
                <w:color w:val="000000"/>
                <w:lang w:eastAsia="ru-RU"/>
              </w:rPr>
              <w:t>Когорта</w:t>
            </w:r>
            <w:r w:rsidRPr="00551E03">
              <w:rPr>
                <w:rFonts w:eastAsia="Times New Roman"/>
                <w:b/>
                <w:bCs/>
                <w:color w:val="000000"/>
                <w:lang w:eastAsia="ru-RU"/>
              </w:rPr>
              <w:t xml:space="preserve"> II</w:t>
            </w:r>
          </w:p>
        </w:tc>
      </w:tr>
      <w:tr w:rsidR="00FB4494" w:rsidRPr="00551E03" w14:paraId="0BDC7306" w14:textId="77777777" w:rsidTr="00421CA0">
        <w:trPr>
          <w:trHeight w:val="290"/>
          <w:tblHeader/>
        </w:trPr>
        <w:tc>
          <w:tcPr>
            <w:tcW w:w="3559" w:type="dxa"/>
            <w:vMerge/>
            <w:tcBorders>
              <w:top w:val="single" w:sz="4" w:space="0" w:color="auto"/>
              <w:left w:val="single" w:sz="4" w:space="0" w:color="auto"/>
              <w:bottom w:val="single" w:sz="4" w:space="0" w:color="auto"/>
              <w:right w:val="single" w:sz="4" w:space="0" w:color="auto"/>
            </w:tcBorders>
            <w:vAlign w:val="center"/>
            <w:hideMark/>
          </w:tcPr>
          <w:p w14:paraId="1B30D1D0" w14:textId="77777777" w:rsidR="00FB4494" w:rsidRPr="00551E03" w:rsidRDefault="00FB4494" w:rsidP="00FB4494">
            <w:pPr>
              <w:rPr>
                <w:rFonts w:eastAsia="Times New Roman"/>
                <w:color w:val="000000"/>
                <w:lang w:eastAsia="ru-RU"/>
              </w:rPr>
            </w:pPr>
          </w:p>
        </w:tc>
        <w:tc>
          <w:tcPr>
            <w:tcW w:w="2461" w:type="dxa"/>
            <w:tcBorders>
              <w:top w:val="nil"/>
              <w:left w:val="single" w:sz="4" w:space="0" w:color="auto"/>
              <w:bottom w:val="nil"/>
              <w:right w:val="single" w:sz="4" w:space="0" w:color="auto"/>
            </w:tcBorders>
            <w:shd w:val="clear" w:color="000000" w:fill="D9D9D9"/>
            <w:noWrap/>
            <w:vAlign w:val="center"/>
            <w:hideMark/>
          </w:tcPr>
          <w:p w14:paraId="3AEDCA77" w14:textId="77777777" w:rsidR="00FB4494" w:rsidRPr="00551E03" w:rsidRDefault="00FB4494" w:rsidP="00FB4494">
            <w:pPr>
              <w:jc w:val="center"/>
              <w:rPr>
                <w:rFonts w:eastAsia="Times New Roman"/>
                <w:b/>
                <w:bCs/>
                <w:color w:val="000000"/>
                <w:lang w:eastAsia="ru-RU"/>
              </w:rPr>
            </w:pPr>
            <w:r>
              <w:rPr>
                <w:rFonts w:eastAsia="Times New Roman"/>
                <w:b/>
                <w:bCs/>
                <w:color w:val="000000"/>
                <w:lang w:eastAsia="ru-RU"/>
              </w:rPr>
              <w:t>От ≥ 2 до &lt; 6 лет</w:t>
            </w:r>
          </w:p>
        </w:tc>
        <w:tc>
          <w:tcPr>
            <w:tcW w:w="3351" w:type="dxa"/>
            <w:tcBorders>
              <w:top w:val="nil"/>
              <w:left w:val="nil"/>
              <w:bottom w:val="nil"/>
              <w:right w:val="single" w:sz="4" w:space="0" w:color="auto"/>
            </w:tcBorders>
            <w:shd w:val="clear" w:color="000000" w:fill="D9D9D9"/>
            <w:noWrap/>
            <w:vAlign w:val="center"/>
            <w:hideMark/>
          </w:tcPr>
          <w:p w14:paraId="4F7D1005" w14:textId="77777777" w:rsidR="00FB4494" w:rsidRPr="00551E03" w:rsidRDefault="00FB4494" w:rsidP="00FB4494">
            <w:pPr>
              <w:jc w:val="center"/>
              <w:rPr>
                <w:rFonts w:eastAsia="Times New Roman"/>
                <w:b/>
                <w:bCs/>
                <w:color w:val="000000"/>
                <w:lang w:eastAsia="ru-RU"/>
              </w:rPr>
            </w:pPr>
            <w:r>
              <w:rPr>
                <w:rFonts w:eastAsia="Times New Roman"/>
                <w:b/>
                <w:bCs/>
                <w:color w:val="000000"/>
                <w:lang w:eastAsia="ru-RU"/>
              </w:rPr>
              <w:t>От ≥ 1 до</w:t>
            </w:r>
            <w:r w:rsidRPr="00551E03">
              <w:rPr>
                <w:rFonts w:eastAsia="Times New Roman"/>
                <w:b/>
                <w:bCs/>
                <w:color w:val="000000"/>
                <w:lang w:eastAsia="ru-RU"/>
              </w:rPr>
              <w:t xml:space="preserve"> &lt; 2 </w:t>
            </w:r>
            <w:r>
              <w:rPr>
                <w:rFonts w:eastAsia="Times New Roman"/>
                <w:b/>
                <w:bCs/>
                <w:color w:val="000000"/>
                <w:lang w:eastAsia="ru-RU"/>
              </w:rPr>
              <w:t>лет</w:t>
            </w:r>
          </w:p>
        </w:tc>
      </w:tr>
      <w:tr w:rsidR="00FB4494" w:rsidRPr="00551E03" w14:paraId="035251FC" w14:textId="77777777" w:rsidTr="00421CA0">
        <w:trPr>
          <w:trHeight w:val="290"/>
          <w:tblHeader/>
        </w:trPr>
        <w:tc>
          <w:tcPr>
            <w:tcW w:w="3559" w:type="dxa"/>
            <w:vMerge/>
            <w:tcBorders>
              <w:top w:val="single" w:sz="4" w:space="0" w:color="auto"/>
              <w:left w:val="single" w:sz="4" w:space="0" w:color="auto"/>
              <w:bottom w:val="single" w:sz="4" w:space="0" w:color="auto"/>
              <w:right w:val="single" w:sz="4" w:space="0" w:color="auto"/>
            </w:tcBorders>
            <w:vAlign w:val="center"/>
            <w:hideMark/>
          </w:tcPr>
          <w:p w14:paraId="2335738A" w14:textId="77777777" w:rsidR="00FB4494" w:rsidRPr="00551E03" w:rsidRDefault="00FB4494" w:rsidP="00FB4494">
            <w:pPr>
              <w:rPr>
                <w:rFonts w:eastAsia="Times New Roman"/>
                <w:color w:val="000000"/>
                <w:lang w:eastAsia="ru-RU"/>
              </w:rPr>
            </w:pPr>
          </w:p>
        </w:tc>
        <w:tc>
          <w:tcPr>
            <w:tcW w:w="2461" w:type="dxa"/>
            <w:tcBorders>
              <w:top w:val="nil"/>
              <w:left w:val="single" w:sz="4" w:space="0" w:color="auto"/>
              <w:bottom w:val="single" w:sz="4" w:space="0" w:color="auto"/>
              <w:right w:val="single" w:sz="4" w:space="0" w:color="auto"/>
            </w:tcBorders>
            <w:shd w:val="clear" w:color="000000" w:fill="D9D9D9"/>
            <w:noWrap/>
            <w:vAlign w:val="center"/>
            <w:hideMark/>
          </w:tcPr>
          <w:p w14:paraId="549E3E1D" w14:textId="77777777" w:rsidR="00FB4494" w:rsidRPr="00551E03" w:rsidRDefault="00FB4494" w:rsidP="00FB4494">
            <w:pPr>
              <w:jc w:val="center"/>
              <w:rPr>
                <w:rFonts w:eastAsia="Times New Roman"/>
                <w:b/>
                <w:bCs/>
                <w:color w:val="000000"/>
                <w:lang w:eastAsia="ru-RU"/>
              </w:rPr>
            </w:pPr>
            <w:r w:rsidRPr="00551E03">
              <w:rPr>
                <w:rFonts w:eastAsia="Times New Roman"/>
                <w:b/>
                <w:bCs/>
                <w:color w:val="000000"/>
                <w:lang w:eastAsia="ru-RU"/>
              </w:rPr>
              <w:t>(N = 20)</w:t>
            </w:r>
          </w:p>
        </w:tc>
        <w:tc>
          <w:tcPr>
            <w:tcW w:w="3351" w:type="dxa"/>
            <w:tcBorders>
              <w:top w:val="nil"/>
              <w:left w:val="nil"/>
              <w:bottom w:val="single" w:sz="4" w:space="0" w:color="auto"/>
              <w:right w:val="single" w:sz="4" w:space="0" w:color="auto"/>
            </w:tcBorders>
            <w:shd w:val="clear" w:color="000000" w:fill="D9D9D9"/>
            <w:noWrap/>
            <w:vAlign w:val="center"/>
            <w:hideMark/>
          </w:tcPr>
          <w:p w14:paraId="55C1B53A" w14:textId="77777777" w:rsidR="00FB4494" w:rsidRPr="00551E03" w:rsidRDefault="00FB4494" w:rsidP="00FB4494">
            <w:pPr>
              <w:jc w:val="center"/>
              <w:rPr>
                <w:rFonts w:eastAsia="Times New Roman"/>
                <w:b/>
                <w:bCs/>
                <w:color w:val="000000"/>
                <w:lang w:eastAsia="ru-RU"/>
              </w:rPr>
            </w:pPr>
            <w:r w:rsidRPr="00551E03">
              <w:rPr>
                <w:rFonts w:eastAsia="Times New Roman"/>
                <w:b/>
                <w:bCs/>
                <w:color w:val="000000"/>
                <w:lang w:eastAsia="ru-RU"/>
              </w:rPr>
              <w:t>(N = 6)</w:t>
            </w:r>
          </w:p>
        </w:tc>
      </w:tr>
      <w:tr w:rsidR="00FB4494" w:rsidRPr="00D55DA3" w14:paraId="479BACF6" w14:textId="77777777" w:rsidTr="00421CA0">
        <w:trPr>
          <w:trHeight w:val="290"/>
        </w:trPr>
        <w:tc>
          <w:tcPr>
            <w:tcW w:w="93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FD0D8" w14:textId="77777777" w:rsidR="00FB4494" w:rsidRPr="00D55DA3" w:rsidRDefault="00FB4494" w:rsidP="00FB4494">
            <w:pPr>
              <w:rPr>
                <w:rFonts w:eastAsia="Times New Roman"/>
                <w:i/>
                <w:color w:val="000000"/>
                <w:lang w:eastAsia="ru-RU"/>
              </w:rPr>
            </w:pPr>
            <w:r w:rsidRPr="00D55DA3">
              <w:rPr>
                <w:rFonts w:eastAsia="Times New Roman"/>
                <w:i/>
                <w:color w:val="000000"/>
                <w:lang w:eastAsia="ru-RU"/>
              </w:rPr>
              <w:t>Исходные данные</w:t>
            </w:r>
          </w:p>
        </w:tc>
      </w:tr>
      <w:tr w:rsidR="00FB4494" w:rsidRPr="00551E03" w14:paraId="64E7CB06" w14:textId="77777777" w:rsidTr="00421CA0">
        <w:trPr>
          <w:trHeight w:val="290"/>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14:paraId="3A473692" w14:textId="77777777" w:rsidR="00FB4494" w:rsidRPr="00551E03" w:rsidRDefault="00FB4494" w:rsidP="00FB4494">
            <w:pPr>
              <w:rPr>
                <w:rFonts w:eastAsia="Times New Roman"/>
                <w:color w:val="000000"/>
                <w:lang w:eastAsia="ru-RU"/>
              </w:rPr>
            </w:pPr>
            <w:r w:rsidRPr="00D55DA3">
              <w:rPr>
                <w:rFonts w:eastAsia="Times New Roman"/>
                <w:color w:val="000000"/>
                <w:lang w:eastAsia="ru-RU"/>
              </w:rPr>
              <w:t>РНК ВИЧ-1 плазмы</w:t>
            </w:r>
          </w:p>
        </w:tc>
        <w:tc>
          <w:tcPr>
            <w:tcW w:w="2461" w:type="dxa"/>
            <w:tcBorders>
              <w:top w:val="nil"/>
              <w:left w:val="nil"/>
              <w:bottom w:val="single" w:sz="4" w:space="0" w:color="auto"/>
              <w:right w:val="single" w:sz="4" w:space="0" w:color="auto"/>
            </w:tcBorders>
            <w:shd w:val="clear" w:color="auto" w:fill="auto"/>
            <w:noWrap/>
            <w:vAlign w:val="center"/>
            <w:hideMark/>
          </w:tcPr>
          <w:p w14:paraId="59054818" w14:textId="407339AA" w:rsidR="00FB4494" w:rsidRPr="00551E03" w:rsidRDefault="00FB4494" w:rsidP="00FB4494">
            <w:pPr>
              <w:jc w:val="center"/>
              <w:rPr>
                <w:rFonts w:eastAsia="Times New Roman"/>
                <w:color w:val="000000"/>
                <w:lang w:eastAsia="ru-RU"/>
              </w:rPr>
            </w:pPr>
            <w:r w:rsidRPr="00551E03">
              <w:rPr>
                <w:rFonts w:eastAsia="Times New Roman"/>
                <w:color w:val="000000"/>
                <w:lang w:eastAsia="ru-RU"/>
              </w:rPr>
              <w:t>4</w:t>
            </w:r>
            <w:r w:rsidR="00546C23">
              <w:rPr>
                <w:rFonts w:eastAsia="Times New Roman"/>
                <w:color w:val="000000"/>
                <w:lang w:eastAsia="ru-RU"/>
              </w:rPr>
              <w:t>,</w:t>
            </w:r>
            <w:r w:rsidRPr="00551E03">
              <w:rPr>
                <w:rFonts w:eastAsia="Times New Roman"/>
                <w:color w:val="000000"/>
                <w:lang w:eastAsia="ru-RU"/>
              </w:rPr>
              <w:t xml:space="preserve">4 log10 </w:t>
            </w:r>
            <w:r>
              <w:rPr>
                <w:rFonts w:eastAsia="Times New Roman"/>
                <w:color w:val="000000"/>
                <w:lang w:eastAsia="ru-RU"/>
              </w:rPr>
              <w:t>копий/мл</w:t>
            </w:r>
          </w:p>
        </w:tc>
        <w:tc>
          <w:tcPr>
            <w:tcW w:w="3351" w:type="dxa"/>
            <w:tcBorders>
              <w:top w:val="nil"/>
              <w:left w:val="nil"/>
              <w:bottom w:val="single" w:sz="4" w:space="0" w:color="auto"/>
              <w:right w:val="single" w:sz="4" w:space="0" w:color="auto"/>
            </w:tcBorders>
            <w:shd w:val="clear" w:color="auto" w:fill="auto"/>
            <w:noWrap/>
            <w:vAlign w:val="center"/>
            <w:hideMark/>
          </w:tcPr>
          <w:p w14:paraId="3AAB9E61" w14:textId="1F77F7D1" w:rsidR="00FB4494" w:rsidRPr="00551E03" w:rsidRDefault="00FB4494" w:rsidP="00FB4494">
            <w:pPr>
              <w:jc w:val="center"/>
              <w:rPr>
                <w:rFonts w:eastAsia="Times New Roman"/>
                <w:color w:val="000000"/>
                <w:lang w:eastAsia="ru-RU"/>
              </w:rPr>
            </w:pPr>
            <w:r w:rsidRPr="00551E03">
              <w:rPr>
                <w:rFonts w:eastAsia="Times New Roman"/>
                <w:color w:val="000000"/>
                <w:lang w:eastAsia="ru-RU"/>
              </w:rPr>
              <w:t>4</w:t>
            </w:r>
            <w:r w:rsidR="00546C23">
              <w:rPr>
                <w:rFonts w:eastAsia="Times New Roman"/>
                <w:color w:val="000000"/>
                <w:lang w:eastAsia="ru-RU"/>
              </w:rPr>
              <w:t>,</w:t>
            </w:r>
            <w:r w:rsidRPr="00551E03">
              <w:rPr>
                <w:rFonts w:eastAsia="Times New Roman"/>
                <w:color w:val="000000"/>
                <w:lang w:eastAsia="ru-RU"/>
              </w:rPr>
              <w:t xml:space="preserve">4 log10 </w:t>
            </w:r>
            <w:r>
              <w:rPr>
                <w:rFonts w:eastAsia="Times New Roman"/>
                <w:color w:val="000000"/>
                <w:lang w:eastAsia="ru-RU"/>
              </w:rPr>
              <w:t>копий/мл</w:t>
            </w:r>
          </w:p>
        </w:tc>
      </w:tr>
      <w:tr w:rsidR="00FB4494" w:rsidRPr="00551E03" w14:paraId="41556F37" w14:textId="77777777" w:rsidTr="00421CA0">
        <w:trPr>
          <w:trHeight w:val="290"/>
        </w:trPr>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2B649294" w14:textId="77777777" w:rsidR="00FB4494" w:rsidRPr="00D55DA3" w:rsidRDefault="00FB4494" w:rsidP="00FB4494">
            <w:pPr>
              <w:contextualSpacing/>
              <w:rPr>
                <w:rFonts w:eastAsia="Times New Roman"/>
                <w:color w:val="000000"/>
                <w:lang w:eastAsia="ru-RU"/>
              </w:rPr>
            </w:pPr>
            <w:r w:rsidRPr="00D55DA3">
              <w:rPr>
                <w:rFonts w:eastAsia="Times New Roman"/>
                <w:color w:val="000000"/>
                <w:lang w:eastAsia="ru-RU"/>
              </w:rPr>
              <w:t xml:space="preserve">Среднее число клеток </w:t>
            </w:r>
            <w:r w:rsidRPr="00D55DA3">
              <w:rPr>
                <w:rFonts w:eastAsia="Times New Roman"/>
                <w:color w:val="000000"/>
                <w:lang w:val="en-US" w:eastAsia="ru-RU"/>
              </w:rPr>
              <w:t>CD</w:t>
            </w:r>
            <w:r w:rsidRPr="00D55DA3">
              <w:rPr>
                <w:rFonts w:eastAsia="Times New Roman"/>
                <w:color w:val="000000"/>
                <w:lang w:eastAsia="ru-RU"/>
              </w:rPr>
              <w:t>4+</w:t>
            </w:r>
          </w:p>
          <w:p w14:paraId="6507EE43" w14:textId="73707310" w:rsidR="00FB4494" w:rsidRPr="008B0B82" w:rsidRDefault="00546C23" w:rsidP="00FB4494">
            <w:pPr>
              <w:contextualSpacing/>
              <w:rPr>
                <w:rFonts w:eastAsia="Times New Roman"/>
                <w:color w:val="000000"/>
                <w:lang w:eastAsia="ru-RU"/>
              </w:rPr>
            </w:pPr>
            <w:r w:rsidRPr="00D55DA3">
              <w:rPr>
                <w:rFonts w:eastAsia="Times New Roman"/>
                <w:color w:val="000000"/>
                <w:lang w:eastAsia="ru-RU"/>
              </w:rPr>
              <w:t>Средн</w:t>
            </w:r>
            <w:r>
              <w:rPr>
                <w:rFonts w:eastAsia="Times New Roman"/>
                <w:color w:val="000000"/>
                <w:lang w:eastAsia="ru-RU"/>
              </w:rPr>
              <w:t>яя</w:t>
            </w:r>
            <w:r w:rsidRPr="00D55DA3">
              <w:rPr>
                <w:rFonts w:eastAsia="Times New Roman"/>
                <w:color w:val="000000"/>
                <w:lang w:eastAsia="ru-RU"/>
              </w:rPr>
              <w:t xml:space="preserve"> исходн</w:t>
            </w:r>
            <w:r>
              <w:rPr>
                <w:rFonts w:eastAsia="Times New Roman"/>
                <w:color w:val="000000"/>
                <w:lang w:eastAsia="ru-RU"/>
              </w:rPr>
              <w:t>ая</w:t>
            </w:r>
            <w:r w:rsidRPr="00D55DA3">
              <w:rPr>
                <w:rFonts w:eastAsia="Times New Roman"/>
                <w:color w:val="000000"/>
                <w:lang w:eastAsia="ru-RU"/>
              </w:rPr>
              <w:t xml:space="preserve"> </w:t>
            </w:r>
            <w:r>
              <w:rPr>
                <w:rFonts w:eastAsia="Times New Roman"/>
                <w:color w:val="000000"/>
                <w:lang w:eastAsia="ru-RU"/>
              </w:rPr>
              <w:t>доля</w:t>
            </w:r>
            <w:r w:rsidRPr="00D55DA3">
              <w:rPr>
                <w:rFonts w:eastAsia="Times New Roman"/>
                <w:color w:val="000000"/>
                <w:lang w:eastAsia="ru-RU"/>
              </w:rPr>
              <w:t xml:space="preserve"> </w:t>
            </w:r>
            <w:r w:rsidR="00FB4494" w:rsidRPr="00D55DA3">
              <w:rPr>
                <w:rFonts w:eastAsia="Times New Roman"/>
                <w:color w:val="000000"/>
                <w:lang w:val="en-US" w:eastAsia="ru-RU"/>
              </w:rPr>
              <w:t>CD</w:t>
            </w:r>
            <w:r w:rsidR="00FB4494" w:rsidRPr="00D55DA3">
              <w:rPr>
                <w:rFonts w:eastAsia="Times New Roman"/>
                <w:color w:val="000000"/>
                <w:lang w:eastAsia="ru-RU"/>
              </w:rPr>
              <w:t>4+</w:t>
            </w:r>
          </w:p>
        </w:tc>
        <w:tc>
          <w:tcPr>
            <w:tcW w:w="2461" w:type="dxa"/>
            <w:tcBorders>
              <w:top w:val="single" w:sz="4" w:space="0" w:color="auto"/>
              <w:left w:val="single" w:sz="4" w:space="0" w:color="auto"/>
              <w:bottom w:val="nil"/>
              <w:right w:val="single" w:sz="4" w:space="0" w:color="auto"/>
            </w:tcBorders>
            <w:shd w:val="clear" w:color="auto" w:fill="auto"/>
            <w:noWrap/>
            <w:vAlign w:val="center"/>
            <w:hideMark/>
          </w:tcPr>
          <w:p w14:paraId="7C4C639E" w14:textId="3BFB14C6"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817</w:t>
            </w:r>
            <w:r w:rsidR="00546C23">
              <w:rPr>
                <w:rFonts w:eastAsia="Times New Roman"/>
                <w:color w:val="000000"/>
                <w:lang w:eastAsia="ru-RU"/>
              </w:rPr>
              <w:t>,</w:t>
            </w:r>
            <w:r w:rsidRPr="00551E03">
              <w:rPr>
                <w:rFonts w:eastAsia="Times New Roman"/>
                <w:color w:val="000000"/>
                <w:lang w:eastAsia="ru-RU"/>
              </w:rPr>
              <w:t xml:space="preserve">5 x 106 </w:t>
            </w:r>
            <w:r>
              <w:rPr>
                <w:rFonts w:eastAsia="Times New Roman"/>
                <w:color w:val="000000"/>
                <w:lang w:eastAsia="ru-RU"/>
              </w:rPr>
              <w:t>клеток/л</w:t>
            </w:r>
          </w:p>
        </w:tc>
        <w:tc>
          <w:tcPr>
            <w:tcW w:w="3351" w:type="dxa"/>
            <w:tcBorders>
              <w:top w:val="single" w:sz="4" w:space="0" w:color="auto"/>
              <w:left w:val="nil"/>
              <w:bottom w:val="nil"/>
              <w:right w:val="single" w:sz="4" w:space="0" w:color="auto"/>
            </w:tcBorders>
            <w:shd w:val="clear" w:color="auto" w:fill="auto"/>
            <w:noWrap/>
            <w:vAlign w:val="center"/>
            <w:hideMark/>
          </w:tcPr>
          <w:p w14:paraId="19969817" w14:textId="2A58C9EC"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1,491</w:t>
            </w:r>
            <w:r w:rsidR="00546C23">
              <w:rPr>
                <w:rFonts w:eastAsia="Times New Roman"/>
                <w:color w:val="000000"/>
                <w:lang w:eastAsia="ru-RU"/>
              </w:rPr>
              <w:t>,</w:t>
            </w:r>
            <w:r w:rsidRPr="00551E03">
              <w:rPr>
                <w:rFonts w:eastAsia="Times New Roman"/>
                <w:color w:val="000000"/>
                <w:lang w:eastAsia="ru-RU"/>
              </w:rPr>
              <w:t xml:space="preserve">5 x 106 </w:t>
            </w:r>
            <w:r>
              <w:rPr>
                <w:rFonts w:eastAsia="Times New Roman"/>
                <w:color w:val="000000"/>
                <w:lang w:eastAsia="ru-RU"/>
              </w:rPr>
              <w:t>клеток/л</w:t>
            </w:r>
          </w:p>
        </w:tc>
      </w:tr>
      <w:tr w:rsidR="00FB4494" w:rsidRPr="00551E03" w14:paraId="6EA9CA32" w14:textId="77777777" w:rsidTr="00421CA0">
        <w:trPr>
          <w:trHeight w:val="290"/>
        </w:trPr>
        <w:tc>
          <w:tcPr>
            <w:tcW w:w="3559" w:type="dxa"/>
            <w:vMerge/>
            <w:tcBorders>
              <w:top w:val="nil"/>
              <w:left w:val="single" w:sz="4" w:space="0" w:color="auto"/>
              <w:bottom w:val="single" w:sz="4" w:space="0" w:color="auto"/>
              <w:right w:val="single" w:sz="4" w:space="0" w:color="auto"/>
            </w:tcBorders>
            <w:vAlign w:val="center"/>
            <w:hideMark/>
          </w:tcPr>
          <w:p w14:paraId="0598680D" w14:textId="77777777" w:rsidR="00FB4494" w:rsidRPr="00551E03" w:rsidRDefault="00FB4494" w:rsidP="00FB4494">
            <w:pPr>
              <w:contextualSpacing/>
              <w:rPr>
                <w:rFonts w:eastAsia="Times New Roman"/>
                <w:color w:val="000000"/>
                <w:lang w:eastAsia="ru-RU"/>
              </w:rPr>
            </w:pPr>
          </w:p>
        </w:tc>
        <w:tc>
          <w:tcPr>
            <w:tcW w:w="2461" w:type="dxa"/>
            <w:tcBorders>
              <w:top w:val="nil"/>
              <w:left w:val="single" w:sz="4" w:space="0" w:color="auto"/>
              <w:bottom w:val="single" w:sz="4" w:space="0" w:color="auto"/>
              <w:right w:val="single" w:sz="4" w:space="0" w:color="auto"/>
            </w:tcBorders>
            <w:shd w:val="clear" w:color="auto" w:fill="auto"/>
            <w:noWrap/>
            <w:vAlign w:val="center"/>
            <w:hideMark/>
          </w:tcPr>
          <w:p w14:paraId="42DC70BF" w14:textId="2B471BFB"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(27</w:t>
            </w:r>
            <w:r w:rsidR="00546C23">
              <w:rPr>
                <w:rFonts w:eastAsia="Times New Roman"/>
                <w:color w:val="000000"/>
                <w:lang w:eastAsia="ru-RU"/>
              </w:rPr>
              <w:t>,</w:t>
            </w:r>
            <w:r w:rsidRPr="00551E03">
              <w:rPr>
                <w:rFonts w:eastAsia="Times New Roman"/>
                <w:color w:val="000000"/>
                <w:lang w:eastAsia="ru-RU"/>
              </w:rPr>
              <w:t>6%)</w:t>
            </w:r>
          </w:p>
        </w:tc>
        <w:tc>
          <w:tcPr>
            <w:tcW w:w="3351" w:type="dxa"/>
            <w:tcBorders>
              <w:top w:val="nil"/>
              <w:left w:val="nil"/>
              <w:bottom w:val="single" w:sz="4" w:space="0" w:color="auto"/>
              <w:right w:val="single" w:sz="4" w:space="0" w:color="auto"/>
            </w:tcBorders>
            <w:shd w:val="clear" w:color="auto" w:fill="auto"/>
            <w:noWrap/>
            <w:vAlign w:val="center"/>
            <w:hideMark/>
          </w:tcPr>
          <w:p w14:paraId="1DDE27CE" w14:textId="62093D54"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(26</w:t>
            </w:r>
            <w:r w:rsidR="00546C23">
              <w:rPr>
                <w:rFonts w:eastAsia="Times New Roman"/>
                <w:color w:val="000000"/>
                <w:lang w:eastAsia="ru-RU"/>
              </w:rPr>
              <w:t>,</w:t>
            </w:r>
            <w:r w:rsidRPr="00551E03">
              <w:rPr>
                <w:rFonts w:eastAsia="Times New Roman"/>
                <w:color w:val="000000"/>
                <w:lang w:eastAsia="ru-RU"/>
              </w:rPr>
              <w:t>9%)</w:t>
            </w:r>
          </w:p>
        </w:tc>
      </w:tr>
      <w:tr w:rsidR="00FB4494" w:rsidRPr="00D55DA3" w14:paraId="6FDD65E1" w14:textId="77777777" w:rsidTr="00421CA0">
        <w:trPr>
          <w:trHeight w:val="290"/>
        </w:trPr>
        <w:tc>
          <w:tcPr>
            <w:tcW w:w="937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EE17F" w14:textId="77777777" w:rsidR="00FB4494" w:rsidRPr="00D55DA3" w:rsidRDefault="00FB4494" w:rsidP="00FB4494">
            <w:pPr>
              <w:contextualSpacing/>
              <w:rPr>
                <w:rFonts w:eastAsia="Times New Roman"/>
                <w:i/>
                <w:color w:val="000000"/>
                <w:lang w:eastAsia="ru-RU"/>
              </w:rPr>
            </w:pPr>
            <w:r w:rsidRPr="00D55DA3">
              <w:rPr>
                <w:rFonts w:eastAsia="Times New Roman"/>
                <w:i/>
                <w:color w:val="000000"/>
                <w:lang w:eastAsia="ru-RU"/>
              </w:rPr>
              <w:t>Неделя 48</w:t>
            </w:r>
          </w:p>
        </w:tc>
      </w:tr>
      <w:tr w:rsidR="00FB4494" w:rsidRPr="00551E03" w14:paraId="270871CA" w14:textId="77777777" w:rsidTr="00421CA0">
        <w:trPr>
          <w:trHeight w:val="290"/>
        </w:trPr>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0A23D769" w14:textId="1782B4DB" w:rsidR="00FB4494" w:rsidRPr="008B0B82" w:rsidRDefault="00FB4494" w:rsidP="00FB4494">
            <w:pPr>
              <w:contextualSpacing/>
              <w:rPr>
                <w:rFonts w:eastAsia="Times New Roman"/>
                <w:color w:val="000000"/>
                <w:lang w:eastAsia="ru-RU"/>
              </w:rPr>
            </w:pPr>
            <w:r>
              <w:rPr>
                <w:rFonts w:eastAsia="Times New Roman"/>
                <w:color w:val="000000"/>
                <w:lang w:eastAsia="ru-RU"/>
              </w:rPr>
              <w:t>Вирусологический ответ (</w:t>
            </w:r>
            <w:r w:rsidRPr="00D55DA3">
              <w:rPr>
                <w:rFonts w:eastAsia="Times New Roman"/>
                <w:color w:val="000000"/>
                <w:lang w:eastAsia="ru-RU"/>
              </w:rPr>
              <w:t>вирусная нагрузка</w:t>
            </w:r>
            <w:r>
              <w:rPr>
                <w:rFonts w:eastAsia="Times New Roman"/>
                <w:color w:val="000000"/>
                <w:lang w:eastAsia="ru-RU"/>
              </w:rPr>
              <w:t xml:space="preserve"> плазмы</w:t>
            </w:r>
            <w:r w:rsidRPr="00D55DA3">
              <w:rPr>
                <w:rFonts w:eastAsia="Times New Roman"/>
                <w:color w:val="000000"/>
                <w:lang w:eastAsia="ru-RU"/>
              </w:rPr>
              <w:t xml:space="preserve"> &lt; 400 РНК ВИЧ-1</w:t>
            </w:r>
            <w:r w:rsidR="00546C23">
              <w:rPr>
                <w:rFonts w:eastAsia="Times New Roman"/>
                <w:color w:val="000000"/>
                <w:lang w:eastAsia="ru-RU"/>
              </w:rPr>
              <w:t xml:space="preserve"> </w:t>
            </w:r>
            <w:r w:rsidRPr="008B0B82">
              <w:rPr>
                <w:rFonts w:eastAsia="Times New Roman"/>
                <w:color w:val="000000"/>
                <w:lang w:eastAsia="ru-RU"/>
              </w:rPr>
              <w:t>копий/мл)</w:t>
            </w:r>
          </w:p>
        </w:tc>
        <w:tc>
          <w:tcPr>
            <w:tcW w:w="2461" w:type="dxa"/>
            <w:tcBorders>
              <w:top w:val="single" w:sz="4" w:space="0" w:color="auto"/>
              <w:left w:val="single" w:sz="4" w:space="0" w:color="auto"/>
              <w:bottom w:val="nil"/>
              <w:right w:val="single" w:sz="4" w:space="0" w:color="auto"/>
            </w:tcBorders>
            <w:shd w:val="clear" w:color="auto" w:fill="auto"/>
            <w:noWrap/>
            <w:vAlign w:val="center"/>
            <w:hideMark/>
          </w:tcPr>
          <w:p w14:paraId="1C0B8467" w14:textId="77777777"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16/20</w:t>
            </w:r>
          </w:p>
        </w:tc>
        <w:tc>
          <w:tcPr>
            <w:tcW w:w="3351" w:type="dxa"/>
            <w:tcBorders>
              <w:top w:val="single" w:sz="4" w:space="0" w:color="auto"/>
              <w:left w:val="nil"/>
              <w:bottom w:val="nil"/>
              <w:right w:val="single" w:sz="4" w:space="0" w:color="auto"/>
            </w:tcBorders>
            <w:shd w:val="clear" w:color="auto" w:fill="auto"/>
            <w:noWrap/>
            <w:vAlign w:val="center"/>
            <w:hideMark/>
          </w:tcPr>
          <w:p w14:paraId="00E3322C" w14:textId="77777777"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 xml:space="preserve"> 1/6</w:t>
            </w:r>
          </w:p>
        </w:tc>
      </w:tr>
      <w:tr w:rsidR="00FB4494" w:rsidRPr="00551E03" w14:paraId="39ADF32C" w14:textId="77777777" w:rsidTr="00421CA0">
        <w:trPr>
          <w:trHeight w:val="493"/>
        </w:trPr>
        <w:tc>
          <w:tcPr>
            <w:tcW w:w="3559" w:type="dxa"/>
            <w:vMerge/>
            <w:tcBorders>
              <w:top w:val="nil"/>
              <w:left w:val="single" w:sz="4" w:space="0" w:color="auto"/>
              <w:bottom w:val="single" w:sz="4" w:space="0" w:color="auto"/>
              <w:right w:val="single" w:sz="4" w:space="0" w:color="auto"/>
            </w:tcBorders>
            <w:vAlign w:val="center"/>
            <w:hideMark/>
          </w:tcPr>
          <w:p w14:paraId="0A0227E1" w14:textId="77777777" w:rsidR="00FB4494" w:rsidRPr="00551E03" w:rsidRDefault="00FB4494" w:rsidP="00FB4494">
            <w:pPr>
              <w:contextualSpacing/>
              <w:rPr>
                <w:rFonts w:eastAsia="Times New Roman"/>
                <w:color w:val="000000"/>
                <w:lang w:eastAsia="ru-RU"/>
              </w:rPr>
            </w:pPr>
          </w:p>
        </w:tc>
        <w:tc>
          <w:tcPr>
            <w:tcW w:w="2461" w:type="dxa"/>
            <w:tcBorders>
              <w:top w:val="nil"/>
              <w:left w:val="single" w:sz="4" w:space="0" w:color="auto"/>
              <w:bottom w:val="single" w:sz="4" w:space="0" w:color="auto"/>
              <w:right w:val="single" w:sz="4" w:space="0" w:color="auto"/>
            </w:tcBorders>
            <w:shd w:val="clear" w:color="auto" w:fill="auto"/>
            <w:noWrap/>
            <w:vAlign w:val="center"/>
            <w:hideMark/>
          </w:tcPr>
          <w:p w14:paraId="0FC0AB62" w14:textId="0C60FA45"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(80</w:t>
            </w:r>
            <w:r w:rsidR="00546C23">
              <w:rPr>
                <w:rFonts w:eastAsia="Times New Roman"/>
                <w:color w:val="000000"/>
                <w:lang w:eastAsia="ru-RU"/>
              </w:rPr>
              <w:t>,</w:t>
            </w:r>
            <w:r w:rsidRPr="00551E03">
              <w:rPr>
                <w:rFonts w:eastAsia="Times New Roman"/>
                <w:color w:val="000000"/>
                <w:lang w:eastAsia="ru-RU"/>
              </w:rPr>
              <w:t>0%)</w:t>
            </w:r>
          </w:p>
        </w:tc>
        <w:tc>
          <w:tcPr>
            <w:tcW w:w="3351" w:type="dxa"/>
            <w:tcBorders>
              <w:top w:val="nil"/>
              <w:left w:val="nil"/>
              <w:bottom w:val="single" w:sz="4" w:space="0" w:color="auto"/>
              <w:right w:val="single" w:sz="4" w:space="0" w:color="auto"/>
            </w:tcBorders>
            <w:shd w:val="clear" w:color="auto" w:fill="auto"/>
            <w:noWrap/>
            <w:vAlign w:val="center"/>
            <w:hideMark/>
          </w:tcPr>
          <w:p w14:paraId="6D7B991E" w14:textId="7F6DF231"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(16</w:t>
            </w:r>
            <w:r w:rsidR="00546C23">
              <w:rPr>
                <w:rFonts w:eastAsia="Times New Roman"/>
                <w:color w:val="000000"/>
                <w:lang w:eastAsia="ru-RU"/>
              </w:rPr>
              <w:t>,</w:t>
            </w:r>
            <w:r w:rsidRPr="00551E03">
              <w:rPr>
                <w:rFonts w:eastAsia="Times New Roman"/>
                <w:color w:val="000000"/>
                <w:lang w:eastAsia="ru-RU"/>
              </w:rPr>
              <w:t>7%)</w:t>
            </w:r>
          </w:p>
        </w:tc>
      </w:tr>
      <w:tr w:rsidR="00FB4494" w:rsidRPr="00551E03" w14:paraId="224D975B" w14:textId="77777777" w:rsidTr="00421CA0">
        <w:trPr>
          <w:trHeight w:val="560"/>
        </w:trPr>
        <w:tc>
          <w:tcPr>
            <w:tcW w:w="3559" w:type="dxa"/>
            <w:tcBorders>
              <w:top w:val="nil"/>
              <w:left w:val="single" w:sz="4" w:space="0" w:color="auto"/>
              <w:bottom w:val="single" w:sz="4" w:space="0" w:color="auto"/>
              <w:right w:val="single" w:sz="4" w:space="0" w:color="auto"/>
            </w:tcBorders>
            <w:shd w:val="clear" w:color="auto" w:fill="auto"/>
            <w:vAlign w:val="center"/>
            <w:hideMark/>
          </w:tcPr>
          <w:p w14:paraId="6156A3FE" w14:textId="77777777" w:rsidR="00FB4494" w:rsidRPr="00D55DA3" w:rsidRDefault="00FB4494" w:rsidP="00FB4494">
            <w:pPr>
              <w:contextualSpacing/>
            </w:pPr>
            <w:r w:rsidRPr="00D55DA3">
              <w:t>Среднее изменение РНК ВИЧ-1 в плазме от исходного уровня до 48-й недели</w:t>
            </w:r>
          </w:p>
        </w:tc>
        <w:tc>
          <w:tcPr>
            <w:tcW w:w="2461" w:type="dxa"/>
            <w:tcBorders>
              <w:top w:val="single" w:sz="4" w:space="0" w:color="auto"/>
              <w:left w:val="nil"/>
              <w:bottom w:val="single" w:sz="4" w:space="0" w:color="auto"/>
              <w:right w:val="single" w:sz="4" w:space="0" w:color="auto"/>
            </w:tcBorders>
            <w:shd w:val="clear" w:color="auto" w:fill="auto"/>
            <w:noWrap/>
            <w:vAlign w:val="center"/>
            <w:hideMark/>
          </w:tcPr>
          <w:p w14:paraId="53DE2C47" w14:textId="37F14CCB"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−2</w:t>
            </w:r>
            <w:r w:rsidR="00546C23">
              <w:rPr>
                <w:rFonts w:eastAsia="Times New Roman"/>
                <w:color w:val="000000"/>
                <w:lang w:eastAsia="ru-RU"/>
              </w:rPr>
              <w:t>,</w:t>
            </w:r>
            <w:r w:rsidRPr="00551E03">
              <w:rPr>
                <w:rFonts w:eastAsia="Times New Roman"/>
                <w:color w:val="000000"/>
                <w:lang w:eastAsia="ru-RU"/>
              </w:rPr>
              <w:t xml:space="preserve">31 log10 </w:t>
            </w:r>
            <w:r>
              <w:rPr>
                <w:rFonts w:eastAsia="Times New Roman"/>
                <w:color w:val="000000"/>
                <w:lang w:eastAsia="ru-RU"/>
              </w:rPr>
              <w:t>копий/мл</w:t>
            </w:r>
          </w:p>
        </w:tc>
        <w:tc>
          <w:tcPr>
            <w:tcW w:w="3351" w:type="dxa"/>
            <w:tcBorders>
              <w:top w:val="single" w:sz="4" w:space="0" w:color="auto"/>
              <w:left w:val="nil"/>
              <w:bottom w:val="single" w:sz="4" w:space="0" w:color="auto"/>
              <w:right w:val="single" w:sz="4" w:space="0" w:color="auto"/>
            </w:tcBorders>
            <w:shd w:val="clear" w:color="auto" w:fill="auto"/>
            <w:noWrap/>
            <w:vAlign w:val="center"/>
            <w:hideMark/>
          </w:tcPr>
          <w:p w14:paraId="0D5573F1" w14:textId="3F1BDF7D"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−0</w:t>
            </w:r>
            <w:r w:rsidR="00546C23">
              <w:rPr>
                <w:rFonts w:eastAsia="Times New Roman"/>
                <w:color w:val="000000"/>
                <w:lang w:eastAsia="ru-RU"/>
              </w:rPr>
              <w:t>,</w:t>
            </w:r>
            <w:r w:rsidRPr="00551E03">
              <w:rPr>
                <w:rFonts w:eastAsia="Times New Roman"/>
                <w:color w:val="000000"/>
                <w:lang w:eastAsia="ru-RU"/>
              </w:rPr>
              <w:t xml:space="preserve">665 log10 </w:t>
            </w:r>
            <w:r>
              <w:rPr>
                <w:rFonts w:eastAsia="Times New Roman"/>
                <w:color w:val="000000"/>
                <w:lang w:eastAsia="ru-RU"/>
              </w:rPr>
              <w:t>копий/мл</w:t>
            </w:r>
          </w:p>
        </w:tc>
      </w:tr>
      <w:tr w:rsidR="00FB4494" w:rsidRPr="00551E03" w14:paraId="4A90AB17" w14:textId="77777777" w:rsidTr="00421CA0">
        <w:trPr>
          <w:trHeight w:val="290"/>
        </w:trPr>
        <w:tc>
          <w:tcPr>
            <w:tcW w:w="3559" w:type="dxa"/>
            <w:vMerge w:val="restart"/>
            <w:tcBorders>
              <w:top w:val="nil"/>
              <w:left w:val="single" w:sz="4" w:space="0" w:color="auto"/>
              <w:bottom w:val="single" w:sz="4" w:space="0" w:color="auto"/>
              <w:right w:val="single" w:sz="4" w:space="0" w:color="auto"/>
            </w:tcBorders>
            <w:shd w:val="clear" w:color="auto" w:fill="auto"/>
            <w:vAlign w:val="center"/>
            <w:hideMark/>
          </w:tcPr>
          <w:p w14:paraId="15B43762" w14:textId="77777777" w:rsidR="00FB4494" w:rsidRPr="00D55DA3" w:rsidRDefault="00FB4494" w:rsidP="00FB4494">
            <w:pPr>
              <w:contextualSpacing/>
            </w:pPr>
            <w:r w:rsidRPr="00D55DA3">
              <w:t>Среднее изменение CD4+ по сравнению с исходным уровнем</w:t>
            </w:r>
          </w:p>
        </w:tc>
        <w:tc>
          <w:tcPr>
            <w:tcW w:w="2461" w:type="dxa"/>
            <w:tcBorders>
              <w:top w:val="single" w:sz="4" w:space="0" w:color="auto"/>
              <w:left w:val="single" w:sz="4" w:space="0" w:color="auto"/>
              <w:bottom w:val="nil"/>
              <w:right w:val="single" w:sz="4" w:space="0" w:color="auto"/>
            </w:tcBorders>
            <w:shd w:val="clear" w:color="auto" w:fill="auto"/>
            <w:noWrap/>
            <w:vAlign w:val="center"/>
            <w:hideMark/>
          </w:tcPr>
          <w:p w14:paraId="3DBD5C5B" w14:textId="2B598CC9"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298</w:t>
            </w:r>
            <w:r w:rsidR="00546C23">
              <w:rPr>
                <w:rFonts w:eastAsia="Times New Roman"/>
                <w:color w:val="000000"/>
                <w:lang w:eastAsia="ru-RU"/>
              </w:rPr>
              <w:t>,</w:t>
            </w:r>
            <w:r w:rsidRPr="00551E03">
              <w:rPr>
                <w:rFonts w:eastAsia="Times New Roman"/>
                <w:color w:val="000000"/>
                <w:lang w:eastAsia="ru-RU"/>
              </w:rPr>
              <w:t>5 x 106 cells/l</w:t>
            </w:r>
          </w:p>
        </w:tc>
        <w:tc>
          <w:tcPr>
            <w:tcW w:w="3351" w:type="dxa"/>
            <w:tcBorders>
              <w:top w:val="single" w:sz="4" w:space="0" w:color="auto"/>
              <w:left w:val="nil"/>
              <w:bottom w:val="nil"/>
              <w:right w:val="single" w:sz="4" w:space="0" w:color="auto"/>
            </w:tcBorders>
            <w:shd w:val="clear" w:color="auto" w:fill="auto"/>
            <w:noWrap/>
            <w:vAlign w:val="center"/>
            <w:hideMark/>
          </w:tcPr>
          <w:p w14:paraId="248CD9EA" w14:textId="77777777"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0 x 106 cells/l</w:t>
            </w:r>
          </w:p>
        </w:tc>
      </w:tr>
      <w:tr w:rsidR="00FB4494" w:rsidRPr="00551E03" w14:paraId="514834A5" w14:textId="77777777" w:rsidTr="00421CA0">
        <w:trPr>
          <w:trHeight w:val="560"/>
        </w:trPr>
        <w:tc>
          <w:tcPr>
            <w:tcW w:w="3559" w:type="dxa"/>
            <w:vMerge/>
            <w:tcBorders>
              <w:top w:val="nil"/>
              <w:left w:val="single" w:sz="4" w:space="0" w:color="auto"/>
              <w:bottom w:val="single" w:sz="4" w:space="0" w:color="auto"/>
              <w:right w:val="single" w:sz="4" w:space="0" w:color="auto"/>
            </w:tcBorders>
            <w:vAlign w:val="center"/>
            <w:hideMark/>
          </w:tcPr>
          <w:p w14:paraId="2B007D54" w14:textId="77777777" w:rsidR="00FB4494" w:rsidRPr="00551E03" w:rsidRDefault="00FB4494" w:rsidP="00FB4494">
            <w:pPr>
              <w:contextualSpacing/>
              <w:rPr>
                <w:rFonts w:eastAsia="Times New Roman"/>
                <w:color w:val="000000"/>
                <w:lang w:eastAsia="ru-RU"/>
              </w:rPr>
            </w:pPr>
          </w:p>
        </w:tc>
        <w:tc>
          <w:tcPr>
            <w:tcW w:w="2461" w:type="dxa"/>
            <w:tcBorders>
              <w:top w:val="nil"/>
              <w:left w:val="single" w:sz="4" w:space="0" w:color="auto"/>
              <w:bottom w:val="single" w:sz="4" w:space="0" w:color="auto"/>
              <w:right w:val="single" w:sz="4" w:space="0" w:color="auto"/>
            </w:tcBorders>
            <w:shd w:val="clear" w:color="auto" w:fill="auto"/>
            <w:noWrap/>
            <w:vAlign w:val="center"/>
            <w:hideMark/>
          </w:tcPr>
          <w:p w14:paraId="4CD4CF8A" w14:textId="257AD4B6"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(5</w:t>
            </w:r>
            <w:r w:rsidR="00546C23">
              <w:rPr>
                <w:rFonts w:eastAsia="Times New Roman"/>
                <w:color w:val="000000"/>
                <w:lang w:eastAsia="ru-RU"/>
              </w:rPr>
              <w:t>,</w:t>
            </w:r>
            <w:r w:rsidRPr="00551E03">
              <w:rPr>
                <w:rFonts w:eastAsia="Times New Roman"/>
                <w:color w:val="000000"/>
                <w:lang w:eastAsia="ru-RU"/>
              </w:rPr>
              <w:t>15%)</w:t>
            </w:r>
          </w:p>
        </w:tc>
        <w:tc>
          <w:tcPr>
            <w:tcW w:w="3351" w:type="dxa"/>
            <w:tcBorders>
              <w:top w:val="nil"/>
              <w:left w:val="nil"/>
              <w:bottom w:val="single" w:sz="4" w:space="0" w:color="auto"/>
              <w:right w:val="single" w:sz="4" w:space="0" w:color="auto"/>
            </w:tcBorders>
            <w:shd w:val="clear" w:color="auto" w:fill="auto"/>
            <w:vAlign w:val="center"/>
            <w:hideMark/>
          </w:tcPr>
          <w:p w14:paraId="1B2ABAAD" w14:textId="743F0DD9" w:rsidR="00FB4494" w:rsidRPr="00551E03" w:rsidRDefault="00FB4494" w:rsidP="00FB4494">
            <w:pPr>
              <w:contextualSpacing/>
              <w:jc w:val="center"/>
              <w:rPr>
                <w:rFonts w:eastAsia="Times New Roman"/>
                <w:color w:val="000000"/>
                <w:lang w:eastAsia="ru-RU"/>
              </w:rPr>
            </w:pPr>
            <w:r w:rsidRPr="00551E03">
              <w:rPr>
                <w:rFonts w:eastAsia="Times New Roman"/>
                <w:color w:val="000000"/>
                <w:lang w:eastAsia="ru-RU"/>
              </w:rPr>
              <w:t>(-2</w:t>
            </w:r>
            <w:r w:rsidR="00546C23">
              <w:rPr>
                <w:rFonts w:eastAsia="Times New Roman"/>
                <w:color w:val="000000"/>
                <w:lang w:eastAsia="ru-RU"/>
              </w:rPr>
              <w:t>,</w:t>
            </w:r>
            <w:r w:rsidRPr="00551E03">
              <w:rPr>
                <w:rFonts w:eastAsia="Times New Roman"/>
                <w:color w:val="000000"/>
                <w:lang w:eastAsia="ru-RU"/>
              </w:rPr>
              <w:t>2%)</w:t>
            </w:r>
          </w:p>
        </w:tc>
      </w:tr>
      <w:tr w:rsidR="00546C23" w:rsidRPr="00551E03" w14:paraId="7A1F29A6" w14:textId="77777777" w:rsidTr="00421CA0">
        <w:trPr>
          <w:trHeight w:val="655"/>
        </w:trPr>
        <w:tc>
          <w:tcPr>
            <w:tcW w:w="937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ACC330" w14:textId="77777777" w:rsidR="00546C23" w:rsidRPr="00551E03" w:rsidRDefault="00546C23" w:rsidP="00210081">
            <w:pPr>
              <w:contextualSpacing/>
              <w:rPr>
                <w:rFonts w:eastAsia="Times New Roman"/>
                <w:b/>
                <w:bCs/>
                <w:color w:val="000000"/>
                <w:sz w:val="20"/>
                <w:szCs w:val="20"/>
                <w:lang w:eastAsia="ru-RU"/>
              </w:rPr>
            </w:pPr>
            <w:r w:rsidRPr="00551E03">
              <w:rPr>
                <w:rFonts w:eastAsia="Times New Roman"/>
                <w:b/>
                <w:bCs/>
                <w:color w:val="000000"/>
                <w:sz w:val="20"/>
                <w:szCs w:val="20"/>
                <w:lang w:eastAsia="ru-RU"/>
              </w:rPr>
              <w:t>Примечание:</w:t>
            </w:r>
          </w:p>
          <w:p w14:paraId="16C90F76" w14:textId="77777777" w:rsidR="00546C23" w:rsidRPr="00D55DA3" w:rsidRDefault="00546C23" w:rsidP="00210081">
            <w:pPr>
              <w:contextualSpacing/>
              <w:rPr>
                <w:rFonts w:eastAsia="Times New Roman"/>
                <w:color w:val="000000"/>
                <w:sz w:val="20"/>
                <w:szCs w:val="20"/>
                <w:lang w:eastAsia="ru-RU"/>
              </w:rPr>
            </w:pPr>
            <w:r w:rsidRPr="00551E03">
              <w:rPr>
                <w:rFonts w:eastAsia="Times New Roman"/>
                <w:color w:val="000000"/>
                <w:sz w:val="20"/>
                <w:szCs w:val="20"/>
                <w:lang w:val="en-US" w:eastAsia="ru-RU"/>
              </w:rPr>
              <w:t>N</w:t>
            </w:r>
            <w:r w:rsidRPr="00D55DA3">
              <w:rPr>
                <w:rFonts w:eastAsia="Times New Roman"/>
                <w:color w:val="000000"/>
                <w:sz w:val="20"/>
                <w:szCs w:val="20"/>
                <w:lang w:eastAsia="ru-RU"/>
              </w:rPr>
              <w:t xml:space="preserve"> = </w:t>
            </w:r>
            <w:r>
              <w:rPr>
                <w:rFonts w:eastAsia="Times New Roman"/>
                <w:color w:val="000000"/>
                <w:sz w:val="20"/>
                <w:szCs w:val="20"/>
                <w:lang w:eastAsia="ru-RU"/>
              </w:rPr>
              <w:t>количество субъектов в группе терапии</w:t>
            </w:r>
          </w:p>
          <w:p w14:paraId="5A1887D0" w14:textId="153361A0" w:rsidR="00546C23" w:rsidRPr="00551E03" w:rsidRDefault="00546C23">
            <w:pPr>
              <w:contextualSpacing/>
              <w:rPr>
                <w:rFonts w:eastAsia="Times New Roman"/>
                <w:b/>
                <w:bCs/>
                <w:color w:val="000000"/>
                <w:sz w:val="20"/>
                <w:szCs w:val="20"/>
                <w:lang w:eastAsia="ru-RU"/>
              </w:rPr>
            </w:pPr>
            <w:r w:rsidRPr="00D55DA3">
              <w:rPr>
                <w:rFonts w:eastAsia="Times New Roman"/>
                <w:color w:val="000000"/>
                <w:sz w:val="20"/>
                <w:szCs w:val="20"/>
                <w:lang w:eastAsia="ru-RU"/>
              </w:rPr>
              <w:t xml:space="preserve">* </w:t>
            </w:r>
            <w:r>
              <w:rPr>
                <w:rFonts w:eastAsia="Times New Roman"/>
                <w:color w:val="000000"/>
                <w:sz w:val="20"/>
                <w:szCs w:val="20"/>
                <w:lang w:eastAsia="ru-RU"/>
              </w:rPr>
              <w:t xml:space="preserve">Подход </w:t>
            </w:r>
            <w:r w:rsidRPr="00551E03">
              <w:rPr>
                <w:rFonts w:eastAsia="Times New Roman"/>
                <w:color w:val="000000"/>
                <w:sz w:val="20"/>
                <w:szCs w:val="20"/>
                <w:lang w:val="en-US" w:eastAsia="ru-RU"/>
              </w:rPr>
              <w:t>FDA</w:t>
            </w:r>
            <w:r w:rsidRPr="00D55DA3">
              <w:rPr>
                <w:rFonts w:eastAsia="Times New Roman"/>
                <w:color w:val="000000"/>
                <w:sz w:val="20"/>
                <w:szCs w:val="20"/>
                <w:lang w:eastAsia="ru-RU"/>
              </w:rPr>
              <w:t xml:space="preserve"> </w:t>
            </w:r>
            <w:r>
              <w:rPr>
                <w:rFonts w:eastAsia="Times New Roman"/>
                <w:color w:val="000000"/>
                <w:sz w:val="20"/>
                <w:szCs w:val="20"/>
                <w:lang w:val="en-US" w:eastAsia="ru-RU"/>
              </w:rPr>
              <w:t>Snapshot</w:t>
            </w:r>
            <w:r>
              <w:rPr>
                <w:rFonts w:eastAsia="Times New Roman"/>
                <w:color w:val="000000"/>
                <w:sz w:val="20"/>
                <w:szCs w:val="20"/>
                <w:lang w:eastAsia="ru-RU"/>
              </w:rPr>
              <w:t xml:space="preserve"> к анализу данных в популяции </w:t>
            </w:r>
            <w:r>
              <w:rPr>
                <w:rFonts w:eastAsia="Times New Roman"/>
                <w:color w:val="000000"/>
                <w:sz w:val="20"/>
                <w:szCs w:val="20"/>
                <w:lang w:val="en-US" w:eastAsia="ru-RU"/>
              </w:rPr>
              <w:t>ITT</w:t>
            </w:r>
            <w:r w:rsidRPr="00D55DA3">
              <w:rPr>
                <w:rFonts w:eastAsia="Times New Roman"/>
                <w:color w:val="000000"/>
                <w:sz w:val="20"/>
                <w:szCs w:val="20"/>
                <w:lang w:eastAsia="ru-RU"/>
              </w:rPr>
              <w:t>.</w:t>
            </w:r>
          </w:p>
        </w:tc>
      </w:tr>
    </w:tbl>
    <w:p w14:paraId="3F4C29E7" w14:textId="77777777" w:rsidR="00FB4494" w:rsidRDefault="00FB4494" w:rsidP="001C0A37">
      <w:pPr>
        <w:pStyle w:val="affb"/>
        <w:spacing w:before="0" w:after="0" w:line="240" w:lineRule="auto"/>
        <w:ind w:firstLine="709"/>
      </w:pPr>
    </w:p>
    <w:p w14:paraId="1D5E598D" w14:textId="11C7FB4A" w:rsidR="00895A70" w:rsidRDefault="00FB4494" w:rsidP="00421CA0">
      <w:pPr>
        <w:ind w:firstLine="709"/>
        <w:contextualSpacing/>
      </w:pPr>
      <w:r w:rsidRPr="00586B91">
        <w:t xml:space="preserve">Анализ </w:t>
      </w:r>
      <w:r w:rsidR="00546C23">
        <w:t xml:space="preserve">в </w:t>
      </w:r>
      <w:r w:rsidRPr="00586B91">
        <w:t>подгрупп</w:t>
      </w:r>
      <w:r w:rsidR="00546C23">
        <w:t>ах</w:t>
      </w:r>
      <w:r w:rsidRPr="00586B91">
        <w:t xml:space="preserve"> показал, что у субъектов в возрасте от 2 до 6 лет вирусологический ответ [РНК ВИЧ &lt; 400 </w:t>
      </w:r>
      <w:r>
        <w:t xml:space="preserve">копий/мл] составил 100,0% [6/6] </w:t>
      </w:r>
      <w:r w:rsidRPr="00586B91">
        <w:t>для субъектов, которые проглотили таблетку этравирина целиком,</w:t>
      </w:r>
      <w:r>
        <w:t xml:space="preserve"> </w:t>
      </w:r>
      <w:r w:rsidRPr="00586B91">
        <w:t xml:space="preserve"> 100% [4/4] для субъектов которые принимали комбинацию как этравирина, диспергированного в жидкости, так и таблетки этравирина целиком</w:t>
      </w:r>
      <w:r>
        <w:t>,</w:t>
      </w:r>
      <w:r w:rsidRPr="00586B91">
        <w:t xml:space="preserve"> и 60% [6/10] для субъектов, которые принимали этравирин, диспергированный в жидкости. Из 4 субъектов, которые не продемонстрировали вирусологический ответ и принимали этравирин, диспергированный в жидкости, </w:t>
      </w:r>
      <w:r w:rsidR="00546C23">
        <w:t xml:space="preserve">у </w:t>
      </w:r>
      <w:r w:rsidRPr="00586B91">
        <w:t xml:space="preserve">3 </w:t>
      </w:r>
      <w:r w:rsidR="00546C23">
        <w:t>отмечена</w:t>
      </w:r>
      <w:r w:rsidR="00546C23" w:rsidRPr="00586B91">
        <w:t xml:space="preserve"> вирусологическ</w:t>
      </w:r>
      <w:r w:rsidR="00546C23">
        <w:t>ая</w:t>
      </w:r>
      <w:r w:rsidR="00546C23" w:rsidRPr="00586B91">
        <w:t xml:space="preserve"> неудач</w:t>
      </w:r>
      <w:r w:rsidR="00546C23">
        <w:t>а</w:t>
      </w:r>
      <w:r w:rsidR="00546C23" w:rsidRPr="00586B91">
        <w:t xml:space="preserve"> </w:t>
      </w:r>
      <w:r w:rsidRPr="00586B91">
        <w:t xml:space="preserve">и проблемы с соблюдением режима лечения, а один </w:t>
      </w:r>
      <w:r>
        <w:t>субъект был выведен из фазы терапии</w:t>
      </w:r>
      <w:r w:rsidRPr="00586B91">
        <w:t xml:space="preserve"> до 48-й недели по соображениям безопасности</w:t>
      </w:r>
      <w:r>
        <w:t xml:space="preserve"> </w:t>
      </w:r>
      <w:r w:rsidR="00DF34DD" w:rsidRPr="008B0B82">
        <w:t>[23, 67].</w:t>
      </w:r>
      <w:bookmarkStart w:id="169" w:name="_Hlk112173349"/>
    </w:p>
    <w:p w14:paraId="16BE4B60" w14:textId="1EC96ACF" w:rsidR="00895A70" w:rsidRPr="006711C5" w:rsidRDefault="00895A70" w:rsidP="00421CA0">
      <w:pPr>
        <w:pStyle w:val="4"/>
        <w:spacing w:after="240"/>
        <w:rPr>
          <w:rFonts w:ascii="Times New Roman" w:hAnsi="Times New Roman"/>
          <w:sz w:val="24"/>
          <w:szCs w:val="24"/>
        </w:rPr>
      </w:pPr>
      <w:bookmarkStart w:id="170" w:name="_Toc117179231"/>
      <w:r>
        <w:rPr>
          <w:rFonts w:ascii="Times New Roman" w:hAnsi="Times New Roman"/>
          <w:sz w:val="24"/>
          <w:szCs w:val="24"/>
        </w:rPr>
        <w:t>4.3.1.</w:t>
      </w:r>
      <w:r w:rsidR="00210081">
        <w:rPr>
          <w:rFonts w:ascii="Times New Roman" w:hAnsi="Times New Roman"/>
          <w:sz w:val="24"/>
          <w:szCs w:val="24"/>
        </w:rPr>
        <w:t>3</w:t>
      </w:r>
      <w:r w:rsidRPr="006711C5">
        <w:rPr>
          <w:rFonts w:ascii="Times New Roman" w:hAnsi="Times New Roman"/>
          <w:sz w:val="24"/>
          <w:szCs w:val="24"/>
        </w:rPr>
        <w:t>.</w:t>
      </w:r>
      <w:r>
        <w:rPr>
          <w:rFonts w:ascii="Times New Roman" w:hAnsi="Times New Roman"/>
          <w:sz w:val="24"/>
          <w:szCs w:val="24"/>
        </w:rPr>
        <w:t xml:space="preserve"> Беременность и послеродовый период</w:t>
      </w:r>
      <w:bookmarkEnd w:id="170"/>
    </w:p>
    <w:p w14:paraId="1A4AABA9" w14:textId="01C24ACD" w:rsidR="00895A70" w:rsidRPr="008B0B82" w:rsidRDefault="00235E54">
      <w:pPr>
        <w:ind w:firstLine="709"/>
      </w:pPr>
      <w:r>
        <w:t>Эффективность и безопасность э</w:t>
      </w:r>
      <w:r w:rsidRPr="00F62FA0">
        <w:t>травирин</w:t>
      </w:r>
      <w:r>
        <w:t>а</w:t>
      </w:r>
      <w:r w:rsidRPr="00F62FA0">
        <w:t xml:space="preserve"> </w:t>
      </w:r>
      <w:r w:rsidR="00895A70" w:rsidRPr="00F62FA0">
        <w:t>(200 мг два раза в день)</w:t>
      </w:r>
      <w:r>
        <w:t xml:space="preserve"> была оценена </w:t>
      </w:r>
      <w:r w:rsidR="00895A70" w:rsidRPr="00F62FA0">
        <w:t xml:space="preserve">в комбинации с другими антиретровирусными лекарственными </w:t>
      </w:r>
      <w:r w:rsidR="00B33D96">
        <w:t>препаратами</w:t>
      </w:r>
      <w:r w:rsidR="00B33D96" w:rsidRPr="00F62FA0">
        <w:t xml:space="preserve"> </w:t>
      </w:r>
      <w:r w:rsidR="00895A70" w:rsidRPr="00F62FA0">
        <w:t xml:space="preserve">в исследовании с участием 15 беременных женщин </w:t>
      </w:r>
      <w:r w:rsidR="00B33D96">
        <w:t>на</w:t>
      </w:r>
      <w:r w:rsidR="00B33D96" w:rsidRPr="00F62FA0">
        <w:t xml:space="preserve"> </w:t>
      </w:r>
      <w:r w:rsidR="00895A70" w:rsidRPr="00F62FA0">
        <w:t>втором и третьем триместрах беременности и после родов</w:t>
      </w:r>
      <w:r>
        <w:t>.</w:t>
      </w:r>
      <w:r w:rsidR="00895A70" w:rsidRPr="00F62FA0">
        <w:t xml:space="preserve"> </w:t>
      </w:r>
      <w:r>
        <w:t>Показано</w:t>
      </w:r>
      <w:r w:rsidR="00895A70" w:rsidRPr="00F62FA0">
        <w:t>, что экспозиция общего этравирина в целом была выше во время беременности по сравнению с послеродовым периодом, и в меньшей степени при воздействии несвязанного этравирина</w:t>
      </w:r>
      <w:r w:rsidR="00895A70">
        <w:t xml:space="preserve">. </w:t>
      </w:r>
      <w:r w:rsidR="00895A70" w:rsidRPr="00F62FA0">
        <w:t>В этом исследовании не было обнаружено новых клинически значимых данных о безопасности у матерей или новорожденных</w:t>
      </w:r>
      <w:r w:rsidR="00B244C2">
        <w:t xml:space="preserve"> </w:t>
      </w:r>
      <w:r w:rsidR="00EF3FBF" w:rsidRPr="008B0B82">
        <w:t>[39].</w:t>
      </w:r>
    </w:p>
    <w:bookmarkEnd w:id="169"/>
    <w:p w14:paraId="4488ED51" w14:textId="77777777" w:rsidR="003C3091" w:rsidRPr="00BA2D96" w:rsidRDefault="003C3091">
      <w:pPr>
        <w:ind w:firstLine="709"/>
        <w:rPr>
          <w:b/>
          <w:color w:val="000000"/>
        </w:rPr>
      </w:pPr>
    </w:p>
    <w:p w14:paraId="002DFF5B" w14:textId="542D6532" w:rsidR="00027CCE" w:rsidRDefault="00040F40">
      <w:pPr>
        <w:outlineLvl w:val="2"/>
        <w:rPr>
          <w:rFonts w:eastAsia="Times New Roman"/>
          <w:b/>
          <w:bCs/>
          <w:iCs/>
          <w:lang w:eastAsia="en-US"/>
        </w:rPr>
      </w:pPr>
      <w:bookmarkStart w:id="171" w:name="_Toc52190594"/>
      <w:bookmarkStart w:id="172" w:name="_Toc117179232"/>
      <w:bookmarkStart w:id="173" w:name="_Hlk521885199"/>
      <w:r w:rsidRPr="00620389">
        <w:rPr>
          <w:rFonts w:eastAsia="Times New Roman"/>
          <w:b/>
          <w:bCs/>
          <w:iCs/>
          <w:lang w:eastAsia="en-US"/>
        </w:rPr>
        <w:t>4.</w:t>
      </w:r>
      <w:r>
        <w:rPr>
          <w:rFonts w:eastAsia="Times New Roman"/>
          <w:b/>
          <w:bCs/>
          <w:iCs/>
          <w:lang w:eastAsia="en-US"/>
        </w:rPr>
        <w:t>3</w:t>
      </w:r>
      <w:r w:rsidR="00B30F15">
        <w:rPr>
          <w:rFonts w:eastAsia="Times New Roman"/>
          <w:b/>
          <w:bCs/>
          <w:iCs/>
          <w:lang w:eastAsia="en-US"/>
        </w:rPr>
        <w:t>.2.</w:t>
      </w:r>
      <w:bookmarkEnd w:id="171"/>
      <w:r w:rsidR="007D3F37">
        <w:rPr>
          <w:rFonts w:eastAsia="Times New Roman"/>
          <w:b/>
          <w:bCs/>
          <w:iCs/>
          <w:lang w:eastAsia="en-US"/>
        </w:rPr>
        <w:t xml:space="preserve"> </w:t>
      </w:r>
      <w:r w:rsidR="00B30F15">
        <w:rPr>
          <w:rFonts w:eastAsia="Times New Roman"/>
          <w:b/>
          <w:bCs/>
          <w:iCs/>
          <w:lang w:eastAsia="en-US"/>
        </w:rPr>
        <w:t>Клиническая безопасность</w:t>
      </w:r>
      <w:bookmarkEnd w:id="172"/>
      <w:r w:rsidR="00027CCE">
        <w:rPr>
          <w:rFonts w:eastAsia="Times New Roman"/>
          <w:b/>
          <w:bCs/>
          <w:iCs/>
          <w:lang w:eastAsia="en-US"/>
        </w:rPr>
        <w:t xml:space="preserve"> </w:t>
      </w:r>
      <w:bookmarkStart w:id="174" w:name="_Toc52190595"/>
    </w:p>
    <w:p w14:paraId="6C90130B" w14:textId="6A1B1DDE" w:rsidR="00030E0F" w:rsidRDefault="00030E0F" w:rsidP="00A76175">
      <w:pPr>
        <w:rPr>
          <w:lang w:eastAsia="en-US"/>
        </w:rPr>
      </w:pPr>
    </w:p>
    <w:p w14:paraId="290008FB" w14:textId="392A5BB8" w:rsidR="00147F06" w:rsidRDefault="00147F06" w:rsidP="00147F06">
      <w:pPr>
        <w:pStyle w:val="affb"/>
        <w:spacing w:before="0" w:after="0" w:line="240" w:lineRule="auto"/>
        <w:ind w:firstLine="709"/>
      </w:pPr>
      <w:r w:rsidRPr="00BD07AE">
        <w:rPr>
          <w:iCs/>
        </w:rPr>
        <w:t>В общей сложности 1093 пациентов получали этравирин-содержащие схемы АРТ (в исследованиях IIB и III фазы); из их 861 пациент принимали этравирин не менее 24 недель и 27</w:t>
      </w:r>
      <w:r>
        <w:rPr>
          <w:iCs/>
        </w:rPr>
        <w:t>9 – не менее 48 недель.</w:t>
      </w:r>
      <w:r w:rsidRPr="00BD07AE">
        <w:rPr>
          <w:iCs/>
        </w:rPr>
        <w:t xml:space="preserve"> В объединенный анализ DUET (рандомизированные плацебо-контролируемые исследования TMC125-C206 и TMC125-C216) вошло в общей сложности 599 ВИЧ-инфицированных, получавших этравирин (200 мг 2 раза в день) и 604 пациента, получавших плацебо. По данным объединенного анализа исследований DUET средняя продолжительность приема этравирина и плацебо составила 52,3 и 51,0 нед. соответственно</w:t>
      </w:r>
      <w:r>
        <w:rPr>
          <w:iCs/>
        </w:rPr>
        <w:t xml:space="preserve">. </w:t>
      </w:r>
      <w:r w:rsidRPr="000B3E26">
        <w:t>Наиболее частыми побочными эффектами препарата (показано в ключевых исследованиях DUET и на постмаркетинговом этапе) являются: головная боль, диарея, тошнота и сыпь (встречаются очень часто (≥1/10)); часто встречаются (≥1/100 – &lt;1/10): тромбоцитопения, анемия, снижение числа нейтрофилов, гиперчувствительность к препарату, сахарный диабет, гипергликемия, гиперхолестеринемия, увеличение концентрации ЛПНП, гипертриглицеридемия, гиперлипидемия, дислипидемия, анорексия, тревожность, бессонница, нарушения сна, периферическая нейропатия, парестезии, гипестезии, амнезия, сонливость, нечёткость зрения, инфаркт миокарда, гипертензия, одышка при нагрузке, гастроэзофагеальная рефлюксная болезнь, рвота, боль в животе, вздутие живота, метеоризм, гастрит, запор, сухость во рту, стоматит, повышение активности липазы, повышение активности амилазы в крови, повышение активности АЛТ/АСТ, ночная потливость, сухость кожи, пруриго, почечная недостаточность, повышение концентрации креатинина в крови, утомляемость. СНЯ наблюдались редко (в 2,8% vs. 2,0% плацебо)</w:t>
      </w:r>
      <w:r>
        <w:t>.</w:t>
      </w:r>
    </w:p>
    <w:p w14:paraId="2D55C4C9" w14:textId="6910561C" w:rsidR="00147F06" w:rsidRDefault="00147F06" w:rsidP="00A76175">
      <w:pPr>
        <w:pStyle w:val="affb"/>
        <w:spacing w:before="0" w:after="0" w:line="240" w:lineRule="auto"/>
        <w:ind w:firstLine="709"/>
      </w:pPr>
      <w:r>
        <w:t>Частота, тип и тяжесть нежелательных реакций на лекарственные препараты у детей были сравнимы с таковыми у взрослых, за исключением сыпи, которая чаще наблюдалась у детей. Наиболее частыми побочными реакциями на лекарственные средства, по крайней мере у 2% детей, были сыпь и диарея. Сыпь (2 и более степени тяжести) наблюдалось у 15% детей. В большинстве случаев сыпь была легкой или умеренной, макулярно-папулезного типа, возникала на второй неделе терапии. Сыпь была ограниченной и обычно разрешалась в течение 1 недели при продолжении терапии. Частота прекращения лечения из-за сыпи составила 4%. Сыпь, в том числе значительная (3 или 4</w:t>
      </w:r>
      <w:r w:rsidRPr="00147F06">
        <w:t xml:space="preserve"> </w:t>
      </w:r>
      <w:r>
        <w:t>степени тяжести), и прекращение терапии чаще наблюдались у пациентов женского пола.</w:t>
      </w:r>
    </w:p>
    <w:p w14:paraId="056F9652" w14:textId="77777777" w:rsidR="00147F06" w:rsidRDefault="00147F06" w:rsidP="00A76175">
      <w:pPr>
        <w:rPr>
          <w:lang w:eastAsia="en-US"/>
        </w:rPr>
      </w:pPr>
    </w:p>
    <w:p w14:paraId="4977D5F7" w14:textId="77777777" w:rsidR="00421CA0" w:rsidRDefault="00421CA0" w:rsidP="00A76175">
      <w:pPr>
        <w:outlineLvl w:val="2"/>
        <w:rPr>
          <w:b/>
          <w:bCs/>
        </w:rPr>
        <w:sectPr w:rsidR="00421CA0" w:rsidSect="00AB01E2">
          <w:pgSz w:w="11906" w:h="16838"/>
          <w:pgMar w:top="1134" w:right="849" w:bottom="1134" w:left="1701" w:header="708" w:footer="709" w:gutter="0"/>
          <w:cols w:space="708"/>
          <w:docGrid w:linePitch="360"/>
        </w:sectPr>
      </w:pPr>
      <w:bookmarkStart w:id="175" w:name="_Toc117179233"/>
    </w:p>
    <w:p w14:paraId="444C09CC" w14:textId="4CA3F842" w:rsidR="00557432" w:rsidRDefault="00027CCE" w:rsidP="00A76175">
      <w:pPr>
        <w:outlineLvl w:val="2"/>
        <w:rPr>
          <w:b/>
          <w:bCs/>
        </w:rPr>
      </w:pPr>
      <w:r w:rsidRPr="00027CCE">
        <w:rPr>
          <w:b/>
          <w:bCs/>
        </w:rPr>
        <w:t xml:space="preserve">4.3.2.1. </w:t>
      </w:r>
      <w:r w:rsidR="00557432" w:rsidRPr="00027CCE">
        <w:rPr>
          <w:b/>
          <w:bCs/>
        </w:rPr>
        <w:t>Группоспецифические эффекты</w:t>
      </w:r>
      <w:bookmarkEnd w:id="175"/>
    </w:p>
    <w:p w14:paraId="2B61255A" w14:textId="77777777" w:rsidR="00030E0F" w:rsidRDefault="00030E0F">
      <w:pPr>
        <w:ind w:firstLine="709"/>
      </w:pPr>
    </w:p>
    <w:p w14:paraId="3420AE1A" w14:textId="19D56A71" w:rsidR="00557432" w:rsidRPr="0098072A" w:rsidRDefault="00557432">
      <w:pPr>
        <w:ind w:firstLine="709"/>
      </w:pPr>
      <w:r w:rsidRPr="0098072A">
        <w:t xml:space="preserve">К группе ННИОТ относят </w:t>
      </w:r>
      <w:r w:rsidR="006B4777" w:rsidRPr="0098072A">
        <w:t>EFV (эфавиренз), ETR (этравирин), NVP (</w:t>
      </w:r>
      <w:bookmarkStart w:id="176" w:name="_Hlk112176264"/>
      <w:r w:rsidR="006B4777" w:rsidRPr="0098072A">
        <w:t>невирапин</w:t>
      </w:r>
      <w:bookmarkEnd w:id="176"/>
      <w:r w:rsidR="006B4777" w:rsidRPr="0098072A">
        <w:t xml:space="preserve">), DOR (доравирин), RPV (рилпивирин) и ESV (элсульфавирин) </w:t>
      </w:r>
      <w:r w:rsidR="005D7758" w:rsidRPr="0098072A">
        <w:fldChar w:fldCharType="begin"/>
      </w:r>
      <w:r w:rsidR="00CB4015" w:rsidRPr="0098072A">
        <w:instrText xml:space="preserve"> ADDIN ZOTERO_ITEM CSL_CITATION {"citationID":"QgQ7HYSy","properties":{"formattedCitation":"(23,54\\uc0\\u8211{}57)","plainCitation":"(23,54–57)","noteIndex":0},"citationItems":[{"id":2588,"uris":["http://zotero.org/users/5483459/items/XZWGXXTF"],"itemData":{"id":2588,"type":"document","title":"European Medicines Agency INTELENCE®Summary of Product Characteristic. 2008.Doc.Ref.: EMEA/CHMP/43952/2008"},"label":"page"},{"id":2461,"uris":["http://zotero.org/users/5483459/items/TE38ARHZ"],"itemData":{"id":2461,"type":"document","title":"Министерство здравоохранения Российской Федерации. Клинические рекомендации ВИЧ-инфекция у взрослых. 2020."},"label":"page"},{"id":2490,"uris":["http://zotero.org/users/5483459/items/A2PPE6TL"],"itemData":{"id":2490,"type":"document","title":"Министерство здравоохранения Российской Федерации. Клинические рекомендации ВИЧ-инфекция у детей. 2020."},"label":"page"},{"id":2481,"uris":["http://zotero.org/users/5483459/items/XECSFSCZ"],"itemData":{"id":2481,"type":"document","title":"British HIV Association (BHIVA) guidelines on antiretroviral treatment for adults living with HIV-1. 2022."},"label":"page"},{"id":2482,"uris":["http://zotero.org/users/5483459/items/3625DM67"],"itemData":{"id":2482,"type":"document","title":"World Health Organization publishes new Consolidated HIV guidelines for prevention, treatment, service delivery &amp; monitoring - news release. 2021."},"label":"page"}],"schema":"https://github.com/citation-style-language/schema/raw/master/csl-citation.json"} </w:instrText>
      </w:r>
      <w:r w:rsidR="005D7758" w:rsidRPr="0098072A">
        <w:fldChar w:fldCharType="separate"/>
      </w:r>
      <w:r w:rsidR="005E2B83" w:rsidRPr="005E2B83">
        <w:t>[</w:t>
      </w:r>
      <w:r w:rsidR="00CB4015" w:rsidRPr="0098072A">
        <w:t>23,54–57</w:t>
      </w:r>
      <w:r w:rsidR="005E2B83" w:rsidRPr="005E2B83">
        <w:t>]</w:t>
      </w:r>
      <w:r w:rsidR="005D7758" w:rsidRPr="0098072A">
        <w:fldChar w:fldCharType="end"/>
      </w:r>
      <w:r w:rsidR="00CB4015" w:rsidRPr="0098072A">
        <w:t xml:space="preserve">. </w:t>
      </w:r>
      <w:r w:rsidRPr="0098072A">
        <w:t xml:space="preserve">В отличие от НИОТ, ННИОТ оказывают прямое ингибирующее действие на активность RT за счет связывания с аллостерическим участком фермента и являются более мощными антиретровирусными средствами, применяемыми для лечения пациентов, инфицированных ВИЧ-1. Несмотря на химические структурные отличия, им присущ единый механизм действия. В отличие от НИОТ они не фосфорилируются внутри клетки. ННИОТ блокируют активность RT за счет связывания с р66-субъединицей гидрофобной зоны, прилежащей к активному центру фермента, нарушают его конформацию и уменьшают ферментативную активность. Все ННИОТ, за исключением </w:t>
      </w:r>
      <w:r w:rsidR="00CB4015" w:rsidRPr="0098072A">
        <w:t>этравирина</w:t>
      </w:r>
      <w:r w:rsidRPr="0098072A">
        <w:t xml:space="preserve">, способны проявлять гепатотоксичность </w:t>
      </w:r>
      <w:r w:rsidR="00F903B7" w:rsidRPr="0098072A">
        <w:fldChar w:fldCharType="begin"/>
      </w:r>
      <w:r w:rsidR="00F903B7" w:rsidRPr="0098072A">
        <w:instrText xml:space="preserve"> ADDIN ZOTERO_ITEM CSL_CITATION {"citationID":"woStIjW5","properties":{"formattedCitation":"(83)","plainCitation":"(83)","noteIndex":0},"citationItems":[{"id":2635,"uris":["http://zotero.org/users/5483459/items/N296CUGI"],"itemData":{"id":2635,"type":"webpage","title":"Benedicto AM, Fuster-Martínez I, Tosca J, Esplugues JV, Blas-García A, Apostolova N. NNRTI and Liver Damage: Evidence of Their Association and the Mechanisms Involved. Cells. 2021 Jul 4;10(7 - Поиск в Google","URL":"https://www.google.ru/search?q=Benedicto+AM%2C+Fuster-Mart%C3%ADnez+I%2C+Tosca+J%2C+Esplugues+JV%2C+Blas-Garc%C3%ADa+A%2C+Apostolova+N.+NNRTI+and+Liver+Damage%3A+Evidence+of+Their+Association+and+the+Mechanisms+Involved.+Cells.+2021+Jul+4%3B10%287&amp;newwindow=1&amp;rlz=1C1CHBD_ruRU792&amp;dcr=0&amp;ei=n_4EY9TdA5nQqwGZqJzoCg&amp;ved=0ahUKEwiUqdqxr935AhUZ6CoKHRkUB60Q4dUDCA4&amp;oq=Benedicto+AM%2C+Fuster-Mart%C3%ADnez+I%2C+Tosca+J%2C+Esplugues+JV%2C+Blas-Garc%C3%ADa+A%2C+Apostolova+N.+NNRTI+and+Liver+Damage%3A+Evidence+of+Their+Association+and+the+Mechanisms+Involved.+Cells.+2021+Jul+4%3B10%287&amp;gs_lcp=Cgdnd3Mtd2l6EAxKBAhBGABKBAhGGABQ2A5Y2A5gzBtoAXABeACAAQCIAQCSAQCYAQCgAQGgAQKwAQDAAQE&amp;sclient=gws-wiz","accessed":{"date-parts":[["2022",8,23]]}}}],"schema":"https://github.com/citation-style-language/schema/raw/master/csl-citation.json"} </w:instrText>
      </w:r>
      <w:r w:rsidR="00F903B7" w:rsidRPr="0098072A">
        <w:fldChar w:fldCharType="separate"/>
      </w:r>
      <w:r w:rsidR="005E2B83" w:rsidRPr="005E2B83">
        <w:t>[</w:t>
      </w:r>
      <w:r w:rsidR="00F903B7" w:rsidRPr="0098072A">
        <w:t>83</w:t>
      </w:r>
      <w:r w:rsidR="005E2B83" w:rsidRPr="005E2B83">
        <w:t>]</w:t>
      </w:r>
      <w:r w:rsidR="00F903B7" w:rsidRPr="0098072A">
        <w:fldChar w:fldCharType="end"/>
      </w:r>
      <w:r w:rsidR="00F903B7" w:rsidRPr="0098072A">
        <w:t>.</w:t>
      </w:r>
    </w:p>
    <w:p w14:paraId="64C3F0DD" w14:textId="22B42D2F" w:rsidR="00557432" w:rsidRPr="00887B9C" w:rsidRDefault="00557432" w:rsidP="00557432">
      <w:pPr>
        <w:ind w:firstLine="709"/>
      </w:pPr>
      <w:r w:rsidRPr="00887B9C">
        <w:t xml:space="preserve">Для </w:t>
      </w:r>
      <w:r w:rsidR="00C660CD" w:rsidRPr="00887B9C">
        <w:t xml:space="preserve">эфавиренза </w:t>
      </w:r>
      <w:r w:rsidRPr="00887B9C">
        <w:t xml:space="preserve">характерно повышение активности трансаминаз, способность вызывать психоневрологические НЯ (наиболее часто регистрируют развитие депрессии, когнитивных нарушений и нарушений сна), включая суицидальные мысли </w:t>
      </w:r>
      <w:r w:rsidR="00C8139D" w:rsidRPr="00887B9C">
        <w:t xml:space="preserve"> </w:t>
      </w:r>
      <w:r w:rsidR="00C8139D" w:rsidRPr="00887B9C">
        <w:fldChar w:fldCharType="begin"/>
      </w:r>
      <w:r w:rsidR="00C8139D" w:rsidRPr="00887B9C">
        <w:instrText xml:space="preserve"> ADDIN ZOTERO_ITEM CSL_CITATION {"citationID":"IO35uqwh","properties":{"formattedCitation":"(84)","plainCitation":"(84)","noteIndex":0},"citationItems":[{"id":2637,"uris":["http://zotero.org/users/5483459/items/ND6KYQI8"],"itemData":{"id":2637,"type":"webpage","title":"Guidelines for the Use of Antiretroviral Agents in Adults and Adolescents Living with HIV - Healthy People 2030 | health.gov","URL":"https://health.gov/healthypeople/tools-action/browse-evidence-based-resources/guidelines-use-antiretroviral-agents-adults-and-adolescents-living-hiv","accessed":{"date-parts":[["2022",8,23]]}}}],"schema":"https://github.com/citation-style-language/schema/raw/master/csl-citation.json"} </w:instrText>
      </w:r>
      <w:r w:rsidR="00C8139D" w:rsidRPr="00887B9C">
        <w:fldChar w:fldCharType="separate"/>
      </w:r>
      <w:r w:rsidR="005E2B83" w:rsidRPr="005E2B83">
        <w:t>[</w:t>
      </w:r>
      <w:r w:rsidR="00C8139D" w:rsidRPr="00887B9C">
        <w:t>84</w:t>
      </w:r>
      <w:r w:rsidR="005E2B83" w:rsidRPr="005E2B83">
        <w:t>]</w:t>
      </w:r>
      <w:r w:rsidR="00C8139D" w:rsidRPr="00887B9C">
        <w:fldChar w:fldCharType="end"/>
      </w:r>
      <w:r w:rsidR="00C8139D" w:rsidRPr="00887B9C">
        <w:t>.</w:t>
      </w:r>
      <w:r w:rsidRPr="00887B9C">
        <w:t xml:space="preserve"> </w:t>
      </w:r>
    </w:p>
    <w:p w14:paraId="4BFC2AD2" w14:textId="2E5EBD4D" w:rsidR="00557432" w:rsidRDefault="00C8139D" w:rsidP="00557432">
      <w:pPr>
        <w:ind w:firstLine="709"/>
      </w:pPr>
      <w:r>
        <w:t>Н</w:t>
      </w:r>
      <w:r w:rsidRPr="00C8139D">
        <w:t>евирапин</w:t>
      </w:r>
      <w:r w:rsidR="00557432">
        <w:t xml:space="preserve"> может приводить к развитию у ВИЧ-инфицированных лиц (чаще у пациенток) тяжелых повреждений печени, включая гепатонекроз. Кроме того, для </w:t>
      </w:r>
      <w:r>
        <w:t>н</w:t>
      </w:r>
      <w:r w:rsidRPr="00C8139D">
        <w:t>евирапин</w:t>
      </w:r>
      <w:r>
        <w:t xml:space="preserve">а </w:t>
      </w:r>
      <w:r w:rsidR="00557432">
        <w:t xml:space="preserve">характерны тошнота, рвота, сонливость, диарея, боли в животе, лихорадка, утомляемость, головная боль, миалгия, рабдомиолиз, артралгия, гранулоцитопения, аллергические проявления, эозинофилия, синдрома Стивенса-Джонсона (SJS), лимфоаденопатия </w:t>
      </w:r>
      <w:r>
        <w:fldChar w:fldCharType="begin"/>
      </w:r>
      <w:r w:rsidR="00FA038F">
        <w:instrText xml:space="preserve"> ADDIN ZOTERO_ITEM CSL_CITATION {"citationID":"cPVVzxxy","properties":{"formattedCitation":"(57,84)","plainCitation":"(57,84)","noteIndex":0},"citationItems":[{"id":2482,"uris":["http://zotero.org/users/5483459/items/3625DM67"],"itemData":{"id":2482,"type":"document","title":"World Health Organization publishes new Consolidated HIV guidelines for prevention, treatment, service delivery &amp; monitoring - news release. 2021."},"label":"page"},{"id":2637,"uris":["http://zotero.org/users/5483459/items/ND6KYQI8"],"itemData":{"id":2637,"type":"webpage","title":"Guidelines for the Use of Antiretroviral Agents in Adults and Adolescents Living with HIV - Healthy People 2030 | health.gov","URL":"https://health.gov/healthypeople/tools-action/browse-evidence-based-resources/guidelines-use-antiretroviral-agents-adults-and-adolescents-living-hiv","accessed":{"date-parts":[["2022",8,23]]}},"label":"page"}],"schema":"https://github.com/citation-style-language/schema/raw/master/csl-citation.json"} </w:instrText>
      </w:r>
      <w:r>
        <w:fldChar w:fldCharType="separate"/>
      </w:r>
      <w:r w:rsidR="005E2B83" w:rsidRPr="005E2B83">
        <w:t>[</w:t>
      </w:r>
      <w:r w:rsidR="00FA038F" w:rsidRPr="00FA038F">
        <w:t>57,84</w:t>
      </w:r>
      <w:r w:rsidR="005E2B83" w:rsidRPr="005E2B83">
        <w:t>]</w:t>
      </w:r>
      <w:r>
        <w:fldChar w:fldCharType="end"/>
      </w:r>
      <w:r w:rsidR="00FA038F">
        <w:t>.</w:t>
      </w:r>
    </w:p>
    <w:p w14:paraId="761F6238" w14:textId="19930065" w:rsidR="00A25FF5" w:rsidRDefault="00557432">
      <w:pPr>
        <w:ind w:firstLine="709"/>
      </w:pPr>
      <w:r>
        <w:t>К препаратам второго поколения ННИОТ относятся</w:t>
      </w:r>
      <w:r w:rsidR="00FA038F">
        <w:t xml:space="preserve"> э</w:t>
      </w:r>
      <w:r w:rsidR="00FA038F" w:rsidRPr="00CD643C">
        <w:t>травирин</w:t>
      </w:r>
      <w:r w:rsidR="00FA038F">
        <w:t>, д</w:t>
      </w:r>
      <w:r w:rsidR="00FA038F" w:rsidRPr="00006059">
        <w:t>оравирин</w:t>
      </w:r>
      <w:r w:rsidR="00FA038F">
        <w:t>, р</w:t>
      </w:r>
      <w:r w:rsidR="00FA038F" w:rsidRPr="009C11AC">
        <w:t>илпивирин</w:t>
      </w:r>
      <w:r w:rsidR="00FA038F">
        <w:t xml:space="preserve"> и э</w:t>
      </w:r>
      <w:r w:rsidR="00FA038F" w:rsidRPr="00B23646">
        <w:t>лсульфавирин</w:t>
      </w:r>
      <w:r w:rsidR="00FA038F">
        <w:t xml:space="preserve">. </w:t>
      </w:r>
      <w:r>
        <w:t xml:space="preserve">Как для </w:t>
      </w:r>
      <w:r w:rsidR="00FA038F">
        <w:t>этравирина</w:t>
      </w:r>
      <w:r>
        <w:t xml:space="preserve">, так и для </w:t>
      </w:r>
      <w:r w:rsidR="00FA038F">
        <w:t>р</w:t>
      </w:r>
      <w:r w:rsidR="00FA038F" w:rsidRPr="00FA038F">
        <w:t>илпивирин</w:t>
      </w:r>
      <w:r w:rsidR="00FA038F">
        <w:t>а</w:t>
      </w:r>
      <w:r>
        <w:t xml:space="preserve">, характерно меньшее негативное влияние на центральную нервную систему (ЦНС) </w:t>
      </w:r>
      <w:r w:rsidR="00837623">
        <w:fldChar w:fldCharType="begin"/>
      </w:r>
      <w:r w:rsidR="00807738">
        <w:instrText xml:space="preserve"> ADDIN ZOTERO_ITEM CSL_CITATION {"citationID":"pZdNr5G9","properties":{"formattedCitation":"(84)","plainCitation":"(84)","noteIndex":0},"citationItems":[{"id":2637,"uris":["http://zotero.org/users/5483459/items/ND6KYQI8"],"itemData":{"id":2637,"type":"webpage","title":"Guidelines for the Use of Antiretroviral Agents in Adults and Adolescents Living with HIV - Healthy People 2030 | health.gov","URL":"https://health.gov/healthypeople/tools-action/browse-evidence-based-resources/guidelines-use-antiretroviral-agents-adults-and-adolescents-living-hiv","accessed":{"date-parts":[["2022",8,23]]}}}],"schema":"https://github.com/citation-style-language/schema/raw/master/csl-citation.json"} </w:instrText>
      </w:r>
      <w:r w:rsidR="00837623">
        <w:fldChar w:fldCharType="separate"/>
      </w:r>
      <w:r w:rsidR="005E2B83" w:rsidRPr="005E2B83">
        <w:t>[</w:t>
      </w:r>
      <w:r w:rsidR="00837623" w:rsidRPr="00C8139D">
        <w:t>84</w:t>
      </w:r>
      <w:r w:rsidR="005E2B83" w:rsidRPr="005E2B83">
        <w:t>]</w:t>
      </w:r>
      <w:r w:rsidR="00837623">
        <w:fldChar w:fldCharType="end"/>
      </w:r>
      <w:r w:rsidR="00837623">
        <w:t xml:space="preserve">. </w:t>
      </w:r>
      <w:r>
        <w:t xml:space="preserve">Для </w:t>
      </w:r>
      <w:r w:rsidR="00FA038F">
        <w:t>д</w:t>
      </w:r>
      <w:r w:rsidR="00FA038F" w:rsidRPr="00006059">
        <w:t>оравирин</w:t>
      </w:r>
      <w:r w:rsidR="00FA038F">
        <w:t xml:space="preserve">а </w:t>
      </w:r>
      <w:r>
        <w:t xml:space="preserve">и элсульфавирина характерно частое развитие нарушений со стороны психики (необычные сновидения, бессонница, кошмары, депрессия (в т.ч. депрессивное настроение, большой депрессивный эпизод, стойкое депрессивное расстройство), нервной системы (головная боль, головокружение, сонливость), желудочно-кишечного тракта (тошнота, диарея, боль в животе), а также возникновение сыпи (в т.ч. макулезной, эритематозной генерализованной, макуло-папулезной, папулезной сыпи, крапивницы) </w:t>
      </w:r>
      <w:r w:rsidR="00837623">
        <w:fldChar w:fldCharType="begin"/>
      </w:r>
      <w:r w:rsidR="00807738">
        <w:instrText xml:space="preserve"> ADDIN ZOTERO_ITEM CSL_CITATION {"citationID":"G53LjXeu","properties":{"formattedCitation":"(84)","plainCitation":"(84)","noteIndex":0},"citationItems":[{"id":2637,"uris":["http://zotero.org/users/5483459/items/ND6KYQI8"],"itemData":{"id":2637,"type":"webpage","title":"Guidelines for the Use of Antiretroviral Agents in Adults and Adolescents Living with HIV - Healthy People 2030 | health.gov","URL":"https://health.gov/healthypeople/tools-action/browse-evidence-based-resources/guidelines-use-antiretroviral-agents-adults-and-adolescents-living-hiv","accessed":{"date-parts":[["2022",8,23]]}}}],"schema":"https://github.com/citation-style-language/schema/raw/master/csl-citation.json"} </w:instrText>
      </w:r>
      <w:r w:rsidR="00837623">
        <w:fldChar w:fldCharType="separate"/>
      </w:r>
      <w:r w:rsidR="005E2B83" w:rsidRPr="005E2B83">
        <w:t>[</w:t>
      </w:r>
      <w:r w:rsidR="00837623" w:rsidRPr="00C8139D">
        <w:t>84</w:t>
      </w:r>
      <w:r w:rsidR="005E2B83" w:rsidRPr="005E2B83">
        <w:t>]</w:t>
      </w:r>
      <w:r w:rsidR="00837623">
        <w:fldChar w:fldCharType="end"/>
      </w:r>
      <w:r w:rsidR="00837623">
        <w:t>.</w:t>
      </w:r>
    </w:p>
    <w:p w14:paraId="3782E5D4" w14:textId="77777777" w:rsidR="00030E0F" w:rsidRDefault="00030E0F">
      <w:pPr>
        <w:ind w:firstLine="709"/>
      </w:pPr>
    </w:p>
    <w:p w14:paraId="26696124" w14:textId="1F1759C6" w:rsidR="00837623" w:rsidRPr="00837623" w:rsidRDefault="00837623" w:rsidP="00A76175">
      <w:pPr>
        <w:outlineLvl w:val="2"/>
        <w:rPr>
          <w:b/>
          <w:bCs/>
        </w:rPr>
      </w:pPr>
      <w:bookmarkStart w:id="177" w:name="_Toc117179234"/>
      <w:r w:rsidRPr="00027CCE">
        <w:rPr>
          <w:b/>
          <w:bCs/>
        </w:rPr>
        <w:t>4</w:t>
      </w:r>
      <w:r w:rsidRPr="00837623">
        <w:rPr>
          <w:b/>
          <w:bCs/>
        </w:rPr>
        <w:t>.3.2.2. Препарат-специфичные эффекты</w:t>
      </w:r>
      <w:bookmarkEnd w:id="177"/>
    </w:p>
    <w:p w14:paraId="3C1B35EE" w14:textId="77777777" w:rsidR="00030E0F" w:rsidRDefault="00030E0F">
      <w:pPr>
        <w:rPr>
          <w:b/>
          <w:bCs/>
        </w:rPr>
      </w:pPr>
    </w:p>
    <w:p w14:paraId="5CE5B456" w14:textId="6FFC4620" w:rsidR="00837623" w:rsidRPr="003F4668" w:rsidRDefault="00837623">
      <w:pPr>
        <w:rPr>
          <w:b/>
          <w:bCs/>
        </w:rPr>
      </w:pPr>
      <w:r w:rsidRPr="003F4668">
        <w:rPr>
          <w:b/>
          <w:bCs/>
        </w:rPr>
        <w:t>Взрослые</w:t>
      </w:r>
    </w:p>
    <w:p w14:paraId="1787F5D0" w14:textId="77777777" w:rsidR="009D42C6" w:rsidRDefault="009D42C6">
      <w:pPr>
        <w:ind w:firstLine="709"/>
      </w:pPr>
    </w:p>
    <w:p w14:paraId="73442965" w14:textId="61AF276A" w:rsidR="00837623" w:rsidRDefault="00837623">
      <w:pPr>
        <w:ind w:firstLine="709"/>
      </w:pPr>
      <w:r>
        <w:t>Оценка профиля безопасности и переносимости э</w:t>
      </w:r>
      <w:r w:rsidRPr="00CD643C">
        <w:t>травирин</w:t>
      </w:r>
      <w:r>
        <w:t>а основана на данных, полученных у здоровых добровольцев и ВИЧ-1-инфицированных пациентов, участвовавших в клинических исследованиях по оценке эффективности/безопасности оригинального препарата Интеленс</w:t>
      </w:r>
      <w:r w:rsidRPr="008B0B82">
        <w:rPr>
          <w:vertAlign w:val="superscript"/>
        </w:rPr>
        <w:t>®</w:t>
      </w:r>
      <w:r>
        <w:t xml:space="preserve"> (</w:t>
      </w:r>
      <w:r w:rsidR="00807738">
        <w:t>этравирин</w:t>
      </w:r>
      <w:r>
        <w:t>)</w:t>
      </w:r>
      <w:r w:rsidR="00807738">
        <w:t xml:space="preserve"> </w:t>
      </w:r>
      <w:r w:rsidR="00807738">
        <w:fldChar w:fldCharType="begin"/>
      </w:r>
      <w:r w:rsidR="00807738">
        <w:instrText xml:space="preserve"> ADDIN ZOTERO_ITEM CSL_CITATION {"citationID":"L5E2Ti0A","properties":{"formattedCitation":"(1,7,23)","plainCitation":"(1,7,23)","noteIndex":0},"citationItems":[{"id":2546,"uris":["http://zotero.org/users/5483459/items/J2LUM5TE"],"itemData":{"id":2546,"type":"document","title":"Product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rsidR="00807738">
        <w:fldChar w:fldCharType="separate"/>
      </w:r>
      <w:r w:rsidR="005E2B83" w:rsidRPr="005E2B83">
        <w:t>[</w:t>
      </w:r>
      <w:r w:rsidR="00807738" w:rsidRPr="00807738">
        <w:t>1,</w:t>
      </w:r>
      <w:r w:rsidR="00235E54">
        <w:t xml:space="preserve"> </w:t>
      </w:r>
      <w:r w:rsidR="00807738" w:rsidRPr="00807738">
        <w:t>7,</w:t>
      </w:r>
      <w:r w:rsidR="00235E54">
        <w:t xml:space="preserve"> </w:t>
      </w:r>
      <w:r w:rsidR="00807738" w:rsidRPr="00807738">
        <w:t>23</w:t>
      </w:r>
      <w:r w:rsidR="005E2B83" w:rsidRPr="005E2B83">
        <w:t>]</w:t>
      </w:r>
      <w:r w:rsidR="00807738">
        <w:fldChar w:fldCharType="end"/>
      </w:r>
      <w:r w:rsidR="00807738">
        <w:t>.</w:t>
      </w:r>
    </w:p>
    <w:p w14:paraId="7350C5BF" w14:textId="60AE9851" w:rsidR="00807738" w:rsidRDefault="00837623" w:rsidP="00807738">
      <w:pPr>
        <w:ind w:firstLine="709"/>
      </w:pPr>
      <w:r>
        <w:t xml:space="preserve">В исследования фазы I/IIA вошло в общей сложности 1093 здоровых добровольца и 144 ВИЧ-инфицированных пациента. Один здоровый доброволец умер через 3 дня после однократного приема </w:t>
      </w:r>
      <w:r w:rsidR="00807738">
        <w:t>этравирина</w:t>
      </w:r>
      <w:r>
        <w:t xml:space="preserve">, однако причинно-следственной связи между событиями установлено не было (причина смерти определена как «неизвестная», смерть, вероятно, могла наступить из-за развития сердечно-сосудистых событий, связь с приемом </w:t>
      </w:r>
      <w:r w:rsidR="00807738">
        <w:t xml:space="preserve">этравирина </w:t>
      </w:r>
      <w:r>
        <w:t xml:space="preserve">сомнительна) </w:t>
      </w:r>
      <w:r w:rsidR="00807738">
        <w:fldChar w:fldCharType="begin"/>
      </w:r>
      <w:r w:rsidR="00807738">
        <w:instrText xml:space="preserve"> ADDIN ZOTERO_ITEM CSL_CITATION {"citationID":"7oJG9WOi","properties":{"formattedCitation":"(1,7,23)","plainCitation":"(1,7,23)","noteIndex":0},"citationItems":[{"id":2546,"uris":["http://zotero.org/users/5483459/items/J2LUM5TE"],"itemData":{"id":2546,"type":"document","title":"Product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rsidR="00807738">
        <w:fldChar w:fldCharType="separate"/>
      </w:r>
      <w:r w:rsidR="005E2B83" w:rsidRPr="00156011">
        <w:t>[</w:t>
      </w:r>
      <w:r w:rsidR="00807738" w:rsidRPr="00807738">
        <w:t>1,7,23</w:t>
      </w:r>
      <w:r w:rsidR="005E2B83" w:rsidRPr="00156011">
        <w:t>]</w:t>
      </w:r>
      <w:r w:rsidR="00807738">
        <w:fldChar w:fldCharType="end"/>
      </w:r>
      <w:r w:rsidR="00807738">
        <w:t>.</w:t>
      </w:r>
    </w:p>
    <w:p w14:paraId="0AF1F14E" w14:textId="1BDA4096" w:rsidR="00837623" w:rsidRDefault="00837623" w:rsidP="00837623">
      <w:pPr>
        <w:ind w:firstLine="709"/>
      </w:pPr>
      <w:r>
        <w:t xml:space="preserve">В исследовании множественного дозирования I фазы, у 15,5% здоровых добровольцев против 14,5% в группе плацебо возникла кожная сыпь. Три из 4 случаев были отнесены к 3 степени тяжести и выявлены в исследовании фазы I у здоровых добровольцев после однократного приема </w:t>
      </w:r>
      <w:r w:rsidR="00CF3C6C">
        <w:t>этравирина</w:t>
      </w:r>
      <w:r>
        <w:t xml:space="preserve">. Кожную сыпь идентифицировали как эритему мультиформную (2 человек) или атипичный буллезный дерматит (1 человек) и отнесли к 3 степени тяжести. После этого в ходе исследований I фазы в процессе многократного дозирования </w:t>
      </w:r>
      <w:r w:rsidR="00CF3C6C">
        <w:t xml:space="preserve">этравирин </w:t>
      </w:r>
      <w:r>
        <w:t>был зарегистрирован дополнительный случай кореподобной (морбиллиформной) сыпи 3 степени тяжести</w:t>
      </w:r>
      <w:r w:rsidR="00807738">
        <w:t xml:space="preserve"> </w:t>
      </w:r>
      <w:r w:rsidR="00807738">
        <w:fldChar w:fldCharType="begin"/>
      </w:r>
      <w:r w:rsidR="00807738">
        <w:instrText xml:space="preserve"> ADDIN ZOTERO_ITEM CSL_CITATION {"citationID":"i3JLDabM","properties":{"formattedCitation":"(23)","plainCitation":"(23)","noteIndex":0},"citationItems":[{"id":2588,"uris":["http://zotero.org/users/5483459/items/XZWGXXTF"],"itemData":{"id":2588,"type":"document","title":"European Medicines Agency INTELENCE®Summary of Product Characteristic. 2008.Doc.Ref.: EMEA/CHMP/43952/2008"}}],"schema":"https://github.com/citation-style-language/schema/raw/master/csl-citation.json"} </w:instrText>
      </w:r>
      <w:r w:rsidR="00807738">
        <w:fldChar w:fldCharType="separate"/>
      </w:r>
      <w:r w:rsidR="00156011" w:rsidRPr="00156011">
        <w:t>[</w:t>
      </w:r>
      <w:r w:rsidR="00807738" w:rsidRPr="00807738">
        <w:t>23</w:t>
      </w:r>
      <w:r w:rsidR="00156011" w:rsidRPr="00156011">
        <w:t>]</w:t>
      </w:r>
      <w:r w:rsidR="00807738">
        <w:fldChar w:fldCharType="end"/>
      </w:r>
      <w:r w:rsidR="00807738">
        <w:t>.</w:t>
      </w:r>
      <w:r>
        <w:t xml:space="preserve"> </w:t>
      </w:r>
    </w:p>
    <w:p w14:paraId="7EC2EF62" w14:textId="1A32532F" w:rsidR="00837623" w:rsidRDefault="00837623" w:rsidP="00837623">
      <w:pPr>
        <w:ind w:firstLine="709"/>
      </w:pPr>
      <w:r>
        <w:t xml:space="preserve">Кожные нежелательные явления (НЯ) наблюдались о большинства здоровых добровольцев, прекративших участие в исследовании из-за развития НЯ (в процессе многократного приема </w:t>
      </w:r>
      <w:r w:rsidR="00807738">
        <w:t>этравирина</w:t>
      </w:r>
      <w:r>
        <w:t>, исследование I фазы) (5,3%), женщины чаще чем мужчины страдали от кожной сыпи</w:t>
      </w:r>
      <w:r w:rsidR="00807738">
        <w:t xml:space="preserve"> </w:t>
      </w:r>
      <w:r w:rsidR="00807738">
        <w:fldChar w:fldCharType="begin"/>
      </w:r>
      <w:r w:rsidR="002D5965">
        <w:instrText xml:space="preserve"> ADDIN ZOTERO_ITEM CSL_CITATION {"citationID":"7rM9kVQb","properties":{"formattedCitation":"(23)","plainCitation":"(23)","noteIndex":0},"citationItems":[{"id":2588,"uris":["http://zotero.org/users/5483459/items/XZWGXXTF"],"itemData":{"id":2588,"type":"document","title":"European Medicines Agency INTELENCE®Summary of Product Characteristic. 2008.Doc.Ref.: EMEA/CHMP/43952/2008"}}],"schema":"https://github.com/citation-style-language/schema/raw/master/csl-citation.json"} </w:instrText>
      </w:r>
      <w:r w:rsidR="00807738">
        <w:fldChar w:fldCharType="separate"/>
      </w:r>
      <w:r w:rsidR="00156011" w:rsidRPr="00156011">
        <w:t>[</w:t>
      </w:r>
      <w:r w:rsidR="00807738" w:rsidRPr="00807738">
        <w:t>23</w:t>
      </w:r>
      <w:r w:rsidR="00156011" w:rsidRPr="00156011">
        <w:t>]</w:t>
      </w:r>
      <w:r w:rsidR="00807738">
        <w:fldChar w:fldCharType="end"/>
      </w:r>
      <w:r w:rsidR="00030E0F" w:rsidRPr="00A76175">
        <w:t xml:space="preserve">. </w:t>
      </w:r>
    </w:p>
    <w:p w14:paraId="2799274A" w14:textId="168852BD" w:rsidR="00030E0F" w:rsidRDefault="00030E0F" w:rsidP="00A76175"/>
    <w:p w14:paraId="06DAE425" w14:textId="4B6531EC" w:rsidR="00030E0F" w:rsidRPr="00A76175" w:rsidRDefault="00030E0F" w:rsidP="00A76175">
      <w:pPr>
        <w:rPr>
          <w:b/>
        </w:rPr>
      </w:pPr>
      <w:r w:rsidRPr="00A76175">
        <w:rPr>
          <w:b/>
        </w:rPr>
        <w:t>Дети</w:t>
      </w:r>
    </w:p>
    <w:p w14:paraId="04391330" w14:textId="1191EE86" w:rsidR="00030E0F" w:rsidRDefault="00030E0F" w:rsidP="00A76175"/>
    <w:p w14:paraId="375EBCC6" w14:textId="6974F474" w:rsidR="00030E0F" w:rsidRDefault="00030E0F">
      <w:pPr>
        <w:ind w:firstLine="709"/>
      </w:pPr>
      <w:r>
        <w:t>Оценка безопасности у детей и подростков также проводилась в исследовании</w:t>
      </w:r>
      <w:r w:rsidRPr="00030E0F">
        <w:t xml:space="preserve"> </w:t>
      </w:r>
      <w:r w:rsidRPr="00586B91">
        <w:t xml:space="preserve">фазы </w:t>
      </w:r>
      <w:r w:rsidRPr="00586B91">
        <w:rPr>
          <w:lang w:val="en-US"/>
        </w:rPr>
        <w:t>I</w:t>
      </w:r>
      <w:r w:rsidRPr="00586B91">
        <w:t>/</w:t>
      </w:r>
      <w:r w:rsidRPr="00586B91">
        <w:rPr>
          <w:lang w:val="en-US"/>
        </w:rPr>
        <w:t>II</w:t>
      </w:r>
      <w:r>
        <w:t xml:space="preserve"> </w:t>
      </w:r>
      <w:r w:rsidR="00147F06">
        <w:rPr>
          <w:lang w:val="en-US"/>
        </w:rPr>
        <w:t>PIANO</w:t>
      </w:r>
      <w:r>
        <w:t xml:space="preserve">, в котором участвовал 101 ВИЧ-1-инфицированный субъект, получавший антиретровирусное лечение </w:t>
      </w:r>
      <w:r w:rsidR="00147F06" w:rsidRPr="00A76175">
        <w:t>(</w:t>
      </w:r>
      <w:r w:rsidR="00147F06">
        <w:t xml:space="preserve">этравирин в комбинации с другими антиретровирусными препаратами) </w:t>
      </w:r>
      <w:r>
        <w:t>в возрасте от 6 лет до 18 лет и массой тела не менее 16 кг. Частота, тип и тяжесть нежелательных реакций на лекарственные препараты у детей были</w:t>
      </w:r>
      <w:r w:rsidR="00147F06">
        <w:t xml:space="preserve"> </w:t>
      </w:r>
      <w:r>
        <w:t>сравнимы с таковыми у взрослых, за исключением сыпи, ко</w:t>
      </w:r>
      <w:r w:rsidR="00147F06">
        <w:t>торая чаще наблюдалась у детей</w:t>
      </w:r>
      <w:r>
        <w:t xml:space="preserve">. Наиболее частыми побочными реакциями на лекарственные средства, по крайней мере у 2% </w:t>
      </w:r>
      <w:r w:rsidR="00147F06">
        <w:t xml:space="preserve">детей, были сыпь и диарея. Сыпь </w:t>
      </w:r>
      <w:r>
        <w:t xml:space="preserve">(2 </w:t>
      </w:r>
      <w:r w:rsidR="00147F06">
        <w:t xml:space="preserve">и более </w:t>
      </w:r>
      <w:r>
        <w:t>степени</w:t>
      </w:r>
      <w:r w:rsidR="00147F06">
        <w:t xml:space="preserve"> тяжести</w:t>
      </w:r>
      <w:r>
        <w:t>) наблюдалось у 15% детей. В большинст</w:t>
      </w:r>
      <w:r w:rsidR="00147F06">
        <w:t xml:space="preserve">ве случаев сыпь была легкой или </w:t>
      </w:r>
      <w:r>
        <w:t>умеренн</w:t>
      </w:r>
      <w:r w:rsidR="00147F06">
        <w:t>ой</w:t>
      </w:r>
      <w:r>
        <w:t xml:space="preserve">, макулярно-папулезного типа, возникала на второй неделе терапии. Сыпь была </w:t>
      </w:r>
      <w:r w:rsidR="00147F06">
        <w:t xml:space="preserve">ограниченной и </w:t>
      </w:r>
      <w:r>
        <w:t xml:space="preserve">обычно </w:t>
      </w:r>
      <w:r w:rsidR="00147F06">
        <w:t>разрешалась</w:t>
      </w:r>
      <w:r>
        <w:t xml:space="preserve"> в течение 1 недели при продолжении терапии. Частота прекращения лечения из-за сыпи составила 4%. Сыпь</w:t>
      </w:r>
      <w:r w:rsidR="00147F06">
        <w:t>,</w:t>
      </w:r>
      <w:r>
        <w:t xml:space="preserve"> в </w:t>
      </w:r>
      <w:r w:rsidR="00147F06">
        <w:t>том числе значительная</w:t>
      </w:r>
      <w:r>
        <w:t xml:space="preserve"> (3 или 4</w:t>
      </w:r>
      <w:r w:rsidR="00147F06" w:rsidRPr="00147F06">
        <w:t xml:space="preserve"> </w:t>
      </w:r>
      <w:r w:rsidR="00147F06">
        <w:t>степени тяжести</w:t>
      </w:r>
      <w:r>
        <w:t>)</w:t>
      </w:r>
      <w:r w:rsidR="00147F06">
        <w:t>,</w:t>
      </w:r>
      <w:r>
        <w:t xml:space="preserve"> и прекращение </w:t>
      </w:r>
      <w:r w:rsidR="00147F06">
        <w:t>терапии</w:t>
      </w:r>
      <w:r>
        <w:t xml:space="preserve"> чаще наблюдались у </w:t>
      </w:r>
      <w:r w:rsidR="00147F06">
        <w:t>пациентов женского пола.</w:t>
      </w:r>
      <w:r>
        <w:t xml:space="preserve"> </w:t>
      </w:r>
    </w:p>
    <w:p w14:paraId="579CD65E" w14:textId="77777777" w:rsidR="00040F40" w:rsidRDefault="00040F40" w:rsidP="00421CA0">
      <w:pPr>
        <w:pStyle w:val="4"/>
        <w:spacing w:after="240"/>
        <w:rPr>
          <w:b w:val="0"/>
          <w:lang w:eastAsia="ru-RU"/>
        </w:rPr>
      </w:pPr>
      <w:bookmarkStart w:id="178" w:name="_Toc117179235"/>
      <w:r w:rsidRPr="00B30F15">
        <w:rPr>
          <w:rFonts w:ascii="Times New Roman" w:hAnsi="Times New Roman"/>
          <w:color w:val="000000" w:themeColor="text1"/>
          <w:sz w:val="24"/>
          <w:szCs w:val="24"/>
        </w:rPr>
        <w:t>4.</w:t>
      </w:r>
      <w:r w:rsidR="00F51B74" w:rsidRPr="00B30F15">
        <w:rPr>
          <w:rFonts w:ascii="Times New Roman" w:hAnsi="Times New Roman"/>
          <w:color w:val="000000" w:themeColor="text1"/>
          <w:sz w:val="24"/>
          <w:szCs w:val="24"/>
        </w:rPr>
        <w:t>3</w:t>
      </w:r>
      <w:r w:rsidRPr="00B30F15">
        <w:rPr>
          <w:rFonts w:ascii="Times New Roman" w:hAnsi="Times New Roman"/>
          <w:color w:val="000000" w:themeColor="text1"/>
          <w:sz w:val="24"/>
          <w:szCs w:val="24"/>
        </w:rPr>
        <w:t>.2.</w:t>
      </w:r>
      <w:r w:rsidR="00B30F15">
        <w:rPr>
          <w:rFonts w:ascii="Times New Roman" w:hAnsi="Times New Roman"/>
          <w:color w:val="000000" w:themeColor="text1"/>
          <w:sz w:val="24"/>
          <w:szCs w:val="24"/>
        </w:rPr>
        <w:t>1.</w:t>
      </w:r>
      <w:r w:rsidRPr="00B30F15">
        <w:rPr>
          <w:rFonts w:ascii="Times New Roman" w:hAnsi="Times New Roman"/>
          <w:color w:val="000000" w:themeColor="text1"/>
          <w:sz w:val="24"/>
          <w:szCs w:val="24"/>
        </w:rPr>
        <w:t xml:space="preserve"> Степень воздействия на пациентов</w:t>
      </w:r>
      <w:bookmarkEnd w:id="174"/>
      <w:bookmarkEnd w:id="178"/>
    </w:p>
    <w:p w14:paraId="633B529A" w14:textId="482860F5" w:rsidR="00DF3337" w:rsidRDefault="00BD07AE" w:rsidP="001C0A37">
      <w:pPr>
        <w:ind w:firstLine="709"/>
        <w:rPr>
          <w:iCs/>
        </w:rPr>
      </w:pPr>
      <w:r w:rsidRPr="00BD07AE">
        <w:rPr>
          <w:iCs/>
        </w:rPr>
        <w:t xml:space="preserve">В общей сложности 1093 пациентов получали этравирин-содержащие схемы АРТ (в исследованиях IIB и III фазы); из </w:t>
      </w:r>
      <w:r w:rsidR="00DC201B">
        <w:rPr>
          <w:iCs/>
        </w:rPr>
        <w:t>н</w:t>
      </w:r>
      <w:r w:rsidRPr="00BD07AE">
        <w:rPr>
          <w:iCs/>
        </w:rPr>
        <w:t xml:space="preserve">их 861 пациент принимали этравирин не менее 24 недель и 279 – не менее 48 недель </w:t>
      </w:r>
      <w:r w:rsidR="00030E0F" w:rsidRPr="00A76175">
        <w:rPr>
          <w:iCs/>
        </w:rPr>
        <w:t>[</w:t>
      </w:r>
      <w:r w:rsidRPr="00BD07AE">
        <w:rPr>
          <w:iCs/>
        </w:rPr>
        <w:t>23</w:t>
      </w:r>
      <w:r w:rsidR="00030E0F" w:rsidRPr="00A76175">
        <w:rPr>
          <w:iCs/>
        </w:rPr>
        <w:t>]</w:t>
      </w:r>
      <w:r w:rsidR="00CC6723">
        <w:rPr>
          <w:iCs/>
        </w:rPr>
        <w:t>.</w:t>
      </w:r>
      <w:r w:rsidRPr="00BD07AE">
        <w:rPr>
          <w:iCs/>
        </w:rPr>
        <w:t xml:space="preserve"> В объединенный анализ DUET (рандомизированные плацебо-контролируемые исследования TMC125-C206 и TMC125-C216) вошло в общей сложности 599 ВИЧ-инфицированных, получавших этравирин (200 мг 2 раза в день) и 604 пациента, получавших плацебо. По данным объединенного анализа исследований DUET средняя продолжительность приема этравирина и плацебо составила 52,3 и 51,0 нед. соответственно </w:t>
      </w:r>
      <w:r w:rsidR="00156011" w:rsidRPr="00B66676">
        <w:rPr>
          <w:iCs/>
        </w:rPr>
        <w:t>[</w:t>
      </w:r>
      <w:r w:rsidRPr="00BD07AE">
        <w:rPr>
          <w:iCs/>
        </w:rPr>
        <w:t>1,</w:t>
      </w:r>
      <w:r w:rsidR="00235E54">
        <w:rPr>
          <w:iCs/>
        </w:rPr>
        <w:t xml:space="preserve"> </w:t>
      </w:r>
      <w:r w:rsidRPr="00BD07AE">
        <w:rPr>
          <w:iCs/>
        </w:rPr>
        <w:t>7,</w:t>
      </w:r>
      <w:r w:rsidR="00235E54">
        <w:rPr>
          <w:iCs/>
        </w:rPr>
        <w:t xml:space="preserve"> </w:t>
      </w:r>
      <w:r w:rsidRPr="00BD07AE">
        <w:rPr>
          <w:iCs/>
        </w:rPr>
        <w:t>23</w:t>
      </w:r>
      <w:r w:rsidR="00156011" w:rsidRPr="00B66676">
        <w:rPr>
          <w:iCs/>
        </w:rPr>
        <w:t>]</w:t>
      </w:r>
      <w:r w:rsidRPr="00BD07AE">
        <w:rPr>
          <w:iCs/>
        </w:rPr>
        <w:t>.</w:t>
      </w:r>
    </w:p>
    <w:p w14:paraId="6058477D" w14:textId="76F6E1C2" w:rsidR="00B30F15" w:rsidRDefault="00B30F15" w:rsidP="00B30F15">
      <w:pPr>
        <w:pStyle w:val="4"/>
        <w:spacing w:after="240"/>
        <w:rPr>
          <w:b w:val="0"/>
          <w:lang w:eastAsia="ru-RU"/>
        </w:rPr>
      </w:pPr>
      <w:bookmarkStart w:id="179" w:name="_Toc117179236"/>
      <w:r w:rsidRPr="00B30F15">
        <w:rPr>
          <w:rFonts w:ascii="Times New Roman" w:hAnsi="Times New Roman"/>
          <w:color w:val="000000" w:themeColor="text1"/>
          <w:sz w:val="24"/>
          <w:szCs w:val="24"/>
        </w:rPr>
        <w:t>4.3.2.</w:t>
      </w:r>
      <w:r>
        <w:rPr>
          <w:rFonts w:ascii="Times New Roman" w:hAnsi="Times New Roman"/>
          <w:color w:val="000000" w:themeColor="text1"/>
          <w:sz w:val="24"/>
          <w:szCs w:val="24"/>
        </w:rPr>
        <w:t>2.</w:t>
      </w:r>
      <w:r w:rsidR="00292F12">
        <w:rPr>
          <w:rFonts w:ascii="Times New Roman" w:hAnsi="Times New Roman"/>
          <w:color w:val="000000" w:themeColor="text1"/>
          <w:sz w:val="24"/>
          <w:szCs w:val="24"/>
        </w:rPr>
        <w:t xml:space="preserve"> </w:t>
      </w:r>
      <w:r>
        <w:rPr>
          <w:rFonts w:ascii="Times New Roman" w:hAnsi="Times New Roman"/>
          <w:color w:val="000000" w:themeColor="text1"/>
          <w:sz w:val="24"/>
          <w:szCs w:val="24"/>
        </w:rPr>
        <w:t>Нежелательные явления</w:t>
      </w:r>
      <w:bookmarkEnd w:id="179"/>
    </w:p>
    <w:p w14:paraId="6ABDFDC1" w14:textId="36BCF0C9" w:rsidR="00BD07AE" w:rsidRDefault="00BD07AE" w:rsidP="00C8797E">
      <w:pPr>
        <w:ind w:firstLine="709"/>
      </w:pPr>
      <w:bookmarkStart w:id="180" w:name="_Toc52190601"/>
      <w:r>
        <w:t xml:space="preserve">Наиболее распространенными НЯ (частота ≥10%) у пациентов, получавших этравирин, выявленными в рамках клинических исследований DUET, были: диарея (15,0% vs. 20,4% в группе плацебо), тошнота (13,9% vs. 11,1%) и сыпь (10,0% vs. 5,5%). Кожная сыпь (любой тип) развивалась у 17,0% пациентов, получавших этравирин (vs. 9,4% в группе плацебо) </w:t>
      </w:r>
      <w:r>
        <w:fldChar w:fldCharType="begin"/>
      </w:r>
      <w:r>
        <w:instrText xml:space="preserve"> ADDIN ZOTERO_ITEM CSL_CITATION {"citationID":"WK1rdXuo","properties":{"formattedCitation":"(1,7,23)","plainCitation":"(1,7,23)","noteIndex":0},"citationItems":[{"id":2546,"uris":["http://zotero.org/users/5483459/items/J2LUM5TE"],"itemData":{"id":2546,"type":"document","title":"Product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fldChar w:fldCharType="separate"/>
      </w:r>
      <w:r w:rsidR="00156011" w:rsidRPr="00156011">
        <w:t>[</w:t>
      </w:r>
      <w:r w:rsidRPr="00807738">
        <w:t>1,7,23</w:t>
      </w:r>
      <w:r w:rsidR="00156011" w:rsidRPr="00156011">
        <w:t>]</w:t>
      </w:r>
      <w:r>
        <w:fldChar w:fldCharType="end"/>
      </w:r>
      <w:r>
        <w:t>.</w:t>
      </w:r>
    </w:p>
    <w:p w14:paraId="15BCC030" w14:textId="0ABAD7AE" w:rsidR="00BD07AE" w:rsidRDefault="00BD07AE" w:rsidP="00C8797E">
      <w:pPr>
        <w:ind w:firstLine="709"/>
      </w:pPr>
      <w:r>
        <w:t xml:space="preserve">Клинически значимые НЯ (2 степени тяжести и выше) возникали у 2% пациентов, получавших </w:t>
      </w:r>
      <w:r w:rsidR="00887B9C">
        <w:t>этравирин</w:t>
      </w:r>
      <w:r>
        <w:t xml:space="preserve">, что статистически значимо выше, по сравнению с группой получавших плацебо (чуть выше 1%) </w:t>
      </w:r>
      <w:r>
        <w:fldChar w:fldCharType="begin"/>
      </w:r>
      <w:r>
        <w:instrText xml:space="preserve"> ADDIN ZOTERO_ITEM CSL_CITATION {"citationID":"dYCRJ9up","properties":{"formattedCitation":"(1,7,23)","plainCitation":"(1,7,23)","noteIndex":0},"citationItems":[{"id":2546,"uris":["http://zotero.org/users/5483459/items/J2LUM5TE"],"itemData":{"id":2546,"type":"document","title":"Product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fldChar w:fldCharType="separate"/>
      </w:r>
      <w:r w:rsidR="00156011" w:rsidRPr="00156011">
        <w:t>[</w:t>
      </w:r>
      <w:r w:rsidRPr="00807738">
        <w:t>1,7,23</w:t>
      </w:r>
      <w:r w:rsidR="00156011" w:rsidRPr="00156011">
        <w:t>]</w:t>
      </w:r>
      <w:r>
        <w:fldChar w:fldCharType="end"/>
      </w:r>
      <w:r>
        <w:t>.</w:t>
      </w:r>
    </w:p>
    <w:p w14:paraId="2706A333" w14:textId="53AF61AE" w:rsidR="00441D85" w:rsidRDefault="00BD07AE">
      <w:pPr>
        <w:ind w:firstLine="709"/>
      </w:pPr>
      <w:r>
        <w:t>Наиболее частыми НЯ (2 степени тяжести и выше) были: сыпь (любого типа, 9,0% vs. 3,1% плацебо), диарея (5,2% vs. 9,6%), тошнота (4,7% vs. 3,5%) и гипертриглицеридемия (4,7% vs. 3,0%) (Таблица 4-</w:t>
      </w:r>
      <w:r w:rsidR="00F91BC6">
        <w:t>3</w:t>
      </w:r>
      <w:r>
        <w:t xml:space="preserve">) </w:t>
      </w:r>
      <w:r w:rsidR="00B46BBC">
        <w:fldChar w:fldCharType="begin"/>
      </w:r>
      <w:r w:rsidR="00B46BBC">
        <w:instrText xml:space="preserve"> ADDIN ZOTERO_ITEM CSL_CITATION {"citationID":"W1oxtw9a","properties":{"formattedCitation":"(1,85)","plainCitation":"(1,85)","noteIndex":0},"citationItems":[{"id":2546,"uris":["http://zotero.org/users/5483459/items/J2LUM5TE"],"itemData":{"id":2546,"type":"document","title":"Product Monograph INTELENCE® etravirine tablets 25 mg, 100 mg, 200 mg. Janssen Inc.  Date of Revision: May 17, 2017."},"label":"page"},{"id":2639,"uris":["http://zotero.org/users/5483459/items/BFH28Z9P"],"itemData":{"id":2639,"type":"article-journal","abstract":"OBJECTIVES: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rsidR="00B46BBC">
        <w:fldChar w:fldCharType="separate"/>
      </w:r>
      <w:r w:rsidR="00156011" w:rsidRPr="008B0B82">
        <w:t>[</w:t>
      </w:r>
      <w:r w:rsidR="00B46BBC" w:rsidRPr="002D5965">
        <w:t>1,85</w:t>
      </w:r>
      <w:r w:rsidR="00156011" w:rsidRPr="008B0B82">
        <w:t>]</w:t>
      </w:r>
      <w:r w:rsidR="00B46BBC">
        <w:fldChar w:fldCharType="end"/>
      </w:r>
      <w:r w:rsidR="00B46BBC">
        <w:t>.</w:t>
      </w:r>
    </w:p>
    <w:p w14:paraId="55AE0D85" w14:textId="77777777" w:rsidR="00441D85" w:rsidRDefault="00441D85">
      <w:pPr>
        <w:ind w:firstLine="709"/>
      </w:pPr>
    </w:p>
    <w:p w14:paraId="76C4CEC4" w14:textId="1DA8C373" w:rsidR="00BD07AE" w:rsidRDefault="00BD07AE" w:rsidP="00A76175">
      <w:pPr>
        <w:pStyle w:val="aff1"/>
        <w:keepNext/>
        <w:spacing w:before="0"/>
      </w:pPr>
      <w:bookmarkStart w:id="181" w:name="_Ref89978390"/>
      <w:bookmarkStart w:id="182" w:name="_Toc90372770"/>
      <w:r w:rsidRPr="00751600">
        <w:rPr>
          <w:b/>
          <w:bCs/>
        </w:rPr>
        <w:t xml:space="preserve">Таблица </w:t>
      </w:r>
      <w:bookmarkEnd w:id="181"/>
      <w:r w:rsidRPr="00751600">
        <w:rPr>
          <w:b/>
          <w:bCs/>
        </w:rPr>
        <w:t>4-</w:t>
      </w:r>
      <w:r w:rsidR="00F91BC6">
        <w:rPr>
          <w:b/>
          <w:bCs/>
        </w:rPr>
        <w:t>3.</w:t>
      </w:r>
      <w:r w:rsidRPr="00751600">
        <w:rPr>
          <w:b/>
          <w:bCs/>
        </w:rPr>
        <w:t xml:space="preserve"> </w:t>
      </w:r>
      <w:r w:rsidRPr="001C0A37">
        <w:rPr>
          <w:bCs/>
        </w:rPr>
        <w:t>Нежелательные явления 2 степени тяжести и выше у пациентов, получавших этравирин (объединенный анализ DUET)</w:t>
      </w:r>
      <w:r w:rsidRPr="001C0A37">
        <w:t xml:space="preserve"> </w:t>
      </w:r>
      <w:bookmarkEnd w:id="182"/>
      <w:r w:rsidRPr="001C0A37">
        <w:fldChar w:fldCharType="begin"/>
      </w:r>
      <w:r w:rsidRPr="001C0A37">
        <w:instrText xml:space="preserve"> ADDIN ZOTERO_ITEM CSL_CITATION {"citationID":"W1oxtw9a","properties":{"formattedCitation":"(1,85)","plainCitation":"(1,85)","noteIndex":0},"citationItems":[{"id":2546,"uris":["http://zotero.org/users/5483459/items/J2LUM5TE"],"itemData":{"id":2546,"type":"document","title":"Product Monograph INTELENCE® etravirine tablets 25 mg, 100 mg, 200 mg. Janssen Inc.  Date of Revision: May 17, 2017."},"label":"page"},{"id":2639,"uris":["http://zotero.org/users/5483459/items/BFH28Z9P"],"itemData":{"id":2639,"type":"article-journal","abstract":"OBJECTIVES: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rsidRPr="001C0A37">
        <w:fldChar w:fldCharType="separate"/>
      </w:r>
      <w:r w:rsidR="00156011">
        <w:rPr>
          <w:lang w:val="en-US"/>
        </w:rPr>
        <w:t>[</w:t>
      </w:r>
      <w:r w:rsidRPr="001C0A37">
        <w:t>1,</w:t>
      </w:r>
      <w:r w:rsidR="00235E54">
        <w:t xml:space="preserve"> </w:t>
      </w:r>
      <w:r w:rsidRPr="001C0A37">
        <w:t>85</w:t>
      </w:r>
      <w:r w:rsidR="00156011">
        <w:rPr>
          <w:lang w:val="en-US"/>
        </w:rPr>
        <w:t>]</w:t>
      </w:r>
      <w:r w:rsidRPr="001C0A37">
        <w:fldChar w:fldCharType="end"/>
      </w:r>
      <w:r w:rsidRPr="001C0A37">
        <w:t>.</w:t>
      </w:r>
    </w:p>
    <w:tbl>
      <w:tblPr>
        <w:tblW w:w="5000" w:type="pct"/>
        <w:tblCellMar>
          <w:left w:w="0" w:type="dxa"/>
          <w:right w:w="0" w:type="dxa"/>
        </w:tblCellMar>
        <w:tblLook w:val="0000" w:firstRow="0" w:lastRow="0" w:firstColumn="0" w:lastColumn="0" w:noHBand="0" w:noVBand="0"/>
      </w:tblPr>
      <w:tblGrid>
        <w:gridCol w:w="2274"/>
        <w:gridCol w:w="1137"/>
        <w:gridCol w:w="1224"/>
        <w:gridCol w:w="1136"/>
        <w:gridCol w:w="1213"/>
        <w:gridCol w:w="1136"/>
        <w:gridCol w:w="1226"/>
      </w:tblGrid>
      <w:tr w:rsidR="00BD07AE" w:rsidRPr="00977E55" w14:paraId="085CD80F" w14:textId="77777777" w:rsidTr="00421CA0">
        <w:trPr>
          <w:trHeight w:val="20"/>
          <w:tblHeader/>
        </w:trPr>
        <w:tc>
          <w:tcPr>
            <w:tcW w:w="1216" w:type="pct"/>
            <w:vMerge w:val="restart"/>
            <w:tcBorders>
              <w:top w:val="single" w:sz="4" w:space="0" w:color="auto"/>
              <w:left w:val="single" w:sz="4" w:space="0" w:color="auto"/>
              <w:bottom w:val="nil"/>
              <w:right w:val="nil"/>
            </w:tcBorders>
            <w:shd w:val="clear" w:color="auto" w:fill="D9D9D9" w:themeFill="background1" w:themeFillShade="D9"/>
            <w:vAlign w:val="center"/>
          </w:tcPr>
          <w:p w14:paraId="773D3960" w14:textId="6B90C808" w:rsidR="00BD07AE" w:rsidRPr="00287669" w:rsidRDefault="00421CA0" w:rsidP="00421CA0">
            <w:pPr>
              <w:pStyle w:val="afff8"/>
              <w:jc w:val="center"/>
              <w:rPr>
                <w:b/>
              </w:rPr>
            </w:pPr>
            <w:r>
              <w:rPr>
                <w:b/>
              </w:rPr>
              <w:t>Параметр</w:t>
            </w:r>
          </w:p>
        </w:tc>
        <w:tc>
          <w:tcPr>
            <w:tcW w:w="1263" w:type="pct"/>
            <w:gridSpan w:val="2"/>
            <w:tcBorders>
              <w:top w:val="single" w:sz="4" w:space="0" w:color="auto"/>
              <w:left w:val="single" w:sz="4" w:space="0" w:color="auto"/>
              <w:bottom w:val="nil"/>
              <w:right w:val="nil"/>
            </w:tcBorders>
            <w:shd w:val="clear" w:color="auto" w:fill="D9D9D9" w:themeFill="background1" w:themeFillShade="D9"/>
            <w:vAlign w:val="center"/>
          </w:tcPr>
          <w:p w14:paraId="02CF019A" w14:textId="77777777" w:rsidR="00BD07AE" w:rsidRPr="00287669" w:rsidRDefault="00BD07AE" w:rsidP="00AD3C2C">
            <w:pPr>
              <w:pStyle w:val="afff8"/>
              <w:jc w:val="center"/>
              <w:rPr>
                <w:b/>
              </w:rPr>
            </w:pPr>
            <w:r w:rsidRPr="00287669">
              <w:rPr>
                <w:b/>
                <w:lang w:val="en-US"/>
              </w:rPr>
              <w:t>DUET</w:t>
            </w:r>
            <w:r w:rsidRPr="00287669">
              <w:rPr>
                <w:b/>
              </w:rPr>
              <w:t xml:space="preserve"> 1</w:t>
            </w:r>
          </w:p>
        </w:tc>
        <w:tc>
          <w:tcPr>
            <w:tcW w:w="1257" w:type="pct"/>
            <w:gridSpan w:val="2"/>
            <w:tcBorders>
              <w:top w:val="single" w:sz="4" w:space="0" w:color="auto"/>
              <w:left w:val="single" w:sz="4" w:space="0" w:color="auto"/>
              <w:bottom w:val="nil"/>
              <w:right w:val="nil"/>
            </w:tcBorders>
            <w:shd w:val="clear" w:color="auto" w:fill="D9D9D9" w:themeFill="background1" w:themeFillShade="D9"/>
            <w:vAlign w:val="center"/>
          </w:tcPr>
          <w:p w14:paraId="5A7D2FCF" w14:textId="77777777" w:rsidR="00BD07AE" w:rsidRPr="00287669" w:rsidRDefault="00BD07AE" w:rsidP="00AD3C2C">
            <w:pPr>
              <w:pStyle w:val="afff8"/>
              <w:jc w:val="center"/>
              <w:rPr>
                <w:b/>
              </w:rPr>
            </w:pPr>
            <w:r w:rsidRPr="00287669">
              <w:rPr>
                <w:b/>
                <w:lang w:val="en-US"/>
              </w:rPr>
              <w:t>DUET</w:t>
            </w:r>
            <w:r w:rsidRPr="00287669">
              <w:rPr>
                <w:b/>
              </w:rPr>
              <w:t xml:space="preserve"> 2</w:t>
            </w:r>
          </w:p>
        </w:tc>
        <w:tc>
          <w:tcPr>
            <w:tcW w:w="1265" w:type="pct"/>
            <w:gridSpan w:val="2"/>
            <w:tcBorders>
              <w:top w:val="single" w:sz="4" w:space="0" w:color="auto"/>
              <w:left w:val="single" w:sz="4" w:space="0" w:color="auto"/>
              <w:bottom w:val="nil"/>
              <w:right w:val="single" w:sz="4" w:space="0" w:color="auto"/>
            </w:tcBorders>
            <w:shd w:val="clear" w:color="auto" w:fill="D9D9D9" w:themeFill="background1" w:themeFillShade="D9"/>
            <w:vAlign w:val="center"/>
          </w:tcPr>
          <w:p w14:paraId="0FA00141" w14:textId="77777777" w:rsidR="00BD07AE" w:rsidRPr="00287669" w:rsidRDefault="00BD07AE" w:rsidP="00AD3C2C">
            <w:pPr>
              <w:pStyle w:val="afff8"/>
              <w:jc w:val="center"/>
              <w:rPr>
                <w:b/>
              </w:rPr>
            </w:pPr>
            <w:r w:rsidRPr="00287669">
              <w:rPr>
                <w:b/>
              </w:rPr>
              <w:t xml:space="preserve">Обеднённые данные </w:t>
            </w:r>
            <w:r w:rsidRPr="00287669">
              <w:rPr>
                <w:b/>
                <w:lang w:val="en-US"/>
              </w:rPr>
              <w:t>DUET</w:t>
            </w:r>
          </w:p>
        </w:tc>
      </w:tr>
      <w:tr w:rsidR="00BD07AE" w:rsidRPr="00977E55" w14:paraId="6A794347" w14:textId="77777777" w:rsidTr="00984745">
        <w:trPr>
          <w:trHeight w:val="20"/>
          <w:tblHeader/>
        </w:trPr>
        <w:tc>
          <w:tcPr>
            <w:tcW w:w="1216" w:type="pct"/>
            <w:vMerge/>
            <w:tcBorders>
              <w:top w:val="nil"/>
              <w:left w:val="single" w:sz="4" w:space="0" w:color="auto"/>
              <w:bottom w:val="nil"/>
              <w:right w:val="nil"/>
            </w:tcBorders>
            <w:shd w:val="clear" w:color="auto" w:fill="D9D9D9" w:themeFill="background1" w:themeFillShade="D9"/>
          </w:tcPr>
          <w:p w14:paraId="6CD968D3" w14:textId="77777777" w:rsidR="00BD07AE" w:rsidRPr="00287669" w:rsidRDefault="00BD07AE" w:rsidP="00AD3C2C">
            <w:pPr>
              <w:pStyle w:val="afff8"/>
              <w:rPr>
                <w:b/>
              </w:rPr>
            </w:pPr>
          </w:p>
        </w:tc>
        <w:tc>
          <w:tcPr>
            <w:tcW w:w="608" w:type="pct"/>
            <w:tcBorders>
              <w:top w:val="single" w:sz="4" w:space="0" w:color="auto"/>
              <w:left w:val="single" w:sz="4" w:space="0" w:color="auto"/>
              <w:bottom w:val="nil"/>
              <w:right w:val="nil"/>
            </w:tcBorders>
            <w:shd w:val="clear" w:color="auto" w:fill="D9D9D9" w:themeFill="background1" w:themeFillShade="D9"/>
            <w:vAlign w:val="bottom"/>
          </w:tcPr>
          <w:p w14:paraId="6B975B63" w14:textId="77777777" w:rsidR="00BD07AE" w:rsidRPr="00287669" w:rsidRDefault="00BD07AE" w:rsidP="00AD3C2C">
            <w:pPr>
              <w:pStyle w:val="afff8"/>
              <w:jc w:val="center"/>
              <w:rPr>
                <w:b/>
              </w:rPr>
            </w:pPr>
            <w:r w:rsidRPr="00287669">
              <w:rPr>
                <w:b/>
              </w:rPr>
              <w:t>Плацебо</w:t>
            </w:r>
          </w:p>
          <w:p w14:paraId="2899E52B" w14:textId="77777777" w:rsidR="00BD07AE" w:rsidRPr="00287669" w:rsidRDefault="00BD07AE" w:rsidP="00AD3C2C">
            <w:pPr>
              <w:pStyle w:val="afff8"/>
              <w:jc w:val="center"/>
              <w:rPr>
                <w:b/>
              </w:rPr>
            </w:pPr>
            <w:r w:rsidRPr="00287669">
              <w:rPr>
                <w:b/>
                <w:lang w:val="en-US"/>
              </w:rPr>
              <w:t>n</w:t>
            </w:r>
            <w:r w:rsidRPr="00287669">
              <w:rPr>
                <w:b/>
              </w:rPr>
              <w:t xml:space="preserve"> = 308</w:t>
            </w:r>
          </w:p>
        </w:tc>
        <w:tc>
          <w:tcPr>
            <w:tcW w:w="655" w:type="pct"/>
            <w:tcBorders>
              <w:top w:val="single" w:sz="4" w:space="0" w:color="auto"/>
              <w:left w:val="single" w:sz="4" w:space="0" w:color="auto"/>
              <w:bottom w:val="nil"/>
              <w:right w:val="nil"/>
            </w:tcBorders>
            <w:shd w:val="clear" w:color="auto" w:fill="D9D9D9" w:themeFill="background1" w:themeFillShade="D9"/>
            <w:vAlign w:val="bottom"/>
          </w:tcPr>
          <w:p w14:paraId="32F9745E" w14:textId="77777777" w:rsidR="00BD07AE" w:rsidRPr="00287669" w:rsidRDefault="00BD07AE" w:rsidP="00AD3C2C">
            <w:pPr>
              <w:pStyle w:val="afff8"/>
              <w:jc w:val="center"/>
              <w:rPr>
                <w:b/>
              </w:rPr>
            </w:pPr>
            <w:r w:rsidRPr="00287669">
              <w:rPr>
                <w:b/>
              </w:rPr>
              <w:t>Этравирин</w:t>
            </w:r>
            <w:r w:rsidRPr="00287669">
              <w:rPr>
                <w:b/>
                <w:lang w:val="en-US"/>
              </w:rPr>
              <w:t xml:space="preserve"> n</w:t>
            </w:r>
            <w:r w:rsidRPr="00287669">
              <w:rPr>
                <w:b/>
              </w:rPr>
              <w:t xml:space="preserve"> = 304</w:t>
            </w:r>
          </w:p>
        </w:tc>
        <w:tc>
          <w:tcPr>
            <w:tcW w:w="608" w:type="pct"/>
            <w:tcBorders>
              <w:top w:val="single" w:sz="4" w:space="0" w:color="auto"/>
              <w:left w:val="single" w:sz="4" w:space="0" w:color="auto"/>
              <w:bottom w:val="nil"/>
              <w:right w:val="nil"/>
            </w:tcBorders>
            <w:shd w:val="clear" w:color="auto" w:fill="D9D9D9" w:themeFill="background1" w:themeFillShade="D9"/>
            <w:vAlign w:val="bottom"/>
          </w:tcPr>
          <w:p w14:paraId="26F21A82" w14:textId="77777777" w:rsidR="00BD07AE" w:rsidRPr="00287669" w:rsidRDefault="00BD07AE" w:rsidP="00AD3C2C">
            <w:pPr>
              <w:pStyle w:val="afff8"/>
              <w:jc w:val="center"/>
              <w:rPr>
                <w:b/>
              </w:rPr>
            </w:pPr>
            <w:r w:rsidRPr="00287669">
              <w:rPr>
                <w:b/>
              </w:rPr>
              <w:t>Плацебо</w:t>
            </w:r>
          </w:p>
          <w:p w14:paraId="30EFB755" w14:textId="77777777" w:rsidR="00BD07AE" w:rsidRPr="00287669" w:rsidRDefault="00BD07AE" w:rsidP="00AD3C2C">
            <w:pPr>
              <w:pStyle w:val="afff8"/>
              <w:jc w:val="center"/>
              <w:rPr>
                <w:b/>
              </w:rPr>
            </w:pPr>
            <w:r w:rsidRPr="00287669">
              <w:rPr>
                <w:b/>
                <w:lang w:val="en-US"/>
              </w:rPr>
              <w:t>n</w:t>
            </w:r>
            <w:r w:rsidRPr="00287669">
              <w:rPr>
                <w:b/>
              </w:rPr>
              <w:t xml:space="preserve"> = 296</w:t>
            </w:r>
          </w:p>
        </w:tc>
        <w:tc>
          <w:tcPr>
            <w:tcW w:w="649" w:type="pct"/>
            <w:tcBorders>
              <w:top w:val="single" w:sz="4" w:space="0" w:color="auto"/>
              <w:left w:val="single" w:sz="4" w:space="0" w:color="auto"/>
              <w:bottom w:val="nil"/>
              <w:right w:val="nil"/>
            </w:tcBorders>
            <w:shd w:val="clear" w:color="auto" w:fill="D9D9D9" w:themeFill="background1" w:themeFillShade="D9"/>
            <w:vAlign w:val="bottom"/>
          </w:tcPr>
          <w:p w14:paraId="77590401" w14:textId="77777777" w:rsidR="00BD07AE" w:rsidRPr="00287669" w:rsidRDefault="00BD07AE" w:rsidP="00AD3C2C">
            <w:pPr>
              <w:pStyle w:val="afff8"/>
              <w:jc w:val="center"/>
              <w:rPr>
                <w:b/>
              </w:rPr>
            </w:pPr>
            <w:r w:rsidRPr="00287669">
              <w:rPr>
                <w:b/>
              </w:rPr>
              <w:t>Этравирин</w:t>
            </w:r>
            <w:r w:rsidRPr="00287669">
              <w:rPr>
                <w:b/>
                <w:lang w:val="en-US"/>
              </w:rPr>
              <w:t xml:space="preserve"> n</w:t>
            </w:r>
            <w:r w:rsidRPr="00287669">
              <w:rPr>
                <w:b/>
              </w:rPr>
              <w:t xml:space="preserve"> = 295</w:t>
            </w:r>
          </w:p>
        </w:tc>
        <w:tc>
          <w:tcPr>
            <w:tcW w:w="608" w:type="pct"/>
            <w:tcBorders>
              <w:top w:val="single" w:sz="4" w:space="0" w:color="auto"/>
              <w:left w:val="single" w:sz="4" w:space="0" w:color="auto"/>
              <w:bottom w:val="nil"/>
              <w:right w:val="nil"/>
            </w:tcBorders>
            <w:shd w:val="clear" w:color="auto" w:fill="D9D9D9" w:themeFill="background1" w:themeFillShade="D9"/>
            <w:vAlign w:val="bottom"/>
          </w:tcPr>
          <w:p w14:paraId="2CFB892F" w14:textId="77777777" w:rsidR="00BD07AE" w:rsidRPr="00287669" w:rsidRDefault="00BD07AE" w:rsidP="00AD3C2C">
            <w:pPr>
              <w:pStyle w:val="afff8"/>
              <w:jc w:val="center"/>
              <w:rPr>
                <w:b/>
              </w:rPr>
            </w:pPr>
            <w:r w:rsidRPr="00287669">
              <w:rPr>
                <w:b/>
              </w:rPr>
              <w:t>Плацебо</w:t>
            </w:r>
          </w:p>
          <w:p w14:paraId="48CA9C6D" w14:textId="77777777" w:rsidR="00BD07AE" w:rsidRPr="00287669" w:rsidRDefault="00BD07AE" w:rsidP="00AD3C2C">
            <w:pPr>
              <w:pStyle w:val="afff8"/>
              <w:jc w:val="center"/>
              <w:rPr>
                <w:b/>
              </w:rPr>
            </w:pPr>
            <w:r w:rsidRPr="00287669">
              <w:rPr>
                <w:b/>
                <w:lang w:val="en-US"/>
              </w:rPr>
              <w:t>n</w:t>
            </w:r>
            <w:r w:rsidRPr="00287669">
              <w:rPr>
                <w:b/>
              </w:rPr>
              <w:t xml:space="preserve"> = 604</w:t>
            </w:r>
          </w:p>
        </w:tc>
        <w:tc>
          <w:tcPr>
            <w:tcW w:w="657" w:type="pct"/>
            <w:tcBorders>
              <w:top w:val="single" w:sz="4" w:space="0" w:color="auto"/>
              <w:left w:val="single" w:sz="4" w:space="0" w:color="auto"/>
              <w:bottom w:val="nil"/>
              <w:right w:val="single" w:sz="4" w:space="0" w:color="auto"/>
            </w:tcBorders>
            <w:shd w:val="clear" w:color="auto" w:fill="D9D9D9" w:themeFill="background1" w:themeFillShade="D9"/>
            <w:vAlign w:val="bottom"/>
          </w:tcPr>
          <w:p w14:paraId="1FDFDEF6" w14:textId="77777777" w:rsidR="00BD07AE" w:rsidRPr="00287669" w:rsidRDefault="00BD07AE" w:rsidP="00AD3C2C">
            <w:pPr>
              <w:pStyle w:val="afff8"/>
              <w:jc w:val="center"/>
              <w:rPr>
                <w:b/>
              </w:rPr>
            </w:pPr>
            <w:r w:rsidRPr="00287669">
              <w:rPr>
                <w:b/>
              </w:rPr>
              <w:t>Этравирин</w:t>
            </w:r>
            <w:r w:rsidRPr="00287669">
              <w:rPr>
                <w:b/>
                <w:lang w:val="en-US"/>
              </w:rPr>
              <w:t xml:space="preserve"> n</w:t>
            </w:r>
            <w:r w:rsidRPr="00287669">
              <w:rPr>
                <w:b/>
              </w:rPr>
              <w:t xml:space="preserve"> = 599</w:t>
            </w:r>
          </w:p>
        </w:tc>
      </w:tr>
      <w:tr w:rsidR="00BD07AE" w:rsidRPr="00977E55" w14:paraId="114EBE52" w14:textId="77777777" w:rsidTr="00AD3C2C">
        <w:trPr>
          <w:trHeight w:val="20"/>
        </w:trPr>
        <w:tc>
          <w:tcPr>
            <w:tcW w:w="5000" w:type="pct"/>
            <w:gridSpan w:val="7"/>
            <w:tcBorders>
              <w:top w:val="single" w:sz="4" w:space="0" w:color="auto"/>
              <w:left w:val="single" w:sz="4" w:space="0" w:color="auto"/>
              <w:bottom w:val="nil"/>
              <w:right w:val="single" w:sz="4" w:space="0" w:color="auto"/>
            </w:tcBorders>
            <w:shd w:val="clear" w:color="auto" w:fill="FFFFFF"/>
            <w:vAlign w:val="bottom"/>
          </w:tcPr>
          <w:p w14:paraId="4916F8AC" w14:textId="77777777" w:rsidR="00BD07AE" w:rsidRPr="0075640D" w:rsidRDefault="00BD07AE" w:rsidP="00AD3C2C">
            <w:pPr>
              <w:pStyle w:val="afff8"/>
              <w:jc w:val="center"/>
            </w:pPr>
            <w:r>
              <w:t>Нарушения со стороны желудочно-кишечного тракта</w:t>
            </w:r>
          </w:p>
        </w:tc>
      </w:tr>
      <w:tr w:rsidR="00BD07AE" w:rsidRPr="00977E55" w14:paraId="57825C3B"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14E80F7B" w14:textId="77777777" w:rsidR="00BD07AE" w:rsidRPr="0075640D" w:rsidRDefault="00BD07AE" w:rsidP="00AD3C2C">
            <w:pPr>
              <w:pStyle w:val="afff8"/>
            </w:pPr>
            <w:r>
              <w:t>Диарея</w:t>
            </w:r>
          </w:p>
        </w:tc>
        <w:tc>
          <w:tcPr>
            <w:tcW w:w="608" w:type="pct"/>
            <w:tcBorders>
              <w:top w:val="single" w:sz="4" w:space="0" w:color="auto"/>
              <w:left w:val="single" w:sz="4" w:space="0" w:color="auto"/>
              <w:bottom w:val="nil"/>
              <w:right w:val="nil"/>
            </w:tcBorders>
            <w:shd w:val="clear" w:color="auto" w:fill="FFFFFF"/>
            <w:vAlign w:val="bottom"/>
          </w:tcPr>
          <w:p w14:paraId="25A6A44C" w14:textId="77777777" w:rsidR="00BD07AE" w:rsidRPr="00977E55" w:rsidRDefault="00BD07AE" w:rsidP="00AD3C2C">
            <w:pPr>
              <w:pStyle w:val="afff8"/>
              <w:jc w:val="center"/>
            </w:pPr>
            <w:r w:rsidRPr="00977E55">
              <w:t>33 (10,7)</w:t>
            </w:r>
          </w:p>
        </w:tc>
        <w:tc>
          <w:tcPr>
            <w:tcW w:w="655" w:type="pct"/>
            <w:tcBorders>
              <w:top w:val="single" w:sz="4" w:space="0" w:color="auto"/>
              <w:left w:val="single" w:sz="4" w:space="0" w:color="auto"/>
              <w:bottom w:val="nil"/>
              <w:right w:val="nil"/>
            </w:tcBorders>
            <w:shd w:val="clear" w:color="auto" w:fill="FFFFFF"/>
            <w:vAlign w:val="bottom"/>
          </w:tcPr>
          <w:p w14:paraId="04F9BD72" w14:textId="77777777" w:rsidR="00BD07AE" w:rsidRPr="00977E55" w:rsidRDefault="00BD07AE" w:rsidP="00AD3C2C">
            <w:pPr>
              <w:pStyle w:val="afff8"/>
              <w:jc w:val="center"/>
            </w:pPr>
            <w:r w:rsidRPr="00977E55">
              <w:t>9</w:t>
            </w:r>
            <w:r>
              <w:t xml:space="preserve"> </w:t>
            </w:r>
            <w:r w:rsidRPr="00977E55">
              <w:t>(3,0)</w:t>
            </w:r>
          </w:p>
        </w:tc>
        <w:tc>
          <w:tcPr>
            <w:tcW w:w="608" w:type="pct"/>
            <w:tcBorders>
              <w:top w:val="single" w:sz="4" w:space="0" w:color="auto"/>
              <w:left w:val="single" w:sz="4" w:space="0" w:color="auto"/>
              <w:bottom w:val="nil"/>
              <w:right w:val="nil"/>
            </w:tcBorders>
            <w:shd w:val="clear" w:color="auto" w:fill="FFFFFF"/>
            <w:vAlign w:val="bottom"/>
          </w:tcPr>
          <w:p w14:paraId="7BE57CFA" w14:textId="77777777" w:rsidR="00BD07AE" w:rsidRPr="00977E55" w:rsidRDefault="00BD07AE" w:rsidP="00AD3C2C">
            <w:pPr>
              <w:pStyle w:val="afff8"/>
              <w:jc w:val="center"/>
            </w:pPr>
            <w:r w:rsidRPr="00977E55">
              <w:t>25 (8,4)</w:t>
            </w:r>
          </w:p>
        </w:tc>
        <w:tc>
          <w:tcPr>
            <w:tcW w:w="649" w:type="pct"/>
            <w:tcBorders>
              <w:top w:val="single" w:sz="4" w:space="0" w:color="auto"/>
              <w:left w:val="single" w:sz="4" w:space="0" w:color="auto"/>
              <w:bottom w:val="nil"/>
              <w:right w:val="nil"/>
            </w:tcBorders>
            <w:shd w:val="clear" w:color="auto" w:fill="FFFFFF"/>
            <w:vAlign w:val="bottom"/>
          </w:tcPr>
          <w:p w14:paraId="2DF8765C" w14:textId="77777777" w:rsidR="00BD07AE" w:rsidRPr="00977E55" w:rsidRDefault="00BD07AE" w:rsidP="00AD3C2C">
            <w:pPr>
              <w:pStyle w:val="afff8"/>
              <w:jc w:val="center"/>
            </w:pPr>
            <w:r w:rsidRPr="00977E55">
              <w:t>22 (7,5)</w:t>
            </w:r>
          </w:p>
        </w:tc>
        <w:tc>
          <w:tcPr>
            <w:tcW w:w="608" w:type="pct"/>
            <w:tcBorders>
              <w:top w:val="single" w:sz="4" w:space="0" w:color="auto"/>
              <w:left w:val="single" w:sz="4" w:space="0" w:color="auto"/>
              <w:bottom w:val="nil"/>
              <w:right w:val="nil"/>
            </w:tcBorders>
            <w:shd w:val="clear" w:color="auto" w:fill="FFFFFF"/>
            <w:vAlign w:val="bottom"/>
          </w:tcPr>
          <w:p w14:paraId="2FE184DC" w14:textId="77777777" w:rsidR="00BD07AE" w:rsidRPr="00977E55" w:rsidRDefault="00BD07AE" w:rsidP="00AD3C2C">
            <w:pPr>
              <w:pStyle w:val="afff8"/>
              <w:jc w:val="center"/>
            </w:pPr>
            <w:r w:rsidRPr="00977E55">
              <w:t>58 (9,6)</w:t>
            </w:r>
          </w:p>
        </w:tc>
        <w:tc>
          <w:tcPr>
            <w:tcW w:w="657" w:type="pct"/>
            <w:tcBorders>
              <w:top w:val="single" w:sz="4" w:space="0" w:color="auto"/>
              <w:left w:val="single" w:sz="4" w:space="0" w:color="auto"/>
              <w:bottom w:val="nil"/>
              <w:right w:val="single" w:sz="4" w:space="0" w:color="auto"/>
            </w:tcBorders>
            <w:shd w:val="clear" w:color="auto" w:fill="FFFFFF"/>
            <w:vAlign w:val="bottom"/>
          </w:tcPr>
          <w:p w14:paraId="79B2B2CD" w14:textId="77777777" w:rsidR="00BD07AE" w:rsidRPr="00977E55" w:rsidRDefault="00BD07AE" w:rsidP="00AD3C2C">
            <w:pPr>
              <w:pStyle w:val="afff8"/>
              <w:jc w:val="center"/>
            </w:pPr>
            <w:r w:rsidRPr="00977E55">
              <w:t>31 (5,2)</w:t>
            </w:r>
          </w:p>
        </w:tc>
      </w:tr>
      <w:tr w:rsidR="00BD07AE" w:rsidRPr="00977E55" w14:paraId="574C4589"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3F1923B8" w14:textId="77777777" w:rsidR="00BD07AE" w:rsidRPr="002579A9" w:rsidRDefault="00BD07AE" w:rsidP="00AD3C2C">
            <w:pPr>
              <w:pStyle w:val="afff8"/>
            </w:pPr>
            <w:r>
              <w:t>Тошнота</w:t>
            </w:r>
          </w:p>
        </w:tc>
        <w:tc>
          <w:tcPr>
            <w:tcW w:w="608" w:type="pct"/>
            <w:tcBorders>
              <w:top w:val="single" w:sz="4" w:space="0" w:color="auto"/>
              <w:left w:val="single" w:sz="4" w:space="0" w:color="auto"/>
              <w:bottom w:val="nil"/>
              <w:right w:val="nil"/>
            </w:tcBorders>
            <w:shd w:val="clear" w:color="auto" w:fill="FFFFFF"/>
            <w:vAlign w:val="bottom"/>
          </w:tcPr>
          <w:p w14:paraId="427C0CFB" w14:textId="77777777" w:rsidR="00BD07AE" w:rsidRPr="00977E55" w:rsidRDefault="00BD07AE" w:rsidP="00AD3C2C">
            <w:pPr>
              <w:pStyle w:val="afff8"/>
              <w:jc w:val="center"/>
            </w:pPr>
            <w:r w:rsidRPr="00977E55">
              <w:t>12 (3,9)</w:t>
            </w:r>
          </w:p>
        </w:tc>
        <w:tc>
          <w:tcPr>
            <w:tcW w:w="655" w:type="pct"/>
            <w:tcBorders>
              <w:top w:val="single" w:sz="4" w:space="0" w:color="auto"/>
              <w:left w:val="single" w:sz="4" w:space="0" w:color="auto"/>
              <w:bottom w:val="nil"/>
              <w:right w:val="nil"/>
            </w:tcBorders>
            <w:shd w:val="clear" w:color="auto" w:fill="FFFFFF"/>
            <w:vAlign w:val="bottom"/>
          </w:tcPr>
          <w:p w14:paraId="2C0AC96F" w14:textId="77777777" w:rsidR="00BD07AE" w:rsidRPr="00977E55" w:rsidRDefault="00BD07AE" w:rsidP="00AD3C2C">
            <w:pPr>
              <w:pStyle w:val="afff8"/>
              <w:jc w:val="center"/>
            </w:pPr>
            <w:r w:rsidRPr="00977E55">
              <w:t>11(3,6)</w:t>
            </w:r>
          </w:p>
        </w:tc>
        <w:tc>
          <w:tcPr>
            <w:tcW w:w="608" w:type="pct"/>
            <w:tcBorders>
              <w:top w:val="single" w:sz="4" w:space="0" w:color="auto"/>
              <w:left w:val="single" w:sz="4" w:space="0" w:color="auto"/>
              <w:bottom w:val="nil"/>
              <w:right w:val="nil"/>
            </w:tcBorders>
            <w:shd w:val="clear" w:color="auto" w:fill="FFFFFF"/>
            <w:vAlign w:val="bottom"/>
          </w:tcPr>
          <w:p w14:paraId="34DE6F68" w14:textId="77777777" w:rsidR="00BD07AE" w:rsidRPr="00977E55" w:rsidRDefault="00BD07AE" w:rsidP="00AD3C2C">
            <w:pPr>
              <w:pStyle w:val="afff8"/>
              <w:jc w:val="center"/>
            </w:pPr>
            <w:r w:rsidRPr="00977E55">
              <w:t>9 (3,0)</w:t>
            </w:r>
          </w:p>
        </w:tc>
        <w:tc>
          <w:tcPr>
            <w:tcW w:w="649" w:type="pct"/>
            <w:tcBorders>
              <w:top w:val="single" w:sz="4" w:space="0" w:color="auto"/>
              <w:left w:val="single" w:sz="4" w:space="0" w:color="auto"/>
              <w:bottom w:val="nil"/>
              <w:right w:val="nil"/>
            </w:tcBorders>
            <w:shd w:val="clear" w:color="auto" w:fill="FFFFFF"/>
            <w:vAlign w:val="bottom"/>
          </w:tcPr>
          <w:p w14:paraId="5464B894" w14:textId="77777777" w:rsidR="00BD07AE" w:rsidRPr="00977E55" w:rsidRDefault="00BD07AE" w:rsidP="00AD3C2C">
            <w:pPr>
              <w:pStyle w:val="afff8"/>
              <w:jc w:val="center"/>
            </w:pPr>
            <w:r w:rsidRPr="00977E55">
              <w:t>17</w:t>
            </w:r>
            <w:r>
              <w:t xml:space="preserve"> </w:t>
            </w:r>
            <w:r w:rsidRPr="00977E55">
              <w:t>(5,8)</w:t>
            </w:r>
          </w:p>
        </w:tc>
        <w:tc>
          <w:tcPr>
            <w:tcW w:w="608" w:type="pct"/>
            <w:tcBorders>
              <w:top w:val="single" w:sz="4" w:space="0" w:color="auto"/>
              <w:left w:val="single" w:sz="4" w:space="0" w:color="auto"/>
              <w:bottom w:val="nil"/>
              <w:right w:val="nil"/>
            </w:tcBorders>
            <w:shd w:val="clear" w:color="auto" w:fill="FFFFFF"/>
            <w:vAlign w:val="bottom"/>
          </w:tcPr>
          <w:p w14:paraId="3709F0C4" w14:textId="77777777" w:rsidR="00BD07AE" w:rsidRPr="00977E55" w:rsidRDefault="00BD07AE" w:rsidP="00AD3C2C">
            <w:pPr>
              <w:pStyle w:val="afff8"/>
              <w:jc w:val="center"/>
            </w:pPr>
            <w:r w:rsidRPr="00977E55">
              <w:t>21 (3,5)</w:t>
            </w:r>
          </w:p>
        </w:tc>
        <w:tc>
          <w:tcPr>
            <w:tcW w:w="657" w:type="pct"/>
            <w:tcBorders>
              <w:top w:val="single" w:sz="4" w:space="0" w:color="auto"/>
              <w:left w:val="single" w:sz="4" w:space="0" w:color="auto"/>
              <w:bottom w:val="nil"/>
              <w:right w:val="single" w:sz="4" w:space="0" w:color="auto"/>
            </w:tcBorders>
            <w:shd w:val="clear" w:color="auto" w:fill="FFFFFF"/>
            <w:vAlign w:val="bottom"/>
          </w:tcPr>
          <w:p w14:paraId="1366515E" w14:textId="77777777" w:rsidR="00BD07AE" w:rsidRPr="00977E55" w:rsidRDefault="00BD07AE" w:rsidP="00AD3C2C">
            <w:pPr>
              <w:pStyle w:val="afff8"/>
              <w:jc w:val="center"/>
            </w:pPr>
            <w:r w:rsidRPr="00977E55">
              <w:t>28 (4,7)</w:t>
            </w:r>
          </w:p>
        </w:tc>
      </w:tr>
      <w:tr w:rsidR="00BD07AE" w:rsidRPr="00977E55" w14:paraId="70E6C0D1"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24147010" w14:textId="77777777" w:rsidR="00BD07AE" w:rsidRPr="002579A9" w:rsidRDefault="00BD07AE" w:rsidP="00AD3C2C">
            <w:pPr>
              <w:pStyle w:val="afff8"/>
            </w:pPr>
            <w:r>
              <w:t>Боль в животе</w:t>
            </w:r>
          </w:p>
        </w:tc>
        <w:tc>
          <w:tcPr>
            <w:tcW w:w="608" w:type="pct"/>
            <w:tcBorders>
              <w:top w:val="single" w:sz="4" w:space="0" w:color="auto"/>
              <w:left w:val="single" w:sz="4" w:space="0" w:color="auto"/>
              <w:bottom w:val="nil"/>
              <w:right w:val="nil"/>
            </w:tcBorders>
            <w:shd w:val="clear" w:color="auto" w:fill="FFFFFF"/>
            <w:vAlign w:val="bottom"/>
          </w:tcPr>
          <w:p w14:paraId="3F1BE0BE" w14:textId="77777777" w:rsidR="00BD07AE" w:rsidRPr="00977E55" w:rsidRDefault="00BD07AE" w:rsidP="00AD3C2C">
            <w:pPr>
              <w:pStyle w:val="afff8"/>
              <w:jc w:val="center"/>
            </w:pPr>
            <w:r w:rsidRPr="00977E55">
              <w:t>10 (3,2)</w:t>
            </w:r>
          </w:p>
        </w:tc>
        <w:tc>
          <w:tcPr>
            <w:tcW w:w="655" w:type="pct"/>
            <w:tcBorders>
              <w:top w:val="single" w:sz="4" w:space="0" w:color="auto"/>
              <w:left w:val="single" w:sz="4" w:space="0" w:color="auto"/>
              <w:bottom w:val="nil"/>
              <w:right w:val="nil"/>
            </w:tcBorders>
            <w:shd w:val="clear" w:color="auto" w:fill="FFFFFF"/>
            <w:vAlign w:val="bottom"/>
          </w:tcPr>
          <w:p w14:paraId="2B89A514" w14:textId="77777777" w:rsidR="00BD07AE" w:rsidRPr="00977E55" w:rsidRDefault="00BD07AE" w:rsidP="00AD3C2C">
            <w:pPr>
              <w:pStyle w:val="afff8"/>
              <w:jc w:val="center"/>
            </w:pPr>
            <w:r w:rsidRPr="00977E55">
              <w:t>8</w:t>
            </w:r>
            <w:r>
              <w:t xml:space="preserve"> </w:t>
            </w:r>
            <w:r w:rsidRPr="00977E55">
              <w:t>(2,6)</w:t>
            </w:r>
          </w:p>
        </w:tc>
        <w:tc>
          <w:tcPr>
            <w:tcW w:w="608" w:type="pct"/>
            <w:tcBorders>
              <w:top w:val="single" w:sz="4" w:space="0" w:color="auto"/>
              <w:left w:val="single" w:sz="4" w:space="0" w:color="auto"/>
              <w:bottom w:val="nil"/>
              <w:right w:val="nil"/>
            </w:tcBorders>
            <w:shd w:val="clear" w:color="auto" w:fill="FFFFFF"/>
            <w:vAlign w:val="bottom"/>
          </w:tcPr>
          <w:p w14:paraId="5A8EB1C0" w14:textId="77777777" w:rsidR="00BD07AE" w:rsidRPr="00977E55" w:rsidRDefault="00BD07AE" w:rsidP="00AD3C2C">
            <w:pPr>
              <w:pStyle w:val="afff8"/>
              <w:jc w:val="center"/>
            </w:pPr>
            <w:r w:rsidRPr="00977E55">
              <w:t>5</w:t>
            </w:r>
            <w:r>
              <w:t xml:space="preserve"> </w:t>
            </w:r>
            <w:r w:rsidRPr="00977E55">
              <w:t>(1,7)</w:t>
            </w:r>
          </w:p>
        </w:tc>
        <w:tc>
          <w:tcPr>
            <w:tcW w:w="649" w:type="pct"/>
            <w:tcBorders>
              <w:top w:val="single" w:sz="4" w:space="0" w:color="auto"/>
              <w:left w:val="single" w:sz="4" w:space="0" w:color="auto"/>
              <w:bottom w:val="nil"/>
              <w:right w:val="nil"/>
            </w:tcBorders>
            <w:shd w:val="clear" w:color="auto" w:fill="FFFFFF"/>
            <w:vAlign w:val="bottom"/>
          </w:tcPr>
          <w:p w14:paraId="2F460983" w14:textId="77777777" w:rsidR="00BD07AE" w:rsidRPr="00977E55" w:rsidRDefault="00BD07AE" w:rsidP="00AD3C2C">
            <w:pPr>
              <w:pStyle w:val="afff8"/>
              <w:jc w:val="center"/>
            </w:pPr>
            <w:r w:rsidRPr="00977E55">
              <w:t>10 (3,4)</w:t>
            </w:r>
          </w:p>
        </w:tc>
        <w:tc>
          <w:tcPr>
            <w:tcW w:w="608" w:type="pct"/>
            <w:tcBorders>
              <w:top w:val="single" w:sz="4" w:space="0" w:color="auto"/>
              <w:left w:val="single" w:sz="4" w:space="0" w:color="auto"/>
              <w:bottom w:val="nil"/>
              <w:right w:val="nil"/>
            </w:tcBorders>
            <w:shd w:val="clear" w:color="auto" w:fill="FFFFFF"/>
            <w:vAlign w:val="bottom"/>
          </w:tcPr>
          <w:p w14:paraId="2CE7BC9C" w14:textId="77777777" w:rsidR="00BD07AE" w:rsidRPr="00977E55" w:rsidRDefault="00BD07AE" w:rsidP="00AD3C2C">
            <w:pPr>
              <w:pStyle w:val="afff8"/>
              <w:jc w:val="center"/>
            </w:pPr>
            <w:r w:rsidRPr="00977E55">
              <w:t>15 (2,5)</w:t>
            </w:r>
          </w:p>
        </w:tc>
        <w:tc>
          <w:tcPr>
            <w:tcW w:w="657" w:type="pct"/>
            <w:tcBorders>
              <w:top w:val="single" w:sz="4" w:space="0" w:color="auto"/>
              <w:left w:val="single" w:sz="4" w:space="0" w:color="auto"/>
              <w:bottom w:val="nil"/>
              <w:right w:val="single" w:sz="4" w:space="0" w:color="auto"/>
            </w:tcBorders>
            <w:shd w:val="clear" w:color="auto" w:fill="FFFFFF"/>
            <w:vAlign w:val="bottom"/>
          </w:tcPr>
          <w:p w14:paraId="513B743A" w14:textId="77777777" w:rsidR="00BD07AE" w:rsidRPr="00977E55" w:rsidRDefault="00BD07AE" w:rsidP="00AD3C2C">
            <w:pPr>
              <w:pStyle w:val="afff8"/>
              <w:jc w:val="center"/>
            </w:pPr>
            <w:r w:rsidRPr="00977E55">
              <w:t>18</w:t>
            </w:r>
            <w:r>
              <w:t xml:space="preserve"> </w:t>
            </w:r>
            <w:r w:rsidRPr="00977E55">
              <w:t>(3,0)</w:t>
            </w:r>
          </w:p>
        </w:tc>
      </w:tr>
      <w:tr w:rsidR="00BD07AE" w:rsidRPr="00977E55" w14:paraId="55D5B6BD"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5F7FF368" w14:textId="77777777" w:rsidR="00BD07AE" w:rsidRPr="002579A9" w:rsidRDefault="00BD07AE" w:rsidP="00AD3C2C">
            <w:pPr>
              <w:pStyle w:val="afff8"/>
            </w:pPr>
            <w:r>
              <w:t>Рвота</w:t>
            </w:r>
          </w:p>
        </w:tc>
        <w:tc>
          <w:tcPr>
            <w:tcW w:w="608" w:type="pct"/>
            <w:tcBorders>
              <w:top w:val="single" w:sz="4" w:space="0" w:color="auto"/>
              <w:left w:val="single" w:sz="4" w:space="0" w:color="auto"/>
              <w:bottom w:val="nil"/>
              <w:right w:val="nil"/>
            </w:tcBorders>
            <w:shd w:val="clear" w:color="auto" w:fill="FFFFFF"/>
            <w:vAlign w:val="bottom"/>
          </w:tcPr>
          <w:p w14:paraId="4AA9C2C2" w14:textId="77777777" w:rsidR="00BD07AE" w:rsidRPr="00977E55" w:rsidRDefault="00BD07AE" w:rsidP="00AD3C2C">
            <w:pPr>
              <w:pStyle w:val="afff8"/>
              <w:jc w:val="center"/>
            </w:pPr>
            <w:r w:rsidRPr="00977E55">
              <w:t>8 (2,6)</w:t>
            </w:r>
          </w:p>
        </w:tc>
        <w:tc>
          <w:tcPr>
            <w:tcW w:w="655" w:type="pct"/>
            <w:tcBorders>
              <w:top w:val="single" w:sz="4" w:space="0" w:color="auto"/>
              <w:left w:val="single" w:sz="4" w:space="0" w:color="auto"/>
              <w:bottom w:val="nil"/>
              <w:right w:val="nil"/>
            </w:tcBorders>
            <w:shd w:val="clear" w:color="auto" w:fill="FFFFFF"/>
            <w:vAlign w:val="bottom"/>
          </w:tcPr>
          <w:p w14:paraId="6DA16E7B" w14:textId="77777777" w:rsidR="00BD07AE" w:rsidRPr="00977E55" w:rsidRDefault="00BD07AE" w:rsidP="00AD3C2C">
            <w:pPr>
              <w:pStyle w:val="afff8"/>
              <w:jc w:val="center"/>
            </w:pPr>
            <w:r w:rsidRPr="00977E55">
              <w:t>5</w:t>
            </w:r>
            <w:r>
              <w:t xml:space="preserve"> </w:t>
            </w:r>
            <w:r w:rsidRPr="00977E55">
              <w:t>(1,6)</w:t>
            </w:r>
          </w:p>
        </w:tc>
        <w:tc>
          <w:tcPr>
            <w:tcW w:w="608" w:type="pct"/>
            <w:tcBorders>
              <w:top w:val="single" w:sz="4" w:space="0" w:color="auto"/>
              <w:left w:val="single" w:sz="4" w:space="0" w:color="auto"/>
              <w:bottom w:val="nil"/>
              <w:right w:val="nil"/>
            </w:tcBorders>
            <w:shd w:val="clear" w:color="auto" w:fill="FFFFFF"/>
            <w:vAlign w:val="bottom"/>
          </w:tcPr>
          <w:p w14:paraId="65185500" w14:textId="77777777" w:rsidR="00BD07AE" w:rsidRPr="00977E55" w:rsidRDefault="00BD07AE" w:rsidP="00AD3C2C">
            <w:pPr>
              <w:pStyle w:val="afff8"/>
              <w:jc w:val="center"/>
            </w:pPr>
            <w:r w:rsidRPr="00977E55">
              <w:t>4</w:t>
            </w:r>
            <w:r>
              <w:t xml:space="preserve"> </w:t>
            </w:r>
            <w:r w:rsidRPr="00977E55">
              <w:t>(1-4)</w:t>
            </w:r>
          </w:p>
        </w:tc>
        <w:tc>
          <w:tcPr>
            <w:tcW w:w="649" w:type="pct"/>
            <w:tcBorders>
              <w:top w:val="single" w:sz="4" w:space="0" w:color="auto"/>
              <w:left w:val="single" w:sz="4" w:space="0" w:color="auto"/>
              <w:bottom w:val="nil"/>
              <w:right w:val="nil"/>
            </w:tcBorders>
            <w:shd w:val="clear" w:color="auto" w:fill="FFFFFF"/>
            <w:vAlign w:val="bottom"/>
          </w:tcPr>
          <w:p w14:paraId="7181C5A0" w14:textId="77777777" w:rsidR="00BD07AE" w:rsidRPr="00977E55" w:rsidRDefault="00BD07AE" w:rsidP="00AD3C2C">
            <w:pPr>
              <w:pStyle w:val="afff8"/>
              <w:jc w:val="center"/>
            </w:pPr>
            <w:r w:rsidRPr="00977E55">
              <w:t>9</w:t>
            </w:r>
            <w:r>
              <w:t xml:space="preserve"> </w:t>
            </w:r>
            <w:r w:rsidRPr="00977E55">
              <w:t>(3,1)</w:t>
            </w:r>
          </w:p>
        </w:tc>
        <w:tc>
          <w:tcPr>
            <w:tcW w:w="608" w:type="pct"/>
            <w:tcBorders>
              <w:top w:val="single" w:sz="4" w:space="0" w:color="auto"/>
              <w:left w:val="single" w:sz="4" w:space="0" w:color="auto"/>
              <w:bottom w:val="nil"/>
              <w:right w:val="nil"/>
            </w:tcBorders>
            <w:shd w:val="clear" w:color="auto" w:fill="FFFFFF"/>
            <w:vAlign w:val="bottom"/>
          </w:tcPr>
          <w:p w14:paraId="1A878928" w14:textId="77777777" w:rsidR="00BD07AE" w:rsidRPr="00977E55" w:rsidRDefault="00BD07AE" w:rsidP="00AD3C2C">
            <w:pPr>
              <w:pStyle w:val="afff8"/>
              <w:jc w:val="center"/>
            </w:pPr>
            <w:r w:rsidRPr="00977E55">
              <w:t>12 (2,0)</w:t>
            </w:r>
          </w:p>
        </w:tc>
        <w:tc>
          <w:tcPr>
            <w:tcW w:w="657" w:type="pct"/>
            <w:tcBorders>
              <w:top w:val="single" w:sz="4" w:space="0" w:color="auto"/>
              <w:left w:val="single" w:sz="4" w:space="0" w:color="auto"/>
              <w:bottom w:val="nil"/>
              <w:right w:val="single" w:sz="4" w:space="0" w:color="auto"/>
            </w:tcBorders>
            <w:shd w:val="clear" w:color="auto" w:fill="FFFFFF"/>
            <w:vAlign w:val="bottom"/>
          </w:tcPr>
          <w:p w14:paraId="5CA58B16" w14:textId="77777777" w:rsidR="00BD07AE" w:rsidRPr="00977E55" w:rsidRDefault="00BD07AE" w:rsidP="00AD3C2C">
            <w:pPr>
              <w:pStyle w:val="afff8"/>
              <w:jc w:val="center"/>
            </w:pPr>
            <w:r w:rsidRPr="00977E55">
              <w:t>14 (2,3)</w:t>
            </w:r>
          </w:p>
        </w:tc>
      </w:tr>
      <w:tr w:rsidR="00BD07AE" w:rsidRPr="007D5317" w14:paraId="0CEC14FC" w14:textId="77777777" w:rsidTr="00AD3C2C">
        <w:trPr>
          <w:trHeight w:val="20"/>
        </w:trPr>
        <w:tc>
          <w:tcPr>
            <w:tcW w:w="5000" w:type="pct"/>
            <w:gridSpan w:val="7"/>
            <w:tcBorders>
              <w:top w:val="single" w:sz="4" w:space="0" w:color="auto"/>
              <w:left w:val="single" w:sz="4" w:space="0" w:color="auto"/>
              <w:bottom w:val="nil"/>
              <w:right w:val="single" w:sz="4" w:space="0" w:color="auto"/>
            </w:tcBorders>
            <w:shd w:val="clear" w:color="auto" w:fill="FFFFFF"/>
            <w:vAlign w:val="bottom"/>
          </w:tcPr>
          <w:p w14:paraId="02D05225" w14:textId="77777777" w:rsidR="00BD07AE" w:rsidRPr="007D5317" w:rsidRDefault="00BD07AE" w:rsidP="00AD3C2C">
            <w:pPr>
              <w:pStyle w:val="afff8"/>
              <w:jc w:val="center"/>
            </w:pPr>
            <w:r>
              <w:t>Н</w:t>
            </w:r>
            <w:r w:rsidRPr="007D5317">
              <w:t>арушения со стороны обмена веществ и питания</w:t>
            </w:r>
          </w:p>
        </w:tc>
      </w:tr>
      <w:tr w:rsidR="00BD07AE" w:rsidRPr="00977E55" w14:paraId="69C7FC2D"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57EDBC39" w14:textId="77777777" w:rsidR="00BD07AE" w:rsidRPr="007D5317" w:rsidRDefault="00BD07AE" w:rsidP="00AD3C2C">
            <w:pPr>
              <w:pStyle w:val="afff8"/>
            </w:pPr>
            <w:r>
              <w:t>Гипертриглицеридемия</w:t>
            </w:r>
          </w:p>
        </w:tc>
        <w:tc>
          <w:tcPr>
            <w:tcW w:w="608" w:type="pct"/>
            <w:tcBorders>
              <w:top w:val="single" w:sz="4" w:space="0" w:color="auto"/>
              <w:left w:val="single" w:sz="4" w:space="0" w:color="auto"/>
              <w:bottom w:val="nil"/>
              <w:right w:val="nil"/>
            </w:tcBorders>
            <w:shd w:val="clear" w:color="auto" w:fill="FFFFFF"/>
            <w:vAlign w:val="bottom"/>
          </w:tcPr>
          <w:p w14:paraId="565ABBC6" w14:textId="77777777" w:rsidR="00BD07AE" w:rsidRPr="00977E55" w:rsidRDefault="00BD07AE" w:rsidP="00AD3C2C">
            <w:pPr>
              <w:pStyle w:val="afff8"/>
              <w:jc w:val="center"/>
            </w:pPr>
            <w:r w:rsidRPr="00977E55">
              <w:t>9 (2,9)</w:t>
            </w:r>
          </w:p>
        </w:tc>
        <w:tc>
          <w:tcPr>
            <w:tcW w:w="655" w:type="pct"/>
            <w:tcBorders>
              <w:top w:val="single" w:sz="4" w:space="0" w:color="auto"/>
              <w:left w:val="single" w:sz="4" w:space="0" w:color="auto"/>
              <w:bottom w:val="nil"/>
              <w:right w:val="nil"/>
            </w:tcBorders>
            <w:shd w:val="clear" w:color="auto" w:fill="FFFFFF"/>
            <w:vAlign w:val="bottom"/>
          </w:tcPr>
          <w:p w14:paraId="71E28D1E" w14:textId="77777777" w:rsidR="00BD07AE" w:rsidRPr="00977E55" w:rsidRDefault="00BD07AE" w:rsidP="00AD3C2C">
            <w:pPr>
              <w:pStyle w:val="afff8"/>
              <w:jc w:val="center"/>
            </w:pPr>
            <w:r w:rsidRPr="00977E55">
              <w:t>9 (3,0)</w:t>
            </w:r>
          </w:p>
        </w:tc>
        <w:tc>
          <w:tcPr>
            <w:tcW w:w="608" w:type="pct"/>
            <w:tcBorders>
              <w:top w:val="single" w:sz="4" w:space="0" w:color="auto"/>
              <w:left w:val="single" w:sz="4" w:space="0" w:color="auto"/>
              <w:bottom w:val="nil"/>
              <w:right w:val="nil"/>
            </w:tcBorders>
            <w:shd w:val="clear" w:color="auto" w:fill="FFFFFF"/>
            <w:vAlign w:val="bottom"/>
          </w:tcPr>
          <w:p w14:paraId="1B4CB136" w14:textId="77777777" w:rsidR="00BD07AE" w:rsidRPr="00977E55" w:rsidRDefault="00BD07AE" w:rsidP="00AD3C2C">
            <w:pPr>
              <w:pStyle w:val="afff8"/>
              <w:jc w:val="center"/>
            </w:pPr>
            <w:r w:rsidRPr="00977E55">
              <w:t>9(3,0)</w:t>
            </w:r>
          </w:p>
        </w:tc>
        <w:tc>
          <w:tcPr>
            <w:tcW w:w="649" w:type="pct"/>
            <w:tcBorders>
              <w:top w:val="single" w:sz="4" w:space="0" w:color="auto"/>
              <w:left w:val="single" w:sz="4" w:space="0" w:color="auto"/>
              <w:bottom w:val="nil"/>
              <w:right w:val="nil"/>
            </w:tcBorders>
            <w:shd w:val="clear" w:color="auto" w:fill="FFFFFF"/>
            <w:vAlign w:val="bottom"/>
          </w:tcPr>
          <w:p w14:paraId="68371B17" w14:textId="77777777" w:rsidR="00BD07AE" w:rsidRPr="00977E55" w:rsidRDefault="00BD07AE" w:rsidP="00AD3C2C">
            <w:pPr>
              <w:pStyle w:val="afff8"/>
              <w:jc w:val="center"/>
            </w:pPr>
            <w:r w:rsidRPr="00977E55">
              <w:t>19 (6,4)</w:t>
            </w:r>
          </w:p>
        </w:tc>
        <w:tc>
          <w:tcPr>
            <w:tcW w:w="608" w:type="pct"/>
            <w:tcBorders>
              <w:top w:val="single" w:sz="4" w:space="0" w:color="auto"/>
              <w:left w:val="single" w:sz="4" w:space="0" w:color="auto"/>
              <w:bottom w:val="nil"/>
              <w:right w:val="nil"/>
            </w:tcBorders>
            <w:shd w:val="clear" w:color="auto" w:fill="FFFFFF"/>
            <w:vAlign w:val="bottom"/>
          </w:tcPr>
          <w:p w14:paraId="25171D38" w14:textId="77777777" w:rsidR="00BD07AE" w:rsidRPr="00977E55" w:rsidRDefault="00BD07AE" w:rsidP="00AD3C2C">
            <w:pPr>
              <w:pStyle w:val="afff8"/>
              <w:jc w:val="center"/>
            </w:pPr>
            <w:r w:rsidRPr="00977E55">
              <w:t>18</w:t>
            </w:r>
            <w:r>
              <w:t xml:space="preserve"> </w:t>
            </w:r>
            <w:r w:rsidRPr="00977E55">
              <w:t>(3,0)</w:t>
            </w:r>
          </w:p>
        </w:tc>
        <w:tc>
          <w:tcPr>
            <w:tcW w:w="657" w:type="pct"/>
            <w:tcBorders>
              <w:top w:val="single" w:sz="4" w:space="0" w:color="auto"/>
              <w:left w:val="single" w:sz="4" w:space="0" w:color="auto"/>
              <w:bottom w:val="nil"/>
              <w:right w:val="single" w:sz="4" w:space="0" w:color="auto"/>
            </w:tcBorders>
            <w:shd w:val="clear" w:color="auto" w:fill="FFFFFF"/>
            <w:vAlign w:val="bottom"/>
          </w:tcPr>
          <w:p w14:paraId="02C8BB59" w14:textId="77777777" w:rsidR="00BD07AE" w:rsidRPr="00977E55" w:rsidRDefault="00BD07AE" w:rsidP="00AD3C2C">
            <w:pPr>
              <w:pStyle w:val="afff8"/>
              <w:jc w:val="center"/>
            </w:pPr>
            <w:r w:rsidRPr="00977E55">
              <w:t>28 (4,7)</w:t>
            </w:r>
          </w:p>
        </w:tc>
      </w:tr>
      <w:tr w:rsidR="00BD07AE" w:rsidRPr="00977E55" w14:paraId="25371985"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3822490E" w14:textId="77777777" w:rsidR="00BD07AE" w:rsidRPr="007D5317" w:rsidRDefault="00BD07AE" w:rsidP="00AD3C2C">
            <w:pPr>
              <w:pStyle w:val="afff8"/>
            </w:pPr>
            <w:r>
              <w:t>Гиперхолистеринемия</w:t>
            </w:r>
          </w:p>
        </w:tc>
        <w:tc>
          <w:tcPr>
            <w:tcW w:w="608" w:type="pct"/>
            <w:tcBorders>
              <w:top w:val="single" w:sz="4" w:space="0" w:color="auto"/>
              <w:left w:val="single" w:sz="4" w:space="0" w:color="auto"/>
              <w:bottom w:val="nil"/>
              <w:right w:val="nil"/>
            </w:tcBorders>
            <w:shd w:val="clear" w:color="auto" w:fill="FFFFFF"/>
            <w:vAlign w:val="bottom"/>
          </w:tcPr>
          <w:p w14:paraId="16596E7D" w14:textId="77777777" w:rsidR="00BD07AE" w:rsidRPr="00977E55" w:rsidRDefault="00BD07AE" w:rsidP="00AD3C2C">
            <w:pPr>
              <w:pStyle w:val="afff8"/>
              <w:jc w:val="center"/>
            </w:pPr>
            <w:r w:rsidRPr="00977E55">
              <w:t>5</w:t>
            </w:r>
            <w:r>
              <w:t xml:space="preserve"> </w:t>
            </w:r>
            <w:r w:rsidRPr="00977E55">
              <w:t>(1,6)</w:t>
            </w:r>
          </w:p>
        </w:tc>
        <w:tc>
          <w:tcPr>
            <w:tcW w:w="655" w:type="pct"/>
            <w:tcBorders>
              <w:top w:val="single" w:sz="4" w:space="0" w:color="auto"/>
              <w:left w:val="single" w:sz="4" w:space="0" w:color="auto"/>
              <w:bottom w:val="nil"/>
              <w:right w:val="nil"/>
            </w:tcBorders>
            <w:shd w:val="clear" w:color="auto" w:fill="FFFFFF"/>
            <w:vAlign w:val="bottom"/>
          </w:tcPr>
          <w:p w14:paraId="7FF06110" w14:textId="77777777" w:rsidR="00BD07AE" w:rsidRPr="00977E55" w:rsidRDefault="00BD07AE" w:rsidP="00AD3C2C">
            <w:pPr>
              <w:pStyle w:val="afff8"/>
              <w:jc w:val="center"/>
            </w:pPr>
            <w:r w:rsidRPr="00977E55">
              <w:t>9</w:t>
            </w:r>
            <w:r>
              <w:t xml:space="preserve"> </w:t>
            </w:r>
            <w:r w:rsidRPr="00977E55">
              <w:t>(3</w:t>
            </w:r>
            <w:r>
              <w:t>,</w:t>
            </w:r>
            <w:r w:rsidRPr="00977E55">
              <w:t>0)</w:t>
            </w:r>
          </w:p>
        </w:tc>
        <w:tc>
          <w:tcPr>
            <w:tcW w:w="608" w:type="pct"/>
            <w:tcBorders>
              <w:top w:val="single" w:sz="4" w:space="0" w:color="auto"/>
              <w:left w:val="single" w:sz="4" w:space="0" w:color="auto"/>
              <w:bottom w:val="nil"/>
              <w:right w:val="nil"/>
            </w:tcBorders>
            <w:shd w:val="clear" w:color="auto" w:fill="FFFFFF"/>
            <w:vAlign w:val="bottom"/>
          </w:tcPr>
          <w:p w14:paraId="43C890BB" w14:textId="77777777" w:rsidR="00BD07AE" w:rsidRPr="00977E55" w:rsidRDefault="00BD07AE" w:rsidP="00AD3C2C">
            <w:pPr>
              <w:pStyle w:val="afff8"/>
              <w:jc w:val="center"/>
            </w:pPr>
            <w:r w:rsidRPr="00977E55">
              <w:t>8 (2,7)</w:t>
            </w:r>
          </w:p>
        </w:tc>
        <w:tc>
          <w:tcPr>
            <w:tcW w:w="649" w:type="pct"/>
            <w:tcBorders>
              <w:top w:val="single" w:sz="4" w:space="0" w:color="auto"/>
              <w:left w:val="single" w:sz="4" w:space="0" w:color="auto"/>
              <w:bottom w:val="nil"/>
              <w:right w:val="nil"/>
            </w:tcBorders>
            <w:shd w:val="clear" w:color="auto" w:fill="FFFFFF"/>
            <w:vAlign w:val="bottom"/>
          </w:tcPr>
          <w:p w14:paraId="006541C2" w14:textId="77777777" w:rsidR="00BD07AE" w:rsidRPr="00977E55" w:rsidRDefault="00BD07AE" w:rsidP="00AD3C2C">
            <w:pPr>
              <w:pStyle w:val="afff8"/>
              <w:jc w:val="center"/>
            </w:pPr>
            <w:r w:rsidRPr="00977E55">
              <w:t>12</w:t>
            </w:r>
            <w:r>
              <w:t xml:space="preserve"> </w:t>
            </w:r>
            <w:r w:rsidRPr="00977E55">
              <w:t>(4,1)</w:t>
            </w:r>
          </w:p>
        </w:tc>
        <w:tc>
          <w:tcPr>
            <w:tcW w:w="608" w:type="pct"/>
            <w:tcBorders>
              <w:top w:val="single" w:sz="4" w:space="0" w:color="auto"/>
              <w:left w:val="single" w:sz="4" w:space="0" w:color="auto"/>
              <w:bottom w:val="nil"/>
              <w:right w:val="nil"/>
            </w:tcBorders>
            <w:shd w:val="clear" w:color="auto" w:fill="FFFFFF"/>
            <w:vAlign w:val="bottom"/>
          </w:tcPr>
          <w:p w14:paraId="47987190" w14:textId="77777777" w:rsidR="00BD07AE" w:rsidRPr="00977E55" w:rsidRDefault="00BD07AE" w:rsidP="00AD3C2C">
            <w:pPr>
              <w:pStyle w:val="afff8"/>
              <w:jc w:val="center"/>
            </w:pPr>
            <w:r w:rsidRPr="00977E55">
              <w:t>13 (2,2)</w:t>
            </w:r>
          </w:p>
        </w:tc>
        <w:tc>
          <w:tcPr>
            <w:tcW w:w="657" w:type="pct"/>
            <w:tcBorders>
              <w:top w:val="single" w:sz="4" w:space="0" w:color="auto"/>
              <w:left w:val="single" w:sz="4" w:space="0" w:color="auto"/>
              <w:bottom w:val="nil"/>
              <w:right w:val="single" w:sz="4" w:space="0" w:color="auto"/>
            </w:tcBorders>
            <w:shd w:val="clear" w:color="auto" w:fill="FFFFFF"/>
            <w:vAlign w:val="bottom"/>
          </w:tcPr>
          <w:p w14:paraId="3E498319" w14:textId="77777777" w:rsidR="00BD07AE" w:rsidRPr="00977E55" w:rsidRDefault="00BD07AE" w:rsidP="00AD3C2C">
            <w:pPr>
              <w:pStyle w:val="afff8"/>
              <w:jc w:val="center"/>
            </w:pPr>
            <w:r w:rsidRPr="00977E55">
              <w:t>21 (3,5)</w:t>
            </w:r>
          </w:p>
        </w:tc>
      </w:tr>
      <w:tr w:rsidR="00BD07AE" w:rsidRPr="00203E1B" w14:paraId="5D60BBDC" w14:textId="77777777" w:rsidTr="00AD3C2C">
        <w:trPr>
          <w:trHeight w:val="20"/>
        </w:trPr>
        <w:tc>
          <w:tcPr>
            <w:tcW w:w="5000" w:type="pct"/>
            <w:gridSpan w:val="7"/>
            <w:tcBorders>
              <w:top w:val="single" w:sz="4" w:space="0" w:color="auto"/>
              <w:left w:val="single" w:sz="4" w:space="0" w:color="auto"/>
              <w:bottom w:val="nil"/>
              <w:right w:val="single" w:sz="4" w:space="0" w:color="auto"/>
            </w:tcBorders>
            <w:shd w:val="clear" w:color="auto" w:fill="FFFFFF"/>
            <w:vAlign w:val="bottom"/>
          </w:tcPr>
          <w:p w14:paraId="4DDAC913" w14:textId="77777777" w:rsidR="00BD07AE" w:rsidRPr="00203E1B" w:rsidRDefault="00BD07AE" w:rsidP="00AD3C2C">
            <w:pPr>
              <w:pStyle w:val="afff8"/>
              <w:jc w:val="center"/>
            </w:pPr>
            <w:r w:rsidRPr="00203E1B">
              <w:t>Нарушения со стороны кожи и подкожной клетчатки</w:t>
            </w:r>
          </w:p>
        </w:tc>
      </w:tr>
      <w:tr w:rsidR="00BD07AE" w:rsidRPr="00977E55" w14:paraId="61EA01CC" w14:textId="77777777" w:rsidTr="00AD3C2C">
        <w:trPr>
          <w:trHeight w:val="20"/>
        </w:trPr>
        <w:tc>
          <w:tcPr>
            <w:tcW w:w="1216" w:type="pct"/>
            <w:tcBorders>
              <w:top w:val="single" w:sz="4" w:space="0" w:color="auto"/>
              <w:left w:val="single" w:sz="4" w:space="0" w:color="auto"/>
              <w:bottom w:val="nil"/>
              <w:right w:val="single" w:sz="4" w:space="0" w:color="auto"/>
            </w:tcBorders>
            <w:shd w:val="clear" w:color="auto" w:fill="FFFFFF"/>
            <w:vAlign w:val="bottom"/>
          </w:tcPr>
          <w:p w14:paraId="6313DE95" w14:textId="77777777" w:rsidR="00BD07AE" w:rsidRPr="00977E55" w:rsidRDefault="00BD07AE" w:rsidP="00AD3C2C">
            <w:pPr>
              <w:pStyle w:val="afff8"/>
            </w:pPr>
            <w:r>
              <w:t>Сыпь</w:t>
            </w:r>
            <w:r w:rsidRPr="00977E55">
              <w:t xml:space="preserve"> (</w:t>
            </w:r>
            <w:r>
              <w:t>любого типа</w:t>
            </w:r>
            <w:r w:rsidRPr="00977E55">
              <w:t>)</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0C4ED70B" w14:textId="77777777" w:rsidR="00BD07AE" w:rsidRPr="00977E55" w:rsidRDefault="00BD07AE" w:rsidP="00AD3C2C">
            <w:pPr>
              <w:pStyle w:val="afff8"/>
              <w:jc w:val="center"/>
            </w:pPr>
            <w:r w:rsidRPr="00977E55">
              <w:t>11</w:t>
            </w:r>
            <w:r>
              <w:t xml:space="preserve"> </w:t>
            </w:r>
            <w:r w:rsidRPr="00977E55">
              <w:t>(3,6)</w:t>
            </w:r>
          </w:p>
        </w:tc>
        <w:tc>
          <w:tcPr>
            <w:tcW w:w="655" w:type="pct"/>
            <w:tcBorders>
              <w:top w:val="single" w:sz="4" w:space="0" w:color="auto"/>
              <w:left w:val="single" w:sz="4" w:space="0" w:color="auto"/>
              <w:bottom w:val="single" w:sz="4" w:space="0" w:color="auto"/>
              <w:right w:val="single" w:sz="4" w:space="0" w:color="auto"/>
            </w:tcBorders>
            <w:shd w:val="clear" w:color="auto" w:fill="FFFFFF"/>
            <w:vAlign w:val="bottom"/>
          </w:tcPr>
          <w:p w14:paraId="479C7D77" w14:textId="77777777" w:rsidR="00BD07AE" w:rsidRPr="00977E55" w:rsidRDefault="00BD07AE" w:rsidP="00AD3C2C">
            <w:pPr>
              <w:pStyle w:val="afff8"/>
              <w:jc w:val="center"/>
            </w:pPr>
            <w:r w:rsidRPr="00977E55">
              <w:t>32</w:t>
            </w:r>
            <w:r>
              <w:t xml:space="preserve"> </w:t>
            </w:r>
            <w:r w:rsidRPr="00977E55">
              <w:t>(10</w:t>
            </w:r>
            <w:r>
              <w:t>,</w:t>
            </w:r>
            <w:r w:rsidRPr="00977E55">
              <w:t>5)</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5986081C" w14:textId="77777777" w:rsidR="00BD07AE" w:rsidRPr="00977E55" w:rsidRDefault="00BD07AE" w:rsidP="00AD3C2C">
            <w:pPr>
              <w:pStyle w:val="afff8"/>
              <w:jc w:val="center"/>
            </w:pPr>
            <w:r w:rsidRPr="00977E55">
              <w:t>8</w:t>
            </w:r>
            <w:r>
              <w:t xml:space="preserve"> </w:t>
            </w:r>
            <w:r w:rsidRPr="00977E55">
              <w:t>(2</w:t>
            </w:r>
            <w:r>
              <w:t>,</w:t>
            </w:r>
            <w:r w:rsidRPr="00977E55">
              <w:t>7)</w:t>
            </w: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05F1F7C3" w14:textId="77777777" w:rsidR="00BD07AE" w:rsidRPr="00977E55" w:rsidRDefault="00BD07AE" w:rsidP="00AD3C2C">
            <w:pPr>
              <w:pStyle w:val="afff8"/>
              <w:jc w:val="center"/>
            </w:pPr>
            <w:r w:rsidRPr="00977E55">
              <w:t>22 (7,5)</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2EBAA24C" w14:textId="77777777" w:rsidR="00BD07AE" w:rsidRPr="00977E55" w:rsidRDefault="00BD07AE" w:rsidP="00AD3C2C">
            <w:pPr>
              <w:pStyle w:val="afff8"/>
              <w:jc w:val="center"/>
            </w:pPr>
            <w:r w:rsidRPr="00977E55">
              <w:t>19</w:t>
            </w:r>
            <w:r>
              <w:t xml:space="preserve"> </w:t>
            </w:r>
            <w:r w:rsidRPr="00977E55">
              <w:t>(3,1)</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bottom"/>
          </w:tcPr>
          <w:p w14:paraId="48F108C3" w14:textId="77777777" w:rsidR="00BD07AE" w:rsidRPr="00977E55" w:rsidRDefault="00BD07AE" w:rsidP="00AD3C2C">
            <w:pPr>
              <w:pStyle w:val="afff8"/>
              <w:jc w:val="center"/>
            </w:pPr>
            <w:r w:rsidRPr="00977E55">
              <w:t>54 (9,0)</w:t>
            </w:r>
          </w:p>
        </w:tc>
      </w:tr>
      <w:tr w:rsidR="00BD07AE" w:rsidRPr="00203E1B" w14:paraId="4E90211A" w14:textId="77777777" w:rsidTr="00AD3C2C">
        <w:trPr>
          <w:trHeight w:val="20"/>
        </w:trPr>
        <w:tc>
          <w:tcPr>
            <w:tcW w:w="5000" w:type="pct"/>
            <w:gridSpan w:val="7"/>
            <w:tcBorders>
              <w:top w:val="single" w:sz="4" w:space="0" w:color="auto"/>
              <w:left w:val="single" w:sz="4" w:space="0" w:color="auto"/>
              <w:bottom w:val="nil"/>
              <w:right w:val="single" w:sz="4" w:space="0" w:color="auto"/>
            </w:tcBorders>
            <w:shd w:val="clear" w:color="auto" w:fill="FFFFFF"/>
            <w:vAlign w:val="bottom"/>
          </w:tcPr>
          <w:p w14:paraId="6953CA98" w14:textId="77777777" w:rsidR="00BD07AE" w:rsidRPr="00203E1B" w:rsidRDefault="00BD07AE" w:rsidP="00AD3C2C">
            <w:pPr>
              <w:pStyle w:val="afff8"/>
              <w:jc w:val="center"/>
            </w:pPr>
            <w:r>
              <w:t>Нарушения со стороны нервной системы</w:t>
            </w:r>
          </w:p>
        </w:tc>
      </w:tr>
      <w:tr w:rsidR="00BD07AE" w:rsidRPr="00977E55" w14:paraId="63EC4DC9"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0A52D444" w14:textId="77777777" w:rsidR="00BD07AE" w:rsidRPr="00203E1B" w:rsidRDefault="00BD07AE" w:rsidP="00AD3C2C">
            <w:pPr>
              <w:pStyle w:val="afff8"/>
            </w:pPr>
            <w:r>
              <w:t>Периферическая нейропатия</w:t>
            </w:r>
          </w:p>
        </w:tc>
        <w:tc>
          <w:tcPr>
            <w:tcW w:w="608" w:type="pct"/>
            <w:tcBorders>
              <w:top w:val="single" w:sz="4" w:space="0" w:color="auto"/>
              <w:left w:val="single" w:sz="4" w:space="0" w:color="auto"/>
              <w:bottom w:val="nil"/>
              <w:right w:val="nil"/>
            </w:tcBorders>
            <w:shd w:val="clear" w:color="auto" w:fill="FFFFFF"/>
            <w:vAlign w:val="bottom"/>
          </w:tcPr>
          <w:p w14:paraId="26A5E4CF" w14:textId="77777777" w:rsidR="00BD07AE" w:rsidRPr="00977E55" w:rsidRDefault="00BD07AE" w:rsidP="00AD3C2C">
            <w:pPr>
              <w:pStyle w:val="afff8"/>
              <w:jc w:val="center"/>
            </w:pPr>
            <w:r w:rsidRPr="00977E55">
              <w:t>5</w:t>
            </w:r>
            <w:r>
              <w:t xml:space="preserve"> </w:t>
            </w:r>
            <w:r w:rsidRPr="00977E55">
              <w:t>(1,6)</w:t>
            </w:r>
          </w:p>
        </w:tc>
        <w:tc>
          <w:tcPr>
            <w:tcW w:w="655" w:type="pct"/>
            <w:tcBorders>
              <w:top w:val="single" w:sz="4" w:space="0" w:color="auto"/>
              <w:left w:val="single" w:sz="4" w:space="0" w:color="auto"/>
              <w:bottom w:val="nil"/>
              <w:right w:val="nil"/>
            </w:tcBorders>
            <w:shd w:val="clear" w:color="auto" w:fill="FFFFFF"/>
            <w:vAlign w:val="bottom"/>
          </w:tcPr>
          <w:p w14:paraId="4547A434" w14:textId="77777777" w:rsidR="00BD07AE" w:rsidRPr="00977E55" w:rsidRDefault="00BD07AE" w:rsidP="00AD3C2C">
            <w:pPr>
              <w:pStyle w:val="afff8"/>
              <w:jc w:val="center"/>
            </w:pPr>
            <w:r w:rsidRPr="00977E55">
              <w:t>8</w:t>
            </w:r>
            <w:r>
              <w:t xml:space="preserve"> </w:t>
            </w:r>
            <w:r w:rsidRPr="00977E55">
              <w:t>(2,6)</w:t>
            </w:r>
          </w:p>
        </w:tc>
        <w:tc>
          <w:tcPr>
            <w:tcW w:w="608" w:type="pct"/>
            <w:tcBorders>
              <w:top w:val="single" w:sz="4" w:space="0" w:color="auto"/>
              <w:left w:val="single" w:sz="4" w:space="0" w:color="auto"/>
              <w:bottom w:val="nil"/>
              <w:right w:val="nil"/>
            </w:tcBorders>
            <w:shd w:val="clear" w:color="auto" w:fill="FFFFFF"/>
            <w:vAlign w:val="bottom"/>
          </w:tcPr>
          <w:p w14:paraId="687331E9" w14:textId="77777777" w:rsidR="00BD07AE" w:rsidRPr="00977E55" w:rsidRDefault="00BD07AE" w:rsidP="00AD3C2C">
            <w:pPr>
              <w:pStyle w:val="afff8"/>
              <w:jc w:val="center"/>
            </w:pPr>
            <w:r w:rsidRPr="00977E55">
              <w:t>6 (2,0)</w:t>
            </w:r>
          </w:p>
        </w:tc>
        <w:tc>
          <w:tcPr>
            <w:tcW w:w="649" w:type="pct"/>
            <w:tcBorders>
              <w:top w:val="single" w:sz="4" w:space="0" w:color="auto"/>
              <w:left w:val="single" w:sz="4" w:space="0" w:color="auto"/>
              <w:bottom w:val="nil"/>
              <w:right w:val="nil"/>
            </w:tcBorders>
            <w:shd w:val="clear" w:color="auto" w:fill="FFFFFF"/>
            <w:vAlign w:val="bottom"/>
          </w:tcPr>
          <w:p w14:paraId="264E9B60" w14:textId="77777777" w:rsidR="00BD07AE" w:rsidRPr="00977E55" w:rsidRDefault="00BD07AE" w:rsidP="00AD3C2C">
            <w:pPr>
              <w:pStyle w:val="afff8"/>
              <w:jc w:val="center"/>
            </w:pPr>
            <w:r w:rsidRPr="00977E55">
              <w:t>9</w:t>
            </w:r>
            <w:r>
              <w:t xml:space="preserve"> </w:t>
            </w:r>
            <w:r w:rsidRPr="00977E55">
              <w:t>(3,1)</w:t>
            </w:r>
          </w:p>
        </w:tc>
        <w:tc>
          <w:tcPr>
            <w:tcW w:w="608" w:type="pct"/>
            <w:tcBorders>
              <w:top w:val="single" w:sz="4" w:space="0" w:color="auto"/>
              <w:left w:val="single" w:sz="4" w:space="0" w:color="auto"/>
              <w:bottom w:val="nil"/>
              <w:right w:val="nil"/>
            </w:tcBorders>
            <w:shd w:val="clear" w:color="auto" w:fill="FFFFFF"/>
            <w:vAlign w:val="bottom"/>
          </w:tcPr>
          <w:p w14:paraId="30AB82A6" w14:textId="77777777" w:rsidR="00BD07AE" w:rsidRPr="00977E55" w:rsidRDefault="00BD07AE" w:rsidP="00AD3C2C">
            <w:pPr>
              <w:pStyle w:val="afff8"/>
              <w:jc w:val="center"/>
            </w:pPr>
            <w:r w:rsidRPr="00977E55">
              <w:t>11</w:t>
            </w:r>
            <w:r>
              <w:t xml:space="preserve"> </w:t>
            </w:r>
            <w:r w:rsidRPr="00977E55">
              <w:t>(1</w:t>
            </w:r>
            <w:r>
              <w:t>,</w:t>
            </w:r>
            <w:r w:rsidRPr="00977E55">
              <w:t>8)</w:t>
            </w:r>
          </w:p>
        </w:tc>
        <w:tc>
          <w:tcPr>
            <w:tcW w:w="657" w:type="pct"/>
            <w:tcBorders>
              <w:top w:val="single" w:sz="4" w:space="0" w:color="auto"/>
              <w:left w:val="single" w:sz="4" w:space="0" w:color="auto"/>
              <w:bottom w:val="nil"/>
              <w:right w:val="single" w:sz="4" w:space="0" w:color="auto"/>
            </w:tcBorders>
            <w:shd w:val="clear" w:color="auto" w:fill="FFFFFF"/>
            <w:vAlign w:val="bottom"/>
          </w:tcPr>
          <w:p w14:paraId="3EBFECCD" w14:textId="77777777" w:rsidR="00BD07AE" w:rsidRPr="00977E55" w:rsidRDefault="00BD07AE" w:rsidP="00AD3C2C">
            <w:pPr>
              <w:pStyle w:val="afff8"/>
              <w:jc w:val="center"/>
            </w:pPr>
            <w:r w:rsidRPr="00977E55">
              <w:t>17</w:t>
            </w:r>
            <w:r>
              <w:t xml:space="preserve"> </w:t>
            </w:r>
            <w:r w:rsidRPr="00977E55">
              <w:t>(2,8)</w:t>
            </w:r>
          </w:p>
        </w:tc>
      </w:tr>
      <w:tr w:rsidR="00BD07AE" w:rsidRPr="00977E55" w14:paraId="77CDC1F6" w14:textId="77777777" w:rsidTr="00AD3C2C">
        <w:trPr>
          <w:trHeight w:val="20"/>
        </w:trPr>
        <w:tc>
          <w:tcPr>
            <w:tcW w:w="1216" w:type="pct"/>
            <w:tcBorders>
              <w:top w:val="single" w:sz="4" w:space="0" w:color="auto"/>
              <w:left w:val="single" w:sz="4" w:space="0" w:color="auto"/>
              <w:bottom w:val="nil"/>
              <w:right w:val="nil"/>
            </w:tcBorders>
            <w:shd w:val="clear" w:color="auto" w:fill="FFFFFF"/>
            <w:vAlign w:val="bottom"/>
          </w:tcPr>
          <w:p w14:paraId="7B7105A3" w14:textId="77777777" w:rsidR="00BD07AE" w:rsidRPr="00203E1B" w:rsidRDefault="00BD07AE" w:rsidP="00AD3C2C">
            <w:pPr>
              <w:pStyle w:val="afff8"/>
            </w:pPr>
            <w:r>
              <w:t>Головная боль</w:t>
            </w:r>
          </w:p>
        </w:tc>
        <w:tc>
          <w:tcPr>
            <w:tcW w:w="608" w:type="pct"/>
            <w:tcBorders>
              <w:top w:val="single" w:sz="4" w:space="0" w:color="auto"/>
              <w:left w:val="single" w:sz="4" w:space="0" w:color="auto"/>
              <w:bottom w:val="nil"/>
              <w:right w:val="nil"/>
            </w:tcBorders>
            <w:shd w:val="clear" w:color="auto" w:fill="FFFFFF"/>
            <w:vAlign w:val="bottom"/>
          </w:tcPr>
          <w:p w14:paraId="39F23474" w14:textId="77777777" w:rsidR="00BD07AE" w:rsidRPr="00977E55" w:rsidRDefault="00BD07AE" w:rsidP="00AD3C2C">
            <w:pPr>
              <w:pStyle w:val="afff8"/>
              <w:jc w:val="center"/>
            </w:pPr>
            <w:r w:rsidRPr="00977E55">
              <w:t>19 (6,2)</w:t>
            </w:r>
          </w:p>
        </w:tc>
        <w:tc>
          <w:tcPr>
            <w:tcW w:w="655" w:type="pct"/>
            <w:tcBorders>
              <w:top w:val="single" w:sz="4" w:space="0" w:color="auto"/>
              <w:left w:val="single" w:sz="4" w:space="0" w:color="auto"/>
              <w:bottom w:val="nil"/>
              <w:right w:val="nil"/>
            </w:tcBorders>
            <w:shd w:val="clear" w:color="auto" w:fill="FFFFFF"/>
            <w:vAlign w:val="bottom"/>
          </w:tcPr>
          <w:p w14:paraId="1BD311E5" w14:textId="77777777" w:rsidR="00BD07AE" w:rsidRPr="00977E55" w:rsidRDefault="00BD07AE" w:rsidP="00AD3C2C">
            <w:pPr>
              <w:pStyle w:val="afff8"/>
              <w:jc w:val="center"/>
            </w:pPr>
            <w:r w:rsidRPr="00977E55">
              <w:t>9</w:t>
            </w:r>
            <w:r>
              <w:t xml:space="preserve"> </w:t>
            </w:r>
            <w:r w:rsidRPr="00977E55">
              <w:t>(3,0)</w:t>
            </w:r>
          </w:p>
        </w:tc>
        <w:tc>
          <w:tcPr>
            <w:tcW w:w="608" w:type="pct"/>
            <w:tcBorders>
              <w:top w:val="single" w:sz="4" w:space="0" w:color="auto"/>
              <w:left w:val="single" w:sz="4" w:space="0" w:color="auto"/>
              <w:bottom w:val="nil"/>
              <w:right w:val="nil"/>
            </w:tcBorders>
            <w:shd w:val="clear" w:color="auto" w:fill="FFFFFF"/>
            <w:vAlign w:val="bottom"/>
          </w:tcPr>
          <w:p w14:paraId="0B624A2C" w14:textId="77777777" w:rsidR="00BD07AE" w:rsidRPr="00977E55" w:rsidRDefault="00BD07AE" w:rsidP="00AD3C2C">
            <w:pPr>
              <w:pStyle w:val="afff8"/>
              <w:jc w:val="center"/>
            </w:pPr>
            <w:r w:rsidRPr="00977E55">
              <w:t>6</w:t>
            </w:r>
            <w:r>
              <w:t xml:space="preserve"> </w:t>
            </w:r>
            <w:r w:rsidRPr="00977E55">
              <w:t>(2,0)</w:t>
            </w:r>
          </w:p>
        </w:tc>
        <w:tc>
          <w:tcPr>
            <w:tcW w:w="649" w:type="pct"/>
            <w:tcBorders>
              <w:top w:val="single" w:sz="4" w:space="0" w:color="auto"/>
              <w:left w:val="single" w:sz="4" w:space="0" w:color="auto"/>
              <w:bottom w:val="nil"/>
              <w:right w:val="nil"/>
            </w:tcBorders>
            <w:shd w:val="clear" w:color="auto" w:fill="FFFFFF"/>
            <w:vAlign w:val="bottom"/>
          </w:tcPr>
          <w:p w14:paraId="54C43481" w14:textId="77777777" w:rsidR="00BD07AE" w:rsidRPr="00977E55" w:rsidRDefault="00BD07AE" w:rsidP="00AD3C2C">
            <w:pPr>
              <w:pStyle w:val="afff8"/>
              <w:jc w:val="center"/>
            </w:pPr>
            <w:r w:rsidRPr="00977E55">
              <w:t>7 (2,4)</w:t>
            </w:r>
          </w:p>
        </w:tc>
        <w:tc>
          <w:tcPr>
            <w:tcW w:w="608" w:type="pct"/>
            <w:tcBorders>
              <w:top w:val="single" w:sz="4" w:space="0" w:color="auto"/>
              <w:left w:val="single" w:sz="4" w:space="0" w:color="auto"/>
              <w:bottom w:val="nil"/>
              <w:right w:val="nil"/>
            </w:tcBorders>
            <w:shd w:val="clear" w:color="auto" w:fill="FFFFFF"/>
            <w:vAlign w:val="bottom"/>
          </w:tcPr>
          <w:p w14:paraId="061F0D63" w14:textId="77777777" w:rsidR="00BD07AE" w:rsidRPr="00977E55" w:rsidRDefault="00BD07AE" w:rsidP="00AD3C2C">
            <w:pPr>
              <w:pStyle w:val="afff8"/>
              <w:jc w:val="center"/>
            </w:pPr>
            <w:r w:rsidRPr="00977E55">
              <w:t>25</w:t>
            </w:r>
            <w:r>
              <w:t xml:space="preserve"> </w:t>
            </w:r>
            <w:r w:rsidRPr="00977E55">
              <w:t>(4,1)</w:t>
            </w:r>
          </w:p>
        </w:tc>
        <w:tc>
          <w:tcPr>
            <w:tcW w:w="657" w:type="pct"/>
            <w:tcBorders>
              <w:top w:val="single" w:sz="4" w:space="0" w:color="auto"/>
              <w:left w:val="single" w:sz="4" w:space="0" w:color="auto"/>
              <w:bottom w:val="nil"/>
              <w:right w:val="single" w:sz="4" w:space="0" w:color="auto"/>
            </w:tcBorders>
            <w:shd w:val="clear" w:color="auto" w:fill="FFFFFF"/>
            <w:vAlign w:val="bottom"/>
          </w:tcPr>
          <w:p w14:paraId="70513E3E" w14:textId="77777777" w:rsidR="00BD07AE" w:rsidRPr="00977E55" w:rsidRDefault="00BD07AE" w:rsidP="00AD3C2C">
            <w:pPr>
              <w:pStyle w:val="afff8"/>
              <w:jc w:val="center"/>
            </w:pPr>
            <w:r w:rsidRPr="00977E55">
              <w:t>16</w:t>
            </w:r>
            <w:r>
              <w:t xml:space="preserve"> </w:t>
            </w:r>
            <w:r w:rsidRPr="00977E55">
              <w:t>(2,7)</w:t>
            </w:r>
          </w:p>
        </w:tc>
      </w:tr>
      <w:tr w:rsidR="00BD07AE" w:rsidRPr="004224C2" w14:paraId="5A230444" w14:textId="77777777" w:rsidTr="00AD3C2C">
        <w:trPr>
          <w:trHeight w:val="20"/>
        </w:trPr>
        <w:tc>
          <w:tcPr>
            <w:tcW w:w="5000" w:type="pct"/>
            <w:gridSpan w:val="7"/>
            <w:tcBorders>
              <w:top w:val="single" w:sz="4" w:space="0" w:color="auto"/>
              <w:left w:val="single" w:sz="4" w:space="0" w:color="auto"/>
              <w:bottom w:val="nil"/>
              <w:right w:val="single" w:sz="4" w:space="0" w:color="auto"/>
            </w:tcBorders>
            <w:shd w:val="clear" w:color="auto" w:fill="FFFFFF"/>
            <w:vAlign w:val="bottom"/>
          </w:tcPr>
          <w:p w14:paraId="2B96FADF" w14:textId="77777777" w:rsidR="00BD07AE" w:rsidRPr="004224C2" w:rsidRDefault="00BD07AE" w:rsidP="00AD3C2C">
            <w:pPr>
              <w:pStyle w:val="afff8"/>
              <w:jc w:val="center"/>
            </w:pPr>
            <w:r>
              <w:t>Н</w:t>
            </w:r>
            <w:r w:rsidRPr="004224C2">
              <w:t>арушения со стороны крови и лимфатической системы</w:t>
            </w:r>
          </w:p>
        </w:tc>
      </w:tr>
      <w:tr w:rsidR="00BD07AE" w:rsidRPr="00977E55" w14:paraId="772F75A9" w14:textId="77777777" w:rsidTr="00AD3C2C">
        <w:trPr>
          <w:trHeight w:val="20"/>
        </w:trPr>
        <w:tc>
          <w:tcPr>
            <w:tcW w:w="1216" w:type="pct"/>
            <w:tcBorders>
              <w:top w:val="single" w:sz="4" w:space="0" w:color="auto"/>
              <w:left w:val="single" w:sz="4" w:space="0" w:color="auto"/>
              <w:bottom w:val="nil"/>
              <w:right w:val="single" w:sz="4" w:space="0" w:color="auto"/>
            </w:tcBorders>
            <w:shd w:val="clear" w:color="auto" w:fill="FFFFFF"/>
            <w:vAlign w:val="bottom"/>
          </w:tcPr>
          <w:p w14:paraId="0C679AF2" w14:textId="77777777" w:rsidR="00BD07AE" w:rsidRPr="00853100" w:rsidRDefault="00BD07AE" w:rsidP="00AD3C2C">
            <w:pPr>
              <w:pStyle w:val="afff8"/>
            </w:pPr>
            <w:r>
              <w:t>Анемия</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7DAFDB26" w14:textId="77777777" w:rsidR="00BD07AE" w:rsidRPr="00977E55" w:rsidRDefault="00BD07AE" w:rsidP="00AD3C2C">
            <w:pPr>
              <w:pStyle w:val="afff8"/>
              <w:jc w:val="center"/>
            </w:pPr>
            <w:r w:rsidRPr="00977E55">
              <w:t>9 (2,9)</w:t>
            </w:r>
          </w:p>
        </w:tc>
        <w:tc>
          <w:tcPr>
            <w:tcW w:w="655" w:type="pct"/>
            <w:tcBorders>
              <w:top w:val="single" w:sz="4" w:space="0" w:color="auto"/>
              <w:left w:val="single" w:sz="4" w:space="0" w:color="auto"/>
              <w:bottom w:val="single" w:sz="4" w:space="0" w:color="auto"/>
              <w:right w:val="single" w:sz="4" w:space="0" w:color="auto"/>
            </w:tcBorders>
            <w:shd w:val="clear" w:color="auto" w:fill="FFFFFF"/>
            <w:vAlign w:val="bottom"/>
          </w:tcPr>
          <w:p w14:paraId="5E774B92" w14:textId="77777777" w:rsidR="00BD07AE" w:rsidRPr="00977E55" w:rsidRDefault="00BD07AE" w:rsidP="00AD3C2C">
            <w:pPr>
              <w:pStyle w:val="afff8"/>
              <w:jc w:val="center"/>
            </w:pPr>
            <w:r w:rsidRPr="00977E55">
              <w:t>10</w:t>
            </w:r>
            <w:r>
              <w:t xml:space="preserve"> </w:t>
            </w:r>
            <w:r w:rsidRPr="00977E55">
              <w:t>(3-3)</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219B092A" w14:textId="77777777" w:rsidR="00BD07AE" w:rsidRPr="00977E55" w:rsidRDefault="00BD07AE" w:rsidP="00AD3C2C">
            <w:pPr>
              <w:pStyle w:val="afff8"/>
              <w:jc w:val="center"/>
            </w:pPr>
            <w:r w:rsidRPr="00977E55">
              <w:t>13 (4,4)</w:t>
            </w: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53BB6407" w14:textId="77777777" w:rsidR="00BD07AE" w:rsidRPr="00977E55" w:rsidRDefault="00BD07AE" w:rsidP="00AD3C2C">
            <w:pPr>
              <w:pStyle w:val="afff8"/>
              <w:jc w:val="center"/>
            </w:pPr>
            <w:r w:rsidRPr="00977E55">
              <w:t>11</w:t>
            </w:r>
            <w:r>
              <w:t xml:space="preserve"> </w:t>
            </w:r>
            <w:r w:rsidRPr="00977E55">
              <w:t>(3-7)</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56F93D3A" w14:textId="77777777" w:rsidR="00BD07AE" w:rsidRPr="00977E55" w:rsidRDefault="00BD07AE" w:rsidP="00AD3C2C">
            <w:pPr>
              <w:pStyle w:val="afff8"/>
              <w:jc w:val="center"/>
            </w:pPr>
            <w:r w:rsidRPr="00977E55">
              <w:t>22 (3,6)</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bottom"/>
          </w:tcPr>
          <w:p w14:paraId="32AECE5C" w14:textId="77777777" w:rsidR="00BD07AE" w:rsidRPr="00977E55" w:rsidRDefault="00BD07AE" w:rsidP="00AD3C2C">
            <w:pPr>
              <w:pStyle w:val="afff8"/>
              <w:jc w:val="center"/>
            </w:pPr>
            <w:r w:rsidRPr="00977E55">
              <w:t>21 (3,5)</w:t>
            </w:r>
          </w:p>
        </w:tc>
      </w:tr>
      <w:tr w:rsidR="00BD07AE" w:rsidRPr="00E13F5A" w14:paraId="116A5EE1" w14:textId="77777777" w:rsidTr="00AD3C2C">
        <w:trPr>
          <w:trHeight w:val="20"/>
        </w:trPr>
        <w:tc>
          <w:tcPr>
            <w:tcW w:w="5000" w:type="pct"/>
            <w:gridSpan w:val="7"/>
            <w:tcBorders>
              <w:top w:val="single" w:sz="4" w:space="0" w:color="auto"/>
              <w:left w:val="single" w:sz="4" w:space="0" w:color="auto"/>
              <w:bottom w:val="nil"/>
              <w:right w:val="single" w:sz="4" w:space="0" w:color="auto"/>
            </w:tcBorders>
            <w:shd w:val="clear" w:color="auto" w:fill="FFFFFF"/>
            <w:vAlign w:val="bottom"/>
          </w:tcPr>
          <w:p w14:paraId="72C1D737" w14:textId="77777777" w:rsidR="00BD07AE" w:rsidRPr="00E13F5A" w:rsidRDefault="00BD07AE" w:rsidP="00AD3C2C">
            <w:pPr>
              <w:pStyle w:val="afff8"/>
              <w:jc w:val="center"/>
            </w:pPr>
            <w:r w:rsidRPr="00E13F5A">
              <w:t>Общие нарушения и реакции в месте введения</w:t>
            </w:r>
          </w:p>
        </w:tc>
      </w:tr>
      <w:tr w:rsidR="00BD07AE" w:rsidRPr="00977E55" w14:paraId="5627688A" w14:textId="77777777" w:rsidTr="00AD3C2C">
        <w:trPr>
          <w:trHeight w:val="20"/>
        </w:trPr>
        <w:tc>
          <w:tcPr>
            <w:tcW w:w="1216" w:type="pct"/>
            <w:tcBorders>
              <w:top w:val="single" w:sz="4" w:space="0" w:color="auto"/>
              <w:left w:val="single" w:sz="4" w:space="0" w:color="auto"/>
              <w:bottom w:val="nil"/>
              <w:right w:val="single" w:sz="4" w:space="0" w:color="auto"/>
            </w:tcBorders>
            <w:shd w:val="clear" w:color="auto" w:fill="FFFFFF"/>
            <w:vAlign w:val="bottom"/>
          </w:tcPr>
          <w:p w14:paraId="38C6A7FE" w14:textId="77777777" w:rsidR="00BD07AE" w:rsidRPr="004319CE" w:rsidRDefault="00BD07AE" w:rsidP="00AD3C2C">
            <w:pPr>
              <w:pStyle w:val="afff8"/>
            </w:pPr>
            <w:r>
              <w:t>Утомляемость</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38279557" w14:textId="77777777" w:rsidR="00BD07AE" w:rsidRPr="00977E55" w:rsidRDefault="00BD07AE" w:rsidP="00AD3C2C">
            <w:pPr>
              <w:pStyle w:val="afff8"/>
              <w:jc w:val="center"/>
            </w:pPr>
            <w:r w:rsidRPr="00977E55">
              <w:t>11</w:t>
            </w:r>
            <w:r>
              <w:t xml:space="preserve"> </w:t>
            </w:r>
            <w:r w:rsidRPr="00977E55">
              <w:t>(3,6)</w:t>
            </w:r>
          </w:p>
        </w:tc>
        <w:tc>
          <w:tcPr>
            <w:tcW w:w="655" w:type="pct"/>
            <w:tcBorders>
              <w:top w:val="single" w:sz="4" w:space="0" w:color="auto"/>
              <w:left w:val="single" w:sz="4" w:space="0" w:color="auto"/>
              <w:bottom w:val="single" w:sz="4" w:space="0" w:color="auto"/>
              <w:right w:val="single" w:sz="4" w:space="0" w:color="auto"/>
            </w:tcBorders>
            <w:shd w:val="clear" w:color="auto" w:fill="FFFFFF"/>
            <w:vAlign w:val="bottom"/>
          </w:tcPr>
          <w:p w14:paraId="6198EAD1" w14:textId="77777777" w:rsidR="00BD07AE" w:rsidRPr="00977E55" w:rsidRDefault="00BD07AE" w:rsidP="00AD3C2C">
            <w:pPr>
              <w:pStyle w:val="afff8"/>
              <w:jc w:val="center"/>
            </w:pPr>
            <w:r w:rsidRPr="00977E55">
              <w:t>7</w:t>
            </w:r>
            <w:r>
              <w:t xml:space="preserve"> </w:t>
            </w:r>
            <w:r w:rsidRPr="00977E55">
              <w:t>(2,3)</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42754751" w14:textId="77777777" w:rsidR="00BD07AE" w:rsidRPr="00977E55" w:rsidRDefault="00BD07AE" w:rsidP="00AD3C2C">
            <w:pPr>
              <w:pStyle w:val="afff8"/>
              <w:jc w:val="center"/>
            </w:pPr>
            <w:r w:rsidRPr="00977E55">
              <w:t>13 (4,4)</w:t>
            </w:r>
          </w:p>
        </w:tc>
        <w:tc>
          <w:tcPr>
            <w:tcW w:w="649" w:type="pct"/>
            <w:tcBorders>
              <w:top w:val="single" w:sz="4" w:space="0" w:color="auto"/>
              <w:left w:val="single" w:sz="4" w:space="0" w:color="auto"/>
              <w:bottom w:val="single" w:sz="4" w:space="0" w:color="auto"/>
              <w:right w:val="single" w:sz="4" w:space="0" w:color="auto"/>
            </w:tcBorders>
            <w:shd w:val="clear" w:color="auto" w:fill="FFFFFF"/>
            <w:vAlign w:val="bottom"/>
          </w:tcPr>
          <w:p w14:paraId="283DBDC7" w14:textId="77777777" w:rsidR="00BD07AE" w:rsidRPr="00977E55" w:rsidRDefault="00BD07AE" w:rsidP="00AD3C2C">
            <w:pPr>
              <w:pStyle w:val="afff8"/>
              <w:jc w:val="center"/>
            </w:pPr>
            <w:r w:rsidRPr="00977E55">
              <w:t>13 (4,4)</w:t>
            </w:r>
          </w:p>
        </w:tc>
        <w:tc>
          <w:tcPr>
            <w:tcW w:w="608" w:type="pct"/>
            <w:tcBorders>
              <w:top w:val="single" w:sz="4" w:space="0" w:color="auto"/>
              <w:left w:val="single" w:sz="4" w:space="0" w:color="auto"/>
              <w:bottom w:val="single" w:sz="4" w:space="0" w:color="auto"/>
              <w:right w:val="single" w:sz="4" w:space="0" w:color="auto"/>
            </w:tcBorders>
            <w:shd w:val="clear" w:color="auto" w:fill="FFFFFF"/>
            <w:vAlign w:val="bottom"/>
          </w:tcPr>
          <w:p w14:paraId="63A63C7B" w14:textId="77777777" w:rsidR="00BD07AE" w:rsidRPr="00977E55" w:rsidRDefault="00BD07AE" w:rsidP="00AD3C2C">
            <w:pPr>
              <w:pStyle w:val="afff8"/>
              <w:jc w:val="center"/>
            </w:pPr>
            <w:r w:rsidRPr="00977E55">
              <w:t>24 (4,0)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bottom"/>
          </w:tcPr>
          <w:p w14:paraId="7B6B1591" w14:textId="77777777" w:rsidR="00BD07AE" w:rsidRPr="00977E55" w:rsidRDefault="00BD07AE" w:rsidP="00AD3C2C">
            <w:pPr>
              <w:pStyle w:val="afff8"/>
              <w:jc w:val="center"/>
            </w:pPr>
            <w:r w:rsidRPr="00977E55">
              <w:t>20 (3,3)</w:t>
            </w:r>
          </w:p>
        </w:tc>
      </w:tr>
      <w:tr w:rsidR="00BD07AE" w:rsidRPr="004319CE" w14:paraId="47EBB50E" w14:textId="77777777" w:rsidTr="00AD3C2C">
        <w:trPr>
          <w:trHeight w:val="20"/>
        </w:trPr>
        <w:tc>
          <w:tcPr>
            <w:tcW w:w="5000" w:type="pct"/>
            <w:gridSpan w:val="7"/>
            <w:tcBorders>
              <w:top w:val="single" w:sz="4" w:space="0" w:color="auto"/>
              <w:left w:val="single" w:sz="4" w:space="0" w:color="auto"/>
              <w:bottom w:val="single" w:sz="4" w:space="0" w:color="auto"/>
              <w:right w:val="single" w:sz="4" w:space="0" w:color="auto"/>
            </w:tcBorders>
            <w:shd w:val="clear" w:color="auto" w:fill="FFFFFF"/>
            <w:vAlign w:val="bottom"/>
          </w:tcPr>
          <w:p w14:paraId="40E2628E" w14:textId="77777777" w:rsidR="00BD07AE" w:rsidRPr="004319CE" w:rsidRDefault="00BD07AE" w:rsidP="00AD3C2C">
            <w:pPr>
              <w:pStyle w:val="afff8"/>
              <w:jc w:val="center"/>
            </w:pPr>
            <w:r>
              <w:t>Нарушения со стороны сосудистой системы</w:t>
            </w:r>
          </w:p>
        </w:tc>
      </w:tr>
      <w:tr w:rsidR="00BD07AE" w:rsidRPr="00977E55" w14:paraId="547C4F29" w14:textId="77777777" w:rsidTr="00AD3C2C">
        <w:trPr>
          <w:trHeight w:val="20"/>
        </w:trPr>
        <w:tc>
          <w:tcPr>
            <w:tcW w:w="1216" w:type="pct"/>
            <w:tcBorders>
              <w:top w:val="single" w:sz="4" w:space="0" w:color="auto"/>
              <w:left w:val="single" w:sz="4" w:space="0" w:color="auto"/>
              <w:bottom w:val="single" w:sz="4" w:space="0" w:color="auto"/>
              <w:right w:val="single" w:sz="4" w:space="0" w:color="auto"/>
            </w:tcBorders>
            <w:shd w:val="clear" w:color="auto" w:fill="FFFFFF"/>
          </w:tcPr>
          <w:p w14:paraId="388DC143" w14:textId="77777777" w:rsidR="00BD07AE" w:rsidRPr="004319CE" w:rsidRDefault="00BD07AE" w:rsidP="00AD3C2C">
            <w:pPr>
              <w:pStyle w:val="afff8"/>
            </w:pPr>
            <w:r>
              <w:t>Гипертензия</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313C05C0" w14:textId="77777777" w:rsidR="00BD07AE" w:rsidRPr="00977E55" w:rsidRDefault="00BD07AE" w:rsidP="00AD3C2C">
            <w:pPr>
              <w:pStyle w:val="afff8"/>
              <w:jc w:val="center"/>
            </w:pPr>
            <w:r w:rsidRPr="00977E55">
              <w:t>7</w:t>
            </w:r>
            <w:r>
              <w:t xml:space="preserve"> </w:t>
            </w:r>
            <w:r w:rsidRPr="00977E55">
              <w:t>(2</w:t>
            </w:r>
            <w:r>
              <w:t>,</w:t>
            </w:r>
            <w:r w:rsidRPr="00977E55">
              <w:t>3)</w:t>
            </w:r>
          </w:p>
        </w:tc>
        <w:tc>
          <w:tcPr>
            <w:tcW w:w="655" w:type="pct"/>
            <w:tcBorders>
              <w:top w:val="single" w:sz="4" w:space="0" w:color="auto"/>
              <w:left w:val="single" w:sz="4" w:space="0" w:color="auto"/>
              <w:bottom w:val="single" w:sz="4" w:space="0" w:color="auto"/>
              <w:right w:val="single" w:sz="4" w:space="0" w:color="auto"/>
            </w:tcBorders>
            <w:shd w:val="clear" w:color="auto" w:fill="FFFFFF"/>
          </w:tcPr>
          <w:p w14:paraId="66B56B7E" w14:textId="77777777" w:rsidR="00BD07AE" w:rsidRPr="00977E55" w:rsidRDefault="00BD07AE" w:rsidP="00AD3C2C">
            <w:pPr>
              <w:pStyle w:val="afff8"/>
              <w:jc w:val="center"/>
            </w:pPr>
            <w:r w:rsidRPr="00977E55">
              <w:t>10 (3,3)</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58E9AB52" w14:textId="77777777" w:rsidR="00BD07AE" w:rsidRPr="00977E55" w:rsidRDefault="00BD07AE" w:rsidP="00AD3C2C">
            <w:pPr>
              <w:pStyle w:val="afff8"/>
              <w:jc w:val="center"/>
            </w:pPr>
            <w:r w:rsidRPr="00977E55">
              <w:t>6</w:t>
            </w:r>
            <w:r>
              <w:t xml:space="preserve"> </w:t>
            </w:r>
            <w:r w:rsidRPr="00977E55">
              <w:t>(2,0)</w:t>
            </w:r>
          </w:p>
        </w:tc>
        <w:tc>
          <w:tcPr>
            <w:tcW w:w="649" w:type="pct"/>
            <w:tcBorders>
              <w:top w:val="single" w:sz="4" w:space="0" w:color="auto"/>
              <w:left w:val="single" w:sz="4" w:space="0" w:color="auto"/>
              <w:bottom w:val="single" w:sz="4" w:space="0" w:color="auto"/>
              <w:right w:val="single" w:sz="4" w:space="0" w:color="auto"/>
            </w:tcBorders>
            <w:shd w:val="clear" w:color="auto" w:fill="FFFFFF"/>
          </w:tcPr>
          <w:p w14:paraId="175E4DDF" w14:textId="77777777" w:rsidR="00BD07AE" w:rsidRPr="00977E55" w:rsidRDefault="00BD07AE" w:rsidP="00AD3C2C">
            <w:pPr>
              <w:pStyle w:val="afff8"/>
              <w:jc w:val="center"/>
            </w:pPr>
            <w:r w:rsidRPr="00977E55">
              <w:t>7 (2,4)</w:t>
            </w:r>
          </w:p>
        </w:tc>
        <w:tc>
          <w:tcPr>
            <w:tcW w:w="608" w:type="pct"/>
            <w:tcBorders>
              <w:top w:val="single" w:sz="4" w:space="0" w:color="auto"/>
              <w:left w:val="single" w:sz="4" w:space="0" w:color="auto"/>
              <w:bottom w:val="single" w:sz="4" w:space="0" w:color="auto"/>
              <w:right w:val="single" w:sz="4" w:space="0" w:color="auto"/>
            </w:tcBorders>
            <w:shd w:val="clear" w:color="auto" w:fill="FFFFFF"/>
          </w:tcPr>
          <w:p w14:paraId="17DE18C4" w14:textId="77777777" w:rsidR="00BD07AE" w:rsidRPr="00977E55" w:rsidRDefault="00BD07AE" w:rsidP="00AD3C2C">
            <w:pPr>
              <w:pStyle w:val="afff8"/>
              <w:jc w:val="center"/>
            </w:pPr>
            <w:r w:rsidRPr="00977E55">
              <w:t>13</w:t>
            </w:r>
            <w:r>
              <w:t xml:space="preserve"> </w:t>
            </w:r>
            <w:r w:rsidRPr="00977E55">
              <w:t>(2,2)</w:t>
            </w:r>
          </w:p>
        </w:tc>
        <w:tc>
          <w:tcPr>
            <w:tcW w:w="657" w:type="pct"/>
            <w:tcBorders>
              <w:top w:val="single" w:sz="4" w:space="0" w:color="auto"/>
              <w:left w:val="single" w:sz="4" w:space="0" w:color="auto"/>
              <w:bottom w:val="single" w:sz="4" w:space="0" w:color="auto"/>
              <w:right w:val="single" w:sz="4" w:space="0" w:color="auto"/>
            </w:tcBorders>
            <w:shd w:val="clear" w:color="auto" w:fill="FFFFFF"/>
          </w:tcPr>
          <w:p w14:paraId="3E68C5E2" w14:textId="77777777" w:rsidR="00BD07AE" w:rsidRPr="00977E55" w:rsidRDefault="00BD07AE" w:rsidP="00AD3C2C">
            <w:pPr>
              <w:pStyle w:val="afff8"/>
              <w:jc w:val="center"/>
            </w:pPr>
            <w:r w:rsidRPr="00977E55">
              <w:t>17</w:t>
            </w:r>
            <w:r>
              <w:t xml:space="preserve"> </w:t>
            </w:r>
            <w:r w:rsidRPr="00977E55">
              <w:t>(2,8)</w:t>
            </w:r>
          </w:p>
        </w:tc>
      </w:tr>
    </w:tbl>
    <w:p w14:paraId="3FF5AC7D" w14:textId="77777777" w:rsidR="00BD07AE" w:rsidRDefault="00BD07AE" w:rsidP="00BD07AE">
      <w:pPr>
        <w:ind w:firstLine="709"/>
      </w:pPr>
    </w:p>
    <w:p w14:paraId="11F7F124" w14:textId="3164CC61" w:rsidR="00BD07AE" w:rsidRDefault="00BD07AE" w:rsidP="00BD07AE">
      <w:pPr>
        <w:ind w:firstLine="709"/>
      </w:pPr>
      <w:r w:rsidRPr="002D5965">
        <w:t xml:space="preserve">Из 1041 пациента, получавшего </w:t>
      </w:r>
      <w:r>
        <w:t>этравирин</w:t>
      </w:r>
      <w:r w:rsidRPr="002D5965">
        <w:t xml:space="preserve"> в исследованиях фазы IIb и III, 277 принимали препарат более 48 недель, а средняя продолжительность их лечения составила 119,6 недель. Частота НЯ, включая кожную сыпь, снижалась по мере увеличения длительности приема препарата, но исключением были психиатрические НЯ, частота которых была схожей между двумя фазами лечения (в первые 48 недель и в период после 48 недель лечения) и НЯ, связанные с нарушениями со стороны коронарных артерий, частота которых в период после 48-й недели была выше (3,2%), чем в первые 48 недель лечения (1,8%). В исследовании C217 (переходу на следующий этап фазы III) у пациентов из группы продолженного лечения </w:t>
      </w:r>
      <w:r>
        <w:t>этравирина</w:t>
      </w:r>
      <w:r w:rsidRPr="002D5965">
        <w:t xml:space="preserve"> выявлено большее количество НЯ со стороны нервной системы</w:t>
      </w:r>
      <w:r w:rsidR="00147F06">
        <w:t xml:space="preserve"> </w:t>
      </w:r>
      <w:r w:rsidRPr="002D5965">
        <w:t xml:space="preserve">(23,1% vs. 12,0%) </w:t>
      </w:r>
      <w:r>
        <w:fldChar w:fldCharType="begin"/>
      </w:r>
      <w:r>
        <w:instrText xml:space="preserve"> ADDIN ZOTERO_ITEM CSL_CITATION {"citationID":"5KCrURtJ","properties":{"formattedCitation":"(1,7,23,85)","plainCitation":"(1,7,23,85)","noteIndex":0},"citationItems":[{"id":2546,"uris":["http://zotero.org/users/5483459/items/J2LUM5TE"],"itemData":{"id":2546,"type":"document","title":"Product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710EC842" w14:textId="77777777" w:rsidR="00040F40" w:rsidRDefault="00040F40" w:rsidP="00B30F15">
      <w:pPr>
        <w:pStyle w:val="4"/>
        <w:spacing w:after="240"/>
        <w:rPr>
          <w:rFonts w:ascii="Times New Roman" w:hAnsi="Times New Roman"/>
          <w:color w:val="000000" w:themeColor="text1"/>
          <w:sz w:val="24"/>
          <w:szCs w:val="24"/>
        </w:rPr>
      </w:pPr>
      <w:bookmarkStart w:id="183" w:name="_Toc117179237"/>
      <w:r w:rsidRPr="00B30F15">
        <w:rPr>
          <w:rFonts w:ascii="Times New Roman" w:hAnsi="Times New Roman"/>
          <w:color w:val="000000" w:themeColor="text1"/>
          <w:sz w:val="24"/>
          <w:szCs w:val="24"/>
        </w:rPr>
        <w:t>4.</w:t>
      </w:r>
      <w:r w:rsidR="00BE4F25" w:rsidRPr="00B30F15">
        <w:rPr>
          <w:rFonts w:ascii="Times New Roman" w:hAnsi="Times New Roman"/>
          <w:color w:val="000000" w:themeColor="text1"/>
          <w:sz w:val="24"/>
          <w:szCs w:val="24"/>
        </w:rPr>
        <w:t>3</w:t>
      </w:r>
      <w:r w:rsidRPr="00B30F15">
        <w:rPr>
          <w:rFonts w:ascii="Times New Roman" w:hAnsi="Times New Roman"/>
          <w:color w:val="000000" w:themeColor="text1"/>
          <w:sz w:val="24"/>
          <w:szCs w:val="24"/>
        </w:rPr>
        <w:t>.</w:t>
      </w:r>
      <w:r w:rsidR="00B30F15">
        <w:rPr>
          <w:rFonts w:ascii="Times New Roman" w:hAnsi="Times New Roman"/>
          <w:color w:val="000000" w:themeColor="text1"/>
          <w:sz w:val="24"/>
          <w:szCs w:val="24"/>
        </w:rPr>
        <w:t>2.3</w:t>
      </w:r>
      <w:r w:rsidRPr="00B30F15">
        <w:rPr>
          <w:rFonts w:ascii="Times New Roman" w:hAnsi="Times New Roman"/>
          <w:color w:val="000000" w:themeColor="text1"/>
          <w:sz w:val="24"/>
          <w:szCs w:val="24"/>
        </w:rPr>
        <w:t>. Серьезные нежелательные явления</w:t>
      </w:r>
      <w:r w:rsidR="00B30F15">
        <w:rPr>
          <w:rFonts w:ascii="Times New Roman" w:hAnsi="Times New Roman"/>
          <w:color w:val="000000" w:themeColor="text1"/>
          <w:sz w:val="24"/>
          <w:szCs w:val="24"/>
        </w:rPr>
        <w:t>,</w:t>
      </w:r>
      <w:r w:rsidRPr="00B30F15">
        <w:rPr>
          <w:rFonts w:ascii="Times New Roman" w:hAnsi="Times New Roman"/>
          <w:color w:val="000000" w:themeColor="text1"/>
          <w:sz w:val="24"/>
          <w:szCs w:val="24"/>
        </w:rPr>
        <w:t xml:space="preserve"> летальные </w:t>
      </w:r>
      <w:bookmarkEnd w:id="180"/>
      <w:r w:rsidR="00B30F15">
        <w:rPr>
          <w:rFonts w:ascii="Times New Roman" w:hAnsi="Times New Roman"/>
          <w:color w:val="000000" w:themeColor="text1"/>
          <w:sz w:val="24"/>
          <w:szCs w:val="24"/>
        </w:rPr>
        <w:t>исходы и явления, представляющие особый интерес</w:t>
      </w:r>
      <w:bookmarkEnd w:id="183"/>
    </w:p>
    <w:p w14:paraId="1956B5CC" w14:textId="46A7F289" w:rsidR="00BD07AE" w:rsidRPr="002D5965" w:rsidRDefault="00BD07AE" w:rsidP="00BD07AE">
      <w:pPr>
        <w:ind w:firstLine="709"/>
      </w:pPr>
      <w:bookmarkStart w:id="184" w:name="_Toc52190606"/>
      <w:r w:rsidRPr="002D5965">
        <w:rPr>
          <w:b/>
          <w:bCs/>
        </w:rPr>
        <w:t>Кожная сыпь.</w:t>
      </w:r>
      <w:r w:rsidRPr="002D5965">
        <w:t xml:space="preserve"> Чаще всего кожная сыпь была легкой или умеренно выраженной, в целом являлась макулярной, макулопапулёзной или эритематозной. В исследованиях DUET кожная сыпь возникала с более высокой частотой в группе этравирина по сравнению с плацебо (17,0% vs. 9,4%) (p = 0,0001). Кожная сыпь, в основном, появлялась в течение первых 4 недель лечения (в среднем, через 12 дней после старта терапии этравирином) и самостоятельно разрешалась при продолжении лечения (в среднем, спустя 11 дней). У восьми (1,3%) пациентов в группе </w:t>
      </w:r>
      <w:r>
        <w:t>этравирина</w:t>
      </w:r>
      <w:r w:rsidRPr="002D5965">
        <w:t xml:space="preserve"> сыпь была тяжелой (3 степень тяжести; в группе плацебо таких случаев не было). Сыпи 4 степени тяжести (жизнеугрожающие и/или инвалидизирующие НЯ), как и случаев мультиформной эритемы, SJS или токсического эпидермального некролиза в группе, получавших </w:t>
      </w:r>
      <w:r>
        <w:t>этравирин</w:t>
      </w:r>
      <w:r w:rsidRPr="002D5965">
        <w:t xml:space="preserve"> в исследованиях DUET, выявлено не было. В дополнение к атипичным высыпаниям 3 степени в одном из ранних исследований фазы I, а также в исследованиях фазы IIb был зарегистрирован 1 случай SJS и 1 случай мультиформной эритемы. 48 пациентов с сыпью в анамнезе, приня</w:t>
      </w:r>
      <w:r w:rsidR="00F338E7">
        <w:t>ли</w:t>
      </w:r>
      <w:r w:rsidRPr="002D5965">
        <w:t xml:space="preserve"> участие в исследованиях DUET</w:t>
      </w:r>
      <w:r w:rsidR="00F338E7">
        <w:t xml:space="preserve"> и</w:t>
      </w:r>
      <w:r w:rsidRPr="002D5965">
        <w:t xml:space="preserve"> получали </w:t>
      </w:r>
      <w:r>
        <w:t>этравирин</w:t>
      </w:r>
      <w:r w:rsidRPr="002D5965">
        <w:t xml:space="preserve">, у 9 из них появилась сыпь легкой или средней степени тяжести, у 1 – сыпь тяжелой степени, и 3 (2,2%) пациента досрочно выбыли из исследования из-за возникновения сыпи </w:t>
      </w:r>
      <w:r>
        <w:fldChar w:fldCharType="begin"/>
      </w:r>
      <w:r>
        <w:instrText xml:space="preserve"> ADDIN ZOTERO_ITEM CSL_CITATION {"citationID":"N2gVgd1r","properties":{"formattedCitation":"(1,7,23,85)","plainCitation":"(1,7,23,85)","noteIndex":0},"citationItems":[{"id":2546,"uris":["http://zotero.org/users/5483459/items/J2LUM5TE"],"itemData":{"id":2546,"type":"document","title":"Product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2E890E14" w14:textId="03A5DEF4" w:rsidR="00BD07AE" w:rsidRPr="002D5965" w:rsidRDefault="00BD07AE" w:rsidP="00BD07AE">
      <w:pPr>
        <w:ind w:firstLine="709"/>
      </w:pPr>
      <w:r w:rsidRPr="002D5965">
        <w:t xml:space="preserve">Частота возникновения сыпи в группе </w:t>
      </w:r>
      <w:r>
        <w:t>этравирин</w:t>
      </w:r>
      <w:r w:rsidR="00DC201B">
        <w:t>а</w:t>
      </w:r>
      <w:r w:rsidRPr="002D5965">
        <w:t xml:space="preserve"> в исследованиях DUET была выше у женщин, чем у мужчин (о возникновении сыпи степени 2 и выше сообщалось у 9 из 60 [15,0%] женщин и у 51 из 539 [9,5%] мужчин; об отмене терапии в связи с сыпью сообщалось у 3 из 60 [5,0%] женщин и у 10 из 539 [1,9%] мужчин). Не отмечалось различий в степени тяжести в связи с половой принадлежностью или прекращения терапии из-за сыпи. Поскольку клинические данные ограничены, нельзя исключать увеличение риска развития НЯ со стороны кожи у пациентов</w:t>
      </w:r>
      <w:r w:rsidR="00C46F4A">
        <w:t>,</w:t>
      </w:r>
      <w:r w:rsidRPr="002D5965">
        <w:t xml:space="preserve"> в анамнезе которых есть кожные реакции на ННИОТ </w:t>
      </w:r>
      <w:r>
        <w:fldChar w:fldCharType="begin"/>
      </w:r>
      <w:r>
        <w:instrText xml:space="preserve"> ADDIN ZOTERO_ITEM CSL_CITATION {"citationID":"vV7ia0jK","properties":{"formattedCitation":"(1,7,23,85)","plainCitation":"(1,7,23,85)","noteIndex":0},"citationItems":[{"id":2546,"uris":["http://zotero.org/users/5483459/items/J2LUM5TE"],"itemData":{"id":2546,"type":"document","title":"Product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5AEDED3B" w14:textId="5EE25FF1" w:rsidR="00BD07AE" w:rsidRPr="002D5965" w:rsidRDefault="00BD07AE" w:rsidP="00BD07AE">
      <w:pPr>
        <w:ind w:firstLine="709"/>
      </w:pPr>
      <w:r w:rsidRPr="002D5965">
        <w:t xml:space="preserve">Количество случаев кожной сыпи на фоне приема </w:t>
      </w:r>
      <w:r>
        <w:t>этравирина</w:t>
      </w:r>
      <w:r w:rsidRPr="002D5965">
        <w:t xml:space="preserve"> было выше у пациентов, в анамнезе которых были подобные ННИОТ-обусловленные НЯ, по сравнению с пациентами без сыпи в анамнезе (13,5% vs. 8,8% соответственно в случае сыпи 2 степени тяжести; 2,7% vs. 1,0% соответственно, в случае сыпи 3 степени тяжести). Более того, полная отмена </w:t>
      </w:r>
      <w:r>
        <w:t>этравирина</w:t>
      </w:r>
      <w:r w:rsidRPr="002D5965">
        <w:t xml:space="preserve"> также чаще возникала у ВИЧ-инфицированных с историей сыпи на ННИОТ в анамнезе (5,4% vs. 2,0%, соответственно) </w:t>
      </w:r>
      <w:r>
        <w:fldChar w:fldCharType="begin"/>
      </w:r>
      <w:r>
        <w:instrText xml:space="preserve"> ADDIN ZOTERO_ITEM CSL_CITATION {"citationID":"n7VBBSfp","properties":{"formattedCitation":"(1,7,23,85)","plainCitation":"(1,7,23,85)","noteIndex":0},"citationItems":[{"id":2546,"uris":["http://zotero.org/users/5483459/items/J2LUM5TE"],"itemData":{"id":2546,"type":"document","title":"Product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74B2D3B6" w14:textId="300C7074" w:rsidR="00BD07AE" w:rsidRPr="002D5965" w:rsidRDefault="00BD07AE" w:rsidP="00BD07AE">
      <w:pPr>
        <w:ind w:firstLine="709"/>
      </w:pPr>
      <w:r w:rsidRPr="002D5965">
        <w:rPr>
          <w:b/>
          <w:bCs/>
        </w:rPr>
        <w:t>Нейропсихиатрические НЯ</w:t>
      </w:r>
      <w:r w:rsidRPr="002D5965">
        <w:t xml:space="preserve">. В исследованиях DUET (объединенный анализ) клинически значимые нейропсихиатрические НЯ возникали у 25,4% пациентов, получавших </w:t>
      </w:r>
      <w:r>
        <w:t>этравирин</w:t>
      </w:r>
      <w:r w:rsidRPr="002D5965">
        <w:t xml:space="preserve">, что было сравнимо с группой плацебо (30,1%) (p = 0,0714). Тяжелая степень НЯ была выявлена у 2 (0,3%) пациентов в группе </w:t>
      </w:r>
      <w:r>
        <w:t>этравирина</w:t>
      </w:r>
      <w:r w:rsidRPr="002D5965">
        <w:t xml:space="preserve"> (3 </w:t>
      </w:r>
      <w:r w:rsidR="00DE3850">
        <w:t>степень тяжести</w:t>
      </w:r>
      <w:r w:rsidRPr="002D5965">
        <w:t xml:space="preserve">) и 12 (2,0%) в группе плацебо. НЯ 4 </w:t>
      </w:r>
      <w:r w:rsidR="00DE3850">
        <w:t>степени тяжести</w:t>
      </w:r>
      <w:r w:rsidR="00DE3850" w:rsidRPr="002D5965">
        <w:t xml:space="preserve"> </w:t>
      </w:r>
      <w:r w:rsidRPr="002D5965">
        <w:t xml:space="preserve">(жизнеугрожающие и/или инвалидизирующие НЯ) возникли только у 1 (0,2%) пациента, получавшего плацебо, который был вынужден досрочно прекратить участие в исследовании </w:t>
      </w:r>
      <w:r>
        <w:fldChar w:fldCharType="begin"/>
      </w:r>
      <w:r>
        <w:instrText xml:space="preserve"> ADDIN ZOTERO_ITEM CSL_CITATION {"citationID":"ecT1hlHE","properties":{"formattedCitation":"(1,7,23,85)","plainCitation":"(1,7,23,85)","noteIndex":0},"citationItems":[{"id":2546,"uris":["http://zotero.org/users/5483459/items/J2LUM5TE"],"itemData":{"id":2546,"type":"document","title":"Product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046D2A10" w14:textId="464A3088" w:rsidR="00BD07AE" w:rsidRPr="002D5965" w:rsidRDefault="00BD07AE" w:rsidP="00BD07AE">
      <w:pPr>
        <w:ind w:firstLine="709"/>
      </w:pPr>
      <w:r w:rsidRPr="008E6BBD">
        <w:rPr>
          <w:b/>
          <w:bCs/>
        </w:rPr>
        <w:t>Нарушения со стороны печени</w:t>
      </w:r>
      <w:r w:rsidRPr="002D5965">
        <w:t xml:space="preserve">. На этапе доклинических исследований токсичности </w:t>
      </w:r>
      <w:r>
        <w:t>этравирина</w:t>
      </w:r>
      <w:r w:rsidRPr="002D5965">
        <w:t xml:space="preserve"> было установлено, что печень является органом – мишенью у мышей и собак. В исследованиях DUET (объединенный анализ) число случаев нарушений функции печени было сравнимо между граппами </w:t>
      </w:r>
      <w:r>
        <w:t>этравирин</w:t>
      </w:r>
      <w:r w:rsidRPr="002D5965">
        <w:t xml:space="preserve"> и плацебо (5,3% vs. 5,1%). Наиболее часто при стартовой терапии </w:t>
      </w:r>
      <w:r>
        <w:t>этравирина</w:t>
      </w:r>
      <w:r w:rsidRPr="002D5965">
        <w:t xml:space="preserve"> у пациентов регистрировали повышение активности трансаминаз (3,5% vs. 3,0% по сравнению с плацебо) </w:t>
      </w:r>
      <w:r>
        <w:fldChar w:fldCharType="begin"/>
      </w:r>
      <w:r>
        <w:instrText xml:space="preserve"> ADDIN ZOTERO_ITEM CSL_CITATION {"citationID":"B9M1dzlZ","properties":{"formattedCitation":"(1,7,23,85)","plainCitation":"(1,7,23,85)","noteIndex":0},"citationItems":[{"id":2546,"uris":["http://zotero.org/users/5483459/items/J2LUM5TE"],"itemData":{"id":2546,"type":"document","title":"Product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6AF35883" w14:textId="0DAFCF14" w:rsidR="00BD07AE" w:rsidRPr="002D5965" w:rsidRDefault="00BD07AE" w:rsidP="00BD07AE">
      <w:pPr>
        <w:ind w:firstLine="709"/>
      </w:pPr>
      <w:r w:rsidRPr="008E6BBD">
        <w:rPr>
          <w:b/>
          <w:bCs/>
        </w:rPr>
        <w:t>Гепатит B и/или C-коинфекция.</w:t>
      </w:r>
      <w:r w:rsidRPr="002D5965">
        <w:t xml:space="preserve"> Для того чтобы исследовать безопасность </w:t>
      </w:r>
      <w:r>
        <w:t>этравирина</w:t>
      </w:r>
      <w:r w:rsidRPr="002D5965">
        <w:t xml:space="preserve"> у ВИЧ-1-инфицированных пациентов, коинфицированных вирусом гепатита B и/или C, в фазу II</w:t>
      </w:r>
      <w:r w:rsidR="00E80FD2">
        <w:t xml:space="preserve"> </w:t>
      </w:r>
      <w:r w:rsidRPr="002D5965">
        <w:t xml:space="preserve">B и исследования III фазы DUET был разрешен набор пациентов c вирусным гепатитом В или С (ВГВ/С) в случае стабильности их клинического состояния и отсутствия необходимости в лечении. Дальнейший анализ выявил тенденцию к более высокой частоте повышения печеночных ферментов (нарушения со стороны гепатобилиарной системы) у коинфицированных ВИЧ/ВГВ/C пациентов, получавших </w:t>
      </w:r>
      <w:r>
        <w:t>этравирин</w:t>
      </w:r>
      <w:r w:rsidRPr="002D5965">
        <w:t xml:space="preserve"> (11,1%), по сравнению с пациентами без гепатита (4,5%). В группе плацебо такой тенденции отмечено не было (5,9% vs. 5,2%)</w:t>
      </w:r>
      <w:r w:rsidRPr="008E6BBD">
        <w:t xml:space="preserve"> </w:t>
      </w:r>
      <w:r w:rsidRPr="002D5965">
        <w:t xml:space="preserve">Анализ безопасности </w:t>
      </w:r>
      <w:r>
        <w:t>этравирина</w:t>
      </w:r>
      <w:r w:rsidRPr="002D5965">
        <w:t xml:space="preserve"> на 48 неделе терапии показал, что повышение активности аланинаминотрансферазы (АЛТ) 3–4 степени возникло у 11,1% коинфицированных пациентов, получавших </w:t>
      </w:r>
      <w:r w:rsidR="00FA5276">
        <w:t>этравирин</w:t>
      </w:r>
      <w:r w:rsidRPr="002D5965">
        <w:t>, по сравнению с 7,5% коинфицированных в группе плацебо. Аналогично, повышение аспартатаминотрансферазы (АСТ) наблюдалось в 9,7% и 6,0% случаев</w:t>
      </w:r>
      <w:r>
        <w:t xml:space="preserve">. </w:t>
      </w:r>
      <w:r w:rsidRPr="002D5965">
        <w:t xml:space="preserve">Частота печеночных событий была выше у коинфицированных пациентов, получавших </w:t>
      </w:r>
      <w:r>
        <w:t>этравирина</w:t>
      </w:r>
      <w:r w:rsidRPr="002D5965">
        <w:t xml:space="preserve">, по сравнению с пациентами в группе контроля. </w:t>
      </w:r>
      <w:r>
        <w:fldChar w:fldCharType="begin"/>
      </w:r>
      <w:r>
        <w:instrText xml:space="preserve"> ADDIN ZOTERO_ITEM CSL_CITATION {"citationID":"wmOmgjqe","properties":{"formattedCitation":"(1,7,23,85)","plainCitation":"(1,7,23,85)","noteIndex":0},"citationItems":[{"id":2546,"uris":["http://zotero.org/users/5483459/items/J2LUM5TE"],"itemData":{"id":2546,"type":"document","title":"Product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156011">
        <w:t>[</w:t>
      </w:r>
      <w:r w:rsidRPr="002D5965">
        <w:t>1,7,23,85</w:t>
      </w:r>
      <w:r w:rsidR="00156011" w:rsidRPr="00156011">
        <w:t>]</w:t>
      </w:r>
      <w:r>
        <w:fldChar w:fldCharType="end"/>
      </w:r>
      <w:r>
        <w:t>.</w:t>
      </w:r>
    </w:p>
    <w:p w14:paraId="14979C58" w14:textId="39957958" w:rsidR="00BD07AE" w:rsidRPr="002D5965" w:rsidRDefault="00BD07AE" w:rsidP="00BD07AE">
      <w:pPr>
        <w:ind w:firstLine="709"/>
      </w:pPr>
      <w:r w:rsidRPr="002D5965">
        <w:t xml:space="preserve">О случаях НЯ со стороны </w:t>
      </w:r>
      <w:r w:rsidRPr="00C64249">
        <w:rPr>
          <w:b/>
          <w:bCs/>
        </w:rPr>
        <w:t>поджелудочной железы</w:t>
      </w:r>
      <w:r w:rsidRPr="002D5965">
        <w:t xml:space="preserve"> (развитие панкреатита) сообщили 4 (0,7%) пациента на фоне терапии ETR и 2 (0,3%) – в группе плацебо </w:t>
      </w:r>
      <w:r>
        <w:fldChar w:fldCharType="begin"/>
      </w:r>
      <w:r>
        <w:instrText xml:space="preserve"> ADDIN ZOTERO_ITEM CSL_CITATION {"citationID":"lVxUKq0x","properties":{"formattedCitation":"(1,7,23,85)","plainCitation":"(1,7,23,85)","noteIndex":0},"citationItems":[{"id":2546,"uris":["http://zotero.org/users/5483459/items/J2LUM5TE"],"itemData":{"id":2546,"type":"document","title":"Product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17558E19" w14:textId="309F6E2F" w:rsidR="00BD07AE" w:rsidRDefault="00BD07AE" w:rsidP="00BD07AE">
      <w:pPr>
        <w:ind w:firstLine="709"/>
      </w:pPr>
      <w:r w:rsidRPr="00C64249">
        <w:rPr>
          <w:b/>
          <w:bCs/>
        </w:rPr>
        <w:t>Нарушения со стороны сердца.</w:t>
      </w:r>
      <w:r w:rsidRPr="002D5965">
        <w:t xml:space="preserve"> В исследованиях DUET мониторировали случаи НЯ со стороны </w:t>
      </w:r>
      <w:r w:rsidR="00E80FD2">
        <w:t>коронарных</w:t>
      </w:r>
      <w:r w:rsidRPr="002D5965">
        <w:t xml:space="preserve"> артерий и, в частности, случаи развития инфаркта миокарда. Через 24 недели терапии НЯ со стороны сердца зарегистрированы в обеих группах лечения (5,8% vs. 5,3%), при этом летальные случаи от коронарных событий возникли у 3 и 1 пациентов в группах </w:t>
      </w:r>
      <w:r>
        <w:t xml:space="preserve">этравирина </w:t>
      </w:r>
      <w:r w:rsidRPr="002D5965">
        <w:t xml:space="preserve">и плацебо соответственно. НЯ 3 – 4 </w:t>
      </w:r>
      <w:r w:rsidR="00DE3850">
        <w:t>степени тяжести</w:t>
      </w:r>
      <w:r w:rsidR="00DE3850" w:rsidRPr="002D5965">
        <w:t xml:space="preserve"> </w:t>
      </w:r>
      <w:r w:rsidRPr="002D5965">
        <w:t>наблюдались в 1,5% и 1,8% случаев, серьёзные НЯ (СНЯ) – в 2,0% и 1,3%, досрочно прекратили участие в исследовании 0,5% и 0,3% пациентов (</w:t>
      </w:r>
      <w:r>
        <w:t>этравирин</w:t>
      </w:r>
      <w:r w:rsidRPr="002D5965">
        <w:t xml:space="preserve"> vs. плацебо, соответственно). Каких-либо клинически значимых изменений функций жизненно-важных показателей или параметров</w:t>
      </w:r>
      <w:r>
        <w:t xml:space="preserve"> ЭКГ, включая интервал QT, обнаружено не было </w:t>
      </w:r>
      <w:r>
        <w:fldChar w:fldCharType="begin"/>
      </w:r>
      <w:r>
        <w:instrText xml:space="preserve"> ADDIN ZOTERO_ITEM CSL_CITATION {"citationID":"t89QpQdW","properties":{"formattedCitation":"(1,7,23,85)","plainCitation":"(1,7,23,85)","noteIndex":0},"citationItems":[{"id":2546,"uris":["http://zotero.org/users/5483459/items/J2LUM5TE"],"itemData":{"id":2546,"type":"document","title":"Product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48391C6A" w14:textId="595E5DD1" w:rsidR="00BD07AE" w:rsidRDefault="00BD07AE" w:rsidP="00BD07AE">
      <w:pPr>
        <w:ind w:firstLine="709"/>
      </w:pPr>
      <w:r>
        <w:t>Данные 48-недельного объединенного анализа DUET, свидетельствуют, что частота нарушений со стороны сердца между группами этравирин</w:t>
      </w:r>
      <w:r w:rsidRPr="002D5965">
        <w:t xml:space="preserve"> </w:t>
      </w:r>
      <w:r>
        <w:t xml:space="preserve">и плацебо была сравнима (7,0% vs. 7,3%). НЯ 3 – 4 </w:t>
      </w:r>
      <w:r w:rsidR="00DE3850">
        <w:t xml:space="preserve">степени тяжести </w:t>
      </w:r>
      <w:r>
        <w:t>наблюдались в 2,0% и 2,3% случаев, СНЯ – в 2,8% и 2,0% случаев, досрочно прекратили участие в исследовании 0,7% и 0,3% пациентов (</w:t>
      </w:r>
      <w:r w:rsidR="005216C7">
        <w:t>этравирин</w:t>
      </w:r>
      <w:r>
        <w:t xml:space="preserve"> vs. плацебо, соответственно). В группе получавших этравирин, из-за сердечных событий умерло 3 пациента и в группе плацебо – 1 пациент, но ни одна из смертей не имела связи с приемом исследуемых средств </w:t>
      </w:r>
      <w:r>
        <w:fldChar w:fldCharType="begin"/>
      </w:r>
      <w:r>
        <w:instrText xml:space="preserve"> ADDIN ZOTERO_ITEM CSL_CITATION {"citationID":"v7J1ucTQ","properties":{"formattedCitation":"(1,7,23,85)","plainCitation":"(1,7,23,85)","noteIndex":0},"citationItems":[{"id":2546,"uris":["http://zotero.org/users/5483459/items/J2LUM5TE"],"itemData":{"id":2546,"type":"document","title":"Product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5203E559" w14:textId="312CEF96" w:rsidR="00BD07AE" w:rsidRPr="002D5965" w:rsidRDefault="00BD07AE" w:rsidP="00BD07AE">
      <w:pPr>
        <w:ind w:firstLine="709"/>
      </w:pPr>
      <w:r>
        <w:t>Между исследуемыми группами выявлена разница по частоте возникновения коронарных событий на 48 неделе лечения (объединенный анализ DUET): инфаркт миокарда / ишемия миокарда были обнаружены у 8 пациентов (1,3%) в группе этравирин</w:t>
      </w:r>
      <w:r w:rsidRPr="002D5965">
        <w:t xml:space="preserve"> </w:t>
      </w:r>
      <w:r>
        <w:t xml:space="preserve">и 5 пациентов (0,8 %) в группе плацебо. Нарушения со стороны коронарной артерии обнаружены у 11 (1,8%) и 8 (1,3%) пациентов соответственно. Большинство обнаруженных изменений на ЭКГ были расценены как клинически незначимые </w:t>
      </w:r>
      <w:r>
        <w:fldChar w:fldCharType="begin"/>
      </w:r>
      <w:r>
        <w:instrText xml:space="preserve"> ADDIN ZOTERO_ITEM CSL_CITATION {"citationID":"HMNOhjA4","properties":{"formattedCitation":"(1,7,23,85)","plainCitation":"(1,7,23,85)","noteIndex":0},"citationItems":[{"id":2546,"uris":["http://zotero.org/users/5483459/items/J2LUM5TE"],"itemData":{"id":2546,"type":"document","title":"Product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7A82752C" w14:textId="42666BA8" w:rsidR="00BD07AE" w:rsidRPr="002D5965" w:rsidRDefault="00BD07AE" w:rsidP="00BD07AE">
      <w:pPr>
        <w:ind w:firstLine="709"/>
      </w:pPr>
      <w:r w:rsidRPr="00C64249">
        <w:rPr>
          <w:b/>
          <w:bCs/>
        </w:rPr>
        <w:t>Параметры свертывания</w:t>
      </w:r>
      <w:r>
        <w:t xml:space="preserve">. Нарушения свертывания на фоне применения этравирина были выявлены еще на этапе доклинических исследований у грызунов (зависимые от витамина К). В объединенном анализе безопасности на 48 неделе терапии связи между приемом этравирина и повышением риска нарушений свертывания обнаружено не было </w:t>
      </w:r>
      <w:r>
        <w:fldChar w:fldCharType="begin"/>
      </w:r>
      <w:r>
        <w:instrText xml:space="preserve"> ADDIN ZOTERO_ITEM CSL_CITATION {"citationID":"F39AfLKC","properties":{"formattedCitation":"(1,7,23,85)","plainCitation":"(1,7,23,85)","noteIndex":0},"citationItems":[{"id":2546,"uris":["http://zotero.org/users/5483459/items/J2LUM5TE"],"itemData":{"id":2546,"type":"document","title":"Product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79D6241F" w14:textId="3F841A02" w:rsidR="00BD07AE" w:rsidRPr="002D5965" w:rsidRDefault="00BD07AE" w:rsidP="00BD07AE">
      <w:pPr>
        <w:ind w:firstLine="709"/>
      </w:pPr>
      <w:r w:rsidRPr="00C64249">
        <w:rPr>
          <w:b/>
          <w:bCs/>
        </w:rPr>
        <w:t>Смерти.</w:t>
      </w:r>
      <w:r>
        <w:t xml:space="preserve"> В общей сложности 51 пациент умер в течение всей программы клинической разработки этравирина, из них 10 пациентов умерли во время фазы скрининга до начала лечения этравирином. В исследованиях DUET 8 пациентов умерли во время периода скрининга до рандомизации. Все 8 человек умерли из-за НЯ, связанных с инфекциями и инвазиями (из-за развития пневмоний (6 пациентов), сепсиса (1 пациент) и пневмококкового менингита (1 пациент</w:t>
      </w:r>
      <w:r w:rsidR="00CC6723">
        <w:t>)</w:t>
      </w:r>
      <w:r>
        <w:t xml:space="preserve">). В исследованиях DUET 23 пациента умерли из-за развития НЯ, с момента старта терапии: 8 (1,3%) пациентов в группе этравирина и 15 (2,5%) в группе плацебо </w:t>
      </w:r>
      <w:r>
        <w:fldChar w:fldCharType="begin"/>
      </w:r>
      <w:r>
        <w:instrText xml:space="preserve"> ADDIN ZOTERO_ITEM CSL_CITATION {"citationID":"k4lTA2jy","properties":{"formattedCitation":"(1,7,23,85)","plainCitation":"(1,7,23,85)","noteIndex":0},"citationItems":[{"id":2546,"uris":["http://zotero.org/users/5483459/items/J2LUM5TE"],"itemData":{"id":2546,"type":"document","title":"Product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156011">
        <w:t>[</w:t>
      </w:r>
      <w:r w:rsidRPr="002D5965">
        <w:t>1,7,23,85</w:t>
      </w:r>
      <w:r w:rsidR="00156011" w:rsidRPr="00156011">
        <w:t>]</w:t>
      </w:r>
      <w:r>
        <w:fldChar w:fldCharType="end"/>
      </w:r>
      <w:r>
        <w:t>.</w:t>
      </w:r>
    </w:p>
    <w:p w14:paraId="2734C54E" w14:textId="3092938A" w:rsidR="00BD07AE" w:rsidRDefault="00BD07AE" w:rsidP="00BD07AE">
      <w:pPr>
        <w:ind w:firstLine="709"/>
      </w:pPr>
      <w:r>
        <w:t xml:space="preserve">У 3 пациентов, получавших этравирин, развились фатальные СНЯ, связь которых с приемом этравирина была оценена как «маловероятная» </w:t>
      </w:r>
      <w:r>
        <w:fldChar w:fldCharType="begin"/>
      </w:r>
      <w:r>
        <w:instrText xml:space="preserve"> ADDIN ZOTERO_ITEM CSL_CITATION {"citationID":"rosBlH6S","properties":{"formattedCitation":"(1,7,23,85)","plainCitation":"(1,7,23,85)","noteIndex":0},"citationItems":[{"id":2546,"uris":["http://zotero.org/users/5483459/items/J2LUM5TE"],"itemData":{"id":2546,"type":"document","title":"Product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156011">
        <w:t>[</w:t>
      </w:r>
      <w:r w:rsidRPr="002D5965">
        <w:t>1,7,23,85</w:t>
      </w:r>
      <w:r w:rsidR="00156011" w:rsidRPr="00156011">
        <w:t>]</w:t>
      </w:r>
      <w:r>
        <w:fldChar w:fldCharType="end"/>
      </w:r>
      <w:r>
        <w:t>:</w:t>
      </w:r>
    </w:p>
    <w:p w14:paraId="2E82078C" w14:textId="77777777" w:rsidR="00BD07AE" w:rsidRDefault="00BD07AE" w:rsidP="00BD07AE">
      <w:pPr>
        <w:ind w:firstLine="709"/>
      </w:pPr>
      <w:r>
        <w:t>– нарушение функции почек и дыхательной системы (1 пациент);</w:t>
      </w:r>
    </w:p>
    <w:p w14:paraId="4D6840E7" w14:textId="77777777" w:rsidR="00BD07AE" w:rsidRDefault="00BD07AE" w:rsidP="00BD07AE">
      <w:pPr>
        <w:ind w:firstLine="709"/>
      </w:pPr>
      <w:r>
        <w:t>– инфекция, вызванная Mycobacterium avium (1 пациент);</w:t>
      </w:r>
    </w:p>
    <w:p w14:paraId="2B9AFFEB" w14:textId="5BF3CAFB" w:rsidR="006E6080" w:rsidRDefault="00BD07AE" w:rsidP="006E6080">
      <w:pPr>
        <w:ind w:firstLine="709"/>
      </w:pPr>
      <w:r>
        <w:t>– инфаркт миокарда (1 пациент)</w:t>
      </w:r>
      <w:r w:rsidR="006E6080">
        <w:t xml:space="preserve"> </w:t>
      </w:r>
      <w:r w:rsidR="006E6080">
        <w:fldChar w:fldCharType="begin"/>
      </w:r>
      <w:r w:rsidR="006E6080">
        <w:instrText xml:space="preserve"> ADDIN ZOTERO_ITEM CSL_CITATION {"citationID":"hsaTbppX","properties":{"formattedCitation":"(1,7,23,85)","plainCitation":"(1,7,23,85)","noteIndex":0},"citationItems":[{"id":2546,"uris":["http://zotero.org/users/5483459/items/J2LUM5TE"],"itemData":{"id":2546,"type":"document","title":"Product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rsidR="006E6080">
        <w:fldChar w:fldCharType="separate"/>
      </w:r>
      <w:r w:rsidR="00156011" w:rsidRPr="008B0B82">
        <w:t>[</w:t>
      </w:r>
      <w:r w:rsidR="006E6080" w:rsidRPr="002D5965">
        <w:t>1,7,23,85</w:t>
      </w:r>
      <w:r w:rsidR="00156011" w:rsidRPr="008B0B82">
        <w:t>]</w:t>
      </w:r>
      <w:r w:rsidR="006E6080">
        <w:fldChar w:fldCharType="end"/>
      </w:r>
      <w:r w:rsidR="006E6080">
        <w:t>.</w:t>
      </w:r>
    </w:p>
    <w:p w14:paraId="6498C061" w14:textId="77777777" w:rsidR="00B30F15" w:rsidRDefault="00B30F15" w:rsidP="00B30F15">
      <w:pPr>
        <w:pStyle w:val="4"/>
        <w:spacing w:after="240"/>
        <w:rPr>
          <w:rFonts w:ascii="Times New Roman" w:hAnsi="Times New Roman"/>
          <w:color w:val="000000" w:themeColor="text1"/>
          <w:sz w:val="24"/>
          <w:szCs w:val="24"/>
        </w:rPr>
      </w:pPr>
      <w:bookmarkStart w:id="185" w:name="_Toc117179238"/>
      <w:r w:rsidRPr="00B30F15">
        <w:rPr>
          <w:rFonts w:ascii="Times New Roman" w:hAnsi="Times New Roman"/>
          <w:color w:val="000000" w:themeColor="text1"/>
          <w:sz w:val="24"/>
          <w:szCs w:val="24"/>
        </w:rPr>
        <w:t>4.3.</w:t>
      </w:r>
      <w:r>
        <w:rPr>
          <w:rFonts w:ascii="Times New Roman" w:hAnsi="Times New Roman"/>
          <w:color w:val="000000" w:themeColor="text1"/>
          <w:sz w:val="24"/>
          <w:szCs w:val="24"/>
        </w:rPr>
        <w:t>2.4</w:t>
      </w:r>
      <w:r w:rsidRPr="00B30F15">
        <w:rPr>
          <w:rFonts w:ascii="Times New Roman" w:hAnsi="Times New Roman"/>
          <w:color w:val="000000" w:themeColor="text1"/>
          <w:sz w:val="24"/>
          <w:szCs w:val="24"/>
        </w:rPr>
        <w:t xml:space="preserve">. </w:t>
      </w:r>
      <w:r>
        <w:rPr>
          <w:rFonts w:ascii="Times New Roman" w:hAnsi="Times New Roman"/>
          <w:color w:val="000000" w:themeColor="text1"/>
          <w:sz w:val="24"/>
          <w:szCs w:val="24"/>
        </w:rPr>
        <w:t>Лабораторные отклонения</w:t>
      </w:r>
      <w:bookmarkEnd w:id="185"/>
    </w:p>
    <w:p w14:paraId="6B5DA4D7" w14:textId="1B081FE4" w:rsidR="00BD07AE" w:rsidRDefault="00BD07AE" w:rsidP="00BD07AE">
      <w:pPr>
        <w:ind w:firstLine="709"/>
      </w:pPr>
      <w:r>
        <w:t xml:space="preserve">Наиболее часто регистрировались НЯ 3 или 4 степени тяжести: в группе этравирина повышалась активность панкреатической амилазы (7,5% vs. 7,9% в группе плацебо), триглицеридов (7,0% vs. 4,3%), общего холестерина (5,8% vs. 4,1%) и </w:t>
      </w:r>
      <w:bookmarkStart w:id="186" w:name="_Hlk112235341"/>
      <w:r>
        <w:t xml:space="preserve">липопротеинов низкой плотности (ЛПНП) </w:t>
      </w:r>
      <w:bookmarkEnd w:id="186"/>
      <w:r>
        <w:t xml:space="preserve">(5,2% vs. 5,4%) </w:t>
      </w:r>
      <w:r>
        <w:fldChar w:fldCharType="begin"/>
      </w:r>
      <w:r>
        <w:instrText xml:space="preserve"> ADDIN ZOTERO_ITEM CSL_CITATION {"citationID":"cpl4zB6I","properties":{"formattedCitation":"(1,7,23,85)","plainCitation":"(1,7,23,85)","noteIndex":0},"citationItems":[{"id":2546,"uris":["http://zotero.org/users/5483459/items/J2LUM5TE"],"itemData":{"id":2546,"type":"document","title":"Product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8B0B82">
        <w:t>[</w:t>
      </w:r>
      <w:r w:rsidRPr="002D5965">
        <w:t>1,7,23,85</w:t>
      </w:r>
      <w:r w:rsidR="00156011" w:rsidRPr="008B0B82">
        <w:t>]</w:t>
      </w:r>
      <w:r>
        <w:fldChar w:fldCharType="end"/>
      </w:r>
      <w:r>
        <w:t>.</w:t>
      </w:r>
    </w:p>
    <w:p w14:paraId="0289CCD6" w14:textId="4C0EECE8" w:rsidR="00BD07AE" w:rsidRDefault="00BD07AE" w:rsidP="00BD07AE">
      <w:pPr>
        <w:ind w:firstLine="709"/>
      </w:pPr>
      <w:r>
        <w:t xml:space="preserve">В группе этравирина обнаружена тенденция к повышению НЯ 3 – 4 степени, таких как гипертриглицеридемии, гиперхолистеринемии, в то время как значимой разницы по частоте повышения уровней ЛПНП и панкреатической амилазы (3 – 4 степени) между группами этравирина и плацебо выявлено не было. Повышение АЛТ/АСТ (3 – 4 степени), которые стали причиной досрочного прекращения участия в исследовании, возникло у 2 пациентов (0,3%) в группе этравирина (и ни у одного человека в группе плацебо). Других изменений лабораторных показателей, повлекших отмену приема препарата у более, чем 1 пациента, выявлено не было </w:t>
      </w:r>
      <w:r>
        <w:fldChar w:fldCharType="begin"/>
      </w:r>
      <w:r w:rsidR="007475A4">
        <w:instrText xml:space="preserve"> ADDIN ZOTERO_ITEM CSL_CITATION {"citationID":"Ak7jzIjr","properties":{"formattedCitation":"(1,7,23,85)","plainCitation":"(1,7,23,85)","noteIndex":0},"citationItems":[{"id":2546,"uris":["http://zotero.org/users/5483459/items/J2LUM5TE"],"itemData":{"id":2546,"type":"document","title":"Product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fldChar w:fldCharType="separate"/>
      </w:r>
      <w:r w:rsidR="00156011" w:rsidRPr="00B66676">
        <w:t>[</w:t>
      </w:r>
      <w:r w:rsidRPr="002D5965">
        <w:t>1,7,23,85</w:t>
      </w:r>
      <w:r w:rsidR="00156011" w:rsidRPr="00B66676">
        <w:t>]</w:t>
      </w:r>
      <w:r>
        <w:fldChar w:fldCharType="end"/>
      </w:r>
      <w:r>
        <w:t>.</w:t>
      </w:r>
    </w:p>
    <w:p w14:paraId="4DACE99F" w14:textId="7A08E54D" w:rsidR="00040F40" w:rsidRPr="00B30F15" w:rsidRDefault="00040F40" w:rsidP="00B30F15">
      <w:pPr>
        <w:pStyle w:val="4"/>
        <w:spacing w:after="240"/>
        <w:rPr>
          <w:rFonts w:ascii="Times New Roman" w:hAnsi="Times New Roman"/>
          <w:color w:val="000000" w:themeColor="text1"/>
          <w:sz w:val="24"/>
          <w:szCs w:val="24"/>
        </w:rPr>
      </w:pPr>
      <w:bookmarkStart w:id="187" w:name="_Toc117179239"/>
      <w:r w:rsidRPr="00B30F15">
        <w:rPr>
          <w:rFonts w:ascii="Times New Roman" w:hAnsi="Times New Roman"/>
          <w:color w:val="000000" w:themeColor="text1"/>
          <w:sz w:val="24"/>
          <w:szCs w:val="24"/>
        </w:rPr>
        <w:t>4.</w:t>
      </w:r>
      <w:r w:rsidR="00BE4F25" w:rsidRPr="00B30F15">
        <w:rPr>
          <w:rFonts w:ascii="Times New Roman" w:hAnsi="Times New Roman"/>
          <w:color w:val="000000" w:themeColor="text1"/>
          <w:sz w:val="24"/>
          <w:szCs w:val="24"/>
        </w:rPr>
        <w:t>3</w:t>
      </w:r>
      <w:r w:rsidRPr="00B30F15">
        <w:rPr>
          <w:rFonts w:ascii="Times New Roman" w:hAnsi="Times New Roman"/>
          <w:color w:val="000000" w:themeColor="text1"/>
          <w:sz w:val="24"/>
          <w:szCs w:val="24"/>
        </w:rPr>
        <w:t>.</w:t>
      </w:r>
      <w:r w:rsidR="00691B55">
        <w:rPr>
          <w:rFonts w:ascii="Times New Roman" w:hAnsi="Times New Roman"/>
          <w:color w:val="000000" w:themeColor="text1"/>
          <w:sz w:val="24"/>
          <w:szCs w:val="24"/>
        </w:rPr>
        <w:t>2.</w:t>
      </w:r>
      <w:r w:rsidR="006C7287">
        <w:rPr>
          <w:rFonts w:ascii="Times New Roman" w:hAnsi="Times New Roman"/>
          <w:color w:val="000000" w:themeColor="text1"/>
          <w:sz w:val="24"/>
          <w:szCs w:val="24"/>
        </w:rPr>
        <w:t>5</w:t>
      </w:r>
      <w:r w:rsidRPr="00B30F15">
        <w:rPr>
          <w:rFonts w:ascii="Times New Roman" w:hAnsi="Times New Roman"/>
          <w:color w:val="000000" w:themeColor="text1"/>
          <w:sz w:val="24"/>
          <w:szCs w:val="24"/>
        </w:rPr>
        <w:t>. Прерывание терапии в связи с нежелательными явлениями</w:t>
      </w:r>
      <w:bookmarkEnd w:id="184"/>
      <w:bookmarkEnd w:id="187"/>
    </w:p>
    <w:p w14:paraId="7D8B5465" w14:textId="57A84F1E" w:rsidR="00F13E13" w:rsidRDefault="00F13E13" w:rsidP="001C0A37">
      <w:pPr>
        <w:ind w:firstLine="709"/>
      </w:pPr>
      <w:r w:rsidRPr="004E5169">
        <w:rPr>
          <w:iCs/>
          <w:lang w:eastAsia="en-US"/>
        </w:rPr>
        <w:t>В объединенном</w:t>
      </w:r>
      <w:r>
        <w:rPr>
          <w:iCs/>
          <w:lang w:eastAsia="en-US"/>
        </w:rPr>
        <w:t xml:space="preserve"> </w:t>
      </w:r>
      <w:r w:rsidRPr="004E5169">
        <w:rPr>
          <w:iCs/>
          <w:lang w:eastAsia="en-US"/>
        </w:rPr>
        <w:t xml:space="preserve">анализе </w:t>
      </w:r>
      <w:r w:rsidR="008C0590">
        <w:rPr>
          <w:iCs/>
          <w:lang w:eastAsia="en-US"/>
        </w:rPr>
        <w:t xml:space="preserve">регистрационных </w:t>
      </w:r>
      <w:r w:rsidR="008C0590">
        <w:t xml:space="preserve">рандомизированных двойных слепых </w:t>
      </w:r>
      <w:r w:rsidRPr="004E5169">
        <w:rPr>
          <w:iCs/>
          <w:lang w:eastAsia="en-US"/>
        </w:rPr>
        <w:t xml:space="preserve">исследований </w:t>
      </w:r>
      <w:r>
        <w:rPr>
          <w:iCs/>
          <w:lang w:val="en-US" w:eastAsia="en-US"/>
        </w:rPr>
        <w:t>III</w:t>
      </w:r>
      <w:r w:rsidRPr="00F13E13">
        <w:rPr>
          <w:iCs/>
          <w:lang w:eastAsia="en-US"/>
        </w:rPr>
        <w:t xml:space="preserve"> фазы </w:t>
      </w:r>
      <w:r w:rsidR="008C0590" w:rsidRPr="008F5AED">
        <w:rPr>
          <w:lang w:val="en-US"/>
        </w:rPr>
        <w:t>DUET</w:t>
      </w:r>
      <w:r w:rsidR="008C0590" w:rsidRPr="008F5AED">
        <w:t xml:space="preserve">-1 и </w:t>
      </w:r>
      <w:r w:rsidR="008C0590" w:rsidRPr="008F5AED">
        <w:rPr>
          <w:lang w:val="en-US"/>
        </w:rPr>
        <w:t>DUET</w:t>
      </w:r>
      <w:r w:rsidR="008C0590" w:rsidRPr="008F5AED">
        <w:t>-2</w:t>
      </w:r>
      <w:r w:rsidR="008C0590">
        <w:t xml:space="preserve"> </w:t>
      </w:r>
      <w:r w:rsidR="00576561">
        <w:t>п</w:t>
      </w:r>
      <w:r w:rsidRPr="004E5169">
        <w:rPr>
          <w:iCs/>
          <w:lang w:eastAsia="en-US"/>
        </w:rPr>
        <w:t>оказатель отмены препарата по причине возникновения</w:t>
      </w:r>
      <w:r>
        <w:rPr>
          <w:iCs/>
          <w:lang w:eastAsia="en-US"/>
        </w:rPr>
        <w:t xml:space="preserve"> </w:t>
      </w:r>
      <w:r w:rsidRPr="004E5169">
        <w:rPr>
          <w:iCs/>
          <w:lang w:eastAsia="en-US"/>
        </w:rPr>
        <w:t xml:space="preserve">побочных реакций составил </w:t>
      </w:r>
      <w:r w:rsidR="00697E49">
        <w:rPr>
          <w:iCs/>
          <w:lang w:eastAsia="en-US"/>
        </w:rPr>
        <w:t>5</w:t>
      </w:r>
      <w:r w:rsidR="00A21605">
        <w:rPr>
          <w:iCs/>
          <w:lang w:eastAsia="en-US"/>
        </w:rPr>
        <w:t>,2</w:t>
      </w:r>
      <w:r w:rsidR="00697E49">
        <w:rPr>
          <w:iCs/>
          <w:lang w:eastAsia="en-US"/>
        </w:rPr>
        <w:t>%</w:t>
      </w:r>
      <w:r w:rsidR="00441D85" w:rsidRPr="00BD07AE">
        <w:rPr>
          <w:iCs/>
        </w:rPr>
        <w:t xml:space="preserve"> и 2,6% участников в группе этравирин и плацебо соответственно</w:t>
      </w:r>
      <w:r w:rsidR="008C0590">
        <w:rPr>
          <w:iCs/>
          <w:lang w:eastAsia="en-US"/>
        </w:rPr>
        <w:t xml:space="preserve"> </w:t>
      </w:r>
      <w:r w:rsidR="008C0590">
        <w:fldChar w:fldCharType="begin"/>
      </w:r>
      <w:r w:rsidR="008464E7">
        <w:instrText xml:space="preserve"> ADDIN ZOTERO_ITEM CSL_CITATION {"citationID":"BjxsPZX1","properties":{"formattedCitation":"(1,7,23,85)","plainCitation":"(1,7,23,85)","noteIndex":0},"citationItems":[{"id":2546,"uris":["http://zotero.org/users/5483459/items/J2LUM5TE"],"itemData":{"id":2546,"type":"document","title":"Product Monograph INTELENCE® etravirine tablets 25 mg, 100 mg, 200 mg. Janssen Inc.  Date of Revision: May 17, 2017."},"label":"page"},{"id":2610,"uris":["http://zotero.org/users/5483459/items/SLFDH84G"],"itemData":{"id":2610,"type":"article-journal","title":"Министерство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2021."},"label":"page"},{"id":2588,"uris":["http://zotero.org/users/5483459/items/XZWGXXTF"],"itemData":{"id":2588,"type":"document","title":"European Medicines Agency INTELENCE®Summary of Product Characteristic. 2008.Doc.Ref.: EMEA/CHMP/43952/2008"},"label":"page"},{"id":2639,"uris":["http://zotero.org/users/5483459/items/BFH28Z9P"],"itemData":{"id":2639,"type":"article-journal","abstract":"OBJECTIVES: The aim of the study was to investigate the frequency and severity of adverse events (AEs) and laboratory abnormalities of interest over 96 weeks of treatment with etravirine or placebo in the pooled TMC125 DUET (Demonstrate Undetectable viral load in patients Experienced with ARV Therapy) trials.\nMETHODS: Treatment-experienced, HIV-1-infected patients randomly received etravirine 200 mg twice a day (bid) or placebo, plus a background regimen. The frequency and severity of neuropsychiatric, rash, hepatic and lipid AEs were analysed; frequencies were also adjusted for total patient-years of exposure (PYE).\nRESULTS: A total of 599 and 604 patients received etravirine and placebo, respectively (median treatment duration 96.0 and 69.6 weeks, respectively). There was no significant difference between the treatment groups in the frequency of neuropsychiatric AEs. However, a significant difference in the frequency of rash was observed (20.5% vs. 11.8%, respectively; P &lt; 0.0001); rash was generally mild to moderate in severity; the rate of discontinuation because of rash was low (2.2% vs. 0% in the etravirine and placebo groups, respectively). The frequency of hepatic AEs was low and similar between the treatment groups (8.7% vs. 7.1%, respectively; P = 0.3370); hepatic enzyme levels did not increase over time. Lipid-related laboratory abnormalities and changes over time in lipid levels were generally comparable between treatment groups. Adjusting for treatment exposure, the frequency of AEs remained similar between treatment groups, with the exception of rash [13.7 vs. 9.3 per 100 PYE; relative risk (95% confidence interval) 1.48 (1.02-1.95)].\nCONCLUSIONS: The frequency of AEs of interest was generally similar between the treatment groups, both overall and when adjusted for treatment exposure, with the exception of rash which was more frequent in the etravirine group.","container-title":"HIV medicine","DOI":"10.1111/j.1468-1293.2012.00994.x","ISSN":"1468-1293","issue":"7","journalAbbreviation":"HIV Med","language":"eng","note":"PMID: 22413938","page":"427-435","source":"PubMed","title":"Pooled week 96 results of the phase III DUET-1 and DUET-2 trials of etravirine: further analysis of adverse events and laboratory abnormalities of special interest","title-short":"Pooled week 96 results of the phase III DUET-1 and DUET-2 trials of etravirine","volume":"13","author":[{"family":"Girard","given":"P.-M."},{"family":"Campbell","given":"T. B."},{"family":"Grinsztejn","given":"B."},{"family":"Hartikainen","given":"J."},{"family":"Rachline","given":"A."},{"family":"Nijs","given":"S."},{"family":"Witek","given":"J."}],"issued":{"date-parts":[["2012",8]]}},"label":"page"}],"schema":"https://github.com/citation-style-language/schema/raw/master/csl-citation.json"} </w:instrText>
      </w:r>
      <w:r w:rsidR="008C0590">
        <w:fldChar w:fldCharType="separate"/>
      </w:r>
      <w:r w:rsidR="00156011" w:rsidRPr="008B0B82">
        <w:t>[</w:t>
      </w:r>
      <w:r w:rsidR="008C0590" w:rsidRPr="002D5965">
        <w:t>1,7,23,85</w:t>
      </w:r>
      <w:r w:rsidR="00156011" w:rsidRPr="008B0B82">
        <w:t>]</w:t>
      </w:r>
      <w:r w:rsidR="008C0590">
        <w:fldChar w:fldCharType="end"/>
      </w:r>
      <w:r w:rsidR="008C0590">
        <w:t>.</w:t>
      </w:r>
    </w:p>
    <w:p w14:paraId="6EF006DD" w14:textId="2A59A8B7" w:rsidR="00783A7F" w:rsidRPr="00783A7F" w:rsidRDefault="00783A7F" w:rsidP="00783A7F">
      <w:pPr>
        <w:ind w:firstLine="709"/>
      </w:pPr>
      <w:r>
        <w:t xml:space="preserve">По результатам обобщенного анализа проведенных исследований </w:t>
      </w:r>
      <w:r>
        <w:rPr>
          <w:lang w:val="en-US"/>
        </w:rPr>
        <w:t>III</w:t>
      </w:r>
      <w:r>
        <w:t xml:space="preserve"> фазы</w:t>
      </w:r>
      <w:r w:rsidRPr="00A80800">
        <w:t xml:space="preserve">, </w:t>
      </w:r>
      <w:r w:rsidRPr="00DF1DF5">
        <w:t>частота от</w:t>
      </w:r>
      <w:r>
        <w:t xml:space="preserve">мены препарата из-за НР </w:t>
      </w:r>
      <w:r w:rsidRPr="00DF1DF5">
        <w:t xml:space="preserve">составила 7,2% у пациентов, получавших этравирин. Наиболее распространенной </w:t>
      </w:r>
      <w:r>
        <w:t>нежелательной</w:t>
      </w:r>
      <w:r w:rsidRPr="00DF1DF5">
        <w:t xml:space="preserve"> реакцией, приводившей к прекращению приема препарата, была сыпь.</w:t>
      </w:r>
    </w:p>
    <w:p w14:paraId="6531AC83" w14:textId="6A231D75" w:rsidR="00DB25F1" w:rsidRDefault="00DB25F1" w:rsidP="00DB25F1">
      <w:pPr>
        <w:spacing w:before="240" w:after="240"/>
        <w:outlineLvl w:val="2"/>
        <w:rPr>
          <w:rFonts w:eastAsia="Times New Roman"/>
          <w:b/>
          <w:bCs/>
          <w:iCs/>
          <w:lang w:eastAsia="en-US"/>
        </w:rPr>
      </w:pPr>
      <w:bookmarkStart w:id="188" w:name="_Toc117179240"/>
      <w:r w:rsidRPr="00620389">
        <w:rPr>
          <w:rFonts w:eastAsia="Times New Roman"/>
          <w:b/>
          <w:bCs/>
          <w:iCs/>
          <w:lang w:eastAsia="en-US"/>
        </w:rPr>
        <w:t>4.</w:t>
      </w:r>
      <w:r>
        <w:rPr>
          <w:rFonts w:eastAsia="Times New Roman"/>
          <w:b/>
          <w:bCs/>
          <w:iCs/>
          <w:lang w:eastAsia="en-US"/>
        </w:rPr>
        <w:t>3.3.</w:t>
      </w:r>
      <w:r w:rsidR="00B46BBC">
        <w:rPr>
          <w:rFonts w:eastAsia="Times New Roman"/>
          <w:b/>
          <w:bCs/>
          <w:iCs/>
          <w:lang w:eastAsia="en-US"/>
        </w:rPr>
        <w:t xml:space="preserve"> </w:t>
      </w:r>
      <w:r>
        <w:rPr>
          <w:rFonts w:eastAsia="Times New Roman"/>
          <w:b/>
          <w:bCs/>
          <w:iCs/>
          <w:lang w:eastAsia="en-US"/>
        </w:rPr>
        <w:t>Пострегистрационный опыт применения</w:t>
      </w:r>
      <w:bookmarkEnd w:id="188"/>
    </w:p>
    <w:p w14:paraId="1D4C172C" w14:textId="5D74FA41" w:rsidR="007475A4" w:rsidRDefault="007475A4" w:rsidP="001C0A37">
      <w:pPr>
        <w:pStyle w:val="affb"/>
        <w:spacing w:before="0" w:after="0" w:line="240" w:lineRule="auto"/>
        <w:ind w:firstLine="709"/>
      </w:pPr>
      <w:bookmarkStart w:id="189" w:name="bookmark45"/>
      <w:bookmarkStart w:id="190" w:name="bookmark44"/>
      <w:bookmarkEnd w:id="189"/>
      <w:bookmarkEnd w:id="190"/>
      <w:r>
        <w:t>В</w:t>
      </w:r>
      <w:r w:rsidRPr="00F26648">
        <w:t xml:space="preserve"> </w:t>
      </w:r>
      <w:r>
        <w:t>исследованиях</w:t>
      </w:r>
      <w:r w:rsidRPr="00F26648">
        <w:t xml:space="preserve"> </w:t>
      </w:r>
      <w:r>
        <w:t>на</w:t>
      </w:r>
      <w:r w:rsidRPr="00F26648">
        <w:t xml:space="preserve"> </w:t>
      </w:r>
      <w:r>
        <w:t>постмаркетинговом</w:t>
      </w:r>
      <w:r w:rsidRPr="00F26648">
        <w:t xml:space="preserve"> </w:t>
      </w:r>
      <w:r>
        <w:t>этапе</w:t>
      </w:r>
      <w:r w:rsidRPr="00F26648">
        <w:t xml:space="preserve"> </w:t>
      </w:r>
      <w:r>
        <w:t>был</w:t>
      </w:r>
      <w:r w:rsidRPr="00F26648">
        <w:t xml:space="preserve"> </w:t>
      </w:r>
      <w:r>
        <w:t>выявлен</w:t>
      </w:r>
      <w:r w:rsidRPr="00F26648">
        <w:t xml:space="preserve"> </w:t>
      </w:r>
      <w:r>
        <w:t>ряд НЯ</w:t>
      </w:r>
      <w:r w:rsidRPr="00F26648">
        <w:t xml:space="preserve">, </w:t>
      </w:r>
      <w:r>
        <w:t>которые</w:t>
      </w:r>
      <w:r w:rsidRPr="00F26648">
        <w:t xml:space="preserve"> </w:t>
      </w:r>
      <w:r>
        <w:t>не</w:t>
      </w:r>
      <w:r w:rsidRPr="00F26648">
        <w:t xml:space="preserve"> </w:t>
      </w:r>
      <w:r>
        <w:t>были</w:t>
      </w:r>
      <w:r w:rsidRPr="00F26648">
        <w:t xml:space="preserve"> </w:t>
      </w:r>
      <w:r>
        <w:t xml:space="preserve">обнаружены во время исследований </w:t>
      </w:r>
      <w:r>
        <w:rPr>
          <w:lang w:val="en-US"/>
        </w:rPr>
        <w:t>II</w:t>
      </w:r>
      <w:r w:rsidRPr="00D43185">
        <w:t>/</w:t>
      </w:r>
      <w:r>
        <w:rPr>
          <w:lang w:val="en-US"/>
        </w:rPr>
        <w:t>III</w:t>
      </w:r>
      <w:r>
        <w:t xml:space="preserve"> фазы </w:t>
      </w:r>
      <w:r>
        <w:fldChar w:fldCharType="begin"/>
      </w:r>
      <w:r>
        <w:instrText xml:space="preserve"> ADDIN ZOTERO_ITEM CSL_CITATION {"citationID":"B7E4Pb6J","properties":{"formattedCitation":"(86,87)","plainCitation":"(86,87)","noteIndex":0},"citationItems":[{"id":"iY4E1EKJ/kzbPN2fZ","uris":["http://zotero.org/users/1055192/items/T5V992FC"],"itemData":{"id":30804,"type":"webpage","title":"VigiAccess","URL":"http://www.vigiaccess.org/","accessed":{"date-parts":[["2021",10,14]]}},"label":"page"},{"id":"iY4E1EKJ/iNR7Ihpt","uris":["http://zotero.org/users/1055192/items/8LWIYV5A"],"itemData":{"id":30736,"type":"webpage","title":"EudraVigilance for ETRAVIRINE / European database of suspected adverse drug reaction reports","URL":"https://dap.ema.europa.eu/analytics/saw.dll?PortalPages","author":[{"family":"EMA","given":""}],"accessed":{"date-parts":[["2021",10,14]]}},"label":"page"}],"schema":"https://github.com/citation-style-language/schema/raw/master/csl-citation.json"} </w:instrText>
      </w:r>
      <w:r>
        <w:fldChar w:fldCharType="separate"/>
      </w:r>
      <w:r w:rsidR="00156011" w:rsidRPr="00156011">
        <w:t>[</w:t>
      </w:r>
      <w:r w:rsidRPr="007475A4">
        <w:t>86,87</w:t>
      </w:r>
      <w:r w:rsidR="00156011" w:rsidRPr="00156011">
        <w:t>]</w:t>
      </w:r>
      <w:r>
        <w:fldChar w:fldCharType="end"/>
      </w:r>
      <w:r w:rsidRPr="00D43185">
        <w:t xml:space="preserve">. </w:t>
      </w:r>
      <w:r>
        <w:t>Поскольку</w:t>
      </w:r>
      <w:r w:rsidRPr="009052BC">
        <w:t xml:space="preserve"> </w:t>
      </w:r>
      <w:r>
        <w:t>эти</w:t>
      </w:r>
      <w:r w:rsidRPr="009052BC">
        <w:t xml:space="preserve"> </w:t>
      </w:r>
      <w:r>
        <w:t>НЯ</w:t>
      </w:r>
      <w:r w:rsidRPr="009052BC">
        <w:t xml:space="preserve"> </w:t>
      </w:r>
      <w:r>
        <w:t>получены</w:t>
      </w:r>
      <w:r w:rsidRPr="009052BC">
        <w:t xml:space="preserve"> </w:t>
      </w:r>
      <w:r>
        <w:t>из</w:t>
      </w:r>
      <w:r w:rsidRPr="009052BC">
        <w:t xml:space="preserve"> </w:t>
      </w:r>
      <w:r>
        <w:t>баз</w:t>
      </w:r>
      <w:r w:rsidRPr="009052BC">
        <w:t xml:space="preserve"> </w:t>
      </w:r>
      <w:r>
        <w:t>данных</w:t>
      </w:r>
      <w:r w:rsidRPr="009052BC">
        <w:t xml:space="preserve"> </w:t>
      </w:r>
      <w:r>
        <w:t>о</w:t>
      </w:r>
      <w:r w:rsidRPr="009052BC">
        <w:t xml:space="preserve"> </w:t>
      </w:r>
      <w:r>
        <w:t>репортировании</w:t>
      </w:r>
      <w:r w:rsidRPr="009052BC">
        <w:t xml:space="preserve"> </w:t>
      </w:r>
      <w:r>
        <w:t>побочных</w:t>
      </w:r>
      <w:r w:rsidRPr="009052BC">
        <w:t xml:space="preserve"> </w:t>
      </w:r>
      <w:r>
        <w:t>эффектов</w:t>
      </w:r>
      <w:r w:rsidRPr="009052BC">
        <w:t xml:space="preserve"> </w:t>
      </w:r>
      <w:r>
        <w:t>лекарственных</w:t>
      </w:r>
      <w:r w:rsidRPr="009052BC">
        <w:t xml:space="preserve"> </w:t>
      </w:r>
      <w:r>
        <w:t>препаратов, оценить реальную частоту их возникновения и определить причинно-следственную связь невозможно</w:t>
      </w:r>
      <w:r w:rsidRPr="009052BC">
        <w:t>.</w:t>
      </w:r>
      <w:r>
        <w:t xml:space="preserve"> Были выявлены: нарушения</w:t>
      </w:r>
      <w:r w:rsidRPr="00BC4908">
        <w:t xml:space="preserve"> </w:t>
      </w:r>
      <w:r>
        <w:t>со</w:t>
      </w:r>
      <w:r w:rsidRPr="00BC4908">
        <w:t xml:space="preserve"> </w:t>
      </w:r>
      <w:r>
        <w:t>стороны</w:t>
      </w:r>
      <w:r w:rsidRPr="00BC4908">
        <w:t xml:space="preserve"> </w:t>
      </w:r>
      <w:r>
        <w:t>иммунной</w:t>
      </w:r>
      <w:r w:rsidRPr="00BC4908">
        <w:t xml:space="preserve"> </w:t>
      </w:r>
      <w:r>
        <w:t>системы</w:t>
      </w:r>
      <w:r w:rsidRPr="00BC4908">
        <w:t xml:space="preserve">: </w:t>
      </w:r>
      <w:r>
        <w:t>реакции</w:t>
      </w:r>
      <w:r w:rsidRPr="00BC4908">
        <w:t xml:space="preserve"> </w:t>
      </w:r>
      <w:r>
        <w:t>гиперчувствительности</w:t>
      </w:r>
      <w:r w:rsidRPr="00BC4908">
        <w:t xml:space="preserve"> </w:t>
      </w:r>
      <w:r>
        <w:t>тяжелой</w:t>
      </w:r>
      <w:r w:rsidRPr="00BC4908">
        <w:t xml:space="preserve"> </w:t>
      </w:r>
      <w:r>
        <w:t xml:space="preserve">степени, </w:t>
      </w:r>
      <w:bookmarkStart w:id="191" w:name="_Hlk112235424"/>
      <w:r>
        <w:t xml:space="preserve">включая </w:t>
      </w:r>
      <w:r w:rsidRPr="006551A7">
        <w:rPr>
          <w:lang w:val="en-US"/>
        </w:rPr>
        <w:t>DRESS</w:t>
      </w:r>
      <w:r w:rsidRPr="00BC4908">
        <w:t xml:space="preserve"> </w:t>
      </w:r>
      <w:r w:rsidRPr="004607BA">
        <w:t>(</w:t>
      </w:r>
      <w:r w:rsidRPr="004607BA">
        <w:rPr>
          <w:i/>
          <w:iCs/>
        </w:rPr>
        <w:t>Drug Reaction (or Rash) with Eosinophilia and Systemic Symptoms</w:t>
      </w:r>
      <w:r w:rsidRPr="004607BA">
        <w:t xml:space="preserve"> </w:t>
      </w:r>
      <w:bookmarkEnd w:id="191"/>
      <w:r w:rsidRPr="004607BA">
        <w:t>[лекарственная реакция с эозинофилией и системными проявлениями</w:t>
      </w:r>
      <w:r w:rsidRPr="00C33AAB">
        <w:t>]</w:t>
      </w:r>
      <w:r w:rsidRPr="004607BA">
        <w:t xml:space="preserve">) </w:t>
      </w:r>
      <w:r>
        <w:t>и случаи печеночной недостаточности; н</w:t>
      </w:r>
      <w:r w:rsidRPr="0077458A">
        <w:t xml:space="preserve">арушения со стороны скелетно-мышечной и соединительной ткани: </w:t>
      </w:r>
      <w:r>
        <w:t>рабдомиолиз; н</w:t>
      </w:r>
      <w:r w:rsidRPr="00DF6AFB">
        <w:t xml:space="preserve">арушения со стороны скелетно-мышечной и соединительной ткани: </w:t>
      </w:r>
      <w:r>
        <w:t>фатальные</w:t>
      </w:r>
      <w:r w:rsidRPr="00DF6AFB">
        <w:t xml:space="preserve"> </w:t>
      </w:r>
      <w:r>
        <w:t xml:space="preserve">случаи токсического эпидермального некролиза и </w:t>
      </w:r>
      <w:r w:rsidRPr="00CB56C0">
        <w:rPr>
          <w:lang w:val="en-US"/>
        </w:rPr>
        <w:t>SJS</w:t>
      </w:r>
      <w:r>
        <w:t xml:space="preserve"> </w:t>
      </w:r>
      <w:r>
        <w:fldChar w:fldCharType="begin"/>
      </w:r>
      <w:r>
        <w:instrText xml:space="preserve"> ADDIN ZOTERO_ITEM CSL_CITATION {"citationID":"QKMMyAjP","properties":{"formattedCitation":"(1,23)","plainCitation":"(1,23)","noteIndex":0},"citationItems":[{"id":2546,"uris":["http://zotero.org/users/5483459/items/J2LUM5TE"],"itemData":{"id":2546,"type":"document","title":"Product Monograph INTELENCE® etravirine tablets 25 mg, 100 mg, 200 mg. Janssen Inc.  Date of Revision: May 17, 2017."},"label":"page"},{"id":2588,"uris":["http://zotero.org/users/5483459/items/XZWGXXTF"],"itemData":{"id":2588,"type":"document","title":"European Medicines Agency INTELENCE®Summary of Product Characteristic. 2008.Doc.Ref.: EMEA/CHMP/43952/2008"},"label":"page"}],"schema":"https://github.com/citation-style-language/schema/raw/master/csl-citation.json"} </w:instrText>
      </w:r>
      <w:r>
        <w:fldChar w:fldCharType="separate"/>
      </w:r>
      <w:r w:rsidR="00156011" w:rsidRPr="00156011">
        <w:t>[</w:t>
      </w:r>
      <w:r w:rsidRPr="007475A4">
        <w:t>1,23</w:t>
      </w:r>
      <w:r w:rsidR="00156011" w:rsidRPr="00156011">
        <w:t>]</w:t>
      </w:r>
      <w:r>
        <w:fldChar w:fldCharType="end"/>
      </w:r>
      <w:r w:rsidRPr="00CB56C0">
        <w:t>.</w:t>
      </w:r>
      <w:r w:rsidRPr="00DF6AFB">
        <w:t xml:space="preserve"> </w:t>
      </w:r>
    </w:p>
    <w:p w14:paraId="0B21A770" w14:textId="238EBEF2" w:rsidR="007475A4" w:rsidRDefault="007475A4" w:rsidP="001C0A37">
      <w:pPr>
        <w:pStyle w:val="affb"/>
        <w:spacing w:before="0" w:after="0" w:line="240" w:lineRule="auto"/>
        <w:ind w:firstLine="709"/>
      </w:pPr>
      <w:r>
        <w:t xml:space="preserve">Высокая эффективность и хорошая переносимость этравирина у пациентов, получавших АРТ, подтверждена данными реальной клинической практики даже в случае применения схем без бустированных ИП. В работе </w:t>
      </w:r>
      <w:r w:rsidRPr="006E53D9">
        <w:t>Allavena</w:t>
      </w:r>
      <w:r>
        <w:t xml:space="preserve"> С. и соавт. (2016) в</w:t>
      </w:r>
      <w:r w:rsidRPr="006C6EF5">
        <w:t xml:space="preserve"> исследуемую популяцию вошли </w:t>
      </w:r>
      <w:r>
        <w:t xml:space="preserve">все </w:t>
      </w:r>
      <w:r w:rsidRPr="006C6EF5">
        <w:t>пациенты</w:t>
      </w:r>
      <w:r>
        <w:t xml:space="preserve"> из </w:t>
      </w:r>
      <w:r w:rsidRPr="006C6EF5">
        <w:t>французск</w:t>
      </w:r>
      <w:r>
        <w:t>ой</w:t>
      </w:r>
      <w:r w:rsidRPr="006C6EF5">
        <w:t xml:space="preserve"> </w:t>
      </w:r>
      <w:r w:rsidR="00DE3850" w:rsidRPr="006C6EF5">
        <w:t>когорт</w:t>
      </w:r>
      <w:r w:rsidR="00DE3850">
        <w:t>ы</w:t>
      </w:r>
      <w:r w:rsidR="00DE3850" w:rsidRPr="006C6EF5">
        <w:t xml:space="preserve"> </w:t>
      </w:r>
      <w:r w:rsidRPr="006C6EF5">
        <w:t>Dat’AIDS</w:t>
      </w:r>
      <w:r>
        <w:t xml:space="preserve">, получающие АРТ </w:t>
      </w:r>
      <w:r w:rsidRPr="006C6EF5">
        <w:t xml:space="preserve">по схеме на основе </w:t>
      </w:r>
      <w:r>
        <w:t>этравирина после вирусологической неудачи ил</w:t>
      </w:r>
      <w:r w:rsidR="001A64A3">
        <w:t>и</w:t>
      </w:r>
      <w:r>
        <w:t xml:space="preserve"> в качестве</w:t>
      </w:r>
      <w:r w:rsidRPr="006C6EF5">
        <w:t xml:space="preserve"> </w:t>
      </w:r>
      <w:r>
        <w:t>поддерживающей терапии</w:t>
      </w:r>
      <w:r w:rsidRPr="006C6EF5">
        <w:t xml:space="preserve">, с или без </w:t>
      </w:r>
      <w:r>
        <w:t>бустированных ИП</w:t>
      </w:r>
      <w:r w:rsidRPr="006C6EF5">
        <w:t xml:space="preserve">. </w:t>
      </w:r>
      <w:r>
        <w:t>В</w:t>
      </w:r>
      <w:r w:rsidRPr="006C6EF5">
        <w:t xml:space="preserve"> исследование было включено 2006 пациентов (n = 1014 (51%)</w:t>
      </w:r>
      <w:r>
        <w:t xml:space="preserve"> с вирусологической неудачей</w:t>
      </w:r>
      <w:r w:rsidRPr="006C6EF5">
        <w:t>;</w:t>
      </w:r>
      <w:r>
        <w:t xml:space="preserve"> </w:t>
      </w:r>
      <w:r w:rsidRPr="006C6EF5">
        <w:t>n = 992 (49%)</w:t>
      </w:r>
      <w:r>
        <w:t xml:space="preserve"> на поддерживающей терапии</w:t>
      </w:r>
      <w:r w:rsidRPr="006C6EF5">
        <w:t xml:space="preserve">). </w:t>
      </w:r>
      <w:r>
        <w:t xml:space="preserve">Через год лечения </w:t>
      </w:r>
      <w:r w:rsidRPr="006C6EF5">
        <w:t xml:space="preserve">доля пациентов с РНК ВИЧ &lt;50 копий / мл составляла 71,7% (72,0% и 71,1% с </w:t>
      </w:r>
      <w:r>
        <w:t>бустированными ИП</w:t>
      </w:r>
      <w:r w:rsidRPr="006C6EF5">
        <w:t xml:space="preserve"> или без</w:t>
      </w:r>
      <w:r>
        <w:t xml:space="preserve"> таковых</w:t>
      </w:r>
      <w:r w:rsidRPr="006C6EF5">
        <w:t xml:space="preserve">) в группе </w:t>
      </w:r>
      <w:r>
        <w:t xml:space="preserve">с вирусологической неудачей в анамнезе </w:t>
      </w:r>
      <w:r w:rsidRPr="006C6EF5">
        <w:t xml:space="preserve">и 90,5% (85,0% и 92,3% </w:t>
      </w:r>
      <w:r w:rsidRPr="003B2CBB">
        <w:t>с бустированными ИП или без таковых)</w:t>
      </w:r>
      <w:r w:rsidRPr="006C6EF5">
        <w:t xml:space="preserve"> в группе </w:t>
      </w:r>
      <w:r>
        <w:t>АРТ</w:t>
      </w:r>
      <w:r w:rsidRPr="006C6EF5">
        <w:t xml:space="preserve">. </w:t>
      </w:r>
      <w:r>
        <w:t>И</w:t>
      </w:r>
      <w:r w:rsidRPr="006C6EF5">
        <w:t xml:space="preserve">з-за </w:t>
      </w:r>
      <w:r>
        <w:t xml:space="preserve">развития НЯ прекратили прием этравирина </w:t>
      </w:r>
      <w:r w:rsidRPr="006C6EF5">
        <w:t xml:space="preserve">23,9% </w:t>
      </w:r>
      <w:r>
        <w:t xml:space="preserve">пациентов </w:t>
      </w:r>
      <w:r w:rsidRPr="006C6EF5">
        <w:t>(21,5%</w:t>
      </w:r>
      <w:r>
        <w:t xml:space="preserve"> с вирусологической неудачей в анамнезе;</w:t>
      </w:r>
      <w:r w:rsidRPr="006C6EF5">
        <w:t xml:space="preserve"> 29,5% </w:t>
      </w:r>
      <w:r>
        <w:t>на поддерживающей терапии</w:t>
      </w:r>
      <w:r w:rsidRPr="006C6EF5">
        <w:t>)</w:t>
      </w:r>
      <w:r>
        <w:t>.</w:t>
      </w:r>
      <w:r w:rsidRPr="006C6EF5">
        <w:t xml:space="preserve"> </w:t>
      </w:r>
      <w:r>
        <w:t xml:space="preserve">Неэффективность проводимой терапии была выявлена у </w:t>
      </w:r>
      <w:r w:rsidRPr="006C6EF5">
        <w:t xml:space="preserve">15,2% (16,2% </w:t>
      </w:r>
      <w:r w:rsidRPr="00D22E7C">
        <w:t>с вирусологической неудачей в анамнезе;</w:t>
      </w:r>
      <w:r w:rsidRPr="006C6EF5">
        <w:t xml:space="preserve"> 7,4% </w:t>
      </w:r>
      <w:r w:rsidRPr="00D22E7C">
        <w:t>на поддерживающей терапии</w:t>
      </w:r>
      <w:r w:rsidRPr="006C6EF5">
        <w:t>).</w:t>
      </w:r>
    </w:p>
    <w:p w14:paraId="25212CDC" w14:textId="4AB6612E" w:rsidR="007475A4" w:rsidRDefault="007475A4" w:rsidP="001C0A37">
      <w:pPr>
        <w:pStyle w:val="affb"/>
        <w:spacing w:before="0" w:after="0" w:line="240" w:lineRule="auto"/>
        <w:ind w:firstLine="709"/>
        <w:rPr>
          <w:rFonts w:eastAsiaTheme="majorEastAsia"/>
        </w:rPr>
      </w:pPr>
      <w:r>
        <w:rPr>
          <w:rFonts w:eastAsiaTheme="majorEastAsia"/>
        </w:rPr>
        <w:t>В пилотном двойном-слепом рандомизированном плацебо</w:t>
      </w:r>
      <w:r w:rsidR="00E306CD">
        <w:rPr>
          <w:rFonts w:eastAsiaTheme="majorEastAsia"/>
        </w:rPr>
        <w:t xml:space="preserve"> </w:t>
      </w:r>
      <w:r>
        <w:rPr>
          <w:rFonts w:eastAsiaTheme="majorEastAsia"/>
        </w:rPr>
        <w:t xml:space="preserve">контролируемом </w:t>
      </w:r>
      <w:r w:rsidRPr="00B45355">
        <w:rPr>
          <w:rFonts w:eastAsiaTheme="majorEastAsia"/>
        </w:rPr>
        <w:t>многоцентрово</w:t>
      </w:r>
      <w:r>
        <w:rPr>
          <w:rFonts w:eastAsiaTheme="majorEastAsia"/>
        </w:rPr>
        <w:t>м</w:t>
      </w:r>
      <w:r w:rsidRPr="00B45355">
        <w:rPr>
          <w:rFonts w:eastAsiaTheme="majorEastAsia"/>
        </w:rPr>
        <w:t xml:space="preserve"> </w:t>
      </w:r>
      <w:r>
        <w:rPr>
          <w:rFonts w:eastAsiaTheme="majorEastAsia"/>
        </w:rPr>
        <w:t xml:space="preserve">исследовании </w:t>
      </w:r>
      <w:r w:rsidRPr="000D7FD1">
        <w:rPr>
          <w:rFonts w:eastAsiaTheme="majorEastAsia"/>
        </w:rPr>
        <w:t>оцени</w:t>
      </w:r>
      <w:r>
        <w:rPr>
          <w:rFonts w:eastAsiaTheme="majorEastAsia"/>
        </w:rPr>
        <w:t>ли</w:t>
      </w:r>
      <w:r w:rsidRPr="000D7FD1">
        <w:rPr>
          <w:rFonts w:eastAsiaTheme="majorEastAsia"/>
        </w:rPr>
        <w:t xml:space="preserve"> влияние перехода с </w:t>
      </w:r>
      <w:r>
        <w:rPr>
          <w:rFonts w:eastAsiaTheme="majorEastAsia"/>
        </w:rPr>
        <w:t>эфавиренза</w:t>
      </w:r>
      <w:r w:rsidRPr="000D7FD1">
        <w:rPr>
          <w:rFonts w:eastAsiaTheme="majorEastAsia"/>
        </w:rPr>
        <w:t xml:space="preserve"> на </w:t>
      </w:r>
      <w:r>
        <w:t xml:space="preserve">этравирин </w:t>
      </w:r>
      <w:r w:rsidR="00FA5276">
        <w:t xml:space="preserve">и влияние перехода </w:t>
      </w:r>
      <w:r w:rsidRPr="000D7FD1">
        <w:rPr>
          <w:rFonts w:eastAsiaTheme="majorEastAsia"/>
        </w:rPr>
        <w:t xml:space="preserve">на </w:t>
      </w:r>
      <w:r>
        <w:rPr>
          <w:rFonts w:eastAsiaTheme="majorEastAsia"/>
        </w:rPr>
        <w:t xml:space="preserve">выраженность </w:t>
      </w:r>
      <w:r w:rsidRPr="000D7FD1">
        <w:rPr>
          <w:rFonts w:eastAsiaTheme="majorEastAsia"/>
        </w:rPr>
        <w:t>симптом</w:t>
      </w:r>
      <w:r>
        <w:rPr>
          <w:rFonts w:eastAsiaTheme="majorEastAsia"/>
        </w:rPr>
        <w:t>ов</w:t>
      </w:r>
      <w:r w:rsidRPr="000D7FD1">
        <w:rPr>
          <w:rFonts w:eastAsiaTheme="majorEastAsia"/>
        </w:rPr>
        <w:t xml:space="preserve"> </w:t>
      </w:r>
      <w:r>
        <w:rPr>
          <w:rFonts w:eastAsiaTheme="majorEastAsia"/>
        </w:rPr>
        <w:t xml:space="preserve">со стороны </w:t>
      </w:r>
      <w:r w:rsidRPr="000D7FD1">
        <w:rPr>
          <w:rFonts w:eastAsiaTheme="majorEastAsia"/>
        </w:rPr>
        <w:t>ЦНС у пациентов</w:t>
      </w:r>
      <w:r>
        <w:rPr>
          <w:rFonts w:eastAsiaTheme="majorEastAsia"/>
        </w:rPr>
        <w:t xml:space="preserve"> со стабильной вирусологической супрессией,</w:t>
      </w:r>
      <w:r w:rsidRPr="000D7FD1">
        <w:rPr>
          <w:rFonts w:eastAsiaTheme="majorEastAsia"/>
        </w:rPr>
        <w:t xml:space="preserve"> </w:t>
      </w:r>
      <w:r>
        <w:rPr>
          <w:rFonts w:eastAsiaTheme="majorEastAsia"/>
        </w:rPr>
        <w:t>находящихся на эфавиренз</w:t>
      </w:r>
      <w:r w:rsidRPr="00461A8C">
        <w:rPr>
          <w:rFonts w:eastAsiaTheme="majorEastAsia"/>
        </w:rPr>
        <w:t>-</w:t>
      </w:r>
      <w:r>
        <w:rPr>
          <w:rFonts w:eastAsiaTheme="majorEastAsia"/>
        </w:rPr>
        <w:t>содержащей АРТ. В исследование включено 38 пациентов, которые рандомизированы в группы немедленного</w:t>
      </w:r>
      <w:r w:rsidR="00156011">
        <w:rPr>
          <w:rFonts w:eastAsiaTheme="majorEastAsia"/>
        </w:rPr>
        <w:t xml:space="preserve"> и отложенного переключения (20/</w:t>
      </w:r>
      <w:r>
        <w:rPr>
          <w:rFonts w:eastAsiaTheme="majorEastAsia"/>
        </w:rPr>
        <w:t>18 чел.). В</w:t>
      </w:r>
      <w:r w:rsidRPr="00C805D4">
        <w:rPr>
          <w:rFonts w:eastAsiaTheme="majorEastAsia"/>
        </w:rPr>
        <w:t xml:space="preserve"> течение 12 недель </w:t>
      </w:r>
      <w:r>
        <w:rPr>
          <w:rFonts w:eastAsiaTheme="majorEastAsia"/>
        </w:rPr>
        <w:t>п</w:t>
      </w:r>
      <w:r w:rsidRPr="00C805D4">
        <w:rPr>
          <w:rFonts w:eastAsiaTheme="majorEastAsia"/>
        </w:rPr>
        <w:t xml:space="preserve">ациенты получали </w:t>
      </w:r>
      <w:r>
        <w:rPr>
          <w:rFonts w:eastAsiaTheme="majorEastAsia"/>
        </w:rPr>
        <w:t xml:space="preserve">АРТ в режиме </w:t>
      </w:r>
      <w:r w:rsidRPr="00C805D4">
        <w:rPr>
          <w:rFonts w:eastAsiaTheme="majorEastAsia"/>
        </w:rPr>
        <w:t>2</w:t>
      </w:r>
      <w:r>
        <w:rPr>
          <w:rFonts w:eastAsiaTheme="majorEastAsia"/>
        </w:rPr>
        <w:t xml:space="preserve"> НИОТ </w:t>
      </w:r>
      <w:r w:rsidRPr="00C805D4">
        <w:rPr>
          <w:rFonts w:eastAsiaTheme="majorEastAsia"/>
        </w:rPr>
        <w:t>/</w:t>
      </w:r>
      <w:r>
        <w:rPr>
          <w:rFonts w:eastAsiaTheme="majorEastAsia"/>
        </w:rPr>
        <w:t>эфавиренз</w:t>
      </w:r>
      <w:r w:rsidRPr="00C805D4">
        <w:rPr>
          <w:rFonts w:eastAsiaTheme="majorEastAsia"/>
        </w:rPr>
        <w:t xml:space="preserve">/ </w:t>
      </w:r>
      <w:r>
        <w:t xml:space="preserve">этравирин </w:t>
      </w:r>
      <w:r w:rsidRPr="00C805D4">
        <w:rPr>
          <w:rFonts w:eastAsiaTheme="majorEastAsia"/>
        </w:rPr>
        <w:t>-плацебо (</w:t>
      </w:r>
      <w:r>
        <w:rPr>
          <w:rFonts w:eastAsiaTheme="majorEastAsia"/>
        </w:rPr>
        <w:t>группа отложенного</w:t>
      </w:r>
      <w:r w:rsidRPr="00C805D4">
        <w:rPr>
          <w:rFonts w:eastAsiaTheme="majorEastAsia"/>
        </w:rPr>
        <w:t xml:space="preserve"> переключени</w:t>
      </w:r>
      <w:r>
        <w:rPr>
          <w:rFonts w:eastAsiaTheme="majorEastAsia"/>
        </w:rPr>
        <w:t>я</w:t>
      </w:r>
      <w:r w:rsidRPr="00C805D4">
        <w:rPr>
          <w:rFonts w:eastAsiaTheme="majorEastAsia"/>
        </w:rPr>
        <w:t xml:space="preserve">) или </w:t>
      </w:r>
      <w:r>
        <w:rPr>
          <w:rFonts w:eastAsiaTheme="majorEastAsia"/>
        </w:rPr>
        <w:t xml:space="preserve">2 НИОТ </w:t>
      </w:r>
      <w:r w:rsidRPr="00C805D4">
        <w:rPr>
          <w:rFonts w:eastAsiaTheme="majorEastAsia"/>
        </w:rPr>
        <w:t xml:space="preserve">/ </w:t>
      </w:r>
      <w:r>
        <w:t xml:space="preserve">этравирин </w:t>
      </w:r>
      <w:r w:rsidRPr="00C805D4">
        <w:rPr>
          <w:rFonts w:eastAsiaTheme="majorEastAsia"/>
        </w:rPr>
        <w:t xml:space="preserve">/ </w:t>
      </w:r>
      <w:r>
        <w:rPr>
          <w:rFonts w:eastAsiaTheme="majorEastAsia"/>
        </w:rPr>
        <w:t>эфавиренз</w:t>
      </w:r>
      <w:r w:rsidRPr="00C805D4">
        <w:rPr>
          <w:rFonts w:eastAsiaTheme="majorEastAsia"/>
        </w:rPr>
        <w:t xml:space="preserve"> -плацебо (</w:t>
      </w:r>
      <w:r>
        <w:rPr>
          <w:rFonts w:eastAsiaTheme="majorEastAsia"/>
        </w:rPr>
        <w:t xml:space="preserve">группа </w:t>
      </w:r>
      <w:r w:rsidRPr="00C805D4">
        <w:rPr>
          <w:rFonts w:eastAsiaTheme="majorEastAsia"/>
        </w:rPr>
        <w:t>немедленно</w:t>
      </w:r>
      <w:r>
        <w:rPr>
          <w:rFonts w:eastAsiaTheme="majorEastAsia"/>
        </w:rPr>
        <w:t>го</w:t>
      </w:r>
      <w:r w:rsidRPr="00C805D4">
        <w:rPr>
          <w:rFonts w:eastAsiaTheme="majorEastAsia"/>
        </w:rPr>
        <w:t xml:space="preserve"> переключени</w:t>
      </w:r>
      <w:r>
        <w:rPr>
          <w:rFonts w:eastAsiaTheme="majorEastAsia"/>
        </w:rPr>
        <w:t>я</w:t>
      </w:r>
      <w:r w:rsidRPr="00C805D4">
        <w:rPr>
          <w:rFonts w:eastAsiaTheme="majorEastAsia"/>
        </w:rPr>
        <w:t>)</w:t>
      </w:r>
      <w:r>
        <w:rPr>
          <w:rFonts w:eastAsiaTheme="majorEastAsia"/>
        </w:rPr>
        <w:t xml:space="preserve">, затем следовала </w:t>
      </w:r>
      <w:r w:rsidRPr="00C805D4">
        <w:rPr>
          <w:rFonts w:eastAsiaTheme="majorEastAsia"/>
        </w:rPr>
        <w:t>12-недельн</w:t>
      </w:r>
      <w:r>
        <w:rPr>
          <w:rFonts w:eastAsiaTheme="majorEastAsia"/>
        </w:rPr>
        <w:t>ая</w:t>
      </w:r>
      <w:r w:rsidRPr="00C805D4">
        <w:rPr>
          <w:rFonts w:eastAsiaTheme="majorEastAsia"/>
        </w:rPr>
        <w:t xml:space="preserve"> открыт</w:t>
      </w:r>
      <w:r>
        <w:rPr>
          <w:rFonts w:eastAsiaTheme="majorEastAsia"/>
        </w:rPr>
        <w:t>ая</w:t>
      </w:r>
      <w:r w:rsidRPr="00C805D4">
        <w:rPr>
          <w:rFonts w:eastAsiaTheme="majorEastAsia"/>
        </w:rPr>
        <w:t xml:space="preserve"> фаз</w:t>
      </w:r>
      <w:r>
        <w:rPr>
          <w:rFonts w:eastAsiaTheme="majorEastAsia"/>
        </w:rPr>
        <w:t xml:space="preserve">а, в течение которой все пациенты получали </w:t>
      </w:r>
      <w:r w:rsidRPr="00C805D4">
        <w:rPr>
          <w:rFonts w:eastAsiaTheme="majorEastAsia"/>
        </w:rPr>
        <w:t>2</w:t>
      </w:r>
      <w:r>
        <w:rPr>
          <w:rFonts w:eastAsiaTheme="majorEastAsia"/>
        </w:rPr>
        <w:t xml:space="preserve"> НИОТ в сочетании с </w:t>
      </w:r>
      <w:r>
        <w:t>этравирином</w:t>
      </w:r>
      <w:r>
        <w:rPr>
          <w:rFonts w:eastAsiaTheme="majorEastAsia"/>
        </w:rPr>
        <w:t>. На момент включения в исследование НЯ со стороны ЦНС были схожими у пациентов обеих групп.</w:t>
      </w:r>
      <w:r w:rsidRPr="00E852FD">
        <w:t xml:space="preserve"> </w:t>
      </w:r>
      <w:r>
        <w:rPr>
          <w:rFonts w:eastAsiaTheme="majorEastAsia"/>
        </w:rPr>
        <w:t xml:space="preserve">В группе </w:t>
      </w:r>
      <w:r w:rsidRPr="00E852FD">
        <w:rPr>
          <w:rFonts w:eastAsiaTheme="majorEastAsia"/>
        </w:rPr>
        <w:t>немедленн</w:t>
      </w:r>
      <w:r>
        <w:rPr>
          <w:rFonts w:eastAsiaTheme="majorEastAsia"/>
        </w:rPr>
        <w:t>ого</w:t>
      </w:r>
      <w:r w:rsidRPr="00E852FD">
        <w:rPr>
          <w:rFonts w:eastAsiaTheme="majorEastAsia"/>
        </w:rPr>
        <w:t xml:space="preserve"> переключени</w:t>
      </w:r>
      <w:r>
        <w:rPr>
          <w:rFonts w:eastAsiaTheme="majorEastAsia"/>
        </w:rPr>
        <w:t xml:space="preserve">я полностью закончили участие в исследовании 19 пациентов, в группе отложенного переключения - </w:t>
      </w:r>
      <w:r w:rsidRPr="00E852FD">
        <w:rPr>
          <w:rFonts w:eastAsiaTheme="majorEastAsia"/>
        </w:rPr>
        <w:t>13</w:t>
      </w:r>
      <w:r>
        <w:rPr>
          <w:rFonts w:eastAsiaTheme="majorEastAsia"/>
        </w:rPr>
        <w:t xml:space="preserve"> пациентов</w:t>
      </w:r>
      <w:r w:rsidRPr="00E852FD">
        <w:rPr>
          <w:rFonts w:eastAsiaTheme="majorEastAsia"/>
        </w:rPr>
        <w:t xml:space="preserve">. </w:t>
      </w:r>
      <w:r w:rsidRPr="006B4174">
        <w:rPr>
          <w:rFonts w:eastAsiaTheme="majorEastAsia"/>
        </w:rPr>
        <w:t xml:space="preserve">Медиана </w:t>
      </w:r>
      <w:r>
        <w:rPr>
          <w:rFonts w:eastAsiaTheme="majorEastAsia"/>
        </w:rPr>
        <w:t xml:space="preserve">количества </w:t>
      </w:r>
      <w:r w:rsidRPr="006B4174">
        <w:rPr>
          <w:rFonts w:eastAsiaTheme="majorEastAsia"/>
        </w:rPr>
        <w:t>CD4</w:t>
      </w:r>
      <w:r w:rsidRPr="008347AB">
        <w:rPr>
          <w:rFonts w:eastAsiaTheme="majorEastAsia"/>
        </w:rPr>
        <w:t>+</w:t>
      </w:r>
      <w:r>
        <w:rPr>
          <w:rFonts w:eastAsiaTheme="majorEastAsia"/>
        </w:rPr>
        <w:t xml:space="preserve"> - лимфоцитов</w:t>
      </w:r>
      <w:r w:rsidRPr="006B4174">
        <w:rPr>
          <w:rFonts w:eastAsiaTheme="majorEastAsia"/>
        </w:rPr>
        <w:t xml:space="preserve"> </w:t>
      </w:r>
      <w:r>
        <w:rPr>
          <w:rFonts w:eastAsiaTheme="majorEastAsia"/>
        </w:rPr>
        <w:t xml:space="preserve">в группах </w:t>
      </w:r>
      <w:r w:rsidRPr="006B4174">
        <w:rPr>
          <w:rFonts w:eastAsiaTheme="majorEastAsia"/>
        </w:rPr>
        <w:t xml:space="preserve">немедленного </w:t>
      </w:r>
      <w:r>
        <w:rPr>
          <w:rFonts w:eastAsiaTheme="majorEastAsia"/>
        </w:rPr>
        <w:t>и</w:t>
      </w:r>
      <w:r w:rsidRPr="006B4174">
        <w:rPr>
          <w:rFonts w:eastAsiaTheme="majorEastAsia"/>
        </w:rPr>
        <w:t xml:space="preserve"> отложенного переключения составила 444</w:t>
      </w:r>
      <w:r>
        <w:rPr>
          <w:rFonts w:eastAsiaTheme="majorEastAsia"/>
        </w:rPr>
        <w:t xml:space="preserve"> и </w:t>
      </w:r>
      <w:r w:rsidRPr="006B4174">
        <w:rPr>
          <w:rFonts w:eastAsiaTheme="majorEastAsia"/>
        </w:rPr>
        <w:t>498 клеток / мл</w:t>
      </w:r>
      <w:r>
        <w:rPr>
          <w:rFonts w:eastAsiaTheme="majorEastAsia"/>
        </w:rPr>
        <w:t xml:space="preserve"> </w:t>
      </w:r>
      <w:r w:rsidRPr="006B4174">
        <w:rPr>
          <w:rFonts w:eastAsiaTheme="majorEastAsia"/>
        </w:rPr>
        <w:t>соответственно</w:t>
      </w:r>
      <w:r>
        <w:rPr>
          <w:rFonts w:eastAsiaTheme="majorEastAsia"/>
        </w:rPr>
        <w:t xml:space="preserve">. В результате исследования было показано, что доля пациентов, испытывающих НЯ со стороны </w:t>
      </w:r>
      <w:r w:rsidRPr="00E852FD">
        <w:rPr>
          <w:rFonts w:eastAsiaTheme="majorEastAsia"/>
        </w:rPr>
        <w:t>ЦНС</w:t>
      </w:r>
      <w:r>
        <w:rPr>
          <w:rFonts w:eastAsiaTheme="majorEastAsia"/>
        </w:rPr>
        <w:t xml:space="preserve"> 2 – 4 степени в группе н</w:t>
      </w:r>
      <w:r w:rsidRPr="00E852FD">
        <w:rPr>
          <w:rFonts w:eastAsiaTheme="majorEastAsia"/>
        </w:rPr>
        <w:t>емедленно</w:t>
      </w:r>
      <w:r>
        <w:rPr>
          <w:rFonts w:eastAsiaTheme="majorEastAsia"/>
        </w:rPr>
        <w:t>го</w:t>
      </w:r>
      <w:r w:rsidRPr="00E852FD">
        <w:rPr>
          <w:rFonts w:eastAsiaTheme="majorEastAsia"/>
        </w:rPr>
        <w:t xml:space="preserve"> переключени</w:t>
      </w:r>
      <w:r>
        <w:rPr>
          <w:rFonts w:eastAsiaTheme="majorEastAsia"/>
        </w:rPr>
        <w:t xml:space="preserve">я снизилась с </w:t>
      </w:r>
      <w:r w:rsidRPr="00E852FD">
        <w:rPr>
          <w:rFonts w:eastAsiaTheme="majorEastAsia"/>
        </w:rPr>
        <w:t xml:space="preserve">90% </w:t>
      </w:r>
      <w:r>
        <w:rPr>
          <w:rFonts w:eastAsiaTheme="majorEastAsia"/>
        </w:rPr>
        <w:t xml:space="preserve">в начале исследования до </w:t>
      </w:r>
      <w:r w:rsidRPr="00E852FD">
        <w:rPr>
          <w:rFonts w:eastAsiaTheme="majorEastAsia"/>
        </w:rPr>
        <w:t>60% на 12 неделе (</w:t>
      </w:r>
      <w:r>
        <w:rPr>
          <w:rFonts w:eastAsiaTheme="majorEastAsia"/>
          <w:lang w:val="en-US"/>
        </w:rPr>
        <w:t>p</w:t>
      </w:r>
      <w:r w:rsidRPr="00E852FD">
        <w:rPr>
          <w:rFonts w:eastAsiaTheme="majorEastAsia"/>
        </w:rPr>
        <w:t xml:space="preserve"> = 0,041). </w:t>
      </w:r>
      <w:r>
        <w:rPr>
          <w:rFonts w:eastAsiaTheme="majorEastAsia"/>
        </w:rPr>
        <w:t xml:space="preserve">В группе отложенного </w:t>
      </w:r>
      <w:r w:rsidRPr="00E852FD">
        <w:rPr>
          <w:rFonts w:eastAsiaTheme="majorEastAsia"/>
        </w:rPr>
        <w:t>переключения</w:t>
      </w:r>
      <w:r>
        <w:rPr>
          <w:rFonts w:eastAsiaTheme="majorEastAsia"/>
        </w:rPr>
        <w:t xml:space="preserve"> количество</w:t>
      </w:r>
      <w:r w:rsidRPr="00E852FD">
        <w:rPr>
          <w:rFonts w:eastAsiaTheme="majorEastAsia"/>
        </w:rPr>
        <w:t xml:space="preserve"> </w:t>
      </w:r>
      <w:r w:rsidRPr="00D25219">
        <w:rPr>
          <w:rFonts w:eastAsiaTheme="majorEastAsia"/>
        </w:rPr>
        <w:t>НЯ со стороны ЦНС 2 – 4 степени</w:t>
      </w:r>
      <w:r>
        <w:rPr>
          <w:rFonts w:eastAsiaTheme="majorEastAsia"/>
        </w:rPr>
        <w:t xml:space="preserve"> через 12 недель терапии значимо не изменилось: </w:t>
      </w:r>
      <w:r w:rsidRPr="00E852FD">
        <w:rPr>
          <w:rFonts w:eastAsiaTheme="majorEastAsia"/>
        </w:rPr>
        <w:t>88,9% исходно</w:t>
      </w:r>
      <w:r>
        <w:rPr>
          <w:rFonts w:eastAsiaTheme="majorEastAsia"/>
        </w:rPr>
        <w:t xml:space="preserve"> </w:t>
      </w:r>
      <w:r>
        <w:rPr>
          <w:rFonts w:eastAsiaTheme="majorEastAsia"/>
          <w:lang w:val="en-US"/>
        </w:rPr>
        <w:t>vs</w:t>
      </w:r>
      <w:r w:rsidRPr="00A70067">
        <w:rPr>
          <w:rFonts w:eastAsiaTheme="majorEastAsia"/>
        </w:rPr>
        <w:t xml:space="preserve"> </w:t>
      </w:r>
      <w:r w:rsidRPr="00E852FD">
        <w:rPr>
          <w:rFonts w:eastAsiaTheme="majorEastAsia"/>
        </w:rPr>
        <w:t xml:space="preserve">81,3% </w:t>
      </w:r>
      <w:r>
        <w:rPr>
          <w:rFonts w:eastAsiaTheme="majorEastAsia"/>
        </w:rPr>
        <w:t xml:space="preserve">на </w:t>
      </w:r>
      <w:r w:rsidRPr="00E852FD">
        <w:rPr>
          <w:rFonts w:eastAsiaTheme="majorEastAsia"/>
        </w:rPr>
        <w:t>12 неделе</w:t>
      </w:r>
      <w:r w:rsidRPr="00A70067">
        <w:rPr>
          <w:rFonts w:eastAsiaTheme="majorEastAsia"/>
        </w:rPr>
        <w:t xml:space="preserve"> </w:t>
      </w:r>
      <w:r w:rsidR="00156011" w:rsidRPr="00156011">
        <w:t>[</w:t>
      </w:r>
      <w:r w:rsidR="003C307A">
        <w:t>80</w:t>
      </w:r>
      <w:r w:rsidR="00156011" w:rsidRPr="00156011">
        <w:t>]</w:t>
      </w:r>
      <w:r w:rsidR="00FA5276">
        <w:t>.</w:t>
      </w:r>
    </w:p>
    <w:p w14:paraId="04C2BE1B" w14:textId="0A678128" w:rsidR="007475A4" w:rsidRPr="007C6349" w:rsidRDefault="007475A4" w:rsidP="001C0A37">
      <w:pPr>
        <w:pStyle w:val="affb"/>
        <w:spacing w:before="0" w:after="0" w:line="240" w:lineRule="auto"/>
        <w:ind w:firstLine="709"/>
      </w:pPr>
      <w:r>
        <w:rPr>
          <w:rFonts w:eastAsiaTheme="majorEastAsia"/>
        </w:rPr>
        <w:t>Через 24 недели наблюдения к</w:t>
      </w:r>
      <w:r w:rsidRPr="00E852FD">
        <w:rPr>
          <w:rFonts w:eastAsiaTheme="majorEastAsia"/>
        </w:rPr>
        <w:t>омбинированное (</w:t>
      </w:r>
      <w:r>
        <w:rPr>
          <w:rFonts w:eastAsiaTheme="majorEastAsia"/>
        </w:rPr>
        <w:t>в обеих группах</w:t>
      </w:r>
      <w:r w:rsidRPr="00E852FD">
        <w:rPr>
          <w:rFonts w:eastAsiaTheme="majorEastAsia"/>
        </w:rPr>
        <w:t xml:space="preserve">) снижение </w:t>
      </w:r>
      <w:r>
        <w:rPr>
          <w:rFonts w:eastAsiaTheme="majorEastAsia"/>
        </w:rPr>
        <w:t xml:space="preserve">доли пациентов с НЯ со стороны </w:t>
      </w:r>
      <w:r w:rsidRPr="00E852FD">
        <w:rPr>
          <w:rFonts w:eastAsiaTheme="majorEastAsia"/>
        </w:rPr>
        <w:t>ЦНС 2</w:t>
      </w:r>
      <w:r>
        <w:rPr>
          <w:rFonts w:eastAsiaTheme="majorEastAsia"/>
        </w:rPr>
        <w:t xml:space="preserve"> </w:t>
      </w:r>
      <w:r w:rsidRPr="00E852FD">
        <w:rPr>
          <w:rFonts w:eastAsiaTheme="majorEastAsia"/>
        </w:rPr>
        <w:t>-</w:t>
      </w:r>
      <w:r>
        <w:rPr>
          <w:rFonts w:eastAsiaTheme="majorEastAsia"/>
        </w:rPr>
        <w:t xml:space="preserve"> </w:t>
      </w:r>
      <w:r w:rsidRPr="00E852FD">
        <w:rPr>
          <w:rFonts w:eastAsiaTheme="majorEastAsia"/>
        </w:rPr>
        <w:t xml:space="preserve">4 </w:t>
      </w:r>
      <w:r>
        <w:rPr>
          <w:rFonts w:eastAsiaTheme="majorEastAsia"/>
        </w:rPr>
        <w:t xml:space="preserve">степени, получавших 2 НИОТ в сочетании с </w:t>
      </w:r>
      <w:r>
        <w:t xml:space="preserve">этравирином </w:t>
      </w:r>
      <w:r>
        <w:rPr>
          <w:rFonts w:eastAsiaTheme="majorEastAsia"/>
        </w:rPr>
        <w:t xml:space="preserve">в течение </w:t>
      </w:r>
      <w:r w:rsidRPr="00E852FD">
        <w:rPr>
          <w:rFonts w:eastAsiaTheme="majorEastAsia"/>
        </w:rPr>
        <w:t>12 недель</w:t>
      </w:r>
      <w:r>
        <w:rPr>
          <w:rFonts w:eastAsiaTheme="majorEastAsia"/>
        </w:rPr>
        <w:t>,</w:t>
      </w:r>
      <w:r w:rsidRPr="00E852FD">
        <w:rPr>
          <w:rFonts w:eastAsiaTheme="majorEastAsia"/>
        </w:rPr>
        <w:t xml:space="preserve"> </w:t>
      </w:r>
      <w:r>
        <w:rPr>
          <w:rFonts w:eastAsiaTheme="majorEastAsia"/>
        </w:rPr>
        <w:t xml:space="preserve">было статистически значимым, как в целом для всех НЯ со стороны ЦНС 2 – 4 степени, так и в отношении отдельных симптомов: </w:t>
      </w:r>
      <w:r w:rsidRPr="00E852FD">
        <w:rPr>
          <w:rFonts w:eastAsiaTheme="majorEastAsia"/>
        </w:rPr>
        <w:t xml:space="preserve">бессонницы, </w:t>
      </w:r>
      <w:r>
        <w:rPr>
          <w:rFonts w:eastAsiaTheme="majorEastAsia"/>
        </w:rPr>
        <w:t>необычных сновидений</w:t>
      </w:r>
      <w:r w:rsidRPr="00E852FD">
        <w:rPr>
          <w:rFonts w:eastAsiaTheme="majorEastAsia"/>
        </w:rPr>
        <w:t xml:space="preserve"> и нервозност</w:t>
      </w:r>
      <w:r>
        <w:rPr>
          <w:rFonts w:eastAsiaTheme="majorEastAsia"/>
        </w:rPr>
        <w:t>и</w:t>
      </w:r>
      <w:r w:rsidRPr="00E852FD">
        <w:rPr>
          <w:rFonts w:eastAsiaTheme="majorEastAsia"/>
        </w:rPr>
        <w:t xml:space="preserve"> (</w:t>
      </w:r>
      <w:r>
        <w:rPr>
          <w:rFonts w:eastAsiaTheme="majorEastAsia"/>
          <w:lang w:val="en-US"/>
        </w:rPr>
        <w:t>p</w:t>
      </w:r>
      <w:r w:rsidRPr="00E852FD">
        <w:rPr>
          <w:rFonts w:eastAsiaTheme="majorEastAsia"/>
        </w:rPr>
        <w:t xml:space="preserve"> = 0,009, 0,016, 0,001 и 0,046</w:t>
      </w:r>
      <w:r>
        <w:rPr>
          <w:rFonts w:eastAsiaTheme="majorEastAsia"/>
        </w:rPr>
        <w:t>,</w:t>
      </w:r>
      <w:r w:rsidRPr="00E852FD">
        <w:rPr>
          <w:rFonts w:eastAsiaTheme="majorEastAsia"/>
        </w:rPr>
        <w:t xml:space="preserve"> соответственно). </w:t>
      </w:r>
      <w:r>
        <w:rPr>
          <w:rFonts w:eastAsiaTheme="majorEastAsia"/>
        </w:rPr>
        <w:t>У в</w:t>
      </w:r>
      <w:r w:rsidRPr="00E852FD">
        <w:rPr>
          <w:rFonts w:eastAsiaTheme="majorEastAsia"/>
        </w:rPr>
        <w:t>се</w:t>
      </w:r>
      <w:r>
        <w:rPr>
          <w:rFonts w:eastAsiaTheme="majorEastAsia"/>
        </w:rPr>
        <w:t xml:space="preserve">х </w:t>
      </w:r>
      <w:r w:rsidRPr="00E852FD">
        <w:rPr>
          <w:rFonts w:eastAsiaTheme="majorEastAsia"/>
        </w:rPr>
        <w:t>участник</w:t>
      </w:r>
      <w:r>
        <w:rPr>
          <w:rFonts w:eastAsiaTheme="majorEastAsia"/>
        </w:rPr>
        <w:t xml:space="preserve">ов </w:t>
      </w:r>
      <w:r w:rsidRPr="00E852FD">
        <w:rPr>
          <w:rFonts w:eastAsiaTheme="majorEastAsia"/>
        </w:rPr>
        <w:t xml:space="preserve">исследования </w:t>
      </w:r>
      <w:r>
        <w:rPr>
          <w:rFonts w:eastAsiaTheme="majorEastAsia"/>
        </w:rPr>
        <w:t xml:space="preserve">терапия </w:t>
      </w:r>
      <w:r w:rsidRPr="00E852FD">
        <w:rPr>
          <w:rFonts w:eastAsiaTheme="majorEastAsia"/>
        </w:rPr>
        <w:t>поддерживал</w:t>
      </w:r>
      <w:r>
        <w:rPr>
          <w:rFonts w:eastAsiaTheme="majorEastAsia"/>
        </w:rPr>
        <w:t>а</w:t>
      </w:r>
      <w:r w:rsidRPr="00E852FD">
        <w:rPr>
          <w:rFonts w:eastAsiaTheme="majorEastAsia"/>
        </w:rPr>
        <w:t xml:space="preserve"> </w:t>
      </w:r>
      <w:r>
        <w:rPr>
          <w:rFonts w:eastAsiaTheme="majorEastAsia"/>
        </w:rPr>
        <w:t>вирусологическую супрессию (</w:t>
      </w:r>
      <w:r w:rsidRPr="00E852FD">
        <w:rPr>
          <w:rFonts w:eastAsiaTheme="majorEastAsia"/>
        </w:rPr>
        <w:t xml:space="preserve">ВИЧ-РНК </w:t>
      </w:r>
      <w:r w:rsidRPr="00A53223">
        <w:rPr>
          <w:rFonts w:eastAsiaTheme="majorEastAsia"/>
        </w:rPr>
        <w:t>&lt;</w:t>
      </w:r>
      <w:r w:rsidRPr="00E852FD">
        <w:rPr>
          <w:rFonts w:eastAsiaTheme="majorEastAsia"/>
        </w:rPr>
        <w:t>50</w:t>
      </w:r>
      <w:r>
        <w:rPr>
          <w:rFonts w:eastAsiaTheme="majorEastAsia"/>
        </w:rPr>
        <w:t xml:space="preserve"> копий/мл) и достигала иммунологической эффективности:</w:t>
      </w:r>
      <w:r w:rsidRPr="00E852FD">
        <w:rPr>
          <w:rFonts w:eastAsiaTheme="majorEastAsia"/>
        </w:rPr>
        <w:t xml:space="preserve"> </w:t>
      </w:r>
      <w:r>
        <w:rPr>
          <w:rFonts w:eastAsiaTheme="majorEastAsia"/>
        </w:rPr>
        <w:t>через 24 недели наблюдения</w:t>
      </w:r>
      <w:r w:rsidRPr="00E852FD">
        <w:rPr>
          <w:rFonts w:eastAsiaTheme="majorEastAsia"/>
        </w:rPr>
        <w:t xml:space="preserve"> </w:t>
      </w:r>
      <w:r>
        <w:rPr>
          <w:rFonts w:eastAsiaTheme="majorEastAsia"/>
        </w:rPr>
        <w:t xml:space="preserve">количество </w:t>
      </w:r>
      <w:r w:rsidRPr="00E852FD">
        <w:rPr>
          <w:rFonts w:eastAsiaTheme="majorEastAsia"/>
        </w:rPr>
        <w:t>CD4</w:t>
      </w:r>
      <w:r w:rsidRPr="008347AB">
        <w:rPr>
          <w:rFonts w:eastAsiaTheme="majorEastAsia"/>
        </w:rPr>
        <w:t>+</w:t>
      </w:r>
      <w:r w:rsidRPr="00E852FD">
        <w:rPr>
          <w:rFonts w:eastAsiaTheme="majorEastAsia"/>
        </w:rPr>
        <w:t xml:space="preserve"> </w:t>
      </w:r>
      <w:r>
        <w:rPr>
          <w:rFonts w:eastAsiaTheme="majorEastAsia"/>
        </w:rPr>
        <w:t xml:space="preserve">- лимфоцитов </w:t>
      </w:r>
      <w:r w:rsidRPr="00E852FD">
        <w:rPr>
          <w:rFonts w:eastAsiaTheme="majorEastAsia"/>
        </w:rPr>
        <w:t>составлял</w:t>
      </w:r>
      <w:r>
        <w:rPr>
          <w:rFonts w:eastAsiaTheme="majorEastAsia"/>
        </w:rPr>
        <w:t>о</w:t>
      </w:r>
      <w:r w:rsidRPr="00E852FD">
        <w:rPr>
          <w:rFonts w:eastAsiaTheme="majorEastAsia"/>
        </w:rPr>
        <w:t xml:space="preserve"> 593 и 607 клеток/мл </w:t>
      </w:r>
      <w:r>
        <w:rPr>
          <w:rFonts w:eastAsiaTheme="majorEastAsia"/>
        </w:rPr>
        <w:t xml:space="preserve">в группе </w:t>
      </w:r>
      <w:r w:rsidRPr="00E852FD">
        <w:rPr>
          <w:rFonts w:eastAsiaTheme="majorEastAsia"/>
        </w:rPr>
        <w:t>немедленно</w:t>
      </w:r>
      <w:r>
        <w:rPr>
          <w:rFonts w:eastAsiaTheme="majorEastAsia"/>
        </w:rPr>
        <w:t>го и отложенного</w:t>
      </w:r>
      <w:r w:rsidRPr="00E852FD">
        <w:rPr>
          <w:rFonts w:eastAsiaTheme="majorEastAsia"/>
        </w:rPr>
        <w:t xml:space="preserve"> переключени</w:t>
      </w:r>
      <w:r>
        <w:rPr>
          <w:rFonts w:eastAsiaTheme="majorEastAsia"/>
        </w:rPr>
        <w:t>я соответственно</w:t>
      </w:r>
      <w:r w:rsidRPr="00E852FD">
        <w:rPr>
          <w:rFonts w:eastAsiaTheme="majorEastAsia"/>
        </w:rPr>
        <w:t xml:space="preserve">. </w:t>
      </w:r>
      <w:r>
        <w:rPr>
          <w:rFonts w:eastAsiaTheme="majorEastAsia"/>
        </w:rPr>
        <w:t>У двух</w:t>
      </w:r>
      <w:r w:rsidRPr="00E852FD">
        <w:rPr>
          <w:rFonts w:eastAsiaTheme="majorEastAsia"/>
        </w:rPr>
        <w:t xml:space="preserve"> участник</w:t>
      </w:r>
      <w:r>
        <w:rPr>
          <w:rFonts w:eastAsiaTheme="majorEastAsia"/>
        </w:rPr>
        <w:t>ов</w:t>
      </w:r>
      <w:r w:rsidRPr="00E852FD">
        <w:rPr>
          <w:rFonts w:eastAsiaTheme="majorEastAsia"/>
        </w:rPr>
        <w:t xml:space="preserve"> </w:t>
      </w:r>
      <w:r>
        <w:rPr>
          <w:rFonts w:eastAsiaTheme="majorEastAsia"/>
        </w:rPr>
        <w:t xml:space="preserve">были выявлены </w:t>
      </w:r>
      <w:r w:rsidRPr="00E852FD">
        <w:rPr>
          <w:rFonts w:eastAsiaTheme="majorEastAsia"/>
        </w:rPr>
        <w:t>новые нежелательные явления 3</w:t>
      </w:r>
      <w:r>
        <w:rPr>
          <w:rFonts w:eastAsiaTheme="majorEastAsia"/>
        </w:rPr>
        <w:t xml:space="preserve"> – </w:t>
      </w:r>
      <w:r w:rsidRPr="00E852FD">
        <w:rPr>
          <w:rFonts w:eastAsiaTheme="majorEastAsia"/>
        </w:rPr>
        <w:t>4</w:t>
      </w:r>
      <w:r>
        <w:rPr>
          <w:rFonts w:eastAsiaTheme="majorEastAsia"/>
        </w:rPr>
        <w:t xml:space="preserve"> степени тяжести (в группе отложенного </w:t>
      </w:r>
      <w:r w:rsidRPr="00E852FD">
        <w:rPr>
          <w:rFonts w:eastAsiaTheme="majorEastAsia"/>
        </w:rPr>
        <w:t>переключения: метеоризм 3</w:t>
      </w:r>
      <w:r>
        <w:rPr>
          <w:rFonts w:eastAsiaTheme="majorEastAsia"/>
        </w:rPr>
        <w:t xml:space="preserve"> степени </w:t>
      </w:r>
      <w:r w:rsidRPr="00E852FD">
        <w:rPr>
          <w:rFonts w:eastAsiaTheme="majorEastAsia"/>
        </w:rPr>
        <w:t xml:space="preserve">на </w:t>
      </w:r>
      <w:r>
        <w:rPr>
          <w:rFonts w:eastAsiaTheme="majorEastAsia"/>
        </w:rPr>
        <w:t>эфавивренз</w:t>
      </w:r>
      <w:r w:rsidRPr="00E852FD">
        <w:rPr>
          <w:rFonts w:eastAsiaTheme="majorEastAsia"/>
        </w:rPr>
        <w:t xml:space="preserve">; </w:t>
      </w:r>
      <w:r>
        <w:rPr>
          <w:rFonts w:eastAsiaTheme="majorEastAsia"/>
        </w:rPr>
        <w:t xml:space="preserve">в группе </w:t>
      </w:r>
      <w:r w:rsidRPr="00E852FD">
        <w:rPr>
          <w:rFonts w:eastAsiaTheme="majorEastAsia"/>
        </w:rPr>
        <w:t>немедленно</w:t>
      </w:r>
      <w:r>
        <w:rPr>
          <w:rFonts w:eastAsiaTheme="majorEastAsia"/>
        </w:rPr>
        <w:t>го</w:t>
      </w:r>
      <w:r w:rsidRPr="00E852FD">
        <w:rPr>
          <w:rFonts w:eastAsiaTheme="majorEastAsia"/>
        </w:rPr>
        <w:t xml:space="preserve"> переключени</w:t>
      </w:r>
      <w:r>
        <w:rPr>
          <w:rFonts w:eastAsiaTheme="majorEastAsia"/>
        </w:rPr>
        <w:t>я</w:t>
      </w:r>
      <w:r w:rsidRPr="00E852FD">
        <w:rPr>
          <w:rFonts w:eastAsiaTheme="majorEastAsia"/>
        </w:rPr>
        <w:t xml:space="preserve">: </w:t>
      </w:r>
      <w:r>
        <w:rPr>
          <w:rFonts w:eastAsiaTheme="majorEastAsia"/>
        </w:rPr>
        <w:t xml:space="preserve">острая вирусная инфекция </w:t>
      </w:r>
      <w:r w:rsidRPr="00E852FD">
        <w:rPr>
          <w:rFonts w:eastAsiaTheme="majorEastAsia"/>
        </w:rPr>
        <w:t xml:space="preserve">4 </w:t>
      </w:r>
      <w:r>
        <w:rPr>
          <w:rFonts w:eastAsiaTheme="majorEastAsia"/>
        </w:rPr>
        <w:t xml:space="preserve">степени </w:t>
      </w:r>
      <w:r w:rsidRPr="00E852FD">
        <w:rPr>
          <w:rFonts w:eastAsiaTheme="majorEastAsia"/>
        </w:rPr>
        <w:t xml:space="preserve">на </w:t>
      </w:r>
      <w:r>
        <w:rPr>
          <w:rFonts w:eastAsiaTheme="majorEastAsia"/>
        </w:rPr>
        <w:t xml:space="preserve">этравирин </w:t>
      </w:r>
      <w:r w:rsidRPr="00E852FD">
        <w:rPr>
          <w:rFonts w:eastAsiaTheme="majorEastAsia"/>
        </w:rPr>
        <w:t>(</w:t>
      </w:r>
      <w:r>
        <w:rPr>
          <w:rFonts w:eastAsiaTheme="majorEastAsia"/>
        </w:rPr>
        <w:t>СНЯ)</w:t>
      </w:r>
      <w:r w:rsidRPr="00661D78">
        <w:t xml:space="preserve"> </w:t>
      </w:r>
      <w:r w:rsidR="00156011" w:rsidRPr="00156011">
        <w:t>[</w:t>
      </w:r>
      <w:r w:rsidR="003C307A">
        <w:t>80</w:t>
      </w:r>
      <w:r w:rsidR="00156011" w:rsidRPr="00156011">
        <w:t>]</w:t>
      </w:r>
      <w:r>
        <w:rPr>
          <w:rFonts w:eastAsiaTheme="majorEastAsia"/>
        </w:rPr>
        <w:t>.</w:t>
      </w:r>
    </w:p>
    <w:p w14:paraId="3D57554F" w14:textId="77777777" w:rsidR="00F633A3" w:rsidRPr="00BC1CB6" w:rsidRDefault="00F633A3" w:rsidP="00F633A3">
      <w:pPr>
        <w:pStyle w:val="2"/>
        <w:spacing w:line="240" w:lineRule="auto"/>
        <w:rPr>
          <w:color w:val="000000" w:themeColor="text1"/>
          <w:szCs w:val="24"/>
          <w:lang w:val="en-US"/>
        </w:rPr>
      </w:pPr>
      <w:bookmarkStart w:id="192" w:name="_Toc117179241"/>
      <w:r>
        <w:rPr>
          <w:color w:val="000000" w:themeColor="text1"/>
          <w:szCs w:val="24"/>
        </w:rPr>
        <w:t>Список</w:t>
      </w:r>
      <w:r w:rsidRPr="00BC1CB6">
        <w:rPr>
          <w:color w:val="000000" w:themeColor="text1"/>
          <w:szCs w:val="24"/>
          <w:lang w:val="en-US"/>
        </w:rPr>
        <w:t xml:space="preserve"> </w:t>
      </w:r>
      <w:r>
        <w:rPr>
          <w:color w:val="000000" w:themeColor="text1"/>
          <w:szCs w:val="24"/>
        </w:rPr>
        <w:t>литературы</w:t>
      </w:r>
      <w:bookmarkEnd w:id="192"/>
    </w:p>
    <w:p w14:paraId="52461710" w14:textId="77777777" w:rsidR="008464E7" w:rsidRPr="008464E7" w:rsidRDefault="00103A50" w:rsidP="001C0A37">
      <w:pPr>
        <w:pStyle w:val="afff2"/>
        <w:ind w:left="426" w:hanging="284"/>
        <w:rPr>
          <w:lang w:val="en-US"/>
        </w:rPr>
      </w:pPr>
      <w:r>
        <w:rPr>
          <w:rFonts w:eastAsia="Times New Roman"/>
          <w:highlight w:val="yellow"/>
          <w:lang w:eastAsia="ru-RU"/>
        </w:rPr>
        <w:fldChar w:fldCharType="begin"/>
      </w:r>
      <w:r w:rsidR="007475A4">
        <w:rPr>
          <w:rFonts w:eastAsia="Times New Roman"/>
          <w:highlight w:val="yellow"/>
          <w:lang w:val="en-US" w:eastAsia="ru-RU"/>
        </w:rPr>
        <w:instrText xml:space="preserve"> ADDIN ZOTERO_BIBL {"uncited":[],"omitted":[],"custom":[]} CSL_BIBLIOGRAPHY </w:instrText>
      </w:r>
      <w:r>
        <w:rPr>
          <w:rFonts w:eastAsia="Times New Roman"/>
          <w:highlight w:val="yellow"/>
          <w:lang w:eastAsia="ru-RU"/>
        </w:rPr>
        <w:fldChar w:fldCharType="separate"/>
      </w:r>
      <w:r w:rsidR="008464E7" w:rsidRPr="008464E7">
        <w:rPr>
          <w:lang w:val="en-US"/>
        </w:rPr>
        <w:t>1.</w:t>
      </w:r>
      <w:r w:rsidR="008464E7" w:rsidRPr="008464E7">
        <w:rPr>
          <w:lang w:val="en-US"/>
        </w:rPr>
        <w:tab/>
        <w:t>Product Monograph INTELENCE</w:t>
      </w:r>
      <w:r w:rsidR="008464E7" w:rsidRPr="00783A7F">
        <w:rPr>
          <w:vertAlign w:val="superscript"/>
          <w:lang w:val="en-US"/>
        </w:rPr>
        <w:t>®</w:t>
      </w:r>
      <w:r w:rsidR="008464E7" w:rsidRPr="008464E7">
        <w:rPr>
          <w:lang w:val="en-US"/>
        </w:rPr>
        <w:t xml:space="preserve"> etravirine tablets 25 mg, 100 mg, 200 mg. </w:t>
      </w:r>
      <w:r w:rsidR="008464E7" w:rsidRPr="00F9478A">
        <w:rPr>
          <w:lang w:val="en-US"/>
        </w:rPr>
        <w:t xml:space="preserve">Janssen Inc.  </w:t>
      </w:r>
      <w:r w:rsidR="008464E7" w:rsidRPr="008464E7">
        <w:rPr>
          <w:lang w:val="en-US"/>
        </w:rPr>
        <w:t xml:space="preserve">Date of Revision: May 17, 2017. </w:t>
      </w:r>
    </w:p>
    <w:p w14:paraId="65EFA2E4" w14:textId="77777777" w:rsidR="008464E7" w:rsidRPr="008464E7" w:rsidRDefault="008464E7" w:rsidP="001C0A37">
      <w:pPr>
        <w:pStyle w:val="afff2"/>
        <w:ind w:left="426" w:hanging="284"/>
        <w:rPr>
          <w:lang w:val="en-US"/>
        </w:rPr>
      </w:pPr>
      <w:r w:rsidRPr="008464E7">
        <w:rPr>
          <w:lang w:val="en-US"/>
        </w:rPr>
        <w:t>2.</w:t>
      </w:r>
      <w:r w:rsidRPr="008464E7">
        <w:rPr>
          <w:lang w:val="en-US"/>
        </w:rPr>
        <w:tab/>
        <w:t xml:space="preserve">Havens JP, Podany AT, Scarsi KK, Fletcher CV. Clinical Pharmacokinetics and Pharmacodynamics of Etravirine: An Updated Review. Clin Pharmacokinet. 1 </w:t>
      </w:r>
      <w:r>
        <w:t>февраль</w:t>
      </w:r>
      <w:r w:rsidRPr="008464E7">
        <w:rPr>
          <w:lang w:val="en-US"/>
        </w:rPr>
        <w:t xml:space="preserve"> 2020 </w:t>
      </w:r>
      <w:r>
        <w:t>г</w:t>
      </w:r>
      <w:r w:rsidRPr="008464E7">
        <w:rPr>
          <w:lang w:val="en-US"/>
        </w:rPr>
        <w:t xml:space="preserve">.;59(2):137–54. </w:t>
      </w:r>
    </w:p>
    <w:p w14:paraId="3548FC1D" w14:textId="77777777" w:rsidR="008464E7" w:rsidRDefault="008464E7" w:rsidP="001C0A37">
      <w:pPr>
        <w:pStyle w:val="afff2"/>
        <w:ind w:left="426" w:hanging="284"/>
      </w:pPr>
      <w:r w:rsidRPr="008464E7">
        <w:rPr>
          <w:lang w:val="en-US"/>
        </w:rPr>
        <w:t>3.</w:t>
      </w:r>
      <w:r w:rsidRPr="008464E7">
        <w:rPr>
          <w:lang w:val="en-US"/>
        </w:rPr>
        <w:tab/>
        <w:t>Drug Approval Package: Intelence (Etravirine) NDA #022187 [</w:t>
      </w:r>
      <w:r>
        <w:t>Интернет</w:t>
      </w:r>
      <w:r w:rsidRPr="008464E7">
        <w:rPr>
          <w:lang w:val="en-US"/>
        </w:rPr>
        <w:t xml:space="preserve">]. </w:t>
      </w:r>
      <w:r>
        <w:t>[цитируется по 22 август 2022 г.]. Доступно на: https://www.accessdata.fda.gov/drugsatfda_docs/nda/2008/022187TOC.cfm</w:t>
      </w:r>
    </w:p>
    <w:p w14:paraId="4BFCC4F8" w14:textId="77777777" w:rsidR="008464E7" w:rsidRDefault="008464E7" w:rsidP="001C0A37">
      <w:pPr>
        <w:pStyle w:val="afff2"/>
        <w:ind w:left="426" w:hanging="284"/>
      </w:pPr>
      <w:r w:rsidRPr="008464E7">
        <w:rPr>
          <w:lang w:val="en-US"/>
        </w:rPr>
        <w:t>4.</w:t>
      </w:r>
      <w:r w:rsidRPr="008464E7">
        <w:rPr>
          <w:lang w:val="en-US"/>
        </w:rPr>
        <w:tab/>
        <w:t>Clinical pharmacokinetics and pharmacodynamics of etravirine - PubMed [</w:t>
      </w:r>
      <w:r>
        <w:t>Интернет</w:t>
      </w:r>
      <w:r w:rsidRPr="008464E7">
        <w:rPr>
          <w:lang w:val="en-US"/>
        </w:rPr>
        <w:t xml:space="preserve">]. </w:t>
      </w:r>
      <w:r>
        <w:t>[цитируется по 22 август 2022 г.]. Доступно на: https://pubmed.ncbi.nlm.nih.gov/19725591/</w:t>
      </w:r>
    </w:p>
    <w:p w14:paraId="3B1D2F2B" w14:textId="77777777" w:rsidR="008464E7" w:rsidRPr="008464E7" w:rsidRDefault="008464E7" w:rsidP="001C0A37">
      <w:pPr>
        <w:pStyle w:val="afff2"/>
        <w:ind w:left="426" w:hanging="284"/>
        <w:rPr>
          <w:lang w:val="en-US"/>
        </w:rPr>
      </w:pPr>
      <w:r w:rsidRPr="008464E7">
        <w:rPr>
          <w:lang w:val="en-US"/>
        </w:rPr>
        <w:t>5.</w:t>
      </w:r>
      <w:r w:rsidRPr="008464E7">
        <w:rPr>
          <w:lang w:val="en-US"/>
        </w:rPr>
        <w:tab/>
        <w:t xml:space="preserve">Annaert P Determination of the in vitro transport characteristics of TMC125, evaluation of the possible role of p-glycoprotein in TMC125 transport and assessment of possible inhibition of p-glycoprotein activity by TMC125: a study in Caco-2 monolayers. Nonclinical pharmacokinetics report, study no. TMC125-NC183 (FK4784). Beerse: Johnson &amp; Johnson Pharmaceutical Research &amp; Development; 2004. </w:t>
      </w:r>
    </w:p>
    <w:p w14:paraId="69A74CA0" w14:textId="77777777" w:rsidR="008464E7" w:rsidRDefault="008464E7" w:rsidP="001C0A37">
      <w:pPr>
        <w:pStyle w:val="afff2"/>
        <w:ind w:left="426" w:hanging="284"/>
      </w:pPr>
      <w:r w:rsidRPr="008464E7">
        <w:rPr>
          <w:lang w:val="en-US"/>
        </w:rPr>
        <w:t>6.</w:t>
      </w:r>
      <w:r w:rsidRPr="008464E7">
        <w:rPr>
          <w:lang w:val="en-US"/>
        </w:rPr>
        <w:tab/>
        <w:t xml:space="preserve">Schöller-Gyüre M, Boffito M, Pozniak AL, Leemans R, Kakuda TN, Woodfall B, </w:t>
      </w:r>
      <w:r>
        <w:t>и</w:t>
      </w:r>
      <w:r w:rsidRPr="008464E7">
        <w:rPr>
          <w:lang w:val="en-US"/>
        </w:rPr>
        <w:t xml:space="preserve"> </w:t>
      </w:r>
      <w:r>
        <w:t>др</w:t>
      </w:r>
      <w:r w:rsidRPr="008464E7">
        <w:rPr>
          <w:lang w:val="en-US"/>
        </w:rPr>
        <w:t xml:space="preserve">. Effects of different meal compositions and fasted state on the oral bioavailability of etravirine. </w:t>
      </w:r>
      <w:r>
        <w:t xml:space="preserve">Pharmacotherapy. октябрь 2008 г.;28(10):1215–22. </w:t>
      </w:r>
    </w:p>
    <w:p w14:paraId="52338551" w14:textId="77777777" w:rsidR="008464E7" w:rsidRPr="008464E7" w:rsidRDefault="008464E7" w:rsidP="001C0A37">
      <w:pPr>
        <w:pStyle w:val="afff2"/>
        <w:ind w:left="426" w:hanging="284"/>
        <w:rPr>
          <w:lang w:val="en-US"/>
        </w:rPr>
      </w:pPr>
      <w:r>
        <w:t>7.</w:t>
      </w:r>
      <w:r>
        <w:tab/>
        <w:t>Министерство здравоохранения Российской Федерации. Инструкция по медицинскому применению  для препарата Интеленс</w:t>
      </w:r>
      <w:r w:rsidRPr="00783A7F">
        <w:rPr>
          <w:vertAlign w:val="superscript"/>
        </w:rPr>
        <w:t>®</w:t>
      </w:r>
      <w:r>
        <w:t xml:space="preserve">. Версия от 03.02.2021. Регистрационное удостоверение ЛП-006200 от 12.05.2020, ООО “Джонсон &amp; Джонсон”, Росссия. </w:t>
      </w:r>
      <w:r w:rsidRPr="008464E7">
        <w:rPr>
          <w:lang w:val="en-US"/>
        </w:rPr>
        <w:t xml:space="preserve">2021. </w:t>
      </w:r>
    </w:p>
    <w:p w14:paraId="1D8E638C" w14:textId="77777777" w:rsidR="008464E7" w:rsidRPr="008464E7" w:rsidRDefault="008464E7" w:rsidP="001C0A37">
      <w:pPr>
        <w:pStyle w:val="afff2"/>
        <w:ind w:left="426" w:hanging="284"/>
        <w:rPr>
          <w:lang w:val="en-US"/>
        </w:rPr>
      </w:pPr>
      <w:r w:rsidRPr="008464E7">
        <w:rPr>
          <w:lang w:val="en-US"/>
        </w:rPr>
        <w:t>8.</w:t>
      </w:r>
      <w:r w:rsidRPr="008464E7">
        <w:rPr>
          <w:lang w:val="en-US"/>
        </w:rPr>
        <w:tab/>
        <w:t xml:space="preserve">Kakuda TN, Schöller-Gyüre M, Workman C, Arasteh K, Pozniak AL, De Smedt G, </w:t>
      </w:r>
      <w:r>
        <w:t>и</w:t>
      </w:r>
      <w:r w:rsidRPr="008464E7">
        <w:rPr>
          <w:lang w:val="en-US"/>
        </w:rPr>
        <w:t xml:space="preserve"> </w:t>
      </w:r>
      <w:r>
        <w:t>др</w:t>
      </w:r>
      <w:r w:rsidRPr="008464E7">
        <w:rPr>
          <w:lang w:val="en-US"/>
        </w:rPr>
        <w:t xml:space="preserve">. Single- and multiple-dose pharmacokinetics of etravirine administered as two different formulations in HIV-1-infected patients. Antivir Ther. 2008 </w:t>
      </w:r>
      <w:r>
        <w:t>г</w:t>
      </w:r>
      <w:r w:rsidRPr="008464E7">
        <w:rPr>
          <w:lang w:val="en-US"/>
        </w:rPr>
        <w:t xml:space="preserve">.;13(5):655–61. </w:t>
      </w:r>
    </w:p>
    <w:p w14:paraId="7A8DB3A5" w14:textId="77777777" w:rsidR="008464E7" w:rsidRPr="008464E7" w:rsidRDefault="008464E7" w:rsidP="001C0A37">
      <w:pPr>
        <w:pStyle w:val="afff2"/>
        <w:ind w:left="426" w:hanging="284"/>
        <w:rPr>
          <w:lang w:val="en-US"/>
        </w:rPr>
      </w:pPr>
      <w:r w:rsidRPr="008464E7">
        <w:rPr>
          <w:lang w:val="en-US"/>
        </w:rPr>
        <w:t>9.</w:t>
      </w:r>
      <w:r w:rsidRPr="008464E7">
        <w:rPr>
          <w:lang w:val="en-US"/>
        </w:rPr>
        <w:tab/>
        <w:t xml:space="preserve">Sandkovsky U, Swindells S, Moore R, Acosta EP, Fletcher CV. Acceptable plasma concentrations of raltegravir and etravirine when administered by gastrostomy tube in a patient with advanced multidrug-resistant human immunodeficiency virus infection. Pharmacotherapy. </w:t>
      </w:r>
      <w:r>
        <w:t>февраль</w:t>
      </w:r>
      <w:r w:rsidRPr="008464E7">
        <w:rPr>
          <w:lang w:val="en-US"/>
        </w:rPr>
        <w:t xml:space="preserve"> 2012 </w:t>
      </w:r>
      <w:r>
        <w:t>г</w:t>
      </w:r>
      <w:r w:rsidRPr="008464E7">
        <w:rPr>
          <w:lang w:val="en-US"/>
        </w:rPr>
        <w:t xml:space="preserve">.;32(2):142–7. </w:t>
      </w:r>
    </w:p>
    <w:p w14:paraId="2931AD37" w14:textId="51BB10AE" w:rsidR="008464E7" w:rsidRPr="008464E7" w:rsidRDefault="008464E7" w:rsidP="001C0A37">
      <w:pPr>
        <w:pStyle w:val="afff2"/>
        <w:ind w:left="426" w:hanging="284"/>
        <w:rPr>
          <w:lang w:val="en-US"/>
        </w:rPr>
      </w:pPr>
      <w:r w:rsidRPr="008464E7">
        <w:rPr>
          <w:lang w:val="en-US"/>
        </w:rPr>
        <w:t>10.</w:t>
      </w:r>
      <w:r w:rsidR="00147F06" w:rsidRPr="00A76175">
        <w:rPr>
          <w:lang w:val="en-US"/>
        </w:rPr>
        <w:t xml:space="preserve"> </w:t>
      </w:r>
      <w:r w:rsidRPr="008464E7">
        <w:rPr>
          <w:lang w:val="en-US"/>
        </w:rPr>
        <w:t xml:space="preserve">Havens JP, Podany AT, Scarsi KK, Fletcher CV. Clinical Pharmacokinetics and Pharmacodynamics of Etravirine: An Updated Review. Clin Pharmacokinet. </w:t>
      </w:r>
      <w:r>
        <w:t>февраль</w:t>
      </w:r>
      <w:r w:rsidRPr="008464E7">
        <w:rPr>
          <w:lang w:val="en-US"/>
        </w:rPr>
        <w:t xml:space="preserve"> 2020 </w:t>
      </w:r>
      <w:r>
        <w:t>г</w:t>
      </w:r>
      <w:r w:rsidRPr="008464E7">
        <w:rPr>
          <w:lang w:val="en-US"/>
        </w:rPr>
        <w:t xml:space="preserve">.;59(2):137–54. </w:t>
      </w:r>
    </w:p>
    <w:p w14:paraId="71CEDC96" w14:textId="77777777" w:rsidR="008464E7" w:rsidRDefault="008464E7" w:rsidP="001C0A37">
      <w:pPr>
        <w:pStyle w:val="afff2"/>
        <w:ind w:left="426" w:hanging="284"/>
      </w:pPr>
      <w:r w:rsidRPr="008464E7">
        <w:rPr>
          <w:lang w:val="en-US"/>
        </w:rPr>
        <w:t>11.</w:t>
      </w:r>
      <w:r w:rsidRPr="008464E7">
        <w:rPr>
          <w:lang w:val="en-US"/>
        </w:rPr>
        <w:tab/>
        <w:t xml:space="preserve">Janssen Pharmaceutical Companie. Intelence. Tablets: 25 mg, 100 mg, and 200 mg. </w:t>
      </w:r>
      <w:r>
        <w:t>Summary of product characteristics [Интернет]. 2019 [цитируется по 14 октябрь 2021 г.]. Доступно на: https://www.janssenlabels.com/package-insert/product-monograph/prescribing-information/INTELENCE-pi.pdf</w:t>
      </w:r>
    </w:p>
    <w:p w14:paraId="27F15CE1" w14:textId="107BBD6E" w:rsidR="008464E7" w:rsidRPr="008464E7" w:rsidRDefault="008464E7" w:rsidP="001C0A37">
      <w:pPr>
        <w:pStyle w:val="afff2"/>
        <w:ind w:left="426" w:hanging="284"/>
        <w:rPr>
          <w:lang w:val="en-US"/>
        </w:rPr>
      </w:pPr>
      <w:r w:rsidRPr="008464E7">
        <w:rPr>
          <w:lang w:val="en-US"/>
        </w:rPr>
        <w:t>12.</w:t>
      </w:r>
      <w:r w:rsidR="00147F06" w:rsidRPr="00A76175">
        <w:rPr>
          <w:lang w:val="en-US"/>
        </w:rPr>
        <w:t xml:space="preserve"> </w:t>
      </w:r>
      <w:r w:rsidRPr="008464E7">
        <w:rPr>
          <w:lang w:val="en-US"/>
        </w:rPr>
        <w:t xml:space="preserve">Andries K, Azijn H, Thielemans T, Ludovici D, Kukla M, Heeres J, </w:t>
      </w:r>
      <w:r>
        <w:t>и</w:t>
      </w:r>
      <w:r w:rsidRPr="008464E7">
        <w:rPr>
          <w:lang w:val="en-US"/>
        </w:rPr>
        <w:t xml:space="preserve"> </w:t>
      </w:r>
      <w:r>
        <w:t>др</w:t>
      </w:r>
      <w:r w:rsidRPr="008464E7">
        <w:rPr>
          <w:lang w:val="en-US"/>
        </w:rPr>
        <w:t xml:space="preserve">. TMC125, a novel next-generation nonnucleoside reverse transcriptase inhibitor active against nonnucleoside reverse transcriptase inhibitor-resistant human immunodeficiency virus type 1. Antimicrob Agents Chemother. </w:t>
      </w:r>
      <w:r>
        <w:t>декабрь</w:t>
      </w:r>
      <w:r w:rsidRPr="008464E7">
        <w:rPr>
          <w:lang w:val="en-US"/>
        </w:rPr>
        <w:t xml:space="preserve"> 2004 </w:t>
      </w:r>
      <w:r>
        <w:t>г</w:t>
      </w:r>
      <w:r w:rsidRPr="008464E7">
        <w:rPr>
          <w:lang w:val="en-US"/>
        </w:rPr>
        <w:t xml:space="preserve">.;48(12):4680–6. </w:t>
      </w:r>
    </w:p>
    <w:p w14:paraId="7184FD46" w14:textId="761ECCBF" w:rsidR="008464E7" w:rsidRPr="008464E7" w:rsidRDefault="008464E7" w:rsidP="001C0A37">
      <w:pPr>
        <w:pStyle w:val="afff2"/>
        <w:ind w:left="426" w:hanging="284"/>
        <w:rPr>
          <w:lang w:val="en-US"/>
        </w:rPr>
      </w:pPr>
      <w:r w:rsidRPr="008464E7">
        <w:rPr>
          <w:lang w:val="en-US"/>
        </w:rPr>
        <w:t>13.</w:t>
      </w:r>
      <w:r w:rsidR="00147F06" w:rsidRPr="00A76175">
        <w:rPr>
          <w:lang w:val="en-US"/>
        </w:rPr>
        <w:t xml:space="preserve"> </w:t>
      </w:r>
      <w:r w:rsidRPr="008464E7">
        <w:rPr>
          <w:lang w:val="en-US"/>
        </w:rPr>
        <w:t xml:space="preserve">Kakuda T, Sekar V, Vis P, Coate B, Ryan R, Anderson D, </w:t>
      </w:r>
      <w:r>
        <w:t>и</w:t>
      </w:r>
      <w:r w:rsidRPr="008464E7">
        <w:rPr>
          <w:lang w:val="en-US"/>
        </w:rPr>
        <w:t xml:space="preserve"> </w:t>
      </w:r>
      <w:r>
        <w:t>др</w:t>
      </w:r>
      <w:r w:rsidRPr="008464E7">
        <w:rPr>
          <w:lang w:val="en-US"/>
        </w:rPr>
        <w:t xml:space="preserve">. Pharmacokinetics and Pharmacodynamics of Darunavir and Etravirine in HIV-1-Infected, Treatment-Experienced Patients in the Gender, Race, and Clinical Experience (GRACE) Trial. AIDS Res Treat. 2012 </w:t>
      </w:r>
      <w:r>
        <w:t>г</w:t>
      </w:r>
      <w:r w:rsidRPr="008464E7">
        <w:rPr>
          <w:lang w:val="en-US"/>
        </w:rPr>
        <w:t xml:space="preserve">.;2012:186987. </w:t>
      </w:r>
    </w:p>
    <w:p w14:paraId="15F568F5" w14:textId="16A1A689" w:rsidR="008464E7" w:rsidRPr="008464E7" w:rsidRDefault="008464E7" w:rsidP="001C0A37">
      <w:pPr>
        <w:pStyle w:val="afff2"/>
        <w:ind w:left="426" w:hanging="284"/>
        <w:rPr>
          <w:lang w:val="en-US"/>
        </w:rPr>
      </w:pPr>
      <w:r w:rsidRPr="008464E7">
        <w:rPr>
          <w:lang w:val="en-US"/>
        </w:rPr>
        <w:t>14.</w:t>
      </w:r>
      <w:r w:rsidR="00147F06" w:rsidRPr="00A76175">
        <w:rPr>
          <w:lang w:val="en-US"/>
        </w:rPr>
        <w:t xml:space="preserve"> </w:t>
      </w:r>
      <w:r w:rsidRPr="008464E7">
        <w:rPr>
          <w:lang w:val="en-US"/>
        </w:rPr>
        <w:t xml:space="preserve">Nguyen A, Rossi S, Croteau D, Best BM, Clifford D, Collier AC, </w:t>
      </w:r>
      <w:r>
        <w:t>и</w:t>
      </w:r>
      <w:r w:rsidRPr="008464E7">
        <w:rPr>
          <w:lang w:val="en-US"/>
        </w:rPr>
        <w:t xml:space="preserve"> </w:t>
      </w:r>
      <w:r>
        <w:t>др</w:t>
      </w:r>
      <w:r w:rsidRPr="008464E7">
        <w:rPr>
          <w:lang w:val="en-US"/>
        </w:rPr>
        <w:t xml:space="preserve">. Etravirine in CSF is highly protein bound. J Antimicrob Chemother. </w:t>
      </w:r>
      <w:r>
        <w:t>май</w:t>
      </w:r>
      <w:r w:rsidRPr="008464E7">
        <w:rPr>
          <w:lang w:val="en-US"/>
        </w:rPr>
        <w:t xml:space="preserve"> 2013 </w:t>
      </w:r>
      <w:r>
        <w:t>г</w:t>
      </w:r>
      <w:r w:rsidRPr="008464E7">
        <w:rPr>
          <w:lang w:val="en-US"/>
        </w:rPr>
        <w:t xml:space="preserve">.;68(5):1161–8. </w:t>
      </w:r>
    </w:p>
    <w:p w14:paraId="02C842AB" w14:textId="527EA604" w:rsidR="008464E7" w:rsidRPr="008464E7" w:rsidRDefault="008464E7" w:rsidP="001C0A37">
      <w:pPr>
        <w:pStyle w:val="afff2"/>
        <w:ind w:left="426" w:hanging="284"/>
        <w:rPr>
          <w:lang w:val="en-US"/>
        </w:rPr>
      </w:pPr>
      <w:r w:rsidRPr="008464E7">
        <w:rPr>
          <w:lang w:val="en-US"/>
        </w:rPr>
        <w:t>15.</w:t>
      </w:r>
      <w:r w:rsidR="00147F06" w:rsidRPr="00A76175">
        <w:rPr>
          <w:lang w:val="en-US"/>
        </w:rPr>
        <w:t xml:space="preserve"> </w:t>
      </w:r>
      <w:r w:rsidRPr="008464E7">
        <w:rPr>
          <w:lang w:val="en-US"/>
        </w:rPr>
        <w:t xml:space="preserve">Tiraboschi JM, Niubo J, Vila A, Perez-Pujol S, Podzamczer D. Etravirine concentrations in CSF in HIV-infected patients. J Antimicrob Chemother. </w:t>
      </w:r>
      <w:r>
        <w:t>июнь</w:t>
      </w:r>
      <w:r w:rsidRPr="008464E7">
        <w:rPr>
          <w:lang w:val="en-US"/>
        </w:rPr>
        <w:t xml:space="preserve"> 2012 </w:t>
      </w:r>
      <w:r>
        <w:t>г</w:t>
      </w:r>
      <w:r w:rsidRPr="008464E7">
        <w:rPr>
          <w:lang w:val="en-US"/>
        </w:rPr>
        <w:t xml:space="preserve">.;67(6):1446–8. </w:t>
      </w:r>
    </w:p>
    <w:p w14:paraId="57B24E6C" w14:textId="5FB3D5E5" w:rsidR="008464E7" w:rsidRPr="008464E7" w:rsidRDefault="008464E7" w:rsidP="001C0A37">
      <w:pPr>
        <w:pStyle w:val="afff2"/>
        <w:ind w:left="426" w:hanging="284"/>
        <w:rPr>
          <w:lang w:val="en-US"/>
        </w:rPr>
      </w:pPr>
      <w:r w:rsidRPr="008464E7">
        <w:rPr>
          <w:lang w:val="en-US"/>
        </w:rPr>
        <w:t>16.</w:t>
      </w:r>
      <w:r w:rsidR="00147F06" w:rsidRPr="00A76175">
        <w:rPr>
          <w:lang w:val="en-US"/>
        </w:rPr>
        <w:t xml:space="preserve"> </w:t>
      </w:r>
      <w:r w:rsidRPr="008464E7">
        <w:rPr>
          <w:lang w:val="en-US"/>
        </w:rPr>
        <w:t xml:space="preserve">Patterson K, Jennings S, Falcon R, Mrus J, Kashuba A. Darunavir, ritonavir, and etravirine pharmacokinetics in the cervicovaginal fluid and blood plasma of HIV-infected women. Antimicrob Agents Chemother. </w:t>
      </w:r>
      <w:r>
        <w:t>март</w:t>
      </w:r>
      <w:r w:rsidRPr="008464E7">
        <w:rPr>
          <w:lang w:val="en-US"/>
        </w:rPr>
        <w:t xml:space="preserve"> 2011 </w:t>
      </w:r>
      <w:r>
        <w:t>г</w:t>
      </w:r>
      <w:r w:rsidRPr="008464E7">
        <w:rPr>
          <w:lang w:val="en-US"/>
        </w:rPr>
        <w:t xml:space="preserve">.;55(3):1120–2. </w:t>
      </w:r>
    </w:p>
    <w:p w14:paraId="6E7756D5" w14:textId="1121A85B" w:rsidR="008464E7" w:rsidRPr="008464E7" w:rsidRDefault="008464E7" w:rsidP="001C0A37">
      <w:pPr>
        <w:pStyle w:val="afff2"/>
        <w:ind w:left="426" w:hanging="284"/>
        <w:rPr>
          <w:lang w:val="en-US"/>
        </w:rPr>
      </w:pPr>
      <w:r w:rsidRPr="008464E7">
        <w:rPr>
          <w:lang w:val="en-US"/>
        </w:rPr>
        <w:t>17.</w:t>
      </w:r>
      <w:r w:rsidR="00147F06" w:rsidRPr="00A76175">
        <w:rPr>
          <w:lang w:val="en-US"/>
        </w:rPr>
        <w:t xml:space="preserve"> </w:t>
      </w:r>
      <w:r w:rsidRPr="008464E7">
        <w:rPr>
          <w:lang w:val="en-US"/>
        </w:rPr>
        <w:t xml:space="preserve">Clavel C, Peytavin G, Tubiana R, Soulié C, Courbon E, Crenn-Hebert C, </w:t>
      </w:r>
      <w:r>
        <w:t>и</w:t>
      </w:r>
      <w:r w:rsidRPr="008464E7">
        <w:rPr>
          <w:lang w:val="en-US"/>
        </w:rPr>
        <w:t xml:space="preserve"> </w:t>
      </w:r>
      <w:r>
        <w:t>др</w:t>
      </w:r>
      <w:r w:rsidRPr="008464E7">
        <w:rPr>
          <w:lang w:val="en-US"/>
        </w:rPr>
        <w:t xml:space="preserve">. Etravirine concentrations in the cervicovaginal compartment in HIV-1-infected women receiving etravirine-containing antiretroviral therapy: DIVA 02 study. Antimicrob Agents Chemother. </w:t>
      </w:r>
      <w:r>
        <w:t>июль</w:t>
      </w:r>
      <w:r w:rsidRPr="008464E7">
        <w:rPr>
          <w:lang w:val="en-US"/>
        </w:rPr>
        <w:t xml:space="preserve"> 2012 </w:t>
      </w:r>
      <w:r>
        <w:t>г</w:t>
      </w:r>
      <w:r w:rsidRPr="008464E7">
        <w:rPr>
          <w:lang w:val="en-US"/>
        </w:rPr>
        <w:t xml:space="preserve">.;56(7):4018–20. </w:t>
      </w:r>
    </w:p>
    <w:p w14:paraId="734B12CD" w14:textId="53446FB1" w:rsidR="008464E7" w:rsidRPr="008464E7" w:rsidRDefault="008464E7" w:rsidP="001C0A37">
      <w:pPr>
        <w:pStyle w:val="afff2"/>
        <w:ind w:left="426" w:hanging="284"/>
        <w:rPr>
          <w:lang w:val="en-US"/>
        </w:rPr>
      </w:pPr>
      <w:r w:rsidRPr="008464E7">
        <w:rPr>
          <w:lang w:val="en-US"/>
        </w:rPr>
        <w:t>18.</w:t>
      </w:r>
      <w:r w:rsidR="00147F06" w:rsidRPr="00A76175">
        <w:rPr>
          <w:lang w:val="en-US"/>
        </w:rPr>
        <w:t xml:space="preserve"> </w:t>
      </w:r>
      <w:r w:rsidRPr="008464E7">
        <w:rPr>
          <w:lang w:val="en-US"/>
        </w:rPr>
        <w:t xml:space="preserve">Brown KC, Patterson KB, Jennings SH, Malone SA, Shaheen NJ, Asher Prince HM, </w:t>
      </w:r>
      <w:r>
        <w:t>и</w:t>
      </w:r>
      <w:r w:rsidRPr="008464E7">
        <w:rPr>
          <w:lang w:val="en-US"/>
        </w:rPr>
        <w:t xml:space="preserve"> </w:t>
      </w:r>
      <w:r>
        <w:t>др</w:t>
      </w:r>
      <w:r w:rsidRPr="008464E7">
        <w:rPr>
          <w:lang w:val="en-US"/>
        </w:rPr>
        <w:t xml:space="preserve">. Single- and multiple-dose pharmacokinetics of darunavir plus ritonavir and etravirine in semen and rectal tissue of HIV-negative men. J Acquir Immune Defic Syndr. 1 </w:t>
      </w:r>
      <w:r>
        <w:t>октябрь</w:t>
      </w:r>
      <w:r w:rsidRPr="008464E7">
        <w:rPr>
          <w:lang w:val="en-US"/>
        </w:rPr>
        <w:t xml:space="preserve"> 2012 </w:t>
      </w:r>
      <w:r>
        <w:t>г</w:t>
      </w:r>
      <w:r w:rsidRPr="008464E7">
        <w:rPr>
          <w:lang w:val="en-US"/>
        </w:rPr>
        <w:t xml:space="preserve">.;61(2):138–44. </w:t>
      </w:r>
    </w:p>
    <w:p w14:paraId="221D3231" w14:textId="037DC1D4" w:rsidR="008464E7" w:rsidRPr="008464E7" w:rsidRDefault="008464E7" w:rsidP="001C0A37">
      <w:pPr>
        <w:pStyle w:val="afff2"/>
        <w:ind w:left="426" w:hanging="284"/>
        <w:rPr>
          <w:lang w:val="en-US"/>
        </w:rPr>
      </w:pPr>
      <w:r w:rsidRPr="008464E7">
        <w:rPr>
          <w:lang w:val="en-US"/>
        </w:rPr>
        <w:t>19.</w:t>
      </w:r>
      <w:r w:rsidR="00147F06" w:rsidRPr="00A76175">
        <w:rPr>
          <w:lang w:val="en-US"/>
        </w:rPr>
        <w:t xml:space="preserve"> </w:t>
      </w:r>
      <w:r w:rsidRPr="008464E7">
        <w:rPr>
          <w:lang w:val="en-US"/>
        </w:rPr>
        <w:t xml:space="preserve">Raoof A, Mannens G, Mamidi R. In vivo metabolism and mass balance of the anti-HIV compound TMC125 in laboratory animals and healthy volunteers. In San Antonio; 2006. p. abstract no. M1342. </w:t>
      </w:r>
    </w:p>
    <w:p w14:paraId="551B550C" w14:textId="0A81A468" w:rsidR="008464E7" w:rsidRPr="008464E7" w:rsidRDefault="008464E7" w:rsidP="001C0A37">
      <w:pPr>
        <w:pStyle w:val="afff2"/>
        <w:ind w:left="426" w:hanging="284"/>
        <w:rPr>
          <w:lang w:val="en-US"/>
        </w:rPr>
      </w:pPr>
      <w:r w:rsidRPr="008464E7">
        <w:rPr>
          <w:lang w:val="en-US"/>
        </w:rPr>
        <w:t>20.</w:t>
      </w:r>
      <w:r w:rsidR="00147F06" w:rsidRPr="00A76175">
        <w:rPr>
          <w:lang w:val="en-US"/>
        </w:rPr>
        <w:t xml:space="preserve"> </w:t>
      </w:r>
      <w:r w:rsidRPr="008464E7">
        <w:rPr>
          <w:lang w:val="en-US"/>
        </w:rPr>
        <w:t xml:space="preserve">Scholler-Gyure M, Raoof A, Mannens G, others. Mass-balance of 14C-labelled TMC125 in healthy volunteers [abstract no. 78]. In: 8th International Workshop of Clinical Pharmacology of HIV Therapy. 2007. p. 16–8. </w:t>
      </w:r>
    </w:p>
    <w:p w14:paraId="149A7FA2" w14:textId="2A8CDAB6" w:rsidR="008464E7" w:rsidRPr="008464E7" w:rsidRDefault="008464E7" w:rsidP="001C0A37">
      <w:pPr>
        <w:pStyle w:val="afff2"/>
        <w:ind w:left="426" w:hanging="284"/>
        <w:rPr>
          <w:lang w:val="en-US"/>
        </w:rPr>
      </w:pPr>
      <w:r w:rsidRPr="008464E7">
        <w:rPr>
          <w:lang w:val="en-US"/>
        </w:rPr>
        <w:t>21.</w:t>
      </w:r>
      <w:r w:rsidR="00147F06" w:rsidRPr="00A76175">
        <w:rPr>
          <w:lang w:val="en-US"/>
        </w:rPr>
        <w:t xml:space="preserve"> </w:t>
      </w:r>
      <w:r w:rsidRPr="008464E7">
        <w:rPr>
          <w:lang w:val="en-US"/>
        </w:rPr>
        <w:t xml:space="preserve">Smeulders L. Overview of the antiviral activities of TMC125 metabolites on a panel of NNRTI viruses. Tibotec research report no. CB-SR-2004-00052-AVE-NNRTI. Mechelen: Tibotec; 2005. </w:t>
      </w:r>
    </w:p>
    <w:p w14:paraId="061F2E44" w14:textId="78AF430B" w:rsidR="008464E7" w:rsidRPr="008464E7" w:rsidRDefault="008464E7" w:rsidP="001C0A37">
      <w:pPr>
        <w:pStyle w:val="afff2"/>
        <w:ind w:left="426" w:hanging="284"/>
        <w:rPr>
          <w:lang w:val="en-US"/>
        </w:rPr>
      </w:pPr>
      <w:r w:rsidRPr="008464E7">
        <w:rPr>
          <w:lang w:val="en-US"/>
        </w:rPr>
        <w:t>22.</w:t>
      </w:r>
      <w:r w:rsidR="00147F06" w:rsidRPr="00A76175">
        <w:rPr>
          <w:lang w:val="en-US"/>
        </w:rPr>
        <w:t xml:space="preserve"> </w:t>
      </w:r>
      <w:r w:rsidRPr="008464E7">
        <w:rPr>
          <w:lang w:val="en-US"/>
        </w:rPr>
        <w:t xml:space="preserve">Schöller-Gyüre M, Kakuda TN, Raoof A, De Smedt G, Hoetelmans RMW. Clinical pharmacokinetics and pharmacodynamics of etravirine. Clin Pharmacokinet. 2009 </w:t>
      </w:r>
      <w:r>
        <w:t>г</w:t>
      </w:r>
      <w:r w:rsidRPr="008464E7">
        <w:rPr>
          <w:lang w:val="en-US"/>
        </w:rPr>
        <w:t xml:space="preserve">.;48(9):561–74. </w:t>
      </w:r>
    </w:p>
    <w:p w14:paraId="753E93F5" w14:textId="76ABEF69" w:rsidR="008464E7" w:rsidRPr="008464E7" w:rsidRDefault="008464E7" w:rsidP="001C0A37">
      <w:pPr>
        <w:pStyle w:val="afff2"/>
        <w:ind w:left="426" w:hanging="284"/>
        <w:rPr>
          <w:lang w:val="en-US"/>
        </w:rPr>
      </w:pPr>
      <w:r w:rsidRPr="008464E7">
        <w:rPr>
          <w:lang w:val="en-US"/>
        </w:rPr>
        <w:t>23.</w:t>
      </w:r>
      <w:r w:rsidR="00147F06" w:rsidRPr="00A76175">
        <w:rPr>
          <w:lang w:val="en-US"/>
        </w:rPr>
        <w:t xml:space="preserve"> </w:t>
      </w:r>
      <w:r w:rsidRPr="008464E7">
        <w:rPr>
          <w:lang w:val="en-US"/>
        </w:rPr>
        <w:t xml:space="preserve">European Medicines Agency INTELENCE®Summary of Product Characteristic. 2008.Doc.Ref.: EMEA/CHMP/43952/2008. </w:t>
      </w:r>
    </w:p>
    <w:p w14:paraId="7CBF131D" w14:textId="3D0C7712" w:rsidR="008464E7" w:rsidRPr="008464E7" w:rsidRDefault="008464E7" w:rsidP="001C0A37">
      <w:pPr>
        <w:pStyle w:val="afff2"/>
        <w:ind w:left="426" w:hanging="284"/>
        <w:rPr>
          <w:lang w:val="en-US"/>
        </w:rPr>
      </w:pPr>
      <w:r w:rsidRPr="008464E7">
        <w:rPr>
          <w:lang w:val="en-US"/>
        </w:rPr>
        <w:t>24.</w:t>
      </w:r>
      <w:r w:rsidR="00147F06" w:rsidRPr="00A76175">
        <w:rPr>
          <w:lang w:val="en-US"/>
        </w:rPr>
        <w:t xml:space="preserve"> </w:t>
      </w:r>
      <w:r w:rsidRPr="008464E7">
        <w:rPr>
          <w:lang w:val="en-US"/>
        </w:rPr>
        <w:t xml:space="preserve">Schöller-Gyüre M, Kakuda T, De Smedt G, Woodfall B, Lachaert R, Beets G, et al. Pharmacokinetics of TMC125 in once-and twice-daily regimens in HIV-1-negative volunteers. In: Tthe 47th Interscience Conference on Antimicrobial Agents and Chemotherapy Chicago, September [Internet]. 2007. p. A-1427. </w:t>
      </w:r>
    </w:p>
    <w:p w14:paraId="494D3C24" w14:textId="2240C4FC" w:rsidR="008464E7" w:rsidRPr="00F9478A" w:rsidRDefault="008464E7" w:rsidP="001C0A37">
      <w:pPr>
        <w:pStyle w:val="afff2"/>
        <w:ind w:left="426" w:hanging="284"/>
        <w:rPr>
          <w:lang w:val="en-US"/>
        </w:rPr>
      </w:pPr>
      <w:r w:rsidRPr="008464E7">
        <w:rPr>
          <w:lang w:val="en-US"/>
        </w:rPr>
        <w:t>25.</w:t>
      </w:r>
      <w:r w:rsidR="00147F06" w:rsidRPr="00A76175">
        <w:rPr>
          <w:lang w:val="en-US"/>
        </w:rPr>
        <w:t xml:space="preserve"> </w:t>
      </w:r>
      <w:r w:rsidRPr="008464E7">
        <w:rPr>
          <w:lang w:val="en-US"/>
        </w:rPr>
        <w:t xml:space="preserve">Schöller-Gyüre M, Kakuda T, De Smedt G, Woodfall B, Lachaert R, Beets G, </w:t>
      </w:r>
      <w:r>
        <w:t>и</w:t>
      </w:r>
      <w:r w:rsidRPr="008464E7">
        <w:rPr>
          <w:lang w:val="en-US"/>
        </w:rPr>
        <w:t xml:space="preserve"> </w:t>
      </w:r>
      <w:r>
        <w:t>др</w:t>
      </w:r>
      <w:r w:rsidRPr="008464E7">
        <w:rPr>
          <w:lang w:val="en-US"/>
        </w:rPr>
        <w:t xml:space="preserve">. Pharmacokinetics of TMC125 in once-and twice-daily regimens in HIV-1-negative volunteers. </w:t>
      </w:r>
      <w:r>
        <w:t>В</w:t>
      </w:r>
      <w:r w:rsidRPr="008464E7">
        <w:rPr>
          <w:lang w:val="en-US"/>
        </w:rPr>
        <w:t xml:space="preserve">: Tthe 47th Interscience Conference on Antimicrobial Agents and Chemotherapy Chicago, September </w:t>
      </w:r>
    </w:p>
    <w:p w14:paraId="33090D9E" w14:textId="29D1AA0D" w:rsidR="008464E7" w:rsidRPr="008464E7" w:rsidRDefault="008464E7" w:rsidP="001C0A37">
      <w:pPr>
        <w:pStyle w:val="afff2"/>
        <w:ind w:left="426" w:hanging="284"/>
        <w:rPr>
          <w:lang w:val="en-US"/>
        </w:rPr>
      </w:pPr>
      <w:r w:rsidRPr="008464E7">
        <w:rPr>
          <w:lang w:val="en-US"/>
        </w:rPr>
        <w:t>26.</w:t>
      </w:r>
      <w:r w:rsidR="00147F06" w:rsidRPr="00A76175">
        <w:rPr>
          <w:lang w:val="en-US"/>
        </w:rPr>
        <w:t xml:space="preserve"> </w:t>
      </w:r>
      <w:r w:rsidRPr="008464E7">
        <w:rPr>
          <w:lang w:val="en-US"/>
        </w:rPr>
        <w:t xml:space="preserve">Kakuda TN, Wade JR, Snoeck E, Vis P, Schöller-Gyüre M, Peeters MP, </w:t>
      </w:r>
      <w:r>
        <w:t>и</w:t>
      </w:r>
      <w:r w:rsidRPr="008464E7">
        <w:rPr>
          <w:lang w:val="en-US"/>
        </w:rPr>
        <w:t xml:space="preserve"> </w:t>
      </w:r>
      <w:r>
        <w:t>др</w:t>
      </w:r>
      <w:r w:rsidRPr="008464E7">
        <w:rPr>
          <w:lang w:val="en-US"/>
        </w:rPr>
        <w:t xml:space="preserve">. Pharmacokinetics and pharmacodynamics of the non-nucleoside reverse-transcriptase inhibitor etravirine in treatment-experienced HIV-1-infected patients. Clin Pharmacol Ther. </w:t>
      </w:r>
      <w:r>
        <w:t>ноябрь</w:t>
      </w:r>
      <w:r w:rsidRPr="008464E7">
        <w:rPr>
          <w:lang w:val="en-US"/>
        </w:rPr>
        <w:t xml:space="preserve"> 2010 </w:t>
      </w:r>
      <w:r>
        <w:t>г</w:t>
      </w:r>
      <w:r w:rsidRPr="008464E7">
        <w:rPr>
          <w:lang w:val="en-US"/>
        </w:rPr>
        <w:t xml:space="preserve">.;88(5):695–703. </w:t>
      </w:r>
    </w:p>
    <w:p w14:paraId="7D5C2662" w14:textId="6B757888" w:rsidR="008464E7" w:rsidRPr="008464E7" w:rsidRDefault="008464E7" w:rsidP="001C0A37">
      <w:pPr>
        <w:pStyle w:val="afff2"/>
        <w:ind w:left="426" w:hanging="284"/>
        <w:rPr>
          <w:lang w:val="en-US"/>
        </w:rPr>
      </w:pPr>
      <w:r w:rsidRPr="008464E7">
        <w:rPr>
          <w:lang w:val="en-US"/>
        </w:rPr>
        <w:t>27.</w:t>
      </w:r>
      <w:r w:rsidR="00147F06" w:rsidRPr="00A76175">
        <w:rPr>
          <w:lang w:val="en-US"/>
        </w:rPr>
        <w:t xml:space="preserve"> </w:t>
      </w:r>
      <w:r w:rsidRPr="008464E7">
        <w:rPr>
          <w:lang w:val="en-US"/>
        </w:rPr>
        <w:t xml:space="preserve">Kakuda TN, Brochot A, Green B, Nijs S, Vis P, Opsomer M, </w:t>
      </w:r>
      <w:r>
        <w:t>и</w:t>
      </w:r>
      <w:r w:rsidRPr="008464E7">
        <w:rPr>
          <w:lang w:val="en-US"/>
        </w:rPr>
        <w:t xml:space="preserve"> </w:t>
      </w:r>
      <w:r>
        <w:t>др</w:t>
      </w:r>
      <w:r w:rsidRPr="008464E7">
        <w:rPr>
          <w:lang w:val="en-US"/>
        </w:rPr>
        <w:t xml:space="preserve">. Pharmacokinetics and Pharmacokinetic/Pharmacodynamic Relationships of Etravirine in HIV-1-Infected, Treatment-Experienced Children and Adolescents in PIANO. J Clin Pharmacol. </w:t>
      </w:r>
      <w:r>
        <w:t>ноябрь</w:t>
      </w:r>
      <w:r w:rsidRPr="008464E7">
        <w:rPr>
          <w:lang w:val="en-US"/>
        </w:rPr>
        <w:t xml:space="preserve"> 2016 </w:t>
      </w:r>
      <w:r>
        <w:t>г</w:t>
      </w:r>
      <w:r w:rsidRPr="008464E7">
        <w:rPr>
          <w:lang w:val="en-US"/>
        </w:rPr>
        <w:t xml:space="preserve">.;56(11):1395–405. </w:t>
      </w:r>
    </w:p>
    <w:p w14:paraId="53398273" w14:textId="149DE202" w:rsidR="008464E7" w:rsidRPr="008464E7" w:rsidRDefault="008464E7" w:rsidP="001C0A37">
      <w:pPr>
        <w:pStyle w:val="afff2"/>
        <w:ind w:left="426" w:hanging="284"/>
        <w:rPr>
          <w:lang w:val="en-US"/>
        </w:rPr>
      </w:pPr>
      <w:r w:rsidRPr="008464E7">
        <w:rPr>
          <w:lang w:val="en-US"/>
        </w:rPr>
        <w:t>28.</w:t>
      </w:r>
      <w:r w:rsidR="00147F06" w:rsidRPr="00A76175">
        <w:rPr>
          <w:lang w:val="en-US"/>
        </w:rPr>
        <w:t xml:space="preserve"> </w:t>
      </w:r>
      <w:r w:rsidRPr="008464E7">
        <w:rPr>
          <w:lang w:val="en-US"/>
        </w:rPr>
        <w:t xml:space="preserve">Schöller-Gyüre M, Kakuda TN, De Smedt G, Woodfall B, Berckmans C, Peeters M, </w:t>
      </w:r>
      <w:r>
        <w:t>и</w:t>
      </w:r>
      <w:r w:rsidRPr="008464E7">
        <w:rPr>
          <w:lang w:val="en-US"/>
        </w:rPr>
        <w:t xml:space="preserve"> </w:t>
      </w:r>
      <w:r>
        <w:t>др</w:t>
      </w:r>
      <w:r w:rsidRPr="008464E7">
        <w:rPr>
          <w:lang w:val="en-US"/>
        </w:rPr>
        <w:t xml:space="preserve">. Effects of hepatic impairment on the steady-state pharmacokinetics of etravirine 200 mg BID: an open-label, multiple-dose, controlled Phase I study in adults. Clin Ther. </w:t>
      </w:r>
      <w:r>
        <w:t>февраль</w:t>
      </w:r>
      <w:r w:rsidRPr="008464E7">
        <w:rPr>
          <w:lang w:val="en-US"/>
        </w:rPr>
        <w:t xml:space="preserve"> 2010 </w:t>
      </w:r>
      <w:r>
        <w:t>г</w:t>
      </w:r>
      <w:r w:rsidRPr="008464E7">
        <w:rPr>
          <w:lang w:val="en-US"/>
        </w:rPr>
        <w:t xml:space="preserve">.;32(2):328–37. </w:t>
      </w:r>
    </w:p>
    <w:p w14:paraId="604E5190" w14:textId="07F43016" w:rsidR="008464E7" w:rsidRPr="008464E7" w:rsidRDefault="008464E7" w:rsidP="001C0A37">
      <w:pPr>
        <w:pStyle w:val="afff2"/>
        <w:ind w:left="426" w:hanging="284"/>
        <w:rPr>
          <w:lang w:val="en-US"/>
        </w:rPr>
      </w:pPr>
      <w:r w:rsidRPr="008464E7">
        <w:rPr>
          <w:lang w:val="en-US"/>
        </w:rPr>
        <w:t>29.</w:t>
      </w:r>
      <w:r w:rsidR="00147F06" w:rsidRPr="00A76175">
        <w:rPr>
          <w:lang w:val="en-US"/>
        </w:rPr>
        <w:t xml:space="preserve"> </w:t>
      </w:r>
      <w:r w:rsidRPr="008464E7">
        <w:rPr>
          <w:lang w:val="en-US"/>
        </w:rPr>
        <w:t xml:space="preserve">Kakuda TN, Van Solingen-Ristea RM, Onkelinx J, Stevens T, Aharchi F, De Smedt G, </w:t>
      </w:r>
      <w:r>
        <w:t>и</w:t>
      </w:r>
      <w:r w:rsidRPr="008464E7">
        <w:rPr>
          <w:lang w:val="en-US"/>
        </w:rPr>
        <w:t xml:space="preserve"> </w:t>
      </w:r>
      <w:r>
        <w:t>др</w:t>
      </w:r>
      <w:r w:rsidRPr="008464E7">
        <w:rPr>
          <w:lang w:val="en-US"/>
        </w:rPr>
        <w:t xml:space="preserve">. The effect of single- and multiple-dose etravirine on a drug cocktail of representative cytochrome P450 probes and digoxin in healthy subjects. J Clin Pharmacol. </w:t>
      </w:r>
      <w:r>
        <w:t>апрель</w:t>
      </w:r>
      <w:r w:rsidRPr="008464E7">
        <w:rPr>
          <w:lang w:val="en-US"/>
        </w:rPr>
        <w:t xml:space="preserve"> 2014 </w:t>
      </w:r>
      <w:r>
        <w:t>г</w:t>
      </w:r>
      <w:r w:rsidRPr="008464E7">
        <w:rPr>
          <w:lang w:val="en-US"/>
        </w:rPr>
        <w:t xml:space="preserve">.;54(4):422–31. </w:t>
      </w:r>
    </w:p>
    <w:p w14:paraId="379BEEB5" w14:textId="3DE568CD" w:rsidR="008464E7" w:rsidRPr="008464E7" w:rsidRDefault="008464E7" w:rsidP="001C0A37">
      <w:pPr>
        <w:pStyle w:val="afff2"/>
        <w:ind w:left="426" w:hanging="284"/>
        <w:rPr>
          <w:lang w:val="en-US"/>
        </w:rPr>
      </w:pPr>
      <w:r w:rsidRPr="008464E7">
        <w:rPr>
          <w:lang w:val="en-US"/>
        </w:rPr>
        <w:t>30.</w:t>
      </w:r>
      <w:r w:rsidR="00147F06" w:rsidRPr="00A76175">
        <w:rPr>
          <w:lang w:val="en-US"/>
        </w:rPr>
        <w:t xml:space="preserve"> </w:t>
      </w:r>
      <w:r w:rsidRPr="008464E7">
        <w:rPr>
          <w:lang w:val="en-US"/>
        </w:rPr>
        <w:t xml:space="preserve">Schneider L, Ktorza N, Fourati S, Assoumou L, Courbon E, Caby F, </w:t>
      </w:r>
      <w:r>
        <w:t>и</w:t>
      </w:r>
      <w:r w:rsidRPr="008464E7">
        <w:rPr>
          <w:lang w:val="en-US"/>
        </w:rPr>
        <w:t xml:space="preserve"> </w:t>
      </w:r>
      <w:r>
        <w:t>др</w:t>
      </w:r>
      <w:r w:rsidRPr="008464E7">
        <w:rPr>
          <w:lang w:val="en-US"/>
        </w:rPr>
        <w:t xml:space="preserve">. Switch from etravirine twice daily to once daily in non-nucleoside reverse transcriptase inhibitor (NNRTI)-resistant HIV-infected patients with suppressed viremia: the Monetra study. HIV Clin Trials. </w:t>
      </w:r>
      <w:r>
        <w:t>октябрь</w:t>
      </w:r>
      <w:r w:rsidRPr="008464E7">
        <w:rPr>
          <w:lang w:val="en-US"/>
        </w:rPr>
        <w:t xml:space="preserve"> 2012 </w:t>
      </w:r>
      <w:r>
        <w:t>г</w:t>
      </w:r>
      <w:r w:rsidRPr="008464E7">
        <w:rPr>
          <w:lang w:val="en-US"/>
        </w:rPr>
        <w:t xml:space="preserve">.;13(5):284–8. </w:t>
      </w:r>
    </w:p>
    <w:p w14:paraId="74217715" w14:textId="77777777" w:rsidR="008464E7" w:rsidRPr="008464E7" w:rsidRDefault="008464E7" w:rsidP="001C0A37">
      <w:pPr>
        <w:pStyle w:val="afff2"/>
        <w:ind w:left="426" w:hanging="284"/>
        <w:rPr>
          <w:lang w:val="en-US"/>
        </w:rPr>
      </w:pPr>
      <w:r w:rsidRPr="008464E7">
        <w:rPr>
          <w:lang w:val="en-US"/>
        </w:rPr>
        <w:t>31.</w:t>
      </w:r>
      <w:r w:rsidRPr="008464E7">
        <w:rPr>
          <w:lang w:val="en-US"/>
        </w:rPr>
        <w:tab/>
        <w:t xml:space="preserve">Lubomirov R, Arab-Alameddine M, Rotger M, Fayet-Mello A, Martinez R, Guidi M, </w:t>
      </w:r>
      <w:r>
        <w:t>и</w:t>
      </w:r>
      <w:r w:rsidRPr="008464E7">
        <w:rPr>
          <w:lang w:val="en-US"/>
        </w:rPr>
        <w:t xml:space="preserve"> </w:t>
      </w:r>
      <w:r>
        <w:t>др</w:t>
      </w:r>
      <w:r w:rsidRPr="008464E7">
        <w:rPr>
          <w:lang w:val="en-US"/>
        </w:rPr>
        <w:t xml:space="preserve">. Pharmacogenetics-based population pharmacokinetic analysis of etravirine in HIV-1 infected individuals. Pharmacogenet Genomics. </w:t>
      </w:r>
      <w:r>
        <w:t>январь</w:t>
      </w:r>
      <w:r w:rsidRPr="008464E7">
        <w:rPr>
          <w:lang w:val="en-US"/>
        </w:rPr>
        <w:t xml:space="preserve"> 2013 </w:t>
      </w:r>
      <w:r>
        <w:t>г</w:t>
      </w:r>
      <w:r w:rsidRPr="008464E7">
        <w:rPr>
          <w:lang w:val="en-US"/>
        </w:rPr>
        <w:t xml:space="preserve">.;23(1):9–18. </w:t>
      </w:r>
    </w:p>
    <w:p w14:paraId="42E25EF5" w14:textId="24F24BC7" w:rsidR="008464E7" w:rsidRPr="008464E7" w:rsidRDefault="008464E7" w:rsidP="001C0A37">
      <w:pPr>
        <w:pStyle w:val="afff2"/>
        <w:ind w:left="426" w:hanging="284"/>
        <w:rPr>
          <w:lang w:val="en-US"/>
        </w:rPr>
      </w:pPr>
      <w:r w:rsidRPr="008464E7">
        <w:rPr>
          <w:lang w:val="en-US"/>
        </w:rPr>
        <w:t>32.</w:t>
      </w:r>
      <w:r w:rsidR="00147F06" w:rsidRPr="00A76175">
        <w:rPr>
          <w:lang w:val="en-US"/>
        </w:rPr>
        <w:t xml:space="preserve"> </w:t>
      </w:r>
      <w:r w:rsidRPr="008464E7">
        <w:rPr>
          <w:lang w:val="en-US"/>
        </w:rPr>
        <w:t xml:space="preserve">Ter Heine R, Mulder JW, van Gorp ECM, Wagenaar JFP, Beijnen JH, Huitema ADR. Intracellular and plasma steady-state pharmacokinetics of raltegravir, darunavir, etravirine and ritonavir in heavily pre-treated HIV-infected patients. Br J Clin Pharmacol. </w:t>
      </w:r>
      <w:r>
        <w:t>май</w:t>
      </w:r>
      <w:r w:rsidRPr="008464E7">
        <w:rPr>
          <w:lang w:val="en-US"/>
        </w:rPr>
        <w:t xml:space="preserve"> 2010 </w:t>
      </w:r>
      <w:r>
        <w:t>г</w:t>
      </w:r>
      <w:r w:rsidRPr="008464E7">
        <w:rPr>
          <w:lang w:val="en-US"/>
        </w:rPr>
        <w:t xml:space="preserve">.;69(5):475–83. </w:t>
      </w:r>
    </w:p>
    <w:p w14:paraId="0161C070" w14:textId="7E51D9D2" w:rsidR="008464E7" w:rsidRPr="00F9478A" w:rsidRDefault="008464E7" w:rsidP="001C0A37">
      <w:pPr>
        <w:pStyle w:val="afff2"/>
        <w:ind w:left="426" w:hanging="284"/>
        <w:rPr>
          <w:lang w:val="en-US"/>
        </w:rPr>
      </w:pPr>
      <w:r w:rsidRPr="008464E7">
        <w:rPr>
          <w:lang w:val="en-US"/>
        </w:rPr>
        <w:t>33.</w:t>
      </w:r>
      <w:r w:rsidR="00147F06" w:rsidRPr="00A76175">
        <w:rPr>
          <w:lang w:val="en-US"/>
        </w:rPr>
        <w:t xml:space="preserve"> </w:t>
      </w:r>
      <w:r w:rsidRPr="008464E7">
        <w:rPr>
          <w:lang w:val="en-US"/>
        </w:rPr>
        <w:t xml:space="preserve">US FDA. Clinical and cross-discipline team leader review/addendum. </w:t>
      </w:r>
      <w:r w:rsidRPr="00F9478A">
        <w:rPr>
          <w:lang w:val="en-US"/>
        </w:rPr>
        <w:t>NDA#22187/Supplement 024 [</w:t>
      </w:r>
      <w:r>
        <w:t>Интернет</w:t>
      </w:r>
      <w:r w:rsidRPr="00F9478A">
        <w:rPr>
          <w:lang w:val="en-US"/>
        </w:rPr>
        <w:t>]. 2018 [</w:t>
      </w:r>
    </w:p>
    <w:p w14:paraId="1E203D97" w14:textId="251E46E6" w:rsidR="008464E7" w:rsidRDefault="008464E7" w:rsidP="001C0A37">
      <w:pPr>
        <w:pStyle w:val="afff2"/>
        <w:ind w:left="426" w:hanging="284"/>
      </w:pPr>
      <w:r w:rsidRPr="008464E7">
        <w:rPr>
          <w:lang w:val="en-US"/>
        </w:rPr>
        <w:t>34.</w:t>
      </w:r>
      <w:r w:rsidR="00147F06" w:rsidRPr="00A76175">
        <w:rPr>
          <w:lang w:val="en-US"/>
        </w:rPr>
        <w:t xml:space="preserve"> </w:t>
      </w:r>
      <w:r w:rsidRPr="008464E7">
        <w:rPr>
          <w:lang w:val="en-US"/>
        </w:rPr>
        <w:t xml:space="preserve">MacBrayne SE, Rutstein R, Yogev R. ETRAVIRINE PHARMACOKINETICS IN TREATMENT-EXPERIENCED CHILDREN AGES 1-. </w:t>
      </w:r>
      <w:r>
        <w:t>В</w:t>
      </w:r>
      <w:r w:rsidRPr="008464E7">
        <w:rPr>
          <w:lang w:val="en-US"/>
        </w:rPr>
        <w:t>: CROI Conference [</w:t>
      </w:r>
      <w:r>
        <w:t>Интернет</w:t>
      </w:r>
      <w:r w:rsidRPr="008464E7">
        <w:rPr>
          <w:lang w:val="en-US"/>
        </w:rPr>
        <w:t>]. Boston, Massachusetts; 2018 [</w:t>
      </w:r>
      <w:r>
        <w:t>цитируется</w:t>
      </w:r>
      <w:r w:rsidRPr="008464E7">
        <w:rPr>
          <w:lang w:val="en-US"/>
        </w:rPr>
        <w:t xml:space="preserve"> </w:t>
      </w:r>
      <w:r>
        <w:t>по</w:t>
      </w:r>
      <w:r w:rsidRPr="008464E7">
        <w:rPr>
          <w:lang w:val="en-US"/>
        </w:rPr>
        <w:t xml:space="preserve"> 26 </w:t>
      </w:r>
      <w:r>
        <w:t>ноябрь</w:t>
      </w:r>
      <w:r w:rsidRPr="008464E7">
        <w:rPr>
          <w:lang w:val="en-US"/>
        </w:rPr>
        <w:t xml:space="preserve"> 2021 </w:t>
      </w:r>
      <w:r>
        <w:t>г</w:t>
      </w:r>
      <w:r w:rsidRPr="008464E7">
        <w:rPr>
          <w:lang w:val="en-US"/>
        </w:rPr>
        <w:t xml:space="preserve">.]. </w:t>
      </w:r>
      <w:r>
        <w:t>с</w:t>
      </w:r>
      <w:r w:rsidRPr="008464E7">
        <w:rPr>
          <w:lang w:val="en-US"/>
        </w:rPr>
        <w:t xml:space="preserve">. Abstr. number 465. </w:t>
      </w:r>
      <w:r>
        <w:t>Доступно на: https://www.croiconference.org/abstract/etravirine-pharmacokinetics-treatment-experienced-children-ages-1/</w:t>
      </w:r>
    </w:p>
    <w:p w14:paraId="55E78679" w14:textId="1592B7E7" w:rsidR="008464E7" w:rsidRPr="008464E7" w:rsidRDefault="008464E7" w:rsidP="001C0A37">
      <w:pPr>
        <w:pStyle w:val="afff2"/>
        <w:ind w:left="426" w:hanging="284"/>
        <w:rPr>
          <w:lang w:val="en-US"/>
        </w:rPr>
      </w:pPr>
      <w:r w:rsidRPr="008464E7">
        <w:rPr>
          <w:lang w:val="en-US"/>
        </w:rPr>
        <w:t>35.</w:t>
      </w:r>
      <w:r w:rsidR="00147F06" w:rsidRPr="00A76175">
        <w:rPr>
          <w:lang w:val="en-US"/>
        </w:rPr>
        <w:t xml:space="preserve"> </w:t>
      </w:r>
      <w:r w:rsidRPr="008464E7">
        <w:rPr>
          <w:lang w:val="en-US"/>
        </w:rPr>
        <w:t xml:space="preserve">Königs C, Feiterna-Sperling C, Esposito S, Viscoli C, Rosso R, Kakuda TN, </w:t>
      </w:r>
      <w:r>
        <w:t>и</w:t>
      </w:r>
      <w:r w:rsidRPr="008464E7">
        <w:rPr>
          <w:lang w:val="en-US"/>
        </w:rPr>
        <w:t xml:space="preserve"> </w:t>
      </w:r>
      <w:r>
        <w:t>др</w:t>
      </w:r>
      <w:r w:rsidRPr="008464E7">
        <w:rPr>
          <w:lang w:val="en-US"/>
        </w:rPr>
        <w:t xml:space="preserve">. Pharmacokinetics and short-term safety and tolerability of etravirine in treatment-experienced HIV-1-infected children and adolescents. AIDS. 20 </w:t>
      </w:r>
      <w:r>
        <w:t>февраль</w:t>
      </w:r>
      <w:r w:rsidRPr="008464E7">
        <w:rPr>
          <w:lang w:val="en-US"/>
        </w:rPr>
        <w:t xml:space="preserve"> 2012 </w:t>
      </w:r>
      <w:r>
        <w:t>г</w:t>
      </w:r>
      <w:r w:rsidRPr="008464E7">
        <w:rPr>
          <w:lang w:val="en-US"/>
        </w:rPr>
        <w:t xml:space="preserve">.;26(4):447–55. </w:t>
      </w:r>
    </w:p>
    <w:p w14:paraId="2E1EB347" w14:textId="38A5E44C" w:rsidR="008464E7" w:rsidRPr="00F9478A" w:rsidRDefault="008464E7" w:rsidP="001C0A37">
      <w:pPr>
        <w:pStyle w:val="afff2"/>
        <w:ind w:left="426" w:hanging="284"/>
        <w:rPr>
          <w:lang w:val="en-US"/>
        </w:rPr>
      </w:pPr>
      <w:r w:rsidRPr="008464E7">
        <w:rPr>
          <w:lang w:val="en-US"/>
        </w:rPr>
        <w:t>36.</w:t>
      </w:r>
      <w:r w:rsidR="00147F06" w:rsidRPr="00A76175">
        <w:rPr>
          <w:lang w:val="en-US"/>
        </w:rPr>
        <w:t xml:space="preserve"> </w:t>
      </w:r>
      <w:r w:rsidRPr="008464E7">
        <w:rPr>
          <w:lang w:val="en-US"/>
        </w:rPr>
        <w:t>European Medicines Agency. Intelence. Summary of product characteristics [</w:t>
      </w:r>
      <w:r w:rsidRPr="00F9478A">
        <w:rPr>
          <w:lang w:val="en-US"/>
        </w:rPr>
        <w:t xml:space="preserve">2018 </w:t>
      </w:r>
    </w:p>
    <w:p w14:paraId="6AD06862" w14:textId="4F34071C" w:rsidR="008464E7" w:rsidRDefault="008464E7" w:rsidP="001C0A37">
      <w:pPr>
        <w:pStyle w:val="afff2"/>
        <w:ind w:left="426" w:hanging="284"/>
      </w:pPr>
      <w:r w:rsidRPr="008464E7">
        <w:rPr>
          <w:lang w:val="en-US"/>
        </w:rPr>
        <w:t>37.</w:t>
      </w:r>
      <w:r w:rsidR="00147F06" w:rsidRPr="00A76175">
        <w:rPr>
          <w:lang w:val="en-US"/>
        </w:rPr>
        <w:t xml:space="preserve"> </w:t>
      </w:r>
      <w:r w:rsidRPr="008464E7">
        <w:rPr>
          <w:lang w:val="en-US"/>
        </w:rPr>
        <w:t>IMPAACT. P1090 / Safety, Tolerability, Pharmacokinetics and Antiviral Activity of Etravirine / A Phase I/II, Open-Label Trial to Evaluate the Safety, Tolerability, Pharmacokinetics and Antiviral Activity of Etravirine (ETR) in Antiretroviral Experienced HIV-1 Infected Infants and Children, Aged &gt;= 2 Months to &lt; 6 Years | [</w:t>
      </w:r>
      <w:r>
        <w:t>Интернет</w:t>
      </w:r>
      <w:r w:rsidRPr="008464E7">
        <w:rPr>
          <w:lang w:val="en-US"/>
        </w:rPr>
        <w:t xml:space="preserve">]. </w:t>
      </w:r>
      <w:r>
        <w:t>[цитируется по 12 март 2021 г.]. Доступно на: https://www.impaactnetwork.org/studies/p1090</w:t>
      </w:r>
    </w:p>
    <w:p w14:paraId="58415D47" w14:textId="1A018C4C" w:rsidR="008464E7" w:rsidRDefault="008464E7" w:rsidP="001C0A37">
      <w:pPr>
        <w:pStyle w:val="afff2"/>
        <w:ind w:left="426" w:hanging="284"/>
      </w:pPr>
      <w:r w:rsidRPr="008464E7">
        <w:rPr>
          <w:lang w:val="en-US"/>
        </w:rPr>
        <w:t>38.</w:t>
      </w:r>
      <w:r w:rsidR="00147F06" w:rsidRPr="00A76175">
        <w:rPr>
          <w:lang w:val="en-US"/>
        </w:rPr>
        <w:t xml:space="preserve"> </w:t>
      </w:r>
      <w:r w:rsidRPr="008464E7">
        <w:rPr>
          <w:lang w:val="en-US"/>
        </w:rPr>
        <w:t xml:space="preserve">Andries K, Azijn H, Thielemans T, Ludovici D, Kukla M, Heeres J, </w:t>
      </w:r>
      <w:r>
        <w:t>и</w:t>
      </w:r>
      <w:r w:rsidRPr="008464E7">
        <w:rPr>
          <w:lang w:val="en-US"/>
        </w:rPr>
        <w:t xml:space="preserve"> </w:t>
      </w:r>
      <w:r>
        <w:t>др</w:t>
      </w:r>
      <w:r w:rsidRPr="008464E7">
        <w:rPr>
          <w:lang w:val="en-US"/>
        </w:rPr>
        <w:t xml:space="preserve">. TMC125, a Novel Next-Generation Nonnucleoside Reverse Transcriptase Inhibitor Active against Nonnucleoside Reverse Transcriptase Inhibitor-Resistant Human Immunodeficiency Virus Type 1. </w:t>
      </w:r>
      <w:r>
        <w:t xml:space="preserve">Antimicrob Agents Chemother. декабрь 2004 г.;48(12):4680–6. </w:t>
      </w:r>
    </w:p>
    <w:p w14:paraId="5EA4595D" w14:textId="48701241" w:rsidR="008464E7" w:rsidRPr="008464E7" w:rsidRDefault="008464E7" w:rsidP="001C0A37">
      <w:pPr>
        <w:pStyle w:val="afff2"/>
        <w:ind w:left="426" w:hanging="284"/>
        <w:rPr>
          <w:lang w:val="en-US"/>
        </w:rPr>
      </w:pPr>
      <w:r>
        <w:t>39.</w:t>
      </w:r>
      <w:r w:rsidR="00147F06">
        <w:t xml:space="preserve"> </w:t>
      </w:r>
      <w:r>
        <w:t xml:space="preserve">Министерство здравоохранения Российской Федерации. Инструкция по медицинскому применению для препарата Интеленс®. Версия от 03.02.2021. Регистрационное удостоверение ЛП-006200 от 12.05.2020, ООО «Джонсон &amp; Джонсон», Росссия. </w:t>
      </w:r>
      <w:r w:rsidRPr="008464E7">
        <w:rPr>
          <w:lang w:val="en-US"/>
        </w:rPr>
        <w:t xml:space="preserve">2021. </w:t>
      </w:r>
    </w:p>
    <w:p w14:paraId="62052631" w14:textId="0E792EDE" w:rsidR="008464E7" w:rsidRPr="008464E7" w:rsidRDefault="008464E7" w:rsidP="001C0A37">
      <w:pPr>
        <w:pStyle w:val="afff2"/>
        <w:ind w:left="426" w:hanging="284"/>
        <w:rPr>
          <w:lang w:val="en-US"/>
        </w:rPr>
      </w:pPr>
      <w:r w:rsidRPr="008464E7">
        <w:rPr>
          <w:lang w:val="en-US"/>
        </w:rPr>
        <w:t>40.</w:t>
      </w:r>
      <w:r w:rsidR="00147F06" w:rsidRPr="00A76175">
        <w:rPr>
          <w:lang w:val="en-US"/>
        </w:rPr>
        <w:t xml:space="preserve"> </w:t>
      </w:r>
      <w:r w:rsidRPr="008464E7">
        <w:rPr>
          <w:lang w:val="en-US"/>
        </w:rPr>
        <w:t xml:space="preserve">Belkhir L, Elens L, Zech F, Panin N, Vincent A, Yombi JC, </w:t>
      </w:r>
      <w:r>
        <w:t>и</w:t>
      </w:r>
      <w:r w:rsidRPr="008464E7">
        <w:rPr>
          <w:lang w:val="en-US"/>
        </w:rPr>
        <w:t xml:space="preserve"> </w:t>
      </w:r>
      <w:r>
        <w:t>др</w:t>
      </w:r>
      <w:r w:rsidRPr="008464E7">
        <w:rPr>
          <w:lang w:val="en-US"/>
        </w:rPr>
        <w:t xml:space="preserve">. Interaction between Darunavir and Etravirine Is Partly Mediated by CYP3A5 Polymorphism. PLoS One. 2016 </w:t>
      </w:r>
      <w:r>
        <w:t>г</w:t>
      </w:r>
      <w:r w:rsidRPr="008464E7">
        <w:rPr>
          <w:lang w:val="en-US"/>
        </w:rPr>
        <w:t xml:space="preserve">.;11(10):e0165631. </w:t>
      </w:r>
    </w:p>
    <w:p w14:paraId="7A9704BB" w14:textId="5A07B9A9" w:rsidR="008464E7" w:rsidRPr="008464E7" w:rsidRDefault="008464E7" w:rsidP="001C0A37">
      <w:pPr>
        <w:pStyle w:val="afff2"/>
        <w:ind w:left="426" w:hanging="284"/>
        <w:rPr>
          <w:lang w:val="en-US"/>
        </w:rPr>
      </w:pPr>
      <w:r w:rsidRPr="008464E7">
        <w:rPr>
          <w:lang w:val="en-US"/>
        </w:rPr>
        <w:t>41.</w:t>
      </w:r>
      <w:r w:rsidR="00147F06" w:rsidRPr="00A76175">
        <w:rPr>
          <w:lang w:val="en-US"/>
        </w:rPr>
        <w:t xml:space="preserve"> </w:t>
      </w:r>
      <w:r w:rsidRPr="008464E7">
        <w:rPr>
          <w:lang w:val="en-US"/>
        </w:rPr>
        <w:t xml:space="preserve">Green B, Crauwels H, Kakuda TN, Vanveggel S, Brochot A. Evaluation of Concomitant Antiretrovirals and CYP2C9/CYP2C19 Polymorphisms on the Pharmacokinetics of Etravirine. Clin Pharmacokinet. </w:t>
      </w:r>
      <w:r>
        <w:t>май</w:t>
      </w:r>
      <w:r w:rsidRPr="008464E7">
        <w:rPr>
          <w:lang w:val="en-US"/>
        </w:rPr>
        <w:t xml:space="preserve"> 2017 </w:t>
      </w:r>
      <w:r>
        <w:t>г</w:t>
      </w:r>
      <w:r w:rsidRPr="008464E7">
        <w:rPr>
          <w:lang w:val="en-US"/>
        </w:rPr>
        <w:t xml:space="preserve">.;56(5):525–36. </w:t>
      </w:r>
    </w:p>
    <w:p w14:paraId="0E9D7F76" w14:textId="756A7F61" w:rsidR="008464E7" w:rsidRPr="008464E7" w:rsidRDefault="008464E7" w:rsidP="001C0A37">
      <w:pPr>
        <w:pStyle w:val="afff2"/>
        <w:ind w:left="426" w:hanging="284"/>
        <w:rPr>
          <w:lang w:val="en-US"/>
        </w:rPr>
      </w:pPr>
      <w:r w:rsidRPr="008464E7">
        <w:rPr>
          <w:lang w:val="en-US"/>
        </w:rPr>
        <w:t>42.</w:t>
      </w:r>
      <w:r w:rsidR="00147F06" w:rsidRPr="00A76175">
        <w:rPr>
          <w:lang w:val="en-US"/>
        </w:rPr>
        <w:t xml:space="preserve"> </w:t>
      </w:r>
      <w:r w:rsidRPr="008464E7">
        <w:rPr>
          <w:lang w:val="en-US"/>
        </w:rPr>
        <w:t xml:space="preserve">Schöller-Gyüre M, Kakuda T, De Smedt G, Woodfall B, Berckmans C, Peeters M, </w:t>
      </w:r>
      <w:r>
        <w:t>и</w:t>
      </w:r>
      <w:r w:rsidRPr="008464E7">
        <w:rPr>
          <w:lang w:val="en-US"/>
        </w:rPr>
        <w:t xml:space="preserve"> </w:t>
      </w:r>
      <w:r>
        <w:t>др</w:t>
      </w:r>
      <w:r w:rsidRPr="008464E7">
        <w:rPr>
          <w:lang w:val="en-US"/>
        </w:rPr>
        <w:t xml:space="preserve">. Pharmacokinetics of TMC125 in HIV-negative volunteers with mild and moderate hepatic impairment. </w:t>
      </w:r>
      <w:r>
        <w:t>В</w:t>
      </w:r>
      <w:r w:rsidRPr="008464E7">
        <w:rPr>
          <w:lang w:val="en-US"/>
        </w:rPr>
        <w:t xml:space="preserve">: 47th Interscience Conference on Antimicrobial Agents and Chemotherapy. 2007. </w:t>
      </w:r>
      <w:r>
        <w:t>с</w:t>
      </w:r>
      <w:r w:rsidRPr="008464E7">
        <w:rPr>
          <w:lang w:val="en-US"/>
        </w:rPr>
        <w:t xml:space="preserve">. 17–20. </w:t>
      </w:r>
    </w:p>
    <w:p w14:paraId="4B2F795B" w14:textId="11A5972A" w:rsidR="008464E7" w:rsidRPr="008464E7" w:rsidRDefault="008464E7" w:rsidP="001C0A37">
      <w:pPr>
        <w:pStyle w:val="afff2"/>
        <w:ind w:left="426" w:hanging="284"/>
        <w:rPr>
          <w:lang w:val="en-US"/>
        </w:rPr>
      </w:pPr>
      <w:r w:rsidRPr="008464E7">
        <w:rPr>
          <w:lang w:val="en-US"/>
        </w:rPr>
        <w:t>43.</w:t>
      </w:r>
      <w:r w:rsidR="00147F06" w:rsidRPr="00A76175">
        <w:rPr>
          <w:lang w:val="en-US"/>
        </w:rPr>
        <w:t xml:space="preserve"> </w:t>
      </w:r>
      <w:r w:rsidRPr="008464E7">
        <w:rPr>
          <w:lang w:val="en-US"/>
        </w:rPr>
        <w:t xml:space="preserve">Kakuda TN, Schöller-Gyüre M, Hoetelmans RMW. Pharmacokinetic interactions between etravirine and non-antiretroviral drugs. Clin Pharmacokinet. </w:t>
      </w:r>
      <w:r>
        <w:t>январь</w:t>
      </w:r>
      <w:r w:rsidRPr="008464E7">
        <w:rPr>
          <w:lang w:val="en-US"/>
        </w:rPr>
        <w:t xml:space="preserve"> 2011 </w:t>
      </w:r>
      <w:r>
        <w:t>г</w:t>
      </w:r>
      <w:r w:rsidRPr="008464E7">
        <w:rPr>
          <w:lang w:val="en-US"/>
        </w:rPr>
        <w:t xml:space="preserve">.;50(1):25–39. </w:t>
      </w:r>
    </w:p>
    <w:p w14:paraId="774F6754" w14:textId="18A4E187" w:rsidR="008464E7" w:rsidRPr="008464E7" w:rsidRDefault="008464E7" w:rsidP="001C0A37">
      <w:pPr>
        <w:pStyle w:val="afff2"/>
        <w:ind w:left="426" w:hanging="284"/>
        <w:rPr>
          <w:lang w:val="en-US"/>
        </w:rPr>
      </w:pPr>
      <w:r w:rsidRPr="008464E7">
        <w:rPr>
          <w:lang w:val="en-US"/>
        </w:rPr>
        <w:t>44.</w:t>
      </w:r>
      <w:r w:rsidR="00147F06" w:rsidRPr="00A76175">
        <w:rPr>
          <w:lang w:val="en-US"/>
        </w:rPr>
        <w:t xml:space="preserve"> </w:t>
      </w:r>
      <w:r w:rsidRPr="008464E7">
        <w:rPr>
          <w:lang w:val="en-US"/>
        </w:rPr>
        <w:t xml:space="preserve">Schöller-Gyüre M, Kakuda TN, Raoof A, De Smedt G, Hoetelmans RMW. Clinical pharmacokinetics and pharmacodynamics of etravirine. Clin Pharmacokinet. 2009 </w:t>
      </w:r>
      <w:r>
        <w:t>г</w:t>
      </w:r>
      <w:r w:rsidRPr="008464E7">
        <w:rPr>
          <w:lang w:val="en-US"/>
        </w:rPr>
        <w:t xml:space="preserve">.;48(9):561–74. </w:t>
      </w:r>
    </w:p>
    <w:p w14:paraId="3C3C0876" w14:textId="086CC586" w:rsidR="008464E7" w:rsidRPr="008464E7" w:rsidRDefault="008464E7" w:rsidP="001C0A37">
      <w:pPr>
        <w:pStyle w:val="afff2"/>
        <w:ind w:left="426" w:hanging="284"/>
        <w:rPr>
          <w:lang w:val="en-US"/>
        </w:rPr>
      </w:pPr>
      <w:r w:rsidRPr="008464E7">
        <w:rPr>
          <w:lang w:val="en-US"/>
        </w:rPr>
        <w:t>45.</w:t>
      </w:r>
      <w:r w:rsidR="00147F06" w:rsidRPr="00A76175">
        <w:rPr>
          <w:lang w:val="en-US"/>
        </w:rPr>
        <w:t xml:space="preserve"> </w:t>
      </w:r>
      <w:r w:rsidRPr="008464E7">
        <w:rPr>
          <w:lang w:val="en-US"/>
        </w:rPr>
        <w:t xml:space="preserve">Kakuda TN, Schöller-Gyüre M, Hoetelmans RMW. Pharmacokinetic interactions between etravirine and non-antiretroviral drugs. Clin Pharmacokinet. </w:t>
      </w:r>
      <w:r>
        <w:t>январь</w:t>
      </w:r>
      <w:r w:rsidRPr="008464E7">
        <w:rPr>
          <w:lang w:val="en-US"/>
        </w:rPr>
        <w:t xml:space="preserve"> 2011 </w:t>
      </w:r>
      <w:r>
        <w:t>г</w:t>
      </w:r>
      <w:r w:rsidRPr="008464E7">
        <w:rPr>
          <w:lang w:val="en-US"/>
        </w:rPr>
        <w:t xml:space="preserve">.;50(1):25–39. </w:t>
      </w:r>
    </w:p>
    <w:p w14:paraId="661D75F3" w14:textId="4FE2521D" w:rsidR="008464E7" w:rsidRDefault="008464E7" w:rsidP="001C0A37">
      <w:pPr>
        <w:pStyle w:val="afff2"/>
        <w:ind w:left="426" w:hanging="284"/>
      </w:pPr>
      <w:r w:rsidRPr="008464E7">
        <w:rPr>
          <w:lang w:val="en-US"/>
        </w:rPr>
        <w:t>46.</w:t>
      </w:r>
      <w:r w:rsidR="00147F06" w:rsidRPr="00A76175">
        <w:rPr>
          <w:lang w:val="en-US"/>
        </w:rPr>
        <w:t xml:space="preserve"> </w:t>
      </w:r>
      <w:r w:rsidRPr="008464E7">
        <w:rPr>
          <w:lang w:val="en-US"/>
        </w:rPr>
        <w:t xml:space="preserve">Zembruski NCL, Haefeli WE, Weiss J. Interaction potential of etravirine with drug transporters assessed in vitro. </w:t>
      </w:r>
      <w:r>
        <w:t xml:space="preserve">Antimicrob Agents Chemother. март 2011 г.;55(3):1282–4. </w:t>
      </w:r>
    </w:p>
    <w:p w14:paraId="1342D860" w14:textId="3874F15C" w:rsidR="008464E7" w:rsidRDefault="008464E7" w:rsidP="001C0A37">
      <w:pPr>
        <w:pStyle w:val="afff2"/>
        <w:ind w:left="426" w:hanging="284"/>
      </w:pPr>
      <w:r>
        <w:t>47.</w:t>
      </w:r>
      <w:r w:rsidR="00147F06">
        <w:t xml:space="preserve"> </w:t>
      </w:r>
      <w:r>
        <w:t>Национальная ассоциация специалистов по профилактике, диагностике и лечению ВИЧ-инфекции. Клинические рекомендации. ВИЧ-инфекция у детей 2020 (проект) [Интернет]. Министерство Здравоохранения Российской Федерации; 2020. Доступно на: http://rushiv.ru/klinicheskie-rekomendatsii-vich-infektsiya-u-detej-2020/</w:t>
      </w:r>
    </w:p>
    <w:p w14:paraId="0673A056" w14:textId="795C338E" w:rsidR="008464E7" w:rsidRPr="00F9478A" w:rsidRDefault="008464E7" w:rsidP="001C0A37">
      <w:pPr>
        <w:pStyle w:val="afff2"/>
        <w:ind w:left="426" w:hanging="284"/>
        <w:rPr>
          <w:lang w:val="en-US"/>
        </w:rPr>
      </w:pPr>
      <w:r w:rsidRPr="008464E7">
        <w:rPr>
          <w:lang w:val="en-US"/>
        </w:rPr>
        <w:t>48.</w:t>
      </w:r>
      <w:r w:rsidR="00147F06" w:rsidRPr="00A76175">
        <w:rPr>
          <w:lang w:val="en-US"/>
        </w:rPr>
        <w:t xml:space="preserve"> </w:t>
      </w:r>
      <w:r w:rsidRPr="008464E7">
        <w:rPr>
          <w:lang w:val="en-US"/>
        </w:rPr>
        <w:t xml:space="preserve">OARAC. Guidelines for the Use of Antiretroviral Agents in Adults and Adolescents Living with HIV </w:t>
      </w:r>
    </w:p>
    <w:p w14:paraId="1CDAC555" w14:textId="6132C652" w:rsidR="008464E7" w:rsidRPr="00F9478A" w:rsidRDefault="008464E7" w:rsidP="001C0A37">
      <w:pPr>
        <w:pStyle w:val="afff2"/>
        <w:ind w:left="426" w:hanging="284"/>
        <w:rPr>
          <w:lang w:val="en-US"/>
        </w:rPr>
      </w:pPr>
      <w:r w:rsidRPr="008464E7">
        <w:rPr>
          <w:lang w:val="en-US"/>
        </w:rPr>
        <w:t>49.</w:t>
      </w:r>
      <w:r w:rsidR="00147F06" w:rsidRPr="00A76175">
        <w:rPr>
          <w:lang w:val="en-US"/>
        </w:rPr>
        <w:t xml:space="preserve"> </w:t>
      </w:r>
      <w:r w:rsidRPr="008464E7">
        <w:rPr>
          <w:lang w:val="en-US"/>
        </w:rPr>
        <w:t xml:space="preserve">European AIDS Clinical Society. EACS Guidelines (version 10.0) </w:t>
      </w:r>
    </w:p>
    <w:p w14:paraId="0FD1094D" w14:textId="73EF1BD1" w:rsidR="008464E7" w:rsidRPr="008464E7" w:rsidRDefault="008464E7" w:rsidP="001C0A37">
      <w:pPr>
        <w:pStyle w:val="afff2"/>
        <w:ind w:left="426" w:hanging="284"/>
        <w:rPr>
          <w:lang w:val="en-US"/>
        </w:rPr>
      </w:pPr>
      <w:r w:rsidRPr="008464E7">
        <w:rPr>
          <w:lang w:val="en-US"/>
        </w:rPr>
        <w:t>50.</w:t>
      </w:r>
      <w:r w:rsidR="00147F06" w:rsidRPr="00A76175">
        <w:rPr>
          <w:lang w:val="en-US"/>
        </w:rPr>
        <w:t xml:space="preserve"> </w:t>
      </w:r>
      <w:r w:rsidRPr="008464E7">
        <w:rPr>
          <w:lang w:val="en-US"/>
        </w:rPr>
        <w:t xml:space="preserve">Kakuda TN, Schöller-Gyüre M, Hoetelmans RMW. Clinical perspective on antiretroviral drug-drug interactions with the non-nucleoside reverse transcriptase inhibitor etravirine. Antivir Ther. 2010 </w:t>
      </w:r>
      <w:r>
        <w:t>г</w:t>
      </w:r>
      <w:r w:rsidRPr="008464E7">
        <w:rPr>
          <w:lang w:val="en-US"/>
        </w:rPr>
        <w:t xml:space="preserve">.;15(6):817–29. </w:t>
      </w:r>
    </w:p>
    <w:p w14:paraId="615E8405" w14:textId="370B0D93" w:rsidR="008464E7" w:rsidRPr="008464E7" w:rsidRDefault="008464E7" w:rsidP="001C0A37">
      <w:pPr>
        <w:pStyle w:val="afff2"/>
        <w:ind w:left="426" w:hanging="284"/>
        <w:rPr>
          <w:lang w:val="en-US"/>
        </w:rPr>
      </w:pPr>
      <w:r w:rsidRPr="008464E7">
        <w:rPr>
          <w:lang w:val="en-US"/>
        </w:rPr>
        <w:t>51.</w:t>
      </w:r>
      <w:r w:rsidR="00147F06" w:rsidRPr="00A76175">
        <w:rPr>
          <w:lang w:val="en-US"/>
        </w:rPr>
        <w:t xml:space="preserve"> </w:t>
      </w:r>
      <w:r w:rsidRPr="008464E7">
        <w:rPr>
          <w:lang w:val="en-US"/>
        </w:rPr>
        <w:t>Dt J, L E, J C. Etravirine: the renaissance of non-nucleoside reverse transcriptase inhibitors. Expert opinion on pharmacotherapy [</w:t>
      </w:r>
      <w:r>
        <w:t>Интернет</w:t>
      </w:r>
      <w:r w:rsidRPr="008464E7">
        <w:rPr>
          <w:lang w:val="en-US"/>
        </w:rPr>
        <w:t xml:space="preserve">]. </w:t>
      </w:r>
      <w:r>
        <w:t>декабрь</w:t>
      </w:r>
      <w:r w:rsidRPr="008464E7">
        <w:rPr>
          <w:lang w:val="en-US"/>
        </w:rPr>
        <w:t xml:space="preserve"> 2008 </w:t>
      </w:r>
      <w:r>
        <w:t>г</w:t>
      </w:r>
      <w:r w:rsidRPr="008464E7">
        <w:rPr>
          <w:lang w:val="en-US"/>
        </w:rPr>
        <w:t xml:space="preserve">. </w:t>
      </w:r>
    </w:p>
    <w:p w14:paraId="01FBA4BD" w14:textId="3E148291" w:rsidR="008464E7" w:rsidRPr="00F9478A" w:rsidRDefault="008464E7" w:rsidP="001C0A37">
      <w:pPr>
        <w:pStyle w:val="afff2"/>
        <w:ind w:left="426" w:hanging="284"/>
        <w:rPr>
          <w:lang w:val="en-US"/>
        </w:rPr>
      </w:pPr>
      <w:r w:rsidRPr="008464E7">
        <w:rPr>
          <w:lang w:val="en-US"/>
        </w:rPr>
        <w:t>52.</w:t>
      </w:r>
      <w:r w:rsidR="00147F06" w:rsidRPr="00A76175">
        <w:rPr>
          <w:lang w:val="en-US"/>
        </w:rPr>
        <w:t xml:space="preserve"> </w:t>
      </w:r>
      <w:r w:rsidRPr="008464E7">
        <w:rPr>
          <w:lang w:val="en-US"/>
        </w:rPr>
        <w:t>Drug Approval Package: Intelence (Etravirine) NDA #02218. Microbiology Review(s). NDA 22-187. [</w:t>
      </w:r>
      <w:r>
        <w:t>Интернет</w:t>
      </w:r>
      <w:r w:rsidRPr="008464E7">
        <w:rPr>
          <w:lang w:val="en-US"/>
        </w:rPr>
        <w:t xml:space="preserve">]. </w:t>
      </w:r>
      <w:r w:rsidRPr="00F9478A">
        <w:rPr>
          <w:lang w:val="en-US"/>
        </w:rPr>
        <w:t xml:space="preserve">2022 </w:t>
      </w:r>
    </w:p>
    <w:p w14:paraId="2DEB8FDF" w14:textId="33E1B710" w:rsidR="008464E7" w:rsidRDefault="008464E7" w:rsidP="001C0A37">
      <w:pPr>
        <w:pStyle w:val="afff2"/>
        <w:ind w:left="426" w:hanging="284"/>
      </w:pPr>
      <w:r w:rsidRPr="008464E7">
        <w:rPr>
          <w:lang w:val="en-US"/>
        </w:rPr>
        <w:t>53.</w:t>
      </w:r>
      <w:r w:rsidR="00147F06" w:rsidRPr="00A76175">
        <w:rPr>
          <w:lang w:val="en-US"/>
        </w:rPr>
        <w:t xml:space="preserve"> </w:t>
      </w:r>
      <w:r w:rsidRPr="008464E7">
        <w:rPr>
          <w:lang w:val="en-US"/>
        </w:rPr>
        <w:t xml:space="preserve">Alfedi G, Luffarelli R, Condò I, Pedini G, Mannucci L, Massaro DS, </w:t>
      </w:r>
      <w:r>
        <w:t>и</w:t>
      </w:r>
      <w:r w:rsidRPr="008464E7">
        <w:rPr>
          <w:lang w:val="en-US"/>
        </w:rPr>
        <w:t xml:space="preserve"> </w:t>
      </w:r>
      <w:r>
        <w:t>др</w:t>
      </w:r>
      <w:r w:rsidRPr="008464E7">
        <w:rPr>
          <w:lang w:val="en-US"/>
        </w:rPr>
        <w:t xml:space="preserve">. Drug repositioning screening identifies etravirine as a potential therapeutic for friedreich’s ataxia. </w:t>
      </w:r>
      <w:r>
        <w:t xml:space="preserve">Mov Disord. март 2019 г.;34(3):323–34. </w:t>
      </w:r>
    </w:p>
    <w:p w14:paraId="40FB341B" w14:textId="7538B81A" w:rsidR="008464E7" w:rsidRDefault="008464E7" w:rsidP="001C0A37">
      <w:pPr>
        <w:pStyle w:val="afff2"/>
        <w:ind w:left="426" w:hanging="284"/>
      </w:pPr>
      <w:r>
        <w:t>54.</w:t>
      </w:r>
      <w:r w:rsidR="00147F06">
        <w:t xml:space="preserve"> </w:t>
      </w:r>
      <w:r>
        <w:t xml:space="preserve">Министерство здравоохранения Российской Федерации. Клинические рекомендации ВИЧ-инфекция у взрослых. 2020. </w:t>
      </w:r>
    </w:p>
    <w:p w14:paraId="000AD557" w14:textId="1BFBAEBD" w:rsidR="008464E7" w:rsidRPr="008464E7" w:rsidRDefault="008464E7" w:rsidP="001C0A37">
      <w:pPr>
        <w:pStyle w:val="afff2"/>
        <w:ind w:left="426" w:hanging="284"/>
        <w:rPr>
          <w:lang w:val="en-US"/>
        </w:rPr>
      </w:pPr>
      <w:r>
        <w:t>55.</w:t>
      </w:r>
      <w:r w:rsidR="00147F06">
        <w:t xml:space="preserve"> </w:t>
      </w:r>
      <w:r>
        <w:t xml:space="preserve">Министерство здравоохранения Российской Федерации. Клинические рекомендации ВИЧ-инфекция у детей. </w:t>
      </w:r>
      <w:r w:rsidRPr="008464E7">
        <w:rPr>
          <w:lang w:val="en-US"/>
        </w:rPr>
        <w:t xml:space="preserve">2020. </w:t>
      </w:r>
    </w:p>
    <w:p w14:paraId="3AA722CD" w14:textId="216B54B7" w:rsidR="008464E7" w:rsidRPr="008464E7" w:rsidRDefault="008464E7" w:rsidP="001C0A37">
      <w:pPr>
        <w:pStyle w:val="afff2"/>
        <w:ind w:left="426" w:hanging="284"/>
        <w:rPr>
          <w:lang w:val="en-US"/>
        </w:rPr>
      </w:pPr>
      <w:r w:rsidRPr="008464E7">
        <w:rPr>
          <w:lang w:val="en-US"/>
        </w:rPr>
        <w:t>56.</w:t>
      </w:r>
      <w:r w:rsidR="00147F06" w:rsidRPr="00A76175">
        <w:rPr>
          <w:lang w:val="en-US"/>
        </w:rPr>
        <w:t xml:space="preserve"> </w:t>
      </w:r>
      <w:r w:rsidRPr="008464E7">
        <w:rPr>
          <w:lang w:val="en-US"/>
        </w:rPr>
        <w:t xml:space="preserve">British HIV Association (BHIVA) guidelines on antiretroviral treatment for adults living with HIV-1. 2022. </w:t>
      </w:r>
    </w:p>
    <w:p w14:paraId="38EEF528" w14:textId="2D9DB1F8" w:rsidR="008464E7" w:rsidRPr="008464E7" w:rsidRDefault="008464E7" w:rsidP="001C0A37">
      <w:pPr>
        <w:pStyle w:val="afff2"/>
        <w:ind w:left="426" w:hanging="284"/>
        <w:rPr>
          <w:lang w:val="en-US"/>
        </w:rPr>
      </w:pPr>
      <w:r w:rsidRPr="008464E7">
        <w:rPr>
          <w:lang w:val="en-US"/>
        </w:rPr>
        <w:t>57.</w:t>
      </w:r>
      <w:r w:rsidR="00147F06" w:rsidRPr="00A76175">
        <w:rPr>
          <w:lang w:val="en-US"/>
        </w:rPr>
        <w:t xml:space="preserve"> </w:t>
      </w:r>
      <w:r w:rsidRPr="008464E7">
        <w:rPr>
          <w:lang w:val="en-US"/>
        </w:rPr>
        <w:t xml:space="preserve">World Health Organization publishes new Consolidated HIV guidelines for prevention, treatment, service delivery &amp; monitoring - news release. 2021. </w:t>
      </w:r>
    </w:p>
    <w:p w14:paraId="423FC91C" w14:textId="15C1477F" w:rsidR="008464E7" w:rsidRPr="008464E7" w:rsidRDefault="008464E7" w:rsidP="001C0A37">
      <w:pPr>
        <w:pStyle w:val="afff2"/>
        <w:ind w:left="426" w:hanging="284"/>
        <w:rPr>
          <w:lang w:val="en-US"/>
        </w:rPr>
      </w:pPr>
      <w:r w:rsidRPr="008464E7">
        <w:rPr>
          <w:lang w:val="en-US"/>
        </w:rPr>
        <w:t>58.</w:t>
      </w:r>
      <w:r w:rsidR="00147F06" w:rsidRPr="00A76175">
        <w:rPr>
          <w:lang w:val="en-US"/>
        </w:rPr>
        <w:t xml:space="preserve"> </w:t>
      </w:r>
      <w:r w:rsidRPr="008464E7">
        <w:rPr>
          <w:lang w:val="en-US"/>
        </w:rPr>
        <w:t xml:space="preserve">European AIDS Clinical Society (EACS)  Guidelines. 2021. </w:t>
      </w:r>
    </w:p>
    <w:p w14:paraId="24131F40" w14:textId="32E082CB" w:rsidR="008464E7" w:rsidRPr="008464E7" w:rsidRDefault="008464E7" w:rsidP="001C0A37">
      <w:pPr>
        <w:pStyle w:val="afff2"/>
        <w:ind w:left="426" w:hanging="284"/>
        <w:rPr>
          <w:lang w:val="en-US"/>
        </w:rPr>
      </w:pPr>
      <w:r w:rsidRPr="008464E7">
        <w:rPr>
          <w:lang w:val="en-US"/>
        </w:rPr>
        <w:t>59.</w:t>
      </w:r>
      <w:r w:rsidR="00147F06" w:rsidRPr="00A76175">
        <w:rPr>
          <w:lang w:val="en-US"/>
        </w:rPr>
        <w:t xml:space="preserve"> </w:t>
      </w:r>
      <w:r w:rsidRPr="008464E7">
        <w:rPr>
          <w:lang w:val="en-US"/>
        </w:rPr>
        <w:t xml:space="preserve">Drug Approval Package: Intelence (Etravirine) NDA #02218. Pharmacology Review(s) Drug Approval Package: Etravirine. NDA 22-187. Part I. </w:t>
      </w:r>
    </w:p>
    <w:p w14:paraId="0CA29931" w14:textId="6A066D4D" w:rsidR="008464E7" w:rsidRPr="008464E7" w:rsidRDefault="008464E7" w:rsidP="001C0A37">
      <w:pPr>
        <w:pStyle w:val="afff2"/>
        <w:ind w:left="426" w:hanging="284"/>
        <w:rPr>
          <w:lang w:val="en-US"/>
        </w:rPr>
      </w:pPr>
      <w:r w:rsidRPr="008464E7">
        <w:rPr>
          <w:lang w:val="en-US"/>
        </w:rPr>
        <w:t>60.</w:t>
      </w:r>
      <w:r w:rsidR="00147F06" w:rsidRPr="00A76175">
        <w:rPr>
          <w:lang w:val="en-US"/>
        </w:rPr>
        <w:t xml:space="preserve"> </w:t>
      </w:r>
      <w:r w:rsidRPr="008464E7">
        <w:rPr>
          <w:lang w:val="en-US"/>
        </w:rPr>
        <w:t xml:space="preserve">Drug Approval Package: Intelence (Etravirine) NDA #02218. Pharmacology Review(s) Drug Approval Package: Etravirine. NDA 22-187. Part II. </w:t>
      </w:r>
    </w:p>
    <w:p w14:paraId="54DBB674" w14:textId="139C0EB9" w:rsidR="008464E7" w:rsidRPr="008464E7" w:rsidRDefault="008464E7" w:rsidP="001C0A37">
      <w:pPr>
        <w:pStyle w:val="afff2"/>
        <w:ind w:left="426" w:hanging="284"/>
        <w:rPr>
          <w:lang w:val="en-US"/>
        </w:rPr>
      </w:pPr>
      <w:r w:rsidRPr="008464E7">
        <w:rPr>
          <w:lang w:val="en-US"/>
        </w:rPr>
        <w:t>61.</w:t>
      </w:r>
      <w:r w:rsidR="00147F06" w:rsidRPr="00A76175">
        <w:rPr>
          <w:lang w:val="en-US"/>
        </w:rPr>
        <w:t xml:space="preserve"> </w:t>
      </w:r>
      <w:r w:rsidRPr="008464E7">
        <w:rPr>
          <w:lang w:val="en-US"/>
        </w:rPr>
        <w:t xml:space="preserve">Katlama C, Haubrich R, Lalezari J, Lazzarin A, Madruga JV, Molina JM, </w:t>
      </w:r>
      <w:r>
        <w:t>и</w:t>
      </w:r>
      <w:r w:rsidRPr="008464E7">
        <w:rPr>
          <w:lang w:val="en-US"/>
        </w:rPr>
        <w:t xml:space="preserve"> </w:t>
      </w:r>
      <w:r>
        <w:t>др</w:t>
      </w:r>
      <w:r w:rsidRPr="008464E7">
        <w:rPr>
          <w:lang w:val="en-US"/>
        </w:rPr>
        <w:t xml:space="preserve">. Efficacy and safety of etravirine in treatment-experienced, HIV-1 patients: pooled 48 week analysis of two randomized, controlled trials. AIDS. 13 </w:t>
      </w:r>
      <w:r>
        <w:t>ноябрь</w:t>
      </w:r>
      <w:r w:rsidRPr="008464E7">
        <w:rPr>
          <w:lang w:val="en-US"/>
        </w:rPr>
        <w:t xml:space="preserve"> 2009 </w:t>
      </w:r>
      <w:r>
        <w:t>г</w:t>
      </w:r>
      <w:r w:rsidRPr="008464E7">
        <w:rPr>
          <w:lang w:val="en-US"/>
        </w:rPr>
        <w:t xml:space="preserve">.;23(17):2289–300. </w:t>
      </w:r>
    </w:p>
    <w:p w14:paraId="0BF36F30" w14:textId="64ED8A53" w:rsidR="008464E7" w:rsidRPr="008464E7" w:rsidRDefault="008464E7" w:rsidP="001C0A37">
      <w:pPr>
        <w:pStyle w:val="afff2"/>
        <w:ind w:left="426" w:hanging="284"/>
        <w:rPr>
          <w:lang w:val="en-US"/>
        </w:rPr>
      </w:pPr>
      <w:r w:rsidRPr="008464E7">
        <w:rPr>
          <w:lang w:val="en-US"/>
        </w:rPr>
        <w:t>62.</w:t>
      </w:r>
      <w:r w:rsidR="00444D0D" w:rsidRPr="00A76175">
        <w:rPr>
          <w:lang w:val="en-US"/>
        </w:rPr>
        <w:t xml:space="preserve"> </w:t>
      </w:r>
      <w:r w:rsidRPr="008464E7">
        <w:rPr>
          <w:lang w:val="en-US"/>
        </w:rPr>
        <w:t xml:space="preserve">Lazzarin A, Campbell T, Clotet B, Johnson M, Katlama C, Moll A, </w:t>
      </w:r>
      <w:r>
        <w:t>и</w:t>
      </w:r>
      <w:r w:rsidRPr="008464E7">
        <w:rPr>
          <w:lang w:val="en-US"/>
        </w:rPr>
        <w:t xml:space="preserve"> </w:t>
      </w:r>
      <w:r>
        <w:t>др</w:t>
      </w:r>
      <w:r w:rsidRPr="008464E7">
        <w:rPr>
          <w:lang w:val="en-US"/>
        </w:rPr>
        <w:t xml:space="preserve">. Efficacy and safety of TMC125 (etravirine) in treatment-experienced HIV-1-infected patients in DUET-2: 24-week results from a randomised, double-blind, placebo-controlled trial. Lancet. 7 </w:t>
      </w:r>
      <w:r>
        <w:t>июль</w:t>
      </w:r>
      <w:r w:rsidRPr="008464E7">
        <w:rPr>
          <w:lang w:val="en-US"/>
        </w:rPr>
        <w:t xml:space="preserve"> 2007 </w:t>
      </w:r>
      <w:r>
        <w:t>г</w:t>
      </w:r>
      <w:r w:rsidRPr="008464E7">
        <w:rPr>
          <w:lang w:val="en-US"/>
        </w:rPr>
        <w:t xml:space="preserve">.;370(9581):39–48. </w:t>
      </w:r>
    </w:p>
    <w:p w14:paraId="14FD3F42" w14:textId="07E0780F" w:rsidR="008464E7" w:rsidRPr="008464E7" w:rsidRDefault="008464E7" w:rsidP="001C0A37">
      <w:pPr>
        <w:pStyle w:val="afff2"/>
        <w:ind w:left="426" w:hanging="284"/>
        <w:rPr>
          <w:lang w:val="en-US"/>
        </w:rPr>
      </w:pPr>
      <w:r w:rsidRPr="008464E7">
        <w:rPr>
          <w:lang w:val="en-US"/>
        </w:rPr>
        <w:t>63.</w:t>
      </w:r>
      <w:r w:rsidR="00444D0D" w:rsidRPr="00A76175">
        <w:rPr>
          <w:lang w:val="en-US"/>
        </w:rPr>
        <w:t xml:space="preserve"> </w:t>
      </w:r>
      <w:r w:rsidRPr="008464E7">
        <w:rPr>
          <w:lang w:val="en-US"/>
        </w:rPr>
        <w:t xml:space="preserve">Madruga JV, Cahn P, Grinsztejn B, Haubrich R, Lalezari J, Mills A, </w:t>
      </w:r>
      <w:r>
        <w:t>и</w:t>
      </w:r>
      <w:r w:rsidRPr="008464E7">
        <w:rPr>
          <w:lang w:val="en-US"/>
        </w:rPr>
        <w:t xml:space="preserve"> </w:t>
      </w:r>
      <w:r>
        <w:t>др</w:t>
      </w:r>
      <w:r w:rsidRPr="008464E7">
        <w:rPr>
          <w:lang w:val="en-US"/>
        </w:rPr>
        <w:t xml:space="preserve">. Efficacy and safety of TMC125 (etravirine) in treatment-experienced HIV-1-infected patients in DUET-1: 24-week results from a randomised, double-blind, placebo-controlled trial. Lancet. 7 </w:t>
      </w:r>
      <w:r>
        <w:t>июль</w:t>
      </w:r>
      <w:r w:rsidRPr="008464E7">
        <w:rPr>
          <w:lang w:val="en-US"/>
        </w:rPr>
        <w:t xml:space="preserve"> 2007 </w:t>
      </w:r>
      <w:r>
        <w:t>г</w:t>
      </w:r>
      <w:r w:rsidRPr="008464E7">
        <w:rPr>
          <w:lang w:val="en-US"/>
        </w:rPr>
        <w:t xml:space="preserve">.;370(9581):29–38. </w:t>
      </w:r>
    </w:p>
    <w:p w14:paraId="52709101" w14:textId="496A8C20" w:rsidR="008464E7" w:rsidRDefault="008464E7" w:rsidP="001C0A37">
      <w:pPr>
        <w:pStyle w:val="afff2"/>
        <w:ind w:left="426" w:hanging="284"/>
      </w:pPr>
      <w:r w:rsidRPr="008464E7">
        <w:rPr>
          <w:lang w:val="en-US"/>
        </w:rPr>
        <w:t>64.</w:t>
      </w:r>
      <w:r w:rsidR="00444D0D" w:rsidRPr="00A76175">
        <w:rPr>
          <w:lang w:val="en-US"/>
        </w:rPr>
        <w:t xml:space="preserve"> </w:t>
      </w:r>
      <w:r w:rsidRPr="008464E7">
        <w:rPr>
          <w:lang w:val="en-US"/>
        </w:rPr>
        <w:t>Efficacy and safety of etravirine in treatment-experienced, HIV-1 patients: pooled 48 week analysis of two randomized, controlled trials - PubMed [</w:t>
      </w:r>
      <w:r>
        <w:t>Интернет</w:t>
      </w:r>
      <w:r w:rsidRPr="008464E7">
        <w:rPr>
          <w:lang w:val="en-US"/>
        </w:rPr>
        <w:t xml:space="preserve">]. </w:t>
      </w:r>
      <w:r>
        <w:t>[цитируется по 23 август 2022 г.]. Доступно на: https://pubmed.ncbi.nlm.nih.gov/19710593/</w:t>
      </w:r>
    </w:p>
    <w:p w14:paraId="4377BEE3" w14:textId="178E75B4" w:rsidR="008464E7" w:rsidRPr="008464E7" w:rsidRDefault="008464E7" w:rsidP="001C0A37">
      <w:pPr>
        <w:pStyle w:val="afff2"/>
        <w:ind w:left="426" w:hanging="284"/>
        <w:rPr>
          <w:lang w:val="en-US"/>
        </w:rPr>
      </w:pPr>
      <w:r w:rsidRPr="008464E7">
        <w:rPr>
          <w:lang w:val="en-US"/>
        </w:rPr>
        <w:t>65.</w:t>
      </w:r>
      <w:r w:rsidR="00444D0D" w:rsidRPr="00A76175">
        <w:rPr>
          <w:lang w:val="en-US"/>
        </w:rPr>
        <w:t xml:space="preserve"> </w:t>
      </w:r>
      <w:r w:rsidRPr="008464E7">
        <w:rPr>
          <w:lang w:val="en-US"/>
        </w:rPr>
        <w:t xml:space="preserve">Katlama C, Clotet B, Mills A, Trottier B, Molina JM, Grinsztejn B, </w:t>
      </w:r>
      <w:r>
        <w:t>и</w:t>
      </w:r>
      <w:r w:rsidRPr="008464E7">
        <w:rPr>
          <w:lang w:val="en-US"/>
        </w:rPr>
        <w:t xml:space="preserve"> </w:t>
      </w:r>
      <w:r>
        <w:t>др</w:t>
      </w:r>
      <w:r w:rsidRPr="008464E7">
        <w:rPr>
          <w:lang w:val="en-US"/>
        </w:rPr>
        <w:t xml:space="preserve">. Efficacy and safety of etravirine at week 96 in treatment-experienced HIV type-1-infected patients in the DUET-1 and DUET-2 trials. Antivir Ther (Lond). 2010 </w:t>
      </w:r>
      <w:r>
        <w:t>г</w:t>
      </w:r>
      <w:r w:rsidRPr="008464E7">
        <w:rPr>
          <w:lang w:val="en-US"/>
        </w:rPr>
        <w:t xml:space="preserve">.;15(7):1045–52. </w:t>
      </w:r>
    </w:p>
    <w:p w14:paraId="63E2D70A" w14:textId="4F463835" w:rsidR="008464E7" w:rsidRPr="008464E7" w:rsidRDefault="008464E7" w:rsidP="001C0A37">
      <w:pPr>
        <w:pStyle w:val="afff2"/>
        <w:ind w:left="426" w:hanging="284"/>
        <w:rPr>
          <w:lang w:val="en-US"/>
        </w:rPr>
      </w:pPr>
      <w:r w:rsidRPr="008464E7">
        <w:rPr>
          <w:lang w:val="en-US"/>
        </w:rPr>
        <w:t>66.</w:t>
      </w:r>
      <w:r w:rsidR="00444D0D" w:rsidRPr="00A76175">
        <w:rPr>
          <w:lang w:val="en-US"/>
        </w:rPr>
        <w:t xml:space="preserve"> </w:t>
      </w:r>
      <w:r w:rsidRPr="008464E7">
        <w:rPr>
          <w:lang w:val="en-US"/>
        </w:rPr>
        <w:t xml:space="preserve">Clumeck N, Cahn P, Molina JM, Mills A, Nijs S, Vingerhoets J, </w:t>
      </w:r>
      <w:r>
        <w:t>и</w:t>
      </w:r>
      <w:r w:rsidRPr="008464E7">
        <w:rPr>
          <w:lang w:val="en-US"/>
        </w:rPr>
        <w:t xml:space="preserve"> </w:t>
      </w:r>
      <w:r>
        <w:t>др</w:t>
      </w:r>
      <w:r w:rsidRPr="008464E7">
        <w:rPr>
          <w:lang w:val="en-US"/>
        </w:rPr>
        <w:t xml:space="preserve">. Virological response with fully active etravirine: pooled results from the DUET-1 and DUET-2 trials. Int J STD AIDS. </w:t>
      </w:r>
      <w:r>
        <w:t>ноябрь</w:t>
      </w:r>
      <w:r w:rsidRPr="008464E7">
        <w:rPr>
          <w:lang w:val="en-US"/>
        </w:rPr>
        <w:t xml:space="preserve"> 2010 </w:t>
      </w:r>
      <w:r>
        <w:t>г</w:t>
      </w:r>
      <w:r w:rsidRPr="008464E7">
        <w:rPr>
          <w:lang w:val="en-US"/>
        </w:rPr>
        <w:t xml:space="preserve">.;21(11):738–40. </w:t>
      </w:r>
    </w:p>
    <w:p w14:paraId="10608CE7" w14:textId="53E71D79" w:rsidR="008464E7" w:rsidRPr="008464E7" w:rsidRDefault="008464E7" w:rsidP="001C0A37">
      <w:pPr>
        <w:pStyle w:val="afff2"/>
        <w:ind w:left="426" w:hanging="284"/>
        <w:rPr>
          <w:lang w:val="en-US"/>
        </w:rPr>
      </w:pPr>
      <w:r w:rsidRPr="008464E7">
        <w:rPr>
          <w:lang w:val="en-US"/>
        </w:rPr>
        <w:t>67.</w:t>
      </w:r>
      <w:r w:rsidR="00444D0D" w:rsidRPr="00A76175">
        <w:rPr>
          <w:lang w:val="en-US"/>
        </w:rPr>
        <w:t xml:space="preserve"> </w:t>
      </w:r>
      <w:r w:rsidRPr="008464E7">
        <w:rPr>
          <w:lang w:val="en-US"/>
        </w:rPr>
        <w:t xml:space="preserve">Trottier B, Di Perri G, Madruga JV, Peeters M, Vingerhoets J, Picchio G, </w:t>
      </w:r>
      <w:r>
        <w:t>и</w:t>
      </w:r>
      <w:r w:rsidRPr="008464E7">
        <w:rPr>
          <w:lang w:val="en-US"/>
        </w:rPr>
        <w:t xml:space="preserve"> </w:t>
      </w:r>
      <w:r>
        <w:t>др</w:t>
      </w:r>
      <w:r w:rsidRPr="008464E7">
        <w:rPr>
          <w:lang w:val="en-US"/>
        </w:rPr>
        <w:t xml:space="preserve">. Impact of the background regimen on virologic response to etravirine: pooled 48-week analysis of DUET-1 and -2. HIV Clin Trials. </w:t>
      </w:r>
      <w:r>
        <w:t>август</w:t>
      </w:r>
      <w:r w:rsidRPr="008464E7">
        <w:rPr>
          <w:lang w:val="en-US"/>
        </w:rPr>
        <w:t xml:space="preserve"> 2010 </w:t>
      </w:r>
      <w:r>
        <w:t>г</w:t>
      </w:r>
      <w:r w:rsidRPr="008464E7">
        <w:rPr>
          <w:lang w:val="en-US"/>
        </w:rPr>
        <w:t xml:space="preserve">.;11(4):175–85. </w:t>
      </w:r>
    </w:p>
    <w:p w14:paraId="630A2D78" w14:textId="64628B17" w:rsidR="008464E7" w:rsidRPr="008464E7" w:rsidRDefault="008464E7" w:rsidP="001C0A37">
      <w:pPr>
        <w:pStyle w:val="afff2"/>
        <w:ind w:left="426" w:hanging="284"/>
        <w:rPr>
          <w:lang w:val="en-US"/>
        </w:rPr>
      </w:pPr>
      <w:r w:rsidRPr="008464E7">
        <w:rPr>
          <w:lang w:val="en-US"/>
        </w:rPr>
        <w:t>68.</w:t>
      </w:r>
      <w:r w:rsidR="00444D0D" w:rsidRPr="00A76175">
        <w:rPr>
          <w:lang w:val="en-US"/>
        </w:rPr>
        <w:t xml:space="preserve"> </w:t>
      </w:r>
      <w:r w:rsidRPr="008464E7">
        <w:rPr>
          <w:lang w:val="en-US"/>
        </w:rPr>
        <w:t xml:space="preserve">Echeverría P, Bonjoch A, Puig J, Moltó J, Paredes R, Sirera G, </w:t>
      </w:r>
      <w:r>
        <w:t>и</w:t>
      </w:r>
      <w:r w:rsidRPr="008464E7">
        <w:rPr>
          <w:lang w:val="en-US"/>
        </w:rPr>
        <w:t xml:space="preserve"> </w:t>
      </w:r>
      <w:r>
        <w:t>др</w:t>
      </w:r>
      <w:r w:rsidRPr="008464E7">
        <w:rPr>
          <w:lang w:val="en-US"/>
        </w:rPr>
        <w:t xml:space="preserve">. Randomised study to assess the efficacy and safety of once-daily etravirine-based regimen as a switching strategy in HIV-infected patients receiving a protease inhibitor-containing regimen. Etraswitch study. PLoS One. 2014 </w:t>
      </w:r>
      <w:r>
        <w:t>г</w:t>
      </w:r>
      <w:r w:rsidRPr="008464E7">
        <w:rPr>
          <w:lang w:val="en-US"/>
        </w:rPr>
        <w:t xml:space="preserve">.;9(2):e84676. </w:t>
      </w:r>
    </w:p>
    <w:p w14:paraId="187F2D3D" w14:textId="337ECCEB" w:rsidR="008464E7" w:rsidRPr="008464E7" w:rsidRDefault="008464E7" w:rsidP="001C0A37">
      <w:pPr>
        <w:pStyle w:val="afff2"/>
        <w:ind w:left="426" w:hanging="284"/>
        <w:rPr>
          <w:lang w:val="en-US"/>
        </w:rPr>
      </w:pPr>
      <w:r w:rsidRPr="008464E7">
        <w:rPr>
          <w:lang w:val="en-US"/>
        </w:rPr>
        <w:t>69.</w:t>
      </w:r>
      <w:r w:rsidR="00444D0D" w:rsidRPr="00A76175">
        <w:rPr>
          <w:lang w:val="en-US"/>
        </w:rPr>
        <w:t xml:space="preserve"> </w:t>
      </w:r>
      <w:r w:rsidRPr="008464E7">
        <w:rPr>
          <w:lang w:val="en-US"/>
        </w:rPr>
        <w:t xml:space="preserve">Yazdanpanah Y, Fagard C, Descamps D, Taburet AM, Colin C, Roquebert B, </w:t>
      </w:r>
      <w:r>
        <w:t>и</w:t>
      </w:r>
      <w:r w:rsidRPr="008464E7">
        <w:rPr>
          <w:lang w:val="en-US"/>
        </w:rPr>
        <w:t xml:space="preserve"> </w:t>
      </w:r>
      <w:r>
        <w:t>др</w:t>
      </w:r>
      <w:r w:rsidRPr="008464E7">
        <w:rPr>
          <w:lang w:val="en-US"/>
        </w:rPr>
        <w:t xml:space="preserve">. High rate of virologic suppression with raltegravir plus etravirine and darunavir/ritonavir among treatment-experienced patients infected with multidrug-resistant HIV: results of the ANRS 139 TRIO trial. Clin Infect Dis. 1 </w:t>
      </w:r>
      <w:r>
        <w:t>ноябрь</w:t>
      </w:r>
      <w:r w:rsidRPr="008464E7">
        <w:rPr>
          <w:lang w:val="en-US"/>
        </w:rPr>
        <w:t xml:space="preserve"> 2009 </w:t>
      </w:r>
      <w:r>
        <w:t>г</w:t>
      </w:r>
      <w:r w:rsidRPr="008464E7">
        <w:rPr>
          <w:lang w:val="en-US"/>
        </w:rPr>
        <w:t xml:space="preserve">.;49(9):1441–9. </w:t>
      </w:r>
    </w:p>
    <w:p w14:paraId="61F72C10" w14:textId="22882BDD" w:rsidR="008464E7" w:rsidRPr="008464E7" w:rsidRDefault="008464E7" w:rsidP="001C0A37">
      <w:pPr>
        <w:pStyle w:val="afff2"/>
        <w:ind w:left="426" w:hanging="284"/>
        <w:rPr>
          <w:lang w:val="en-US"/>
        </w:rPr>
      </w:pPr>
      <w:r w:rsidRPr="008464E7">
        <w:rPr>
          <w:lang w:val="en-US"/>
        </w:rPr>
        <w:t>70.</w:t>
      </w:r>
      <w:r w:rsidR="00444D0D" w:rsidRPr="00A76175">
        <w:rPr>
          <w:lang w:val="en-US"/>
        </w:rPr>
        <w:t xml:space="preserve"> </w:t>
      </w:r>
      <w:r w:rsidRPr="008464E7">
        <w:rPr>
          <w:lang w:val="en-US"/>
        </w:rPr>
        <w:t xml:space="preserve">Ruane PJ, Brinson C, Ramgopal M, Ryan R, Coate B, Cho M, </w:t>
      </w:r>
      <w:r>
        <w:t>и</w:t>
      </w:r>
      <w:r w:rsidRPr="008464E7">
        <w:rPr>
          <w:lang w:val="en-US"/>
        </w:rPr>
        <w:t xml:space="preserve"> </w:t>
      </w:r>
      <w:r>
        <w:t>др</w:t>
      </w:r>
      <w:r w:rsidRPr="008464E7">
        <w:rPr>
          <w:lang w:val="en-US"/>
        </w:rPr>
        <w:t xml:space="preserve">. The Intelence aNd pRezista Once A Day Study (INROADS): a multicentre, single-arm, open-label study of etravirine and darunavir/ritonavir as dual therapy in HIV-1-infected early treatment-experienced subjects. HIV Med. </w:t>
      </w:r>
      <w:r>
        <w:t>май</w:t>
      </w:r>
      <w:r w:rsidRPr="008464E7">
        <w:rPr>
          <w:lang w:val="en-US"/>
        </w:rPr>
        <w:t xml:space="preserve"> 2015 </w:t>
      </w:r>
      <w:r>
        <w:t>г</w:t>
      </w:r>
      <w:r w:rsidRPr="008464E7">
        <w:rPr>
          <w:lang w:val="en-US"/>
        </w:rPr>
        <w:t xml:space="preserve">.;16(5):288–96. </w:t>
      </w:r>
    </w:p>
    <w:p w14:paraId="626256C6" w14:textId="5D07849E" w:rsidR="008464E7" w:rsidRPr="008464E7" w:rsidRDefault="008464E7" w:rsidP="001C0A37">
      <w:pPr>
        <w:pStyle w:val="afff2"/>
        <w:ind w:left="426" w:hanging="284"/>
        <w:rPr>
          <w:lang w:val="en-US"/>
        </w:rPr>
      </w:pPr>
      <w:r w:rsidRPr="008464E7">
        <w:rPr>
          <w:lang w:val="en-US"/>
        </w:rPr>
        <w:t>71.</w:t>
      </w:r>
      <w:r w:rsidR="00444D0D" w:rsidRPr="00A76175">
        <w:rPr>
          <w:lang w:val="en-US"/>
        </w:rPr>
        <w:t xml:space="preserve"> </w:t>
      </w:r>
      <w:r w:rsidRPr="008464E7">
        <w:rPr>
          <w:lang w:val="en-US"/>
        </w:rPr>
        <w:t xml:space="preserve">Katlama C, Assoumou L, Valantin MA, Soulié C, Martinez E, Béniguel L, </w:t>
      </w:r>
      <w:r>
        <w:t>и</w:t>
      </w:r>
      <w:r w:rsidRPr="008464E7">
        <w:rPr>
          <w:lang w:val="en-US"/>
        </w:rPr>
        <w:t xml:space="preserve"> </w:t>
      </w:r>
      <w:r>
        <w:t>др</w:t>
      </w:r>
      <w:r w:rsidRPr="008464E7">
        <w:rPr>
          <w:lang w:val="en-US"/>
        </w:rPr>
        <w:t xml:space="preserve">. Dual therapy combining raltegravir with etravirine maintains a high level of viral suppression over 96 weeks in long-term experienced HIV-infected individuals over 45 years on a PI-based regimen: results from the Phase II ANRS 163 ETRAL study. J Antimicrob Chemother. 1 </w:t>
      </w:r>
      <w:r>
        <w:t>сентябрь</w:t>
      </w:r>
      <w:r w:rsidRPr="008464E7">
        <w:rPr>
          <w:lang w:val="en-US"/>
        </w:rPr>
        <w:t xml:space="preserve"> 2019 </w:t>
      </w:r>
      <w:r>
        <w:t>г</w:t>
      </w:r>
      <w:r w:rsidRPr="008464E7">
        <w:rPr>
          <w:lang w:val="en-US"/>
        </w:rPr>
        <w:t xml:space="preserve">.;74(9):2742–51. </w:t>
      </w:r>
    </w:p>
    <w:p w14:paraId="71A7D885" w14:textId="0477783F" w:rsidR="008464E7" w:rsidRPr="008464E7" w:rsidRDefault="008464E7" w:rsidP="001C0A37">
      <w:pPr>
        <w:pStyle w:val="afff2"/>
        <w:ind w:left="426" w:hanging="284"/>
        <w:rPr>
          <w:lang w:val="en-US"/>
        </w:rPr>
      </w:pPr>
      <w:r w:rsidRPr="008464E7">
        <w:rPr>
          <w:lang w:val="en-US"/>
        </w:rPr>
        <w:t>72.</w:t>
      </w:r>
      <w:r w:rsidR="00444D0D" w:rsidRPr="00A76175">
        <w:rPr>
          <w:lang w:val="en-US"/>
        </w:rPr>
        <w:t xml:space="preserve"> </w:t>
      </w:r>
      <w:r w:rsidRPr="008464E7">
        <w:rPr>
          <w:lang w:val="en-US"/>
        </w:rPr>
        <w:t xml:space="preserve">Floris-Moore MA, Mollan K, Wilkin AM, Johnson MA, Kashuba AD, Wohl DA, </w:t>
      </w:r>
      <w:r>
        <w:t>и</w:t>
      </w:r>
      <w:r w:rsidRPr="008464E7">
        <w:rPr>
          <w:lang w:val="en-US"/>
        </w:rPr>
        <w:t xml:space="preserve"> </w:t>
      </w:r>
      <w:r>
        <w:t>др</w:t>
      </w:r>
      <w:r w:rsidRPr="008464E7">
        <w:rPr>
          <w:lang w:val="en-US"/>
        </w:rPr>
        <w:t xml:space="preserve">. Antiretroviral activity and safety of once-daily etravirine in treatment-naive HIV-infected adults: 48-week results. Antivir Ther. 2016 </w:t>
      </w:r>
      <w:r>
        <w:t>г</w:t>
      </w:r>
      <w:r w:rsidRPr="008464E7">
        <w:rPr>
          <w:lang w:val="en-US"/>
        </w:rPr>
        <w:t xml:space="preserve">.;21(1):55–64. </w:t>
      </w:r>
    </w:p>
    <w:p w14:paraId="4F2A6A6A" w14:textId="764CAA01" w:rsidR="008464E7" w:rsidRPr="008464E7" w:rsidRDefault="008464E7" w:rsidP="001C0A37">
      <w:pPr>
        <w:pStyle w:val="afff2"/>
        <w:ind w:left="426" w:hanging="284"/>
        <w:rPr>
          <w:lang w:val="en-US"/>
        </w:rPr>
      </w:pPr>
      <w:r w:rsidRPr="008464E7">
        <w:rPr>
          <w:lang w:val="en-US"/>
        </w:rPr>
        <w:t>73.</w:t>
      </w:r>
      <w:r w:rsidR="00444D0D" w:rsidRPr="00A76175">
        <w:rPr>
          <w:lang w:val="en-US"/>
        </w:rPr>
        <w:t xml:space="preserve"> </w:t>
      </w:r>
      <w:r w:rsidRPr="008464E7">
        <w:rPr>
          <w:lang w:val="en-US"/>
        </w:rPr>
        <w:t xml:space="preserve">Fätkenheuer G, Duvivier C, Rieger A, Durant J, Rey D, Schmidt W, </w:t>
      </w:r>
      <w:r>
        <w:t>и</w:t>
      </w:r>
      <w:r w:rsidRPr="008464E7">
        <w:rPr>
          <w:lang w:val="en-US"/>
        </w:rPr>
        <w:t xml:space="preserve"> </w:t>
      </w:r>
      <w:r>
        <w:t>др</w:t>
      </w:r>
      <w:r w:rsidRPr="008464E7">
        <w:rPr>
          <w:lang w:val="en-US"/>
        </w:rPr>
        <w:t xml:space="preserve">. Lipid profiles for etravirine versus efavirenz in treatment-naive patients in the randomized, double-blind SENSE trial. J Antimicrob Chemother. </w:t>
      </w:r>
      <w:r>
        <w:t>март</w:t>
      </w:r>
      <w:r w:rsidRPr="008464E7">
        <w:rPr>
          <w:lang w:val="en-US"/>
        </w:rPr>
        <w:t xml:space="preserve"> 2012 </w:t>
      </w:r>
      <w:r>
        <w:t>г</w:t>
      </w:r>
      <w:r w:rsidRPr="008464E7">
        <w:rPr>
          <w:lang w:val="en-US"/>
        </w:rPr>
        <w:t xml:space="preserve">.;67(3):685–90. </w:t>
      </w:r>
    </w:p>
    <w:p w14:paraId="29414757" w14:textId="7622CD24" w:rsidR="008464E7" w:rsidRPr="008464E7" w:rsidRDefault="008464E7" w:rsidP="001C0A37">
      <w:pPr>
        <w:pStyle w:val="afff2"/>
        <w:ind w:left="426" w:hanging="284"/>
        <w:rPr>
          <w:lang w:val="en-US"/>
        </w:rPr>
      </w:pPr>
      <w:r w:rsidRPr="008464E7">
        <w:rPr>
          <w:lang w:val="en-US"/>
        </w:rPr>
        <w:t>74.</w:t>
      </w:r>
      <w:r w:rsidR="00444D0D" w:rsidRPr="00A76175">
        <w:rPr>
          <w:lang w:val="en-US"/>
        </w:rPr>
        <w:t xml:space="preserve"> </w:t>
      </w:r>
      <w:r w:rsidRPr="008464E7">
        <w:rPr>
          <w:lang w:val="en-US"/>
        </w:rPr>
        <w:t xml:space="preserve">Clotet B, Feinberg J, van Lunzen J, Khuong-Josses MA, Antinori A, Dumitru I, </w:t>
      </w:r>
      <w:r>
        <w:t>и</w:t>
      </w:r>
      <w:r w:rsidRPr="008464E7">
        <w:rPr>
          <w:lang w:val="en-US"/>
        </w:rPr>
        <w:t xml:space="preserve"> </w:t>
      </w:r>
      <w:r>
        <w:t>др</w:t>
      </w:r>
      <w:r w:rsidRPr="008464E7">
        <w:rPr>
          <w:lang w:val="en-US"/>
        </w:rPr>
        <w:t xml:space="preserve">. Once-daily dolutegravir versus darunavir plus ritonavir in antiretroviral-naive adults with HIV-1 infection (FLAMINGO): 48 week results from the randomised open-label phase 3b study. Lancet. 28 </w:t>
      </w:r>
      <w:r>
        <w:t>июнь</w:t>
      </w:r>
      <w:r w:rsidRPr="008464E7">
        <w:rPr>
          <w:lang w:val="en-US"/>
        </w:rPr>
        <w:t xml:space="preserve"> 2014 </w:t>
      </w:r>
      <w:r>
        <w:t>г</w:t>
      </w:r>
      <w:r w:rsidRPr="008464E7">
        <w:rPr>
          <w:lang w:val="en-US"/>
        </w:rPr>
        <w:t xml:space="preserve">.;383(9936):2222–31. </w:t>
      </w:r>
    </w:p>
    <w:p w14:paraId="485A9E7C" w14:textId="3024C3C2" w:rsidR="008464E7" w:rsidRPr="008464E7" w:rsidRDefault="008464E7" w:rsidP="001C0A37">
      <w:pPr>
        <w:pStyle w:val="afff2"/>
        <w:ind w:left="426" w:hanging="284"/>
        <w:rPr>
          <w:lang w:val="en-US"/>
        </w:rPr>
      </w:pPr>
      <w:r w:rsidRPr="008464E7">
        <w:rPr>
          <w:lang w:val="en-US"/>
        </w:rPr>
        <w:t>75.</w:t>
      </w:r>
      <w:r w:rsidR="00444D0D" w:rsidRPr="00A76175">
        <w:rPr>
          <w:lang w:val="en-US"/>
        </w:rPr>
        <w:t xml:space="preserve"> </w:t>
      </w:r>
      <w:r w:rsidRPr="008464E7">
        <w:rPr>
          <w:lang w:val="en-US"/>
        </w:rPr>
        <w:t xml:space="preserve">Gallant J, Lazzarin A, Mills A, Orkin C, Podzamczer D, Tebas P, </w:t>
      </w:r>
      <w:r>
        <w:t>и</w:t>
      </w:r>
      <w:r w:rsidRPr="008464E7">
        <w:rPr>
          <w:lang w:val="en-US"/>
        </w:rPr>
        <w:t xml:space="preserve"> </w:t>
      </w:r>
      <w:r>
        <w:t>др</w:t>
      </w:r>
      <w:r w:rsidRPr="008464E7">
        <w:rPr>
          <w:lang w:val="en-US"/>
        </w:rPr>
        <w:t xml:space="preserve">. Bictegravir, emtricitabine, and tenofovir alafenamide versus dolutegravir, abacavir, and lamivudine for initial treatment of HIV-1 infection (GS-US-380-1489): a double-blind, multicentre, phase 3, randomised controlled non-inferiority trial. Lancet. 4 </w:t>
      </w:r>
      <w:r>
        <w:t>ноябрь</w:t>
      </w:r>
      <w:r w:rsidRPr="008464E7">
        <w:rPr>
          <w:lang w:val="en-US"/>
        </w:rPr>
        <w:t xml:space="preserve"> 2017 </w:t>
      </w:r>
      <w:r>
        <w:t>г</w:t>
      </w:r>
      <w:r w:rsidRPr="008464E7">
        <w:rPr>
          <w:lang w:val="en-US"/>
        </w:rPr>
        <w:t xml:space="preserve">.;390(10107):2063–72. </w:t>
      </w:r>
    </w:p>
    <w:p w14:paraId="577ED8A2" w14:textId="0D76AFB0" w:rsidR="008464E7" w:rsidRPr="008464E7" w:rsidRDefault="008464E7" w:rsidP="001C0A37">
      <w:pPr>
        <w:pStyle w:val="afff2"/>
        <w:ind w:left="426" w:hanging="284"/>
        <w:rPr>
          <w:lang w:val="en-US"/>
        </w:rPr>
      </w:pPr>
      <w:r w:rsidRPr="008464E7">
        <w:rPr>
          <w:lang w:val="en-US"/>
        </w:rPr>
        <w:t>76.</w:t>
      </w:r>
      <w:r w:rsidR="00444D0D" w:rsidRPr="00A76175">
        <w:rPr>
          <w:lang w:val="en-US"/>
        </w:rPr>
        <w:t xml:space="preserve"> </w:t>
      </w:r>
      <w:r w:rsidRPr="008464E7">
        <w:rPr>
          <w:lang w:val="en-US"/>
        </w:rPr>
        <w:t xml:space="preserve">Lennox JL, DeJesus E, Lazzarin A, Pollard RB, Madruga JVR, Berger DS, </w:t>
      </w:r>
      <w:r>
        <w:t>и</w:t>
      </w:r>
      <w:r w:rsidRPr="008464E7">
        <w:rPr>
          <w:lang w:val="en-US"/>
        </w:rPr>
        <w:t xml:space="preserve"> </w:t>
      </w:r>
      <w:r>
        <w:t>др</w:t>
      </w:r>
      <w:r w:rsidRPr="008464E7">
        <w:rPr>
          <w:lang w:val="en-US"/>
        </w:rPr>
        <w:t xml:space="preserve">. Safety and efficacy of raltegravir-based versus efavirenz-based combination therapy in treatment-naive patients with HIV-1 infection: a multicentre, double-blind randomised controlled trial. Lancet. 5 </w:t>
      </w:r>
      <w:r>
        <w:t>сентябрь</w:t>
      </w:r>
      <w:r w:rsidRPr="008464E7">
        <w:rPr>
          <w:lang w:val="en-US"/>
        </w:rPr>
        <w:t xml:space="preserve"> 2009 </w:t>
      </w:r>
      <w:r>
        <w:t>г</w:t>
      </w:r>
      <w:r w:rsidRPr="008464E7">
        <w:rPr>
          <w:lang w:val="en-US"/>
        </w:rPr>
        <w:t xml:space="preserve">.;374(9692):796–806. </w:t>
      </w:r>
    </w:p>
    <w:p w14:paraId="384993AC" w14:textId="1D3EADFC" w:rsidR="008464E7" w:rsidRPr="008464E7" w:rsidRDefault="008464E7" w:rsidP="001C0A37">
      <w:pPr>
        <w:pStyle w:val="afff2"/>
        <w:ind w:left="426" w:hanging="284"/>
        <w:rPr>
          <w:lang w:val="en-US"/>
        </w:rPr>
      </w:pPr>
      <w:r w:rsidRPr="008464E7">
        <w:rPr>
          <w:lang w:val="en-US"/>
        </w:rPr>
        <w:t>77.</w:t>
      </w:r>
      <w:r w:rsidR="00444D0D" w:rsidRPr="00A76175">
        <w:rPr>
          <w:lang w:val="en-US"/>
        </w:rPr>
        <w:t xml:space="preserve"> </w:t>
      </w:r>
      <w:r w:rsidRPr="008464E7">
        <w:rPr>
          <w:lang w:val="en-US"/>
        </w:rPr>
        <w:t xml:space="preserve">Orrell C, Hagins DP, Belonosova E, Porteiro N, Walmsley S, Falcó V, </w:t>
      </w:r>
      <w:r>
        <w:t>и</w:t>
      </w:r>
      <w:r w:rsidRPr="008464E7">
        <w:rPr>
          <w:lang w:val="en-US"/>
        </w:rPr>
        <w:t xml:space="preserve"> </w:t>
      </w:r>
      <w:r>
        <w:t>др</w:t>
      </w:r>
      <w:r w:rsidRPr="008464E7">
        <w:rPr>
          <w:lang w:val="en-US"/>
        </w:rPr>
        <w:t xml:space="preserve">. Fixed-dose combination dolutegravir, abacavir, and lamivudine versus ritonavir-boosted atazanavir plus tenofovir disoproxil fumarate and emtricitabine in previously untreated women with HIV-1 infection (ARIA): week 48 results from a randomised, open-label, non-inferiority, phase 3b study. Lancet HIV. </w:t>
      </w:r>
      <w:r>
        <w:t>декабрь</w:t>
      </w:r>
      <w:r w:rsidRPr="008464E7">
        <w:rPr>
          <w:lang w:val="en-US"/>
        </w:rPr>
        <w:t xml:space="preserve"> 2017 </w:t>
      </w:r>
      <w:r>
        <w:t>г</w:t>
      </w:r>
      <w:r w:rsidRPr="008464E7">
        <w:rPr>
          <w:lang w:val="en-US"/>
        </w:rPr>
        <w:t xml:space="preserve">.;4(12):e536–46. </w:t>
      </w:r>
    </w:p>
    <w:p w14:paraId="79B2F8A2" w14:textId="08A5551F" w:rsidR="008464E7" w:rsidRPr="008464E7" w:rsidRDefault="008464E7" w:rsidP="001C0A37">
      <w:pPr>
        <w:pStyle w:val="afff2"/>
        <w:ind w:left="426" w:hanging="284"/>
        <w:rPr>
          <w:lang w:val="en-US"/>
        </w:rPr>
      </w:pPr>
      <w:r w:rsidRPr="008464E7">
        <w:rPr>
          <w:lang w:val="en-US"/>
        </w:rPr>
        <w:t>78.</w:t>
      </w:r>
      <w:r w:rsidR="00444D0D" w:rsidRPr="00A76175">
        <w:rPr>
          <w:lang w:val="en-US"/>
        </w:rPr>
        <w:t xml:space="preserve"> </w:t>
      </w:r>
      <w:r w:rsidRPr="008464E7">
        <w:rPr>
          <w:lang w:val="en-US"/>
        </w:rPr>
        <w:t xml:space="preserve">Walmsley SL, Antela A, Clumeck N, Duiculescu D, Eberhard A, Gutiérrez F, </w:t>
      </w:r>
      <w:r>
        <w:t>и</w:t>
      </w:r>
      <w:r w:rsidRPr="008464E7">
        <w:rPr>
          <w:lang w:val="en-US"/>
        </w:rPr>
        <w:t xml:space="preserve"> </w:t>
      </w:r>
      <w:r>
        <w:t>др</w:t>
      </w:r>
      <w:r w:rsidRPr="008464E7">
        <w:rPr>
          <w:lang w:val="en-US"/>
        </w:rPr>
        <w:t xml:space="preserve">. Dolutegravir plus abacavir-lamivudine for the treatment of HIV-1 infection. N Engl J Med. 7 </w:t>
      </w:r>
      <w:r>
        <w:t>ноябрь</w:t>
      </w:r>
      <w:r w:rsidRPr="008464E7">
        <w:rPr>
          <w:lang w:val="en-US"/>
        </w:rPr>
        <w:t xml:space="preserve"> 2013 </w:t>
      </w:r>
      <w:r>
        <w:t>г</w:t>
      </w:r>
      <w:r w:rsidRPr="008464E7">
        <w:rPr>
          <w:lang w:val="en-US"/>
        </w:rPr>
        <w:t xml:space="preserve">.;369(19):1807–18. </w:t>
      </w:r>
    </w:p>
    <w:p w14:paraId="61F9662C" w14:textId="49BF3F0F" w:rsidR="008464E7" w:rsidRPr="008464E7" w:rsidRDefault="008464E7" w:rsidP="001C0A37">
      <w:pPr>
        <w:pStyle w:val="afff2"/>
        <w:ind w:left="426" w:hanging="284"/>
        <w:rPr>
          <w:lang w:val="en-US"/>
        </w:rPr>
      </w:pPr>
      <w:r w:rsidRPr="008464E7">
        <w:rPr>
          <w:lang w:val="en-US"/>
        </w:rPr>
        <w:t>79.</w:t>
      </w:r>
      <w:r w:rsidR="00444D0D" w:rsidRPr="00A76175">
        <w:rPr>
          <w:lang w:val="en-US"/>
        </w:rPr>
        <w:t xml:space="preserve"> </w:t>
      </w:r>
      <w:r w:rsidRPr="008464E7">
        <w:rPr>
          <w:lang w:val="en-US"/>
        </w:rPr>
        <w:t>Janssen Pharmaceutical Companie. INTELENCE (etravirine) tablets, for oral use. Highlights of prescribing information. [</w:t>
      </w:r>
      <w:r>
        <w:t>Интернет</w:t>
      </w:r>
      <w:r w:rsidRPr="008464E7">
        <w:rPr>
          <w:lang w:val="en-US"/>
        </w:rPr>
        <w:t xml:space="preserve">]. 2019. </w:t>
      </w:r>
      <w:r>
        <w:t>Доступно</w:t>
      </w:r>
      <w:r w:rsidRPr="008464E7">
        <w:rPr>
          <w:lang w:val="en-US"/>
        </w:rPr>
        <w:t xml:space="preserve"> </w:t>
      </w:r>
      <w:r>
        <w:t>на</w:t>
      </w:r>
      <w:r w:rsidRPr="008464E7">
        <w:rPr>
          <w:lang w:val="en-US"/>
        </w:rPr>
        <w:t>: https://www.janssenlabels.com/package-insert/product-monograph/prescribing-information/INTELENCE-pi.pdf</w:t>
      </w:r>
    </w:p>
    <w:p w14:paraId="53466EAB" w14:textId="48E2F026" w:rsidR="009F6377" w:rsidRPr="003C307A" w:rsidRDefault="008464E7" w:rsidP="001C0A37">
      <w:pPr>
        <w:pStyle w:val="afff2"/>
        <w:ind w:left="426" w:hanging="284"/>
        <w:rPr>
          <w:rFonts w:eastAsia="Times New Roman"/>
          <w:highlight w:val="yellow"/>
          <w:lang w:val="en-US" w:eastAsia="ru-RU"/>
        </w:rPr>
      </w:pPr>
      <w:r w:rsidRPr="008464E7">
        <w:rPr>
          <w:lang w:val="en-US"/>
        </w:rPr>
        <w:t>80.</w:t>
      </w:r>
      <w:r w:rsidR="00444D0D" w:rsidRPr="00A76175">
        <w:rPr>
          <w:lang w:val="en-US"/>
        </w:rPr>
        <w:t xml:space="preserve"> </w:t>
      </w:r>
      <w:r w:rsidRPr="008464E7">
        <w:rPr>
          <w:lang w:val="en-US"/>
        </w:rPr>
        <w:t xml:space="preserve">Tudor-Williams G, Cahn P, Chokephaibulkit K, Fourie J, Karatzios C, Dincq S, </w:t>
      </w:r>
      <w:r>
        <w:t>и</w:t>
      </w:r>
      <w:r w:rsidRPr="008464E7">
        <w:rPr>
          <w:lang w:val="en-US"/>
        </w:rPr>
        <w:t xml:space="preserve"> </w:t>
      </w:r>
      <w:r>
        <w:t>др</w:t>
      </w:r>
      <w:r w:rsidRPr="008464E7">
        <w:rPr>
          <w:lang w:val="en-US"/>
        </w:rPr>
        <w:t xml:space="preserve">. Etravirine in treatment-experienced, HIV-1-infected children and adolescents: 48-week safety, efficacy and resistance analysis of the phase II PIANO study. HIV Med. </w:t>
      </w:r>
      <w:r>
        <w:t>октябрь</w:t>
      </w:r>
      <w:r w:rsidRPr="008464E7">
        <w:rPr>
          <w:lang w:val="en-US"/>
        </w:rPr>
        <w:t xml:space="preserve"> 2014 </w:t>
      </w:r>
      <w:r>
        <w:t>г</w:t>
      </w:r>
      <w:r w:rsidRPr="008464E7">
        <w:rPr>
          <w:lang w:val="en-US"/>
        </w:rPr>
        <w:t xml:space="preserve">.;15(9):513–24. </w:t>
      </w:r>
      <w:r w:rsidR="00103A50">
        <w:rPr>
          <w:rFonts w:eastAsia="Times New Roman"/>
          <w:highlight w:val="yellow"/>
          <w:lang w:eastAsia="ru-RU"/>
        </w:rPr>
        <w:fldChar w:fldCharType="end"/>
      </w:r>
    </w:p>
    <w:bookmarkEnd w:id="173"/>
    <w:p w14:paraId="501077E7" w14:textId="77777777" w:rsidR="008B7FBF" w:rsidRPr="003C307A" w:rsidRDefault="008B7FBF" w:rsidP="001C0A37">
      <w:pPr>
        <w:pStyle w:val="af3"/>
        <w:numPr>
          <w:ilvl w:val="0"/>
          <w:numId w:val="6"/>
        </w:numPr>
        <w:ind w:left="426" w:hanging="284"/>
        <w:rPr>
          <w:rFonts w:eastAsia="Calibri"/>
          <w:highlight w:val="yellow"/>
          <w:lang w:val="en-US" w:eastAsia="en-US"/>
        </w:rPr>
      </w:pPr>
      <w:r w:rsidRPr="003C307A">
        <w:rPr>
          <w:rFonts w:eastAsia="Calibri"/>
          <w:highlight w:val="yellow"/>
          <w:lang w:val="en-US" w:eastAsia="en-US"/>
        </w:rPr>
        <w:br w:type="page"/>
      </w:r>
    </w:p>
    <w:p w14:paraId="22D4B455" w14:textId="77777777" w:rsidR="008B7FBF" w:rsidRDefault="008B7FBF" w:rsidP="008B7FBF">
      <w:pPr>
        <w:pStyle w:val="12"/>
        <w:spacing w:line="240" w:lineRule="auto"/>
        <w:rPr>
          <w:rStyle w:val="src"/>
          <w:rFonts w:cs="Times New Roman"/>
          <w:color w:val="000000" w:themeColor="text1"/>
          <w:szCs w:val="24"/>
        </w:rPr>
      </w:pPr>
      <w:bookmarkStart w:id="193" w:name="_Toc117179242"/>
      <w:r w:rsidRPr="005E6358">
        <w:rPr>
          <w:rStyle w:val="src"/>
          <w:rFonts w:cs="Times New Roman"/>
          <w:color w:val="000000" w:themeColor="text1"/>
          <w:szCs w:val="24"/>
        </w:rPr>
        <w:t xml:space="preserve">5. </w:t>
      </w:r>
      <w:r w:rsidRPr="00095D49">
        <w:rPr>
          <w:rStyle w:val="src"/>
          <w:rFonts w:cs="Times New Roman"/>
          <w:color w:val="000000" w:themeColor="text1"/>
          <w:szCs w:val="24"/>
        </w:rPr>
        <w:t>ОБСУЖДЕНИЕ ДАННЫХ И ИНСТРУКЦИИ ДЛЯ ИССЛЕДОВАТЕЛЯ</w:t>
      </w:r>
      <w:bookmarkEnd w:id="193"/>
    </w:p>
    <w:p w14:paraId="5516EB6E" w14:textId="77777777" w:rsidR="008B7FBF" w:rsidRPr="00095D49" w:rsidRDefault="008B7FBF" w:rsidP="0066562E">
      <w:pPr>
        <w:pStyle w:val="2"/>
        <w:spacing w:line="240" w:lineRule="auto"/>
        <w:rPr>
          <w:color w:val="000000" w:themeColor="text1"/>
          <w:szCs w:val="24"/>
        </w:rPr>
      </w:pPr>
      <w:bookmarkStart w:id="194" w:name="_Toc117179243"/>
      <w:r w:rsidRPr="00095D49">
        <w:rPr>
          <w:color w:val="000000" w:themeColor="text1"/>
          <w:szCs w:val="24"/>
        </w:rPr>
        <w:t>5.1. Обсуждение данных доклинических исследований</w:t>
      </w:r>
      <w:bookmarkEnd w:id="194"/>
    </w:p>
    <w:p w14:paraId="172DF295" w14:textId="78FDE0D3" w:rsidR="009D42C6" w:rsidRPr="00021CB7" w:rsidRDefault="009D42C6" w:rsidP="009D42C6">
      <w:pPr>
        <w:ind w:firstLine="709"/>
        <w:rPr>
          <w:bCs/>
          <w:color w:val="FF0000"/>
          <w:lang w:bidi="ru-RU"/>
        </w:rPr>
      </w:pPr>
      <w:bookmarkStart w:id="195" w:name="_Hlk484355353"/>
      <w:r w:rsidRPr="0075060E">
        <w:t xml:space="preserve">Так как препарат </w:t>
      </w:r>
      <w:r w:rsidRPr="0075060E">
        <w:rPr>
          <w:lang w:val="en-US"/>
        </w:rPr>
        <w:t>DT</w:t>
      </w:r>
      <w:r w:rsidRPr="0075060E">
        <w:t>-</w:t>
      </w:r>
      <w:r w:rsidRPr="0075060E">
        <w:rPr>
          <w:lang w:val="en-US"/>
        </w:rPr>
        <w:t>ETR</w:t>
      </w:r>
      <w:r w:rsidRPr="0075060E">
        <w:t xml:space="preserve"> (АО «Р-Фарм», Россия) представляет собой воспроизведенный препарат этравирина, который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(оригинальному) препарату </w:t>
      </w:r>
      <w:r w:rsidR="00E729EF">
        <w:t>этравирина</w:t>
      </w:r>
      <w:r w:rsidR="00E729EF" w:rsidRPr="0075060E">
        <w:t xml:space="preserve"> </w:t>
      </w:r>
      <w:r w:rsidRPr="0075060E">
        <w:t>Интеленс</w:t>
      </w:r>
      <w:r w:rsidRPr="0075060E">
        <w:rPr>
          <w:vertAlign w:val="superscript"/>
        </w:rPr>
        <w:t>®</w:t>
      </w:r>
      <w:r w:rsidRPr="0075060E">
        <w:t xml:space="preserve"> </w:t>
      </w:r>
      <w:r w:rsidRPr="0075060E">
        <w:rPr>
          <w:lang w:eastAsia="ru-RU"/>
        </w:rPr>
        <w:t xml:space="preserve">(владелец РУ - ООО «Джонсон &amp; Джонсон», Россия), имея отличия в качественном и количественном составе некоторых вспомогательных веществ, </w:t>
      </w:r>
      <w:r w:rsidRPr="0075060E">
        <w:t xml:space="preserve">ожидается, что его свойства будут идентичны свойствам оригинального препарата. Для прогнозирования токсического действия, планируемого к регистрации и коммерческому выпуску препарата </w:t>
      </w:r>
      <w:r w:rsidRPr="0075060E">
        <w:rPr>
          <w:lang w:val="en-US"/>
        </w:rPr>
        <w:t>DT</w:t>
      </w:r>
      <w:r w:rsidRPr="0075060E">
        <w:t>-</w:t>
      </w:r>
      <w:r w:rsidRPr="0075060E">
        <w:rPr>
          <w:lang w:val="en-US"/>
        </w:rPr>
        <w:t>ETR</w:t>
      </w:r>
      <w:r w:rsidRPr="0075060E">
        <w:t xml:space="preserve">, были проанализированы данные исследований по изучению фармакологии и токсикологии оригинального препарата этравирина. Поскольку </w:t>
      </w:r>
      <w:r>
        <w:t xml:space="preserve">лекарственный препарат </w:t>
      </w:r>
      <w:r>
        <w:rPr>
          <w:color w:val="000000" w:themeColor="text1"/>
          <w:lang w:val="en-US"/>
        </w:rPr>
        <w:t>DT</w:t>
      </w:r>
      <w:r>
        <w:rPr>
          <w:color w:val="000000" w:themeColor="text1"/>
        </w:rPr>
        <w:t>-</w:t>
      </w:r>
      <w:r>
        <w:rPr>
          <w:color w:val="000000" w:themeColor="text1"/>
          <w:lang w:val="en-US"/>
        </w:rPr>
        <w:t>ETR</w:t>
      </w:r>
      <w:r>
        <w:t xml:space="preserve"> является воспроизведенным препаратом, собственные доклинические исследования не проводились.</w:t>
      </w:r>
    </w:p>
    <w:p w14:paraId="58C006E2" w14:textId="77777777" w:rsidR="009D42C6" w:rsidRPr="004860E8" w:rsidRDefault="009D42C6" w:rsidP="009D42C6">
      <w:pPr>
        <w:autoSpaceDE w:val="0"/>
        <w:autoSpaceDN w:val="0"/>
        <w:adjustRightInd w:val="0"/>
        <w:ind w:firstLine="709"/>
        <w:rPr>
          <w:bCs/>
          <w:color w:val="000000" w:themeColor="text1"/>
          <w:lang w:bidi="ru-RU"/>
        </w:rPr>
      </w:pPr>
      <w:r w:rsidRPr="004860E8">
        <w:rPr>
          <w:bCs/>
          <w:color w:val="000000" w:themeColor="text1"/>
          <w:lang w:bidi="ru-RU"/>
        </w:rPr>
        <w:t xml:space="preserve">Программа фармакологических исследований </w:t>
      </w:r>
      <w:r w:rsidRPr="004860E8">
        <w:rPr>
          <w:color w:val="000000" w:themeColor="text1"/>
        </w:rPr>
        <w:t>этравирина</w:t>
      </w:r>
      <w:r w:rsidRPr="004860E8">
        <w:rPr>
          <w:bCs/>
          <w:color w:val="000000" w:themeColor="text1"/>
          <w:lang w:bidi="ru-RU"/>
        </w:rPr>
        <w:t xml:space="preserve"> включала исследования первичной фармакодинамики, вторичной фармакодинамики и фармакодинамических взаимодействий.</w:t>
      </w:r>
    </w:p>
    <w:p w14:paraId="59D4F440" w14:textId="77777777" w:rsidR="009D42C6" w:rsidRPr="004860E8" w:rsidRDefault="009D42C6" w:rsidP="009D42C6">
      <w:pPr>
        <w:autoSpaceDE w:val="0"/>
        <w:autoSpaceDN w:val="0"/>
        <w:adjustRightInd w:val="0"/>
        <w:ind w:firstLine="709"/>
        <w:rPr>
          <w:color w:val="000000" w:themeColor="text1"/>
          <w:lang w:eastAsia="en-US"/>
        </w:rPr>
      </w:pPr>
      <w:r w:rsidRPr="004860E8">
        <w:rPr>
          <w:color w:val="000000" w:themeColor="text1"/>
        </w:rPr>
        <w:t xml:space="preserve">Этравирин </w:t>
      </w:r>
      <w:r w:rsidRPr="004860E8">
        <w:rPr>
          <w:color w:val="000000" w:themeColor="text1"/>
          <w:lang w:eastAsia="en-US"/>
        </w:rPr>
        <w:t xml:space="preserve">– ННИОТ, который проявляет высокую противовирусную активность в отношении ВИЧ, в том числе против многих штаммов вируса, устойчивых к другим ННИОТ. Механизм противовирусного действия </w:t>
      </w:r>
      <w:r w:rsidRPr="004860E8">
        <w:rPr>
          <w:color w:val="000000" w:themeColor="text1"/>
        </w:rPr>
        <w:t xml:space="preserve">этравирина </w:t>
      </w:r>
      <w:r w:rsidRPr="004860E8">
        <w:rPr>
          <w:color w:val="000000" w:themeColor="text1"/>
          <w:lang w:eastAsia="en-US"/>
        </w:rPr>
        <w:t xml:space="preserve">связан со специфичным ингибированием RT </w:t>
      </w:r>
      <w:r>
        <w:rPr>
          <w:color w:val="000000" w:themeColor="text1"/>
          <w:lang w:eastAsia="en-US"/>
        </w:rPr>
        <w:t>(о</w:t>
      </w:r>
      <w:r w:rsidRPr="00C05C73">
        <w:rPr>
          <w:color w:val="000000" w:themeColor="text1"/>
          <w:lang w:eastAsia="en-US"/>
        </w:rPr>
        <w:t>братная транскриптаза</w:t>
      </w:r>
      <w:r>
        <w:rPr>
          <w:color w:val="000000" w:themeColor="text1"/>
          <w:lang w:eastAsia="en-US"/>
        </w:rPr>
        <w:t xml:space="preserve">) </w:t>
      </w:r>
      <w:r w:rsidRPr="004860E8">
        <w:rPr>
          <w:color w:val="000000" w:themeColor="text1"/>
          <w:lang w:eastAsia="en-US"/>
        </w:rPr>
        <w:t>ВИЧ.</w:t>
      </w:r>
    </w:p>
    <w:p w14:paraId="59AB2785" w14:textId="77777777" w:rsidR="009D42C6" w:rsidRDefault="009D42C6" w:rsidP="009D42C6">
      <w:pPr>
        <w:autoSpaceDE w:val="0"/>
        <w:autoSpaceDN w:val="0"/>
        <w:adjustRightInd w:val="0"/>
        <w:ind w:firstLine="709"/>
        <w:rPr>
          <w:lang w:eastAsia="en-US"/>
        </w:rPr>
      </w:pPr>
      <w:r>
        <w:rPr>
          <w:lang w:eastAsia="en-US"/>
        </w:rPr>
        <w:t xml:space="preserve">Противовирусная активность </w:t>
      </w:r>
      <w:r w:rsidRPr="004860E8">
        <w:rPr>
          <w:color w:val="000000" w:themeColor="text1"/>
        </w:rPr>
        <w:t>этравирина</w:t>
      </w:r>
      <w:r w:rsidRPr="004860E8">
        <w:rPr>
          <w:bCs/>
          <w:color w:val="000000" w:themeColor="text1"/>
          <w:lang w:bidi="ru-RU"/>
        </w:rPr>
        <w:t xml:space="preserve"> </w:t>
      </w:r>
      <w:r>
        <w:rPr>
          <w:lang w:eastAsia="en-US"/>
        </w:rPr>
        <w:t xml:space="preserve">подтверждена </w:t>
      </w:r>
      <w:r w:rsidRPr="004860E8">
        <w:rPr>
          <w:i/>
          <w:iCs/>
          <w:lang w:eastAsia="en-US"/>
        </w:rPr>
        <w:t>in vitro</w:t>
      </w:r>
      <w:r>
        <w:rPr>
          <w:lang w:eastAsia="en-US"/>
        </w:rPr>
        <w:t xml:space="preserve"> в отношении лабораторных штаммов и клинических изолятов ВИЧ-1 дикого типа в остро инфицированных Т клеточных линиях, мононуклеарных клетках периферической крови человека и моноцитах / макрофагах человека. При этом </w:t>
      </w:r>
      <w:r w:rsidRPr="004860E8">
        <w:rPr>
          <w:color w:val="000000" w:themeColor="text1"/>
        </w:rPr>
        <w:t>этравирин</w:t>
      </w:r>
      <w:r>
        <w:rPr>
          <w:color w:val="000000" w:themeColor="text1"/>
        </w:rPr>
        <w:t xml:space="preserve"> </w:t>
      </w:r>
      <w:r>
        <w:rPr>
          <w:lang w:eastAsia="en-US"/>
        </w:rPr>
        <w:t>характеризуется низким потенциалом развития резистентности ВИЧ.</w:t>
      </w:r>
    </w:p>
    <w:p w14:paraId="16180537" w14:textId="77777777" w:rsidR="009D42C6" w:rsidRDefault="009D42C6" w:rsidP="009D42C6">
      <w:pPr>
        <w:autoSpaceDE w:val="0"/>
        <w:autoSpaceDN w:val="0"/>
        <w:adjustRightInd w:val="0"/>
        <w:ind w:firstLine="709"/>
        <w:rPr>
          <w:lang w:eastAsia="en-US"/>
        </w:rPr>
      </w:pPr>
      <w:r>
        <w:rPr>
          <w:lang w:eastAsia="en-US"/>
        </w:rPr>
        <w:t xml:space="preserve">Доклинические исследования фармакодинамических взаимодействий </w:t>
      </w:r>
      <w:r w:rsidRPr="004860E8">
        <w:rPr>
          <w:color w:val="000000" w:themeColor="text1"/>
        </w:rPr>
        <w:t>этравирина</w:t>
      </w:r>
      <w:r w:rsidRPr="004860E8">
        <w:rPr>
          <w:bCs/>
          <w:color w:val="000000" w:themeColor="text1"/>
          <w:lang w:bidi="ru-RU"/>
        </w:rPr>
        <w:t xml:space="preserve"> </w:t>
      </w:r>
      <w:r>
        <w:rPr>
          <w:lang w:eastAsia="en-US"/>
        </w:rPr>
        <w:t xml:space="preserve">показали отсутствие антагонизма с другими АРВП </w:t>
      </w:r>
      <w:r w:rsidRPr="00122975">
        <w:rPr>
          <w:i/>
          <w:iCs/>
          <w:lang w:eastAsia="en-US"/>
        </w:rPr>
        <w:t>in vitro</w:t>
      </w:r>
      <w:r>
        <w:rPr>
          <w:lang w:eastAsia="en-US"/>
        </w:rPr>
        <w:t xml:space="preserve">. Наблюдалось усиление противовирусной активности </w:t>
      </w:r>
      <w:r w:rsidRPr="004860E8">
        <w:rPr>
          <w:color w:val="000000" w:themeColor="text1"/>
        </w:rPr>
        <w:t>этравирина</w:t>
      </w:r>
      <w:r w:rsidRPr="004860E8">
        <w:rPr>
          <w:bCs/>
          <w:color w:val="000000" w:themeColor="text1"/>
          <w:lang w:bidi="ru-RU"/>
        </w:rPr>
        <w:t xml:space="preserve"> </w:t>
      </w:r>
      <w:r>
        <w:rPr>
          <w:lang w:eastAsia="en-US"/>
        </w:rPr>
        <w:t xml:space="preserve">в отношении ВИЧ при совместном применении </w:t>
      </w:r>
      <w:r w:rsidRPr="00122975">
        <w:rPr>
          <w:i/>
          <w:iCs/>
          <w:lang w:eastAsia="en-US"/>
        </w:rPr>
        <w:t>in vitro</w:t>
      </w:r>
      <w:r>
        <w:rPr>
          <w:lang w:eastAsia="en-US"/>
        </w:rPr>
        <w:t xml:space="preserve"> с другими ННИОТ, ИП, ИИ, ИС, НИОТ. Важное клиническое значение может иметь усиление антикоагулянтной активности варфарина при совместном применении с </w:t>
      </w:r>
      <w:r w:rsidRPr="004860E8">
        <w:rPr>
          <w:color w:val="000000" w:themeColor="text1"/>
        </w:rPr>
        <w:t>этравирин</w:t>
      </w:r>
      <w:r>
        <w:rPr>
          <w:color w:val="000000" w:themeColor="text1"/>
        </w:rPr>
        <w:t>ом</w:t>
      </w:r>
      <w:r>
        <w:rPr>
          <w:lang w:eastAsia="en-US"/>
        </w:rPr>
        <w:t xml:space="preserve">, что было установлено в </w:t>
      </w:r>
      <w:r w:rsidRPr="00DB5DF6">
        <w:rPr>
          <w:i/>
          <w:iCs/>
          <w:lang w:eastAsia="en-US"/>
        </w:rPr>
        <w:t>in vivo</w:t>
      </w:r>
      <w:r>
        <w:rPr>
          <w:lang w:eastAsia="en-US"/>
        </w:rPr>
        <w:t xml:space="preserve"> исследовании на крысах</w:t>
      </w:r>
      <w:r>
        <w:rPr>
          <w:lang w:eastAsia="en-US"/>
        </w:rPr>
        <w:fldChar w:fldCharType="begin"/>
      </w:r>
      <w:r>
        <w:rPr>
          <w:lang w:eastAsia="en-US"/>
        </w:rPr>
        <w:instrText xml:space="preserve"> ADDIN ZOTERO_ITEM CSL_CITATION {"citationID":"433xqUCJ","properties":{"formattedCitation":"(23)","plainCitation":"(23)","noteIndex":0},"citationItems":[{"id":2578,"uris":["http://zotero.org/users/5483459/items/6KWT88Y3"],"itemData":{"id":2578,"type":"article-journal","abstract":"BACKGROUND AND PURPOSE: Warfarin is often used with etravirine (ETV) to prevent HIV-related thromboembolic events. As both warfarin and ETV bind to plasma proteins and are metabolized by hepatic cytochrome P450s, they are likely to interact. Hence, we evaluated the effect of ETV on the pharmacokinetics and blood clotting time of racemic warfarin in rats.\nEXPERIMENTAL APPROACH: Two groups of male Sprague-Dawley rats, in which the jugular vein had been cannulated, were studied. The control group (n = 10) received 1 mg·kg(-1) racemic warfarin i.v., and the test group (n = 13) 1 mg·kg(-1) of racemic warfarin followed by 25 mg·kg(-1) ETV i.v. Serial blood samples were collected for up to 144 h and the blood clotting time (calculated as international normalized ratio [INR]) measured in blood plasma at each sample point. Plasma concentrations of R-warfarin, S-warfarin, R-7-hydroxywarfarin and S-7-hydroxywarfarin were measured by a LC/MS/MS method using a chiral lux cellulose-1 column. Pharmacokinetic parameters were analysed using non-compartmental methods.\nKEY RESULTS: ETV significantly increased, by threefold, the systemic clearance and volume of distribution of S-warfarin, but not those of R-warfarin. ETV decreased the total AUC of warfarin, but had no effect on its elimination half-life. ETV also increased the systemic clearance of both R-7-hydroxywarfarin and S-7-hydroxywarfarin but only increased the volume of distribution of R-7-hydroxywarfarin. Interestingly, the effect of warfarin on blood clotting time (INR) was significantly increased in the presence of etravirine.\nCONCLUSION AND IMPLICATIONS: Our data suggest that etravirine may potentiate the anticoagulant effect of warfarin and this could have clinical significance.","container-title":"British Journal of Pharmacology","DOI":"10.1111/bph.12082","ISSN":"1476-5381","issue":"8","journalAbbreviation":"Br J Pharmacol","language":"eng","note":"number: 8\nPMID: 23215758\nPMCID: PMC3623055","page":"1851-1858","source":"PubMed","title":"Effects of etravirine on the pharmacokinetics and pharmacodynamics of warfarin in rats","volume":"168","author":[{"family":"John","given":"J."},{"family":"John","given":"M."},{"family":"Wu","given":"L."},{"family":"Hsiao","given":"C."},{"family":"Abobo","given":"C. V."},{"family":"Liang","given":"D."}],"issued":{"date-parts":[["2013",4]]}}}],"schema":"https://github.com/citation-style-language/schema/raw/master/csl-citation.json"} </w:instrText>
      </w:r>
      <w:r>
        <w:rPr>
          <w:lang w:eastAsia="en-US"/>
        </w:rPr>
        <w:fldChar w:fldCharType="separate"/>
      </w:r>
      <w:r w:rsidRPr="00DB5DF6">
        <w:t>)</w:t>
      </w:r>
      <w:r>
        <w:rPr>
          <w:lang w:eastAsia="en-US"/>
        </w:rPr>
        <w:fldChar w:fldCharType="end"/>
      </w:r>
      <w:r>
        <w:rPr>
          <w:lang w:eastAsia="en-US"/>
        </w:rPr>
        <w:t>.</w:t>
      </w:r>
    </w:p>
    <w:p w14:paraId="328CD809" w14:textId="77777777" w:rsidR="009D42C6" w:rsidRDefault="009D42C6" w:rsidP="009D42C6">
      <w:pPr>
        <w:autoSpaceDE w:val="0"/>
        <w:autoSpaceDN w:val="0"/>
        <w:adjustRightInd w:val="0"/>
        <w:ind w:firstLine="709"/>
        <w:rPr>
          <w:lang w:eastAsia="en-US"/>
        </w:rPr>
      </w:pPr>
      <w:r>
        <w:rPr>
          <w:lang w:eastAsia="en-US"/>
        </w:rPr>
        <w:t xml:space="preserve">Фармакокинетические исследования на животных показали, что при пероральном применении </w:t>
      </w:r>
      <w:r w:rsidRPr="004860E8">
        <w:rPr>
          <w:color w:val="000000" w:themeColor="text1"/>
        </w:rPr>
        <w:t>этравирин</w:t>
      </w:r>
      <w:r w:rsidRPr="004860E8">
        <w:rPr>
          <w:bCs/>
          <w:color w:val="000000" w:themeColor="text1"/>
          <w:lang w:bidi="ru-RU"/>
        </w:rPr>
        <w:t xml:space="preserve"> </w:t>
      </w:r>
      <w:r>
        <w:rPr>
          <w:lang w:eastAsia="en-US"/>
        </w:rPr>
        <w:t>обладает низкой биодоступностью и плохо всасывается через желудочно-кишечный тракт (ЖКТ). Максимальная концентрация (C</w:t>
      </w:r>
      <w:r w:rsidRPr="00DB5DF6">
        <w:rPr>
          <w:vertAlign w:val="subscript"/>
          <w:lang w:eastAsia="en-US"/>
        </w:rPr>
        <w:t>max</w:t>
      </w:r>
      <w:r w:rsidRPr="00C05C73">
        <w:rPr>
          <w:lang w:eastAsia="en-US"/>
        </w:rPr>
        <w:t>)</w:t>
      </w:r>
      <w:r>
        <w:rPr>
          <w:lang w:eastAsia="en-US"/>
        </w:rPr>
        <w:t xml:space="preserve"> в плазме крови животных достигается в среднем в течение 4 часов, Период полувыведения (T</w:t>
      </w:r>
      <w:r w:rsidRPr="00DB5DF6">
        <w:rPr>
          <w:vertAlign w:val="subscript"/>
          <w:lang w:eastAsia="en-US"/>
        </w:rPr>
        <w:t>1/2</w:t>
      </w:r>
      <w:r w:rsidRPr="00C05C73">
        <w:rPr>
          <w:lang w:eastAsia="en-US"/>
        </w:rPr>
        <w:t xml:space="preserve">) </w:t>
      </w:r>
      <w:r>
        <w:rPr>
          <w:lang w:eastAsia="en-US"/>
        </w:rPr>
        <w:t xml:space="preserve">составляет от 5 до 15 часов. Для </w:t>
      </w:r>
      <w:r w:rsidRPr="004860E8">
        <w:rPr>
          <w:color w:val="000000" w:themeColor="text1"/>
        </w:rPr>
        <w:t>этравирина</w:t>
      </w:r>
      <w:r w:rsidRPr="004860E8">
        <w:rPr>
          <w:bCs/>
          <w:color w:val="000000" w:themeColor="text1"/>
          <w:lang w:bidi="ru-RU"/>
        </w:rPr>
        <w:t xml:space="preserve"> </w:t>
      </w:r>
      <w:r w:rsidRPr="00DB5DF6">
        <w:rPr>
          <w:i/>
          <w:iCs/>
          <w:lang w:eastAsia="en-US"/>
        </w:rPr>
        <w:t>in vitro</w:t>
      </w:r>
      <w:r>
        <w:rPr>
          <w:lang w:eastAsia="en-US"/>
        </w:rPr>
        <w:t xml:space="preserve"> характерна высокая степень связывания с белками плазмы крови. </w:t>
      </w:r>
      <w:r w:rsidRPr="001A4BFD">
        <w:rPr>
          <w:i/>
          <w:iCs/>
          <w:lang w:eastAsia="en-US"/>
        </w:rPr>
        <w:t>In vivo</w:t>
      </w:r>
      <w:r>
        <w:rPr>
          <w:lang w:eastAsia="en-US"/>
        </w:rPr>
        <w:t xml:space="preserve"> у крыс </w:t>
      </w:r>
      <w:r w:rsidRPr="004860E8">
        <w:rPr>
          <w:color w:val="000000" w:themeColor="text1"/>
        </w:rPr>
        <w:t>этравирин</w:t>
      </w:r>
      <w:r>
        <w:rPr>
          <w:color w:val="000000" w:themeColor="text1"/>
        </w:rPr>
        <w:t xml:space="preserve"> </w:t>
      </w:r>
      <w:r>
        <w:rPr>
          <w:lang w:eastAsia="en-US"/>
        </w:rPr>
        <w:t xml:space="preserve">быстро распределяется в тканях, самые высокие концентрации обнаруживаются в ЖКТ, печени и надпочечниках, а самые низкие – в крови, плазме, мозге, легких и костях, </w:t>
      </w:r>
      <w:r w:rsidRPr="004860E8">
        <w:rPr>
          <w:color w:val="000000" w:themeColor="text1"/>
        </w:rPr>
        <w:t>этравирин</w:t>
      </w:r>
      <w:r>
        <w:rPr>
          <w:color w:val="000000" w:themeColor="text1"/>
        </w:rPr>
        <w:t xml:space="preserve"> </w:t>
      </w:r>
      <w:r>
        <w:rPr>
          <w:lang w:eastAsia="en-US"/>
        </w:rPr>
        <w:t xml:space="preserve">не аккумулируется в тканях. Метаболизм </w:t>
      </w:r>
      <w:r w:rsidRPr="004860E8">
        <w:rPr>
          <w:color w:val="000000" w:themeColor="text1"/>
        </w:rPr>
        <w:t>этравирин</w:t>
      </w:r>
      <w:r>
        <w:rPr>
          <w:color w:val="000000" w:themeColor="text1"/>
        </w:rPr>
        <w:t xml:space="preserve">а </w:t>
      </w:r>
      <w:r>
        <w:rPr>
          <w:lang w:eastAsia="en-US"/>
        </w:rPr>
        <w:t xml:space="preserve">у человека отличается от метаболизма животных отсутствием фазы II, поэтому ряд метаболитов, обнаруживаемых у животных, отсутствуют у человека. Большая часть </w:t>
      </w:r>
      <w:r w:rsidRPr="004860E8">
        <w:rPr>
          <w:color w:val="000000" w:themeColor="text1"/>
        </w:rPr>
        <w:t>этравирин</w:t>
      </w:r>
      <w:r>
        <w:rPr>
          <w:color w:val="000000" w:themeColor="text1"/>
        </w:rPr>
        <w:t xml:space="preserve">а </w:t>
      </w:r>
      <w:r>
        <w:rPr>
          <w:lang w:eastAsia="en-US"/>
        </w:rPr>
        <w:t xml:space="preserve">выводится в неизменном виде с фекалиями, в то время как экскреция почками и с желчью минимальна. </w:t>
      </w:r>
    </w:p>
    <w:p w14:paraId="6048AEEE" w14:textId="77777777" w:rsidR="009D42C6" w:rsidRDefault="009D42C6" w:rsidP="009D42C6">
      <w:pPr>
        <w:autoSpaceDE w:val="0"/>
        <w:autoSpaceDN w:val="0"/>
        <w:adjustRightInd w:val="0"/>
        <w:ind w:firstLine="709"/>
        <w:rPr>
          <w:lang w:eastAsia="en-US"/>
        </w:rPr>
      </w:pPr>
      <w:r>
        <w:rPr>
          <w:lang w:eastAsia="en-US"/>
        </w:rPr>
        <w:t xml:space="preserve">На метаболизм </w:t>
      </w:r>
      <w:r w:rsidRPr="004860E8">
        <w:rPr>
          <w:color w:val="000000" w:themeColor="text1"/>
        </w:rPr>
        <w:t>этравирин</w:t>
      </w:r>
      <w:r>
        <w:rPr>
          <w:color w:val="000000" w:themeColor="text1"/>
        </w:rPr>
        <w:t>а</w:t>
      </w:r>
      <w:r w:rsidRPr="004860E8">
        <w:rPr>
          <w:bCs/>
          <w:color w:val="000000" w:themeColor="text1"/>
          <w:lang w:bidi="ru-RU"/>
        </w:rPr>
        <w:t xml:space="preserve"> </w:t>
      </w:r>
      <w:r w:rsidRPr="001A4BFD">
        <w:rPr>
          <w:i/>
          <w:iCs/>
          <w:lang w:eastAsia="en-US"/>
        </w:rPr>
        <w:t>in vitro</w:t>
      </w:r>
      <w:r>
        <w:rPr>
          <w:lang w:eastAsia="en-US"/>
        </w:rPr>
        <w:t xml:space="preserve"> оказывают влияние другие АРВП путем ингибирования CYP450 опосредованного метаболизма </w:t>
      </w:r>
      <w:r w:rsidRPr="004860E8">
        <w:rPr>
          <w:color w:val="000000" w:themeColor="text1"/>
        </w:rPr>
        <w:t>этравирин</w:t>
      </w:r>
      <w:r>
        <w:rPr>
          <w:color w:val="000000" w:themeColor="text1"/>
        </w:rPr>
        <w:t>а</w:t>
      </w:r>
      <w:r>
        <w:rPr>
          <w:lang w:eastAsia="en-US"/>
        </w:rPr>
        <w:t xml:space="preserve">. Так как </w:t>
      </w:r>
      <w:r w:rsidRPr="004860E8">
        <w:rPr>
          <w:color w:val="000000" w:themeColor="text1"/>
        </w:rPr>
        <w:t>этравирин</w:t>
      </w:r>
      <w:r>
        <w:rPr>
          <w:color w:val="000000" w:themeColor="text1"/>
        </w:rPr>
        <w:t xml:space="preserve"> </w:t>
      </w:r>
      <w:r>
        <w:rPr>
          <w:lang w:eastAsia="en-US"/>
        </w:rPr>
        <w:t xml:space="preserve">является ингибитором CYP2C9 и CYP2C19, одновременное его применение с лекарственными средствами, которые метаболизируются с участием данных изоферментов, может повышать их концентрацию в плазме крови. При исследовании влияния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на фармакокинетику варфарина установлено, что этравирин в 3 раза увеличивал клиренс и объем распределения S варфарина, вследствие чего влияние варфарина на </w:t>
      </w:r>
      <w:r>
        <w:t>м</w:t>
      </w:r>
      <w:r w:rsidRPr="000275F3">
        <w:t>еждународно</w:t>
      </w:r>
      <w:r>
        <w:t>е</w:t>
      </w:r>
      <w:r w:rsidRPr="000275F3">
        <w:t xml:space="preserve"> нормализованно</w:t>
      </w:r>
      <w:r>
        <w:t>е</w:t>
      </w:r>
      <w:r w:rsidRPr="000275F3">
        <w:t xml:space="preserve"> отношени</w:t>
      </w:r>
      <w:r>
        <w:t>е</w:t>
      </w:r>
      <w:r>
        <w:rPr>
          <w:lang w:eastAsia="en-US"/>
        </w:rPr>
        <w:t xml:space="preserve"> (МНО) значительно увеличивалось в присутствии </w:t>
      </w:r>
      <w:r w:rsidRPr="004860E8">
        <w:rPr>
          <w:color w:val="000000" w:themeColor="text1"/>
        </w:rPr>
        <w:t>этравирин</w:t>
      </w:r>
      <w:r>
        <w:rPr>
          <w:color w:val="000000" w:themeColor="text1"/>
        </w:rPr>
        <w:t>а</w:t>
      </w:r>
      <w:r>
        <w:rPr>
          <w:lang w:eastAsia="en-US"/>
        </w:rPr>
        <w:t>.</w:t>
      </w:r>
    </w:p>
    <w:p w14:paraId="5F6BBC3F" w14:textId="77777777" w:rsidR="009D42C6" w:rsidRDefault="009D42C6" w:rsidP="009D42C6">
      <w:pPr>
        <w:autoSpaceDE w:val="0"/>
        <w:autoSpaceDN w:val="0"/>
        <w:adjustRightInd w:val="0"/>
        <w:ind w:firstLine="709"/>
        <w:rPr>
          <w:lang w:eastAsia="en-US"/>
        </w:rPr>
      </w:pPr>
      <w:r>
        <w:rPr>
          <w:lang w:eastAsia="en-US"/>
        </w:rPr>
        <w:t xml:space="preserve">Токсикологические исследования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проводились на мышах, крысах, кроликах и собаках. При однократном пероральном применении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в диапазоне доз до 1000 мг/кг у мышей и крыс не наблюдалось побочных действий. У собак в остром эксперименте с постепенной эскалацией дозы до 350 мг/кг/сутки также отсутствовали токсические эффекты </w:t>
      </w:r>
      <w:r w:rsidRPr="004860E8">
        <w:rPr>
          <w:color w:val="000000" w:themeColor="text1"/>
        </w:rPr>
        <w:t>этравирин</w:t>
      </w:r>
      <w:r>
        <w:rPr>
          <w:color w:val="000000" w:themeColor="text1"/>
        </w:rPr>
        <w:t>а.</w:t>
      </w:r>
      <w:r>
        <w:rPr>
          <w:lang w:eastAsia="en-US"/>
        </w:rPr>
        <w:t xml:space="preserve"> В исследованиях хронической токсичности у мышей, крыс, кроликов и собак </w:t>
      </w:r>
      <w:r w:rsidRPr="004860E8">
        <w:rPr>
          <w:color w:val="000000" w:themeColor="text1"/>
        </w:rPr>
        <w:t>этравирин</w:t>
      </w:r>
      <w:r>
        <w:rPr>
          <w:color w:val="000000" w:themeColor="text1"/>
        </w:rPr>
        <w:t xml:space="preserve"> </w:t>
      </w:r>
      <w:r>
        <w:rPr>
          <w:lang w:eastAsia="en-US"/>
        </w:rPr>
        <w:t xml:space="preserve">не оказывал значимого влияния на сердечно-сосудистую, дыхательную системы, ЦНС. Однако, </w:t>
      </w:r>
      <w:r w:rsidRPr="004860E8">
        <w:rPr>
          <w:color w:val="000000" w:themeColor="text1"/>
        </w:rPr>
        <w:t>этравирин</w:t>
      </w:r>
      <w:r>
        <w:rPr>
          <w:color w:val="000000" w:themeColor="text1"/>
        </w:rPr>
        <w:t xml:space="preserve"> </w:t>
      </w:r>
      <w:r>
        <w:rPr>
          <w:lang w:eastAsia="en-US"/>
        </w:rPr>
        <w:t xml:space="preserve">проявлял дозозависимое гепатотоксическое действие, которое носило более выраженный характер у грызунов. У собак гепатотоксичность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проявлялась при более высоких дозах.</w:t>
      </w:r>
    </w:p>
    <w:p w14:paraId="4321AA48" w14:textId="77777777" w:rsidR="009D42C6" w:rsidRDefault="009D42C6" w:rsidP="009D42C6">
      <w:pPr>
        <w:autoSpaceDE w:val="0"/>
        <w:autoSpaceDN w:val="0"/>
        <w:adjustRightInd w:val="0"/>
        <w:ind w:firstLine="709"/>
        <w:rPr>
          <w:lang w:eastAsia="en-US"/>
        </w:rPr>
      </w:pPr>
      <w:r w:rsidRPr="004860E8">
        <w:rPr>
          <w:color w:val="000000" w:themeColor="text1"/>
        </w:rPr>
        <w:t>Этравирин</w:t>
      </w:r>
      <w:r>
        <w:rPr>
          <w:color w:val="000000" w:themeColor="text1"/>
        </w:rPr>
        <w:t xml:space="preserve"> </w:t>
      </w:r>
      <w:r>
        <w:rPr>
          <w:lang w:eastAsia="en-US"/>
        </w:rPr>
        <w:t xml:space="preserve">не проявлял генотоксических свойств и не оказывал значимого влияния на репродуктивную и онтогенетическую токсичность у животных. </w:t>
      </w:r>
      <w:r w:rsidRPr="004860E8">
        <w:rPr>
          <w:color w:val="000000" w:themeColor="text1"/>
        </w:rPr>
        <w:t>Этравирин</w:t>
      </w:r>
      <w:r>
        <w:rPr>
          <w:color w:val="000000" w:themeColor="text1"/>
        </w:rPr>
        <w:t xml:space="preserve"> </w:t>
      </w:r>
      <w:r>
        <w:rPr>
          <w:lang w:eastAsia="en-US"/>
        </w:rPr>
        <w:t xml:space="preserve">не проявлял канцерогенных свойств у крыс и самцов мышей, однако, у самок мышей наблюдалось увеличение случаев гепатоцеллюлярных аденом и карцином. Статистически значимое увеличение частоты других доброкачественных или злокачественных новообразований у грызунов отсутствовало. </w:t>
      </w:r>
      <w:r w:rsidRPr="004860E8">
        <w:rPr>
          <w:color w:val="000000" w:themeColor="text1"/>
        </w:rPr>
        <w:t>Этравирин</w:t>
      </w:r>
      <w:r>
        <w:rPr>
          <w:color w:val="000000" w:themeColor="text1"/>
        </w:rPr>
        <w:t xml:space="preserve"> </w:t>
      </w:r>
      <w:r>
        <w:rPr>
          <w:lang w:eastAsia="en-US"/>
        </w:rPr>
        <w:t xml:space="preserve">не проявлял иммунотоксических свойств, о чем свидетельствовали результаты иммунологических, гематологических исследований и исследований основных лимфоидных органов. </w:t>
      </w:r>
      <w:r w:rsidRPr="008749F9">
        <w:rPr>
          <w:i/>
          <w:iCs/>
          <w:lang w:eastAsia="en-US"/>
        </w:rPr>
        <w:t>In vitro</w:t>
      </w:r>
      <w:r>
        <w:rPr>
          <w:lang w:eastAsia="en-US"/>
        </w:rPr>
        <w:t xml:space="preserve"> </w:t>
      </w:r>
      <w:r>
        <w:rPr>
          <w:color w:val="000000" w:themeColor="text1"/>
        </w:rPr>
        <w:t>э</w:t>
      </w:r>
      <w:r w:rsidRPr="004860E8">
        <w:rPr>
          <w:color w:val="000000" w:themeColor="text1"/>
        </w:rPr>
        <w:t>травирин</w:t>
      </w:r>
      <w:r>
        <w:rPr>
          <w:color w:val="000000" w:themeColor="text1"/>
        </w:rPr>
        <w:t xml:space="preserve"> </w:t>
      </w:r>
      <w:r>
        <w:rPr>
          <w:lang w:eastAsia="en-US"/>
        </w:rPr>
        <w:t>продемонстрировал отсутствие цитотоксичности.</w:t>
      </w:r>
    </w:p>
    <w:p w14:paraId="7D8E6D7C" w14:textId="77777777" w:rsidR="009D42C6" w:rsidRDefault="009D42C6" w:rsidP="009D42C6">
      <w:pPr>
        <w:autoSpaceDE w:val="0"/>
        <w:autoSpaceDN w:val="0"/>
        <w:adjustRightInd w:val="0"/>
        <w:ind w:firstLine="709"/>
        <w:rPr>
          <w:lang w:eastAsia="en-US"/>
        </w:rPr>
      </w:pPr>
      <w:r>
        <w:rPr>
          <w:lang w:eastAsia="en-US"/>
        </w:rPr>
        <w:t xml:space="preserve">При исследовании местной переносимости </w:t>
      </w:r>
      <w:r>
        <w:rPr>
          <w:color w:val="000000" w:themeColor="text1"/>
        </w:rPr>
        <w:t>э</w:t>
      </w:r>
      <w:r w:rsidRPr="004860E8">
        <w:rPr>
          <w:color w:val="000000" w:themeColor="text1"/>
        </w:rPr>
        <w:t>травирин</w:t>
      </w:r>
      <w:r>
        <w:rPr>
          <w:color w:val="000000" w:themeColor="text1"/>
        </w:rPr>
        <w:t xml:space="preserve"> </w:t>
      </w:r>
      <w:r>
        <w:rPr>
          <w:lang w:eastAsia="en-US"/>
        </w:rPr>
        <w:t>оказывал небольшое раздражающее действие на слизистые оболочки глаза, но не проявлял кожно-сенсибилизирующего, кожно- раздражающего или фототоксического действия.</w:t>
      </w:r>
    </w:p>
    <w:p w14:paraId="5C0B2C60" w14:textId="430A2088" w:rsidR="009D42C6" w:rsidRDefault="009D42C6" w:rsidP="009D42C6">
      <w:pPr>
        <w:autoSpaceDE w:val="0"/>
        <w:autoSpaceDN w:val="0"/>
        <w:adjustRightInd w:val="0"/>
        <w:ind w:firstLine="709"/>
        <w:rPr>
          <w:lang w:eastAsia="en-US"/>
        </w:rPr>
      </w:pPr>
      <w:r>
        <w:rPr>
          <w:lang w:eastAsia="en-US"/>
        </w:rPr>
        <w:t xml:space="preserve">Содержание в субстанции </w:t>
      </w:r>
      <w:r w:rsidRPr="004860E8">
        <w:rPr>
          <w:color w:val="000000" w:themeColor="text1"/>
        </w:rPr>
        <w:t>этравирин</w:t>
      </w:r>
      <w:r>
        <w:rPr>
          <w:color w:val="000000" w:themeColor="text1"/>
        </w:rPr>
        <w:t>а</w:t>
      </w:r>
      <w:r w:rsidRPr="004860E8">
        <w:rPr>
          <w:bCs/>
          <w:color w:val="000000" w:themeColor="text1"/>
          <w:lang w:bidi="ru-RU"/>
        </w:rPr>
        <w:t xml:space="preserve"> </w:t>
      </w:r>
      <w:r>
        <w:rPr>
          <w:lang w:eastAsia="en-US"/>
        </w:rPr>
        <w:t xml:space="preserve">примесей и остаточных растворителей соответствует регламентируемым нормам. </w:t>
      </w:r>
    </w:p>
    <w:p w14:paraId="3C2AD4BC" w14:textId="419134FB" w:rsidR="009D42C6" w:rsidRPr="00021CB7" w:rsidRDefault="009D42C6" w:rsidP="009D42C6">
      <w:pPr>
        <w:ind w:firstLine="709"/>
        <w:rPr>
          <w:bCs/>
          <w:color w:val="FF0000"/>
          <w:lang w:bidi="ru-RU"/>
        </w:rPr>
      </w:pPr>
      <w:r w:rsidRPr="00050CEF">
        <w:rPr>
          <w:color w:val="000000" w:themeColor="text1"/>
        </w:rPr>
        <w:t xml:space="preserve">Имеющаяся информация свидетельствует, о том, что </w:t>
      </w:r>
      <w:r>
        <w:rPr>
          <w:color w:val="000000" w:themeColor="text1"/>
        </w:rPr>
        <w:t>этравирин</w:t>
      </w:r>
      <w:r w:rsidRPr="00050CEF">
        <w:rPr>
          <w:color w:val="000000" w:themeColor="text1"/>
        </w:rPr>
        <w:t xml:space="preserve">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r>
        <w:rPr>
          <w:color w:val="000000" w:themeColor="text1"/>
        </w:rPr>
        <w:t xml:space="preserve"> </w:t>
      </w:r>
      <w:r>
        <w:t xml:space="preserve">Лекарственный препарат </w:t>
      </w:r>
      <w:r>
        <w:rPr>
          <w:lang w:val="en-US"/>
        </w:rPr>
        <w:t>DT</w:t>
      </w:r>
      <w:r w:rsidRPr="00A76175">
        <w:t>-</w:t>
      </w:r>
      <w:r>
        <w:rPr>
          <w:lang w:val="en-US"/>
        </w:rPr>
        <w:t>ETR</w:t>
      </w:r>
      <w:r w:rsidR="00E729EF">
        <w:t>,</w:t>
      </w:r>
      <w:r w:rsidRPr="0075060E">
        <w:t xml:space="preserve"> </w:t>
      </w:r>
      <w:r>
        <w:rPr>
          <w:color w:val="000000" w:themeColor="text1"/>
        </w:rPr>
        <w:t>таблетки</w:t>
      </w:r>
      <w:r w:rsidR="00E729EF">
        <w:rPr>
          <w:color w:val="000000" w:themeColor="text1"/>
        </w:rPr>
        <w:t>,</w:t>
      </w:r>
      <w:r>
        <w:rPr>
          <w:color w:val="000000" w:themeColor="text1"/>
        </w:rPr>
        <w:t xml:space="preserve"> </w:t>
      </w:r>
      <w:r w:rsidRPr="00050CEF">
        <w:rPr>
          <w:color w:val="000000" w:themeColor="text1"/>
        </w:rPr>
        <w:t>(</w:t>
      </w:r>
      <w:r>
        <w:rPr>
          <w:color w:val="000000" w:themeColor="text1"/>
        </w:rPr>
        <w:t>АО «Р-Фарм»</w:t>
      </w:r>
      <w:r w:rsidRPr="00050CEF">
        <w:rPr>
          <w:color w:val="000000" w:themeColor="text1"/>
        </w:rPr>
        <w:t>, Россия)</w:t>
      </w:r>
      <w:r>
        <w:rPr>
          <w:color w:val="000000" w:themeColor="text1"/>
        </w:rPr>
        <w:t xml:space="preserve"> </w:t>
      </w:r>
      <w:r w:rsidRPr="00050CEF">
        <w:rPr>
          <w:color w:val="000000" w:themeColor="text1"/>
        </w:rPr>
        <w:t xml:space="preserve">является воспроизведенным препаратом по отношении к оригинальному препарату </w:t>
      </w:r>
      <w:r>
        <w:rPr>
          <w:color w:val="000000" w:themeColor="text1"/>
        </w:rPr>
        <w:t>Интеленс</w:t>
      </w:r>
      <w:r w:rsidRPr="00050CEF">
        <w:rPr>
          <w:color w:val="000000" w:themeColor="text1"/>
          <w:vertAlign w:val="superscript"/>
        </w:rPr>
        <w:t>®</w:t>
      </w:r>
      <w:r>
        <w:rPr>
          <w:color w:val="000000" w:themeColor="text1"/>
        </w:rPr>
        <w:t xml:space="preserve">. </w:t>
      </w:r>
      <w:r>
        <w:t>Он</w:t>
      </w:r>
      <w:r w:rsidRPr="0075060E">
        <w:t xml:space="preserve">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(оригинальному) препарату </w:t>
      </w:r>
      <w:r w:rsidR="00E729EF">
        <w:t>этравирина</w:t>
      </w:r>
      <w:r w:rsidR="00E729EF" w:rsidRPr="0075060E">
        <w:t xml:space="preserve"> </w:t>
      </w:r>
      <w:r w:rsidRPr="0075060E">
        <w:t>Интеленс</w:t>
      </w:r>
      <w:r w:rsidRPr="0075060E">
        <w:rPr>
          <w:vertAlign w:val="superscript"/>
        </w:rPr>
        <w:t>®</w:t>
      </w:r>
      <w:r w:rsidRPr="0075060E">
        <w:t xml:space="preserve"> </w:t>
      </w:r>
      <w:r w:rsidRPr="0075060E">
        <w:rPr>
          <w:lang w:eastAsia="ru-RU"/>
        </w:rPr>
        <w:t>(владелец РУ - ООО «Джонсон &amp; Джонсон», Россия), имея отличия в качественном и количественном составе некоторых вспомогат</w:t>
      </w:r>
      <w:r>
        <w:rPr>
          <w:lang w:eastAsia="ru-RU"/>
        </w:rPr>
        <w:t>ельных веществ</w:t>
      </w:r>
      <w:r>
        <w:t>.</w:t>
      </w:r>
      <w:r w:rsidRPr="009D42C6">
        <w:rPr>
          <w:lang w:eastAsia="ru-RU"/>
        </w:rPr>
        <w:t xml:space="preserve"> </w:t>
      </w:r>
      <w:r>
        <w:rPr>
          <w:lang w:eastAsia="ru-RU"/>
        </w:rPr>
        <w:t xml:space="preserve">Препарат </w:t>
      </w:r>
      <w:r>
        <w:rPr>
          <w:color w:val="000000" w:themeColor="text1"/>
          <w:lang w:val="en-US"/>
        </w:rPr>
        <w:t>DT</w:t>
      </w:r>
      <w:r w:rsidRPr="0090184F">
        <w:rPr>
          <w:color w:val="000000" w:themeColor="text1"/>
        </w:rPr>
        <w:t>-</w:t>
      </w:r>
      <w:r>
        <w:rPr>
          <w:color w:val="000000" w:themeColor="text1"/>
          <w:lang w:val="en-US"/>
        </w:rPr>
        <w:t>ETR</w:t>
      </w:r>
      <w:r w:rsidRPr="00050CEF">
        <w:rPr>
          <w:color w:val="000000" w:themeColor="text1"/>
        </w:rPr>
        <w:t xml:space="preserve"> </w:t>
      </w:r>
      <w:r>
        <w:rPr>
          <w:color w:val="000000" w:themeColor="text1"/>
        </w:rPr>
        <w:t>продемонстрировал эквивалентность</w:t>
      </w:r>
      <w:r w:rsidRPr="00050CEF">
        <w:rPr>
          <w:color w:val="000000" w:themeColor="text1"/>
        </w:rPr>
        <w:t xml:space="preserve"> референтному препарату </w:t>
      </w:r>
      <w:r>
        <w:rPr>
          <w:color w:val="000000" w:themeColor="text1"/>
        </w:rPr>
        <w:t>Интеленс</w:t>
      </w:r>
      <w:r>
        <w:rPr>
          <w:color w:val="000000"/>
          <w:vertAlign w:val="superscript"/>
        </w:rPr>
        <w:t>®</w:t>
      </w:r>
      <w:r w:rsidRPr="00050CEF">
        <w:rPr>
          <w:color w:val="000000" w:themeColor="text1"/>
        </w:rPr>
        <w:t xml:space="preserve"> в </w:t>
      </w:r>
      <w:r>
        <w:rPr>
          <w:color w:val="000000" w:themeColor="text1"/>
        </w:rPr>
        <w:t>сравнительном тесте</w:t>
      </w:r>
      <w:r w:rsidRPr="00050CEF">
        <w:rPr>
          <w:color w:val="000000" w:themeColor="text1"/>
        </w:rPr>
        <w:t xml:space="preserve"> кинетики растворения, </w:t>
      </w:r>
      <w:r>
        <w:rPr>
          <w:color w:val="000000" w:themeColor="text1"/>
        </w:rPr>
        <w:t>и</w:t>
      </w:r>
      <w:r w:rsidRPr="00050CEF">
        <w:rPr>
          <w:color w:val="000000" w:themeColor="text1"/>
        </w:rPr>
        <w:t>, следовательно, на него можно экстраполировать литературные доклинические данные оригинального препарата</w:t>
      </w:r>
      <w:r>
        <w:rPr>
          <w:color w:val="000000" w:themeColor="text1"/>
        </w:rPr>
        <w:t xml:space="preserve"> Интеленс</w:t>
      </w:r>
      <w:r w:rsidRPr="00050CEF">
        <w:rPr>
          <w:color w:val="000000" w:themeColor="text1"/>
          <w:vertAlign w:val="superscript"/>
        </w:rPr>
        <w:t>®</w:t>
      </w:r>
      <w:r w:rsidRPr="00050CEF">
        <w:rPr>
          <w:color w:val="000000" w:themeColor="text1"/>
        </w:rPr>
        <w:t xml:space="preserve">, и рекомендовать препарат </w:t>
      </w:r>
      <w:r>
        <w:rPr>
          <w:lang w:val="en-US"/>
        </w:rPr>
        <w:t>DT</w:t>
      </w:r>
      <w:r w:rsidRPr="0075060E">
        <w:t>-</w:t>
      </w:r>
      <w:r>
        <w:rPr>
          <w:lang w:val="en-US"/>
        </w:rPr>
        <w:t>ETR</w:t>
      </w:r>
      <w:r w:rsidRPr="00050CEF">
        <w:rPr>
          <w:color w:val="000000" w:themeColor="text1"/>
        </w:rPr>
        <w:t xml:space="preserve"> для клинического исследования биоэквивалентности </w:t>
      </w:r>
      <w:r>
        <w:rPr>
          <w:color w:val="000000" w:themeColor="text1"/>
        </w:rPr>
        <w:t>у здоровых добровольцев</w:t>
      </w:r>
      <w:r w:rsidRPr="00050CEF">
        <w:rPr>
          <w:color w:val="000000" w:themeColor="text1"/>
        </w:rPr>
        <w:t>.</w:t>
      </w:r>
    </w:p>
    <w:p w14:paraId="6919144A" w14:textId="4DF85C1A" w:rsidR="008B7FBF" w:rsidRPr="00F37EE0" w:rsidRDefault="008B7FBF" w:rsidP="009E26B1">
      <w:pPr>
        <w:pStyle w:val="2"/>
        <w:spacing w:line="240" w:lineRule="auto"/>
        <w:rPr>
          <w:color w:val="000000" w:themeColor="text1"/>
          <w:szCs w:val="24"/>
        </w:rPr>
      </w:pPr>
      <w:bookmarkStart w:id="196" w:name="_Toc117179244"/>
      <w:r w:rsidRPr="00F37EE0">
        <w:rPr>
          <w:color w:val="000000" w:themeColor="text1"/>
          <w:szCs w:val="24"/>
        </w:rPr>
        <w:t>5.2. Обсуждение данных клинических исследований</w:t>
      </w:r>
      <w:bookmarkEnd w:id="196"/>
    </w:p>
    <w:p w14:paraId="2C145BA9" w14:textId="743FF016" w:rsidR="009D42C6" w:rsidRPr="00A76175" w:rsidRDefault="009D42C6" w:rsidP="00A76175">
      <w:pPr>
        <w:ind w:firstLine="708"/>
      </w:pPr>
      <w:bookmarkStart w:id="197" w:name="_Toc301482877"/>
      <w:bookmarkStart w:id="198" w:name="_Toc298775567"/>
      <w:bookmarkEnd w:id="195"/>
      <w:r w:rsidRPr="00707D60">
        <w:rPr>
          <w:lang w:eastAsia="ru-RU"/>
        </w:rPr>
        <w:t xml:space="preserve">Оригинальный препарата </w:t>
      </w:r>
      <w:r>
        <w:rPr>
          <w:lang w:eastAsia="ru-RU"/>
        </w:rPr>
        <w:t>этравирина</w:t>
      </w:r>
      <w:r w:rsidRPr="00707D60">
        <w:rPr>
          <w:lang w:eastAsia="ru-RU"/>
        </w:rPr>
        <w:t xml:space="preserve"> </w:t>
      </w:r>
      <w:r>
        <w:rPr>
          <w:lang w:eastAsia="ru-RU"/>
        </w:rPr>
        <w:t>Интеленс</w:t>
      </w:r>
      <w:r w:rsidRPr="00B40376">
        <w:rPr>
          <w:vertAlign w:val="superscript"/>
          <w:lang w:eastAsia="ru-RU"/>
        </w:rPr>
        <w:t>®</w:t>
      </w:r>
      <w:r w:rsidRPr="00707D60">
        <w:rPr>
          <w:lang w:eastAsia="ru-RU"/>
        </w:rPr>
        <w:t xml:space="preserve"> был зарегистрирован в РФ </w:t>
      </w:r>
      <w:r>
        <w:rPr>
          <w:lang w:eastAsia="ru-RU"/>
        </w:rPr>
        <w:t>17</w:t>
      </w:r>
      <w:r w:rsidRPr="00707D60">
        <w:rPr>
          <w:lang w:eastAsia="ru-RU"/>
        </w:rPr>
        <w:t>.0</w:t>
      </w:r>
      <w:r>
        <w:rPr>
          <w:lang w:eastAsia="ru-RU"/>
        </w:rPr>
        <w:t>3</w:t>
      </w:r>
      <w:r w:rsidRPr="00707D60">
        <w:rPr>
          <w:lang w:eastAsia="ru-RU"/>
        </w:rPr>
        <w:t>.201</w:t>
      </w:r>
      <w:r>
        <w:rPr>
          <w:lang w:eastAsia="ru-RU"/>
        </w:rPr>
        <w:t>4</w:t>
      </w:r>
      <w:r w:rsidRPr="00707D60">
        <w:rPr>
          <w:lang w:eastAsia="ru-RU"/>
        </w:rPr>
        <w:t xml:space="preserve">. </w:t>
      </w:r>
      <w:r>
        <w:t>Этравирин</w:t>
      </w:r>
      <w:r w:rsidRPr="00707D60">
        <w:t xml:space="preserve"> – </w:t>
      </w:r>
      <w:r w:rsidRPr="00F509B3">
        <w:rPr>
          <w:color w:val="000000"/>
        </w:rPr>
        <w:t>ННИОТ второго поколения</w:t>
      </w:r>
      <w:r w:rsidRPr="00707D60">
        <w:t xml:space="preserve">, который зарегистрирован для лечения </w:t>
      </w:r>
      <w:r>
        <w:t>инфекции ВИЧ-1 у взрослых и детей в возрасте от 2 лет</w:t>
      </w:r>
      <w:r w:rsidRPr="00707D60">
        <w:t>.</w:t>
      </w:r>
    </w:p>
    <w:p w14:paraId="5A6A8671" w14:textId="1E7B23FF" w:rsidR="009D42C6" w:rsidRDefault="009D42C6" w:rsidP="009D42C6">
      <w:pPr>
        <w:ind w:firstLine="709"/>
      </w:pPr>
      <w:r w:rsidRPr="0075060E">
        <w:t xml:space="preserve">Так как препарат </w:t>
      </w:r>
      <w:r w:rsidRPr="0075060E">
        <w:rPr>
          <w:lang w:val="en-US"/>
        </w:rPr>
        <w:t>DT</w:t>
      </w:r>
      <w:r w:rsidRPr="0075060E">
        <w:t>-</w:t>
      </w:r>
      <w:r w:rsidRPr="0075060E">
        <w:rPr>
          <w:lang w:val="en-US"/>
        </w:rPr>
        <w:t>ETR</w:t>
      </w:r>
      <w:r w:rsidRPr="0075060E">
        <w:t xml:space="preserve"> (АО «Р-Фарм», Россия) представляет собой воспроизведенный препарат этравирина, который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(оригинальному) препарату </w:t>
      </w:r>
      <w:r w:rsidR="00E729EF">
        <w:t>этравирина</w:t>
      </w:r>
      <w:r w:rsidR="00E729EF" w:rsidRPr="0075060E">
        <w:t xml:space="preserve"> </w:t>
      </w:r>
      <w:r w:rsidRPr="0075060E">
        <w:t>Интеленс</w:t>
      </w:r>
      <w:r w:rsidRPr="0075060E">
        <w:rPr>
          <w:vertAlign w:val="superscript"/>
        </w:rPr>
        <w:t>®</w:t>
      </w:r>
      <w:r w:rsidRPr="0075060E">
        <w:t xml:space="preserve"> </w:t>
      </w:r>
      <w:r w:rsidRPr="0075060E">
        <w:rPr>
          <w:lang w:eastAsia="ru-RU"/>
        </w:rPr>
        <w:t xml:space="preserve">(владелец РУ - ООО «Джонсон &amp; Джонсон», Россия), имея отличия в качественном и количественном составе некоторых вспомогательных веществ, </w:t>
      </w:r>
      <w:r w:rsidRPr="0075060E">
        <w:t xml:space="preserve">ожидается, что его свойства будут идентичны свойствам оригинального препарата. </w:t>
      </w:r>
      <w:r w:rsidRPr="00BF6DD4">
        <w:rPr>
          <w:rFonts w:eastAsia="Calibri"/>
          <w:color w:val="000000" w:themeColor="text1"/>
        </w:rPr>
        <w:t xml:space="preserve">В связи с этим ниже приводятся данные об эффектах </w:t>
      </w:r>
      <w:r>
        <w:rPr>
          <w:rFonts w:eastAsia="Calibri"/>
          <w:color w:val="000000" w:themeColor="text1"/>
        </w:rPr>
        <w:t>этравирина</w:t>
      </w:r>
      <w:r w:rsidRPr="00BF6DD4">
        <w:rPr>
          <w:rFonts w:eastAsia="Calibri"/>
          <w:color w:val="000000" w:themeColor="text1"/>
        </w:rPr>
        <w:t xml:space="preserve"> у человека, полученные в исследованиях препарата </w:t>
      </w:r>
      <w:r>
        <w:rPr>
          <w:rFonts w:eastAsia="Calibri"/>
          <w:color w:val="000000" w:themeColor="text1"/>
        </w:rPr>
        <w:t>Интеленс</w:t>
      </w:r>
      <w:r w:rsidRPr="00BF6DD4">
        <w:rPr>
          <w:bCs/>
          <w:color w:val="000000" w:themeColor="text1"/>
          <w:vertAlign w:val="superscript"/>
        </w:rPr>
        <w:t>®</w:t>
      </w:r>
      <w:r w:rsidRPr="00BF6DD4">
        <w:rPr>
          <w:rFonts w:eastAsia="Calibri"/>
          <w:color w:val="000000" w:themeColor="text1"/>
        </w:rPr>
        <w:t>.</w:t>
      </w:r>
      <w:r w:rsidRPr="00BF6DD4">
        <w:rPr>
          <w:rFonts w:eastAsiaTheme="minorEastAsia"/>
          <w:color w:val="000000" w:themeColor="text1"/>
          <w:lang w:eastAsia="ru-RU"/>
        </w:rPr>
        <w:t xml:space="preserve"> К</w:t>
      </w:r>
      <w:r w:rsidRPr="00BF6DD4">
        <w:t xml:space="preserve">линических исследований лекарственного препарата </w:t>
      </w:r>
      <w:r w:rsidRPr="00BF6DD4">
        <w:rPr>
          <w:color w:val="000000" w:themeColor="text1"/>
          <w:lang w:val="en-US"/>
        </w:rPr>
        <w:t>DT</w:t>
      </w:r>
      <w:r w:rsidRPr="00BF6DD4">
        <w:rPr>
          <w:color w:val="000000" w:themeColor="text1"/>
        </w:rPr>
        <w:t>-</w:t>
      </w:r>
      <w:r w:rsidRPr="00BF6DD4">
        <w:rPr>
          <w:color w:val="000000" w:themeColor="text1"/>
          <w:lang w:val="en-US"/>
        </w:rPr>
        <w:t>E</w:t>
      </w:r>
      <w:r>
        <w:rPr>
          <w:color w:val="000000" w:themeColor="text1"/>
          <w:lang w:val="en-US"/>
        </w:rPr>
        <w:t>T</w:t>
      </w:r>
      <w:r w:rsidRPr="00BF6DD4">
        <w:rPr>
          <w:color w:val="000000" w:themeColor="text1"/>
          <w:lang w:val="en-US"/>
        </w:rPr>
        <w:t>R</w:t>
      </w:r>
      <w:r w:rsidRPr="00BF6DD4">
        <w:t xml:space="preserve"> пока не проводил</w:t>
      </w:r>
      <w:r>
        <w:t>о</w:t>
      </w:r>
      <w:r w:rsidRPr="00BF6DD4">
        <w:t>сь.</w:t>
      </w:r>
    </w:p>
    <w:p w14:paraId="43B47E88" w14:textId="77777777" w:rsidR="009D42C6" w:rsidRDefault="009D42C6" w:rsidP="009D42C6">
      <w:pPr>
        <w:ind w:firstLine="709"/>
      </w:pPr>
      <w:r w:rsidRPr="000C117E">
        <w:t>Этравирин является ненуклеозидным ингибитором обратной транскриптазы (ННИОТ) вируса иммунодефицита человека – ВИЧ-1</w:t>
      </w:r>
      <w:r w:rsidRPr="00620C59">
        <w:t xml:space="preserve"> </w:t>
      </w:r>
      <w:r>
        <w:t xml:space="preserve">второго поколения. </w:t>
      </w:r>
      <w:r w:rsidRPr="000C117E">
        <w:t>Этравирин</w:t>
      </w:r>
      <w:r>
        <w:t xml:space="preserve"> в 2008 году был одобрен для лечения взрослых с резистентностью к нескольким классам АРВП по результатам рандомизированных плацебо-контролируемых клинических исследований (КИ; DUET-1 и DUET-2), в которых продемонстрировал свое превосходство в сочетании с оптимизированным фоновым режимом у пациентов с тройной устойчивостью по сравнению с плацебо (61% vs. 40% с вирусной нагрузкой &lt;50 копий/мл). Недавно, на основании результатов КИ I и II фаз (PIANO) у детей, этравирин</w:t>
      </w:r>
      <w:r w:rsidRPr="008B2177">
        <w:t xml:space="preserve"> </w:t>
      </w:r>
      <w:r>
        <w:t>был одобрен для использования у детей в возрасте 6 - 18 лет, достигших вирусологической супрессии на стабильной схеме л</w:t>
      </w:r>
      <w:r w:rsidRPr="003B194B">
        <w:t>опинавир/ритонавир</w:t>
      </w:r>
      <w:r>
        <w:t>.</w:t>
      </w:r>
      <w:r w:rsidRPr="003B194B">
        <w:t xml:space="preserve"> </w:t>
      </w:r>
      <w:r>
        <w:t>В мае 2020 года препарат Интеленс</w:t>
      </w:r>
      <w:r w:rsidRPr="00A76175">
        <w:rPr>
          <w:vertAlign w:val="superscript"/>
        </w:rPr>
        <w:t>®</w:t>
      </w:r>
      <w:r>
        <w:t xml:space="preserve"> (этравирин), таблетки 25 и 100 мг, зарегистрирован в России для лечения ВИЧ у детей с 6 лет, ранее получавших АРВП, а в феврале 2021 г – для лечения ВИЧ у детей с 2 лет, которые ранее получали АРВП. В основу расширения показаний для применения этравирина</w:t>
      </w:r>
      <w:r w:rsidRPr="008B2177">
        <w:t xml:space="preserve"> </w:t>
      </w:r>
      <w:r>
        <w:t>легли результаты клинического исследования эффективности / безопасности / переносимости этравирина</w:t>
      </w:r>
      <w:r w:rsidRPr="008B2177">
        <w:t xml:space="preserve"> </w:t>
      </w:r>
      <w:r>
        <w:t>в педиатрической популяции 1 – 6 лет (IMPAACT P1090 I/II фазы).</w:t>
      </w:r>
    </w:p>
    <w:p w14:paraId="7E670D4E" w14:textId="77777777" w:rsidR="009D42C6" w:rsidRDefault="009D42C6" w:rsidP="009D42C6">
      <w:pPr>
        <w:ind w:firstLine="709"/>
      </w:pPr>
      <w:r>
        <w:t>Эффективность лекарственных препаратов, содержащих этравирин, в качестве средства для лечения ВИЧ-1 взрослых и детей с опытом предшествующей терапии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эбравирина в составе комбинированной высокоэффективной АРТ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52766ABC" w14:textId="062DDBFA" w:rsidR="009D42C6" w:rsidRDefault="009D42C6" w:rsidP="009D42C6">
      <w:pPr>
        <w:ind w:firstLine="709"/>
      </w:pPr>
      <w:r>
        <w:t>Ежедневный пероральный прием этравирина в составе схем АРТ, был эффективен в отношении снижения вирусной нагрузки у ВИЧ-инфицированных пациентов с опытом предшествующей терапии при использовании в составе комбинированной АРТ. Польза от применения этравирина продемонстрирована результатами двух основных регистрационных исследований – DUET 1 и DUET 2 (TMC125-C206 и TMC125-C216), в которых этравирин эффективно снижал вирусную нагрузку у ВИЧ-инфицированных пациентов с опытом предшествующей терапии и вирусологической неудачей в анамнезе (≥ 1 мутации резистентности ННИОТ; анализ на 48, 96 неделе терапии). Вирусологическая супрессия (РНК ВИЧ &lt; 50 копий/мл) на 48 неделе достигнута у 60% пациентов, получавших этравирин, и 38%, получавших плацебо, на фоне базовой АРТ; у 71% и 46% пациентов, соответственно, вирусная нагрузка была менее 400 копий /мл; средний прирост CD4+ лимфоцитов по сравнению с исходным уровнем – 96 клеток/мкл и 68 клеток/мкл, соответственно. По данным 96-недельного объединенного анализа, доля участников, поддерживающих вирусологическую супрессию (РНК ВИЧ &lt;50 копий/мл), была значительно выше в группе этравирина по сравнению с плацебо (57% vs. 36%; p &lt;0,0001), независимо от исходных характеристик включенных в исследование пациентов. В педиатрическом исследовании PIANO при включении в схему терапии этравирина на 48 неделе 57 из 101 (56%) участников достигли вирусологической супрессии (РНК ВИЧ &lt;50 копий/мл, ITT-популяция). Вновь возникшая резистентность к ННИОТ была обнаружена у 18 из 30 (60%) детей без вирусологической супрессии в прошлом, среди выявленных мутаций наиболее часто обнаруживалась мутация Y181C (n = 8).</w:t>
      </w:r>
    </w:p>
    <w:p w14:paraId="57C9D719" w14:textId="268C2DDE" w:rsidR="00030E0F" w:rsidRPr="00030E0F" w:rsidRDefault="00030E0F" w:rsidP="00030E0F">
      <w:pPr>
        <w:ind w:firstLine="709"/>
      </w:pPr>
      <w:r w:rsidRPr="00030E0F">
        <w:t>В общей сложности 1093 пациентов получали этравирин-содержащие схемы АРТ (в исследованиях IIB и III фазы); из их 861 пациент принимали этравирин не менее 24 недель и 279 –</w:t>
      </w:r>
      <w:r>
        <w:t xml:space="preserve"> не менее 48 недель.</w:t>
      </w:r>
      <w:r w:rsidRPr="00030E0F">
        <w:t xml:space="preserve"> В объединенный анализ DUET (рандомизированные плацебо-контролируемые исследования TMC125-C206 и TMC125-C216) вошло в общей сложности 599 ВИЧ-инфицированных, получавших этравирин (200 мг 2 раза в день)</w:t>
      </w:r>
      <w:r w:rsidR="009E4458">
        <w:t>,</w:t>
      </w:r>
      <w:r w:rsidRPr="00030E0F">
        <w:t xml:space="preserve"> и 604 пациента, получавших плацебо. По данным объединенного анализа исследований DUET средняя продолжительность приема этравирина и плацебо составила 52,3 и 51,0 нед. соответственно. Наиболее распространенными НЯ (частота ≥10%) у пациентов, получавших этравирин, выявленными в рамках клинических исследований DUET, были: диарея (15,0% vs. 20,4% в группе плацебо), тошнота (13,9% vs. 11,1%) и сыпь (10,0% vs. 5,5%). Кожная сыпь (любой тип) развивалась у 17,0% пациентов, получавших этравирин (vs. 9,4% в группе плацебо).</w:t>
      </w:r>
      <w:r>
        <w:t xml:space="preserve"> </w:t>
      </w:r>
      <w:r w:rsidRPr="00030E0F">
        <w:t>В объединенном анализе регистрационных рандомизированных двойных слепых исследований III фазы DUET-1 и DUET-2 показатель отмены препарата по причине возникновения побочных реакций составил 5,2% и 2,6% участников в группе этравирин и плацебо соответственно</w:t>
      </w:r>
      <w:r>
        <w:t>.</w:t>
      </w:r>
    </w:p>
    <w:p w14:paraId="285CC955" w14:textId="77777777" w:rsidR="00030E0F" w:rsidRPr="004865CA" w:rsidRDefault="00030E0F" w:rsidP="009D42C6">
      <w:pPr>
        <w:ind w:firstLine="709"/>
      </w:pPr>
    </w:p>
    <w:p w14:paraId="720EF192" w14:textId="33B488B3" w:rsidR="00A72CBF" w:rsidRPr="00A76175" w:rsidRDefault="00A72CBF" w:rsidP="00A76175">
      <w:pPr>
        <w:pStyle w:val="ab"/>
        <w:shd w:val="clear" w:color="auto" w:fill="FFFFFF"/>
        <w:spacing w:before="0" w:beforeAutospacing="0" w:after="0" w:afterAutospacing="0"/>
        <w:ind w:firstLine="709"/>
        <w:jc w:val="both"/>
        <w:rPr>
          <w:b/>
        </w:rPr>
      </w:pPr>
      <w:r w:rsidRPr="00A76175">
        <w:rPr>
          <w:b/>
        </w:rPr>
        <w:t>Оценка пользы</w:t>
      </w:r>
    </w:p>
    <w:p w14:paraId="2FED1D42" w14:textId="38EF76DA" w:rsidR="00A72CBF" w:rsidRPr="00A76175" w:rsidRDefault="00A72CBF" w:rsidP="00A76175">
      <w:pPr>
        <w:ind w:firstLine="709"/>
      </w:pPr>
      <w:r w:rsidRPr="00A76175">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A76175">
        <w:rPr>
          <w:rFonts w:eastAsia="Calibri"/>
        </w:rPr>
        <w:t xml:space="preserve"> </w:t>
      </w:r>
    </w:p>
    <w:p w14:paraId="35113295" w14:textId="0B2478CB" w:rsidR="00A72CBF" w:rsidRPr="00A76175" w:rsidRDefault="00A72CBF" w:rsidP="00A76175">
      <w:pPr>
        <w:pStyle w:val="ab"/>
        <w:shd w:val="clear" w:color="auto" w:fill="FFFFFF"/>
        <w:spacing w:before="0" w:beforeAutospacing="0" w:after="0" w:afterAutospacing="0"/>
        <w:ind w:firstLine="709"/>
        <w:jc w:val="both"/>
        <w:rPr>
          <w:b/>
        </w:rPr>
      </w:pPr>
      <w:r w:rsidRPr="00A76175">
        <w:rPr>
          <w:b/>
        </w:rPr>
        <w:t>Оценка риска</w:t>
      </w:r>
    </w:p>
    <w:p w14:paraId="016538BA" w14:textId="2E5EA327" w:rsidR="00A72CBF" w:rsidRDefault="00A72CBF">
      <w:pPr>
        <w:ind w:firstLine="709"/>
        <w:rPr>
          <w:color w:val="000000"/>
        </w:rPr>
      </w:pPr>
      <w:bookmarkStart w:id="199" w:name="_Hlk484365438"/>
      <w:bookmarkStart w:id="200" w:name="_Hlk484354093"/>
      <w:bookmarkStart w:id="201" w:name="_Hlk484365465"/>
      <w:r w:rsidRPr="00A76175">
        <w:rPr>
          <w:lang w:eastAsia="ru-RU"/>
        </w:rPr>
        <w:t xml:space="preserve">Риск применения </w:t>
      </w:r>
      <w:r w:rsidR="00F509B3" w:rsidRPr="00A76175">
        <w:rPr>
          <w:lang w:eastAsia="ru-RU"/>
        </w:rPr>
        <w:t>исследуемого</w:t>
      </w:r>
      <w:r w:rsidRPr="00A76175">
        <w:rPr>
          <w:lang w:eastAsia="ru-RU"/>
        </w:rPr>
        <w:t xml:space="preserve"> </w:t>
      </w:r>
      <w:r w:rsidR="00F509B3" w:rsidRPr="00A76175">
        <w:t>воспроизведенн</w:t>
      </w:r>
      <w:r w:rsidR="00C46F4A" w:rsidRPr="00A76175">
        <w:t>ого</w:t>
      </w:r>
      <w:r w:rsidR="00F509B3" w:rsidRPr="00A76175">
        <w:t xml:space="preserve"> препарат</w:t>
      </w:r>
      <w:r w:rsidR="00C46F4A" w:rsidRPr="00A76175">
        <w:t>а</w:t>
      </w:r>
      <w:r w:rsidR="00F509B3" w:rsidRPr="00A76175">
        <w:t xml:space="preserve"> этравирин (название) (М</w:t>
      </w:r>
      <w:r w:rsidR="00124A6B" w:rsidRPr="00A76175">
        <w:t>НН: этравирин), таблетки</w:t>
      </w:r>
      <w:r w:rsidR="00F509B3" w:rsidRPr="00A76175">
        <w:t xml:space="preserve"> 100 мг</w:t>
      </w:r>
      <w:r w:rsidR="006C7287" w:rsidRPr="00A76175">
        <w:t xml:space="preserve"> и </w:t>
      </w:r>
      <w:r w:rsidR="00F509B3" w:rsidRPr="00A76175">
        <w:t xml:space="preserve">200 мг </w:t>
      </w:r>
      <w:r w:rsidRPr="00A76175">
        <w:rPr>
          <w:lang w:eastAsia="ru-RU"/>
        </w:rPr>
        <w:t xml:space="preserve">как и оригинального препарата </w:t>
      </w:r>
      <w:r w:rsidR="00F509B3" w:rsidRPr="00A76175">
        <w:rPr>
          <w:lang w:eastAsia="ru-RU"/>
        </w:rPr>
        <w:t>Интеленс</w:t>
      </w:r>
      <w:r w:rsidR="00F509B3" w:rsidRPr="00A76175">
        <w:rPr>
          <w:vertAlign w:val="superscript"/>
          <w:lang w:eastAsia="ru-RU"/>
        </w:rPr>
        <w:t>®</w:t>
      </w:r>
      <w:r w:rsidR="00F509B3" w:rsidRPr="00A76175">
        <w:rPr>
          <w:lang w:eastAsia="ru-RU"/>
        </w:rPr>
        <w:t>, таблетки 100 мг</w:t>
      </w:r>
      <w:r w:rsidR="006C7287" w:rsidRPr="00A76175">
        <w:rPr>
          <w:lang w:eastAsia="ru-RU"/>
        </w:rPr>
        <w:t xml:space="preserve"> и </w:t>
      </w:r>
      <w:r w:rsidR="00F509B3" w:rsidRPr="00A76175">
        <w:rPr>
          <w:lang w:eastAsia="ru-RU"/>
        </w:rPr>
        <w:t>200 мг (</w:t>
      </w:r>
      <w:r w:rsidR="00FD59A0">
        <w:rPr>
          <w:lang w:eastAsia="ru-RU"/>
        </w:rPr>
        <w:t xml:space="preserve">ООО «Джонсон </w:t>
      </w:r>
      <w:r w:rsidR="00FD59A0" w:rsidRPr="009B427E">
        <w:rPr>
          <w:lang w:eastAsia="ru-RU"/>
        </w:rPr>
        <w:t xml:space="preserve">&amp; </w:t>
      </w:r>
      <w:r w:rsidR="00FD59A0">
        <w:rPr>
          <w:lang w:eastAsia="ru-RU"/>
        </w:rPr>
        <w:t>Джонсон», Россия</w:t>
      </w:r>
      <w:r w:rsidR="00FD59A0" w:rsidRPr="00C81BE4" w:rsidDel="00FD59A0">
        <w:rPr>
          <w:lang w:eastAsia="ru-RU"/>
        </w:rPr>
        <w:t xml:space="preserve"> </w:t>
      </w:r>
      <w:r w:rsidR="00F509B3" w:rsidRPr="00A76175">
        <w:rPr>
          <w:lang w:eastAsia="ru-RU"/>
        </w:rPr>
        <w:t xml:space="preserve">) </w:t>
      </w:r>
      <w:r w:rsidRPr="00A76175">
        <w:rPr>
          <w:lang w:eastAsia="ru-RU"/>
        </w:rPr>
        <w:t>ассоциирован</w:t>
      </w:r>
      <w:r w:rsidRPr="00C81BE4">
        <w:rPr>
          <w:lang w:eastAsia="ru-RU"/>
        </w:rPr>
        <w:t xml:space="preserve">,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применения препаратов </w:t>
      </w:r>
      <w:r w:rsidR="009E26B1" w:rsidRPr="00A76175">
        <w:t xml:space="preserve">этравирин </w:t>
      </w:r>
      <w:r w:rsidRPr="00A76175">
        <w:t>Нежелательные явления перечислены ниже (Таблица 5-1) по системно</w:t>
      </w:r>
      <w:r w:rsidRPr="0007462D">
        <w:rPr>
          <w:color w:val="000000"/>
        </w:rPr>
        <w:t>-органным классам и частоте. Частоты определены как: очень часто (≥1/10); часто (≥1/100 - &lt;1/10); нечасто (≥1/1000 - &lt;1/100); редко (≥1/10000</w:t>
      </w:r>
      <w:r w:rsidR="009E4458">
        <w:rPr>
          <w:color w:val="000000"/>
        </w:rPr>
        <w:t xml:space="preserve"> </w:t>
      </w:r>
      <w:r w:rsidRPr="0007462D">
        <w:rPr>
          <w:color w:val="000000"/>
        </w:rPr>
        <w:t>- &lt;1/1000); очень редко (&lt;1/10000) и частота не установлена (нельзя установить на основании доступных данных).</w:t>
      </w:r>
    </w:p>
    <w:p w14:paraId="233DD89E" w14:textId="77777777" w:rsidR="00A72CBF" w:rsidRPr="0007462D" w:rsidRDefault="00A72CBF" w:rsidP="00A72CBF">
      <w:pPr>
        <w:ind w:firstLine="709"/>
        <w:rPr>
          <w:color w:val="000000"/>
        </w:rPr>
      </w:pPr>
    </w:p>
    <w:p w14:paraId="4718B792" w14:textId="77777777" w:rsidR="00421CA0" w:rsidRDefault="00421CA0" w:rsidP="003C307A">
      <w:pPr>
        <w:pStyle w:val="ab"/>
        <w:shd w:val="clear" w:color="auto" w:fill="FFFFFF"/>
        <w:spacing w:before="0" w:beforeAutospacing="0" w:after="0" w:afterAutospacing="0"/>
        <w:jc w:val="both"/>
        <w:rPr>
          <w:b/>
          <w:bCs/>
        </w:rPr>
        <w:sectPr w:rsidR="00421CA0" w:rsidSect="00AB01E2">
          <w:pgSz w:w="11906" w:h="16838"/>
          <w:pgMar w:top="1134" w:right="849" w:bottom="1134" w:left="1701" w:header="708" w:footer="709" w:gutter="0"/>
          <w:cols w:space="708"/>
          <w:docGrid w:linePitch="360"/>
        </w:sectPr>
      </w:pPr>
    </w:p>
    <w:p w14:paraId="3BF906D6" w14:textId="3F73588C" w:rsidR="003C307A" w:rsidRDefault="00A72CBF" w:rsidP="003C307A">
      <w:pPr>
        <w:pStyle w:val="ab"/>
        <w:shd w:val="clear" w:color="auto" w:fill="FFFFFF"/>
        <w:spacing w:before="0" w:beforeAutospacing="0" w:after="0" w:afterAutospacing="0"/>
        <w:jc w:val="both"/>
        <w:rPr>
          <w:b/>
          <w:bCs/>
          <w:color w:val="000000"/>
        </w:rPr>
      </w:pPr>
      <w:r w:rsidRPr="009E26B1">
        <w:rPr>
          <w:b/>
          <w:bCs/>
        </w:rPr>
        <w:t xml:space="preserve">Таблица 5-1. </w:t>
      </w:r>
      <w:r w:rsidRPr="001C0A37">
        <w:rPr>
          <w:bCs/>
          <w:color w:val="000000"/>
        </w:rPr>
        <w:t xml:space="preserve">Частота нежелательных явлений, выявленных в плацебо-контролируемых клинических исследованиях </w:t>
      </w:r>
      <w:r w:rsidR="009E26B1" w:rsidRPr="001C0A37">
        <w:rPr>
          <w:bCs/>
          <w:color w:val="000000"/>
        </w:rPr>
        <w:t xml:space="preserve">этравирин </w:t>
      </w:r>
      <w:r w:rsidRPr="001C0A37">
        <w:rPr>
          <w:bCs/>
          <w:color w:val="000000"/>
        </w:rPr>
        <w:t>и при пострегистрационном наблюдении</w:t>
      </w:r>
      <w:r w:rsidR="001C0A37">
        <w:rPr>
          <w:b/>
          <w:bCs/>
          <w:color w:val="000000"/>
        </w:rPr>
        <w:t>.</w:t>
      </w:r>
    </w:p>
    <w:tbl>
      <w:tblPr>
        <w:tblStyle w:val="a8"/>
        <w:tblW w:w="0" w:type="auto"/>
        <w:tblLook w:val="04A0" w:firstRow="1" w:lastRow="0" w:firstColumn="1" w:lastColumn="0" w:noHBand="0" w:noVBand="1"/>
      </w:tblPr>
      <w:tblGrid>
        <w:gridCol w:w="3075"/>
        <w:gridCol w:w="2363"/>
        <w:gridCol w:w="3908"/>
      </w:tblGrid>
      <w:tr w:rsidR="003C307A" w14:paraId="125D6514" w14:textId="77777777" w:rsidTr="00421CA0">
        <w:trPr>
          <w:tblHeader/>
        </w:trPr>
        <w:tc>
          <w:tcPr>
            <w:tcW w:w="3115" w:type="dxa"/>
            <w:shd w:val="clear" w:color="auto" w:fill="D9D9D9" w:themeFill="background1" w:themeFillShade="D9"/>
            <w:vAlign w:val="center"/>
          </w:tcPr>
          <w:p w14:paraId="5B88086C" w14:textId="5470EEDA" w:rsidR="003C307A" w:rsidRPr="009074FE" w:rsidRDefault="003C307A" w:rsidP="00421CA0">
            <w:pPr>
              <w:pStyle w:val="ab"/>
              <w:spacing w:before="0" w:beforeAutospacing="0" w:after="0" w:afterAutospacing="0"/>
              <w:jc w:val="center"/>
              <w:rPr>
                <w:b/>
                <w:bCs/>
                <w:color w:val="000000"/>
              </w:rPr>
            </w:pPr>
            <w:r w:rsidRPr="009074FE">
              <w:rPr>
                <w:b/>
                <w:bCs/>
              </w:rPr>
              <w:t>Системно-органный класс</w:t>
            </w:r>
          </w:p>
        </w:tc>
        <w:tc>
          <w:tcPr>
            <w:tcW w:w="2409" w:type="dxa"/>
            <w:shd w:val="clear" w:color="auto" w:fill="D9D9D9" w:themeFill="background1" w:themeFillShade="D9"/>
            <w:vAlign w:val="center"/>
          </w:tcPr>
          <w:p w14:paraId="0CB7F86B" w14:textId="0B880527" w:rsidR="003C307A" w:rsidRPr="009074FE" w:rsidRDefault="003C307A" w:rsidP="00421CA0">
            <w:pPr>
              <w:pStyle w:val="ab"/>
              <w:spacing w:before="0" w:beforeAutospacing="0" w:after="0" w:afterAutospacing="0"/>
              <w:jc w:val="center"/>
              <w:rPr>
                <w:b/>
                <w:bCs/>
                <w:color w:val="000000"/>
              </w:rPr>
            </w:pPr>
            <w:r w:rsidRPr="009074FE">
              <w:rPr>
                <w:b/>
                <w:bCs/>
              </w:rPr>
              <w:t>Частота</w:t>
            </w:r>
          </w:p>
        </w:tc>
        <w:tc>
          <w:tcPr>
            <w:tcW w:w="3940" w:type="dxa"/>
            <w:shd w:val="clear" w:color="auto" w:fill="D9D9D9" w:themeFill="background1" w:themeFillShade="D9"/>
            <w:vAlign w:val="center"/>
          </w:tcPr>
          <w:p w14:paraId="08C1EAE7" w14:textId="77777777" w:rsidR="003C307A" w:rsidRPr="009074FE" w:rsidRDefault="003C307A" w:rsidP="00421CA0">
            <w:pPr>
              <w:pStyle w:val="ab"/>
              <w:spacing w:before="0" w:beforeAutospacing="0" w:after="0" w:afterAutospacing="0"/>
              <w:jc w:val="center"/>
              <w:rPr>
                <w:b/>
                <w:bCs/>
                <w:color w:val="000000"/>
              </w:rPr>
            </w:pPr>
            <w:r w:rsidRPr="009074FE">
              <w:rPr>
                <w:b/>
                <w:bCs/>
              </w:rPr>
              <w:t>Побочные действия</w:t>
            </w:r>
          </w:p>
        </w:tc>
      </w:tr>
      <w:tr w:rsidR="003C307A" w14:paraId="5E79923D" w14:textId="77777777" w:rsidTr="00A76175">
        <w:tc>
          <w:tcPr>
            <w:tcW w:w="3115" w:type="dxa"/>
            <w:vMerge w:val="restart"/>
          </w:tcPr>
          <w:p w14:paraId="23FB7CD8" w14:textId="77777777" w:rsidR="003C307A" w:rsidRDefault="003C307A" w:rsidP="003C307A">
            <w:pPr>
              <w:pStyle w:val="ab"/>
              <w:spacing w:before="0" w:beforeAutospacing="0" w:after="0" w:afterAutospacing="0"/>
              <w:jc w:val="both"/>
              <w:rPr>
                <w:b/>
                <w:bCs/>
                <w:color w:val="000000"/>
              </w:rPr>
            </w:pPr>
            <w:r>
              <w:t>Нарушения со стороны крови и лимфатической системы</w:t>
            </w:r>
          </w:p>
        </w:tc>
        <w:tc>
          <w:tcPr>
            <w:tcW w:w="2409" w:type="dxa"/>
          </w:tcPr>
          <w:p w14:paraId="01F13660"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1DBFB46E" w14:textId="77777777" w:rsidR="003C307A" w:rsidRDefault="003C307A" w:rsidP="003C307A">
            <w:pPr>
              <w:pStyle w:val="ab"/>
              <w:spacing w:before="0" w:beforeAutospacing="0" w:after="0" w:afterAutospacing="0"/>
              <w:jc w:val="both"/>
              <w:rPr>
                <w:b/>
                <w:bCs/>
                <w:color w:val="000000"/>
              </w:rPr>
            </w:pPr>
            <w:r w:rsidRPr="001E4D1A">
              <w:t xml:space="preserve">Тромбоцитопения, анемия, снижение числа </w:t>
            </w:r>
            <w:r>
              <w:t>нейтрофилов</w:t>
            </w:r>
          </w:p>
        </w:tc>
      </w:tr>
      <w:tr w:rsidR="003C307A" w14:paraId="5C5E757B" w14:textId="77777777" w:rsidTr="00A76175">
        <w:tc>
          <w:tcPr>
            <w:tcW w:w="3115" w:type="dxa"/>
            <w:vMerge/>
          </w:tcPr>
          <w:p w14:paraId="78EC1A6E" w14:textId="77777777" w:rsidR="003C307A" w:rsidRDefault="003C307A" w:rsidP="003C307A">
            <w:pPr>
              <w:pStyle w:val="ab"/>
              <w:spacing w:before="0" w:beforeAutospacing="0" w:after="0" w:afterAutospacing="0"/>
              <w:jc w:val="both"/>
              <w:rPr>
                <w:b/>
                <w:bCs/>
                <w:color w:val="000000"/>
              </w:rPr>
            </w:pPr>
          </w:p>
        </w:tc>
        <w:tc>
          <w:tcPr>
            <w:tcW w:w="2409" w:type="dxa"/>
          </w:tcPr>
          <w:p w14:paraId="14BED9DC" w14:textId="77777777" w:rsidR="003C307A" w:rsidRDefault="003C307A" w:rsidP="003C307A">
            <w:pPr>
              <w:pStyle w:val="ab"/>
              <w:spacing w:before="0" w:beforeAutospacing="0" w:after="0" w:afterAutospacing="0"/>
              <w:jc w:val="both"/>
              <w:rPr>
                <w:b/>
                <w:bCs/>
                <w:color w:val="000000"/>
              </w:rPr>
            </w:pPr>
            <w:r>
              <w:rPr>
                <w:sz w:val="26"/>
              </w:rPr>
              <w:t>Нечасто</w:t>
            </w:r>
          </w:p>
        </w:tc>
        <w:tc>
          <w:tcPr>
            <w:tcW w:w="3940" w:type="dxa"/>
          </w:tcPr>
          <w:p w14:paraId="78B895F9" w14:textId="77777777" w:rsidR="003C307A" w:rsidRDefault="003C307A" w:rsidP="003C307A">
            <w:pPr>
              <w:pStyle w:val="ab"/>
              <w:spacing w:before="0" w:beforeAutospacing="0" w:after="0" w:afterAutospacing="0"/>
              <w:jc w:val="both"/>
              <w:rPr>
                <w:b/>
                <w:bCs/>
                <w:color w:val="000000"/>
              </w:rPr>
            </w:pPr>
            <w:r>
              <w:t>Снижение числа лейкоцитов</w:t>
            </w:r>
          </w:p>
        </w:tc>
      </w:tr>
      <w:tr w:rsidR="003C307A" w14:paraId="5FC24D6D" w14:textId="77777777" w:rsidTr="00A76175">
        <w:tc>
          <w:tcPr>
            <w:tcW w:w="3115" w:type="dxa"/>
            <w:vMerge w:val="restart"/>
          </w:tcPr>
          <w:p w14:paraId="2ECDCB9F" w14:textId="77777777" w:rsidR="003C307A" w:rsidRDefault="003C307A" w:rsidP="003C307A">
            <w:pPr>
              <w:pStyle w:val="ab"/>
              <w:spacing w:before="0" w:beforeAutospacing="0" w:after="0" w:afterAutospacing="0"/>
              <w:jc w:val="both"/>
            </w:pPr>
            <w:r w:rsidRPr="001E4D1A">
              <w:t xml:space="preserve">Нарушения со стороны </w:t>
            </w:r>
          </w:p>
          <w:p w14:paraId="280967BB" w14:textId="77777777" w:rsidR="003C307A" w:rsidRDefault="003C307A" w:rsidP="003C307A">
            <w:pPr>
              <w:pStyle w:val="ab"/>
              <w:spacing w:before="0" w:beforeAutospacing="0" w:after="0" w:afterAutospacing="0"/>
              <w:jc w:val="both"/>
              <w:rPr>
                <w:b/>
                <w:bCs/>
                <w:color w:val="000000"/>
              </w:rPr>
            </w:pPr>
            <w:r w:rsidRPr="001E4D1A">
              <w:t>им</w:t>
            </w:r>
            <w:r>
              <w:t>у</w:t>
            </w:r>
            <w:r w:rsidRPr="001E4D1A">
              <w:t>нной системы</w:t>
            </w:r>
          </w:p>
        </w:tc>
        <w:tc>
          <w:tcPr>
            <w:tcW w:w="2409" w:type="dxa"/>
          </w:tcPr>
          <w:p w14:paraId="0BDD4A07"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436DA0E5" w14:textId="77777777" w:rsidR="003C307A" w:rsidRDefault="003C307A" w:rsidP="003C307A">
            <w:pPr>
              <w:pStyle w:val="ab"/>
              <w:spacing w:before="0" w:beforeAutospacing="0" w:after="0" w:afterAutospacing="0"/>
              <w:jc w:val="both"/>
              <w:rPr>
                <w:b/>
                <w:bCs/>
                <w:color w:val="000000"/>
              </w:rPr>
            </w:pPr>
            <w:r>
              <w:t>Гиперчувствительность к препарату</w:t>
            </w:r>
          </w:p>
        </w:tc>
      </w:tr>
      <w:tr w:rsidR="003C307A" w14:paraId="733EB409" w14:textId="77777777" w:rsidTr="00A76175">
        <w:tc>
          <w:tcPr>
            <w:tcW w:w="3115" w:type="dxa"/>
            <w:vMerge/>
          </w:tcPr>
          <w:p w14:paraId="3C213F71" w14:textId="77777777" w:rsidR="003C307A" w:rsidRDefault="003C307A" w:rsidP="003C307A">
            <w:pPr>
              <w:pStyle w:val="ab"/>
              <w:spacing w:before="0" w:beforeAutospacing="0" w:after="0" w:afterAutospacing="0"/>
              <w:jc w:val="both"/>
              <w:rPr>
                <w:b/>
                <w:bCs/>
                <w:color w:val="000000"/>
              </w:rPr>
            </w:pPr>
          </w:p>
        </w:tc>
        <w:tc>
          <w:tcPr>
            <w:tcW w:w="2409" w:type="dxa"/>
          </w:tcPr>
          <w:p w14:paraId="628B9AA8" w14:textId="77777777" w:rsidR="003C307A" w:rsidRDefault="003C307A" w:rsidP="003C307A">
            <w:pPr>
              <w:pStyle w:val="ab"/>
              <w:spacing w:before="0" w:beforeAutospacing="0" w:after="0" w:afterAutospacing="0"/>
              <w:jc w:val="both"/>
              <w:rPr>
                <w:b/>
                <w:bCs/>
                <w:color w:val="000000"/>
              </w:rPr>
            </w:pPr>
            <w:r>
              <w:rPr>
                <w:sz w:val="26"/>
              </w:rPr>
              <w:t>Нечасто</w:t>
            </w:r>
          </w:p>
        </w:tc>
        <w:tc>
          <w:tcPr>
            <w:tcW w:w="3940" w:type="dxa"/>
          </w:tcPr>
          <w:p w14:paraId="20B8F93F" w14:textId="77777777" w:rsidR="003C307A" w:rsidRDefault="003C307A" w:rsidP="003C307A">
            <w:pPr>
              <w:pStyle w:val="ab"/>
              <w:spacing w:before="0" w:beforeAutospacing="0" w:after="0" w:afterAutospacing="0"/>
              <w:jc w:val="both"/>
              <w:rPr>
                <w:b/>
                <w:bCs/>
                <w:color w:val="000000"/>
              </w:rPr>
            </w:pPr>
            <w:r>
              <w:t>Синдром восстановления иммунитета</w:t>
            </w:r>
          </w:p>
        </w:tc>
      </w:tr>
      <w:tr w:rsidR="003C307A" w14:paraId="0C7C41C5" w14:textId="77777777" w:rsidTr="00A76175">
        <w:tc>
          <w:tcPr>
            <w:tcW w:w="3115" w:type="dxa"/>
          </w:tcPr>
          <w:p w14:paraId="478DA86B" w14:textId="77777777" w:rsidR="003C307A" w:rsidRDefault="003C307A" w:rsidP="003C307A">
            <w:pPr>
              <w:pStyle w:val="ab"/>
              <w:spacing w:before="0" w:beforeAutospacing="0" w:after="0" w:afterAutospacing="0"/>
              <w:jc w:val="both"/>
              <w:rPr>
                <w:b/>
                <w:bCs/>
                <w:color w:val="000000"/>
              </w:rPr>
            </w:pPr>
            <w:r>
              <w:t>Нарушения метаболизма и питания</w:t>
            </w:r>
          </w:p>
        </w:tc>
        <w:tc>
          <w:tcPr>
            <w:tcW w:w="2409" w:type="dxa"/>
          </w:tcPr>
          <w:p w14:paraId="2082E11F"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58032A57" w14:textId="77777777" w:rsidR="003C307A" w:rsidRDefault="003C307A" w:rsidP="003C307A">
            <w:pPr>
              <w:pStyle w:val="ab"/>
              <w:spacing w:before="0" w:beforeAutospacing="0" w:after="0" w:afterAutospacing="0"/>
              <w:jc w:val="both"/>
              <w:rPr>
                <w:b/>
                <w:bCs/>
                <w:color w:val="000000"/>
              </w:rPr>
            </w:pPr>
            <w:r>
              <w:t>Сахарный диабет, гипергликемия, гиперхолестеринемия, увеличение уровня липопротеинов низкой плотности (ЛПНП), гипертриглицеридемия, гиперлипидемия, дислипидемия, анорексия</w:t>
            </w:r>
          </w:p>
        </w:tc>
      </w:tr>
      <w:tr w:rsidR="003C307A" w14:paraId="257DC040" w14:textId="77777777" w:rsidTr="00A76175">
        <w:tc>
          <w:tcPr>
            <w:tcW w:w="3115" w:type="dxa"/>
            <w:vMerge w:val="restart"/>
          </w:tcPr>
          <w:p w14:paraId="15F3E734" w14:textId="77777777" w:rsidR="003C307A" w:rsidRDefault="003C307A" w:rsidP="003C307A">
            <w:pPr>
              <w:pStyle w:val="ab"/>
              <w:spacing w:before="0" w:beforeAutospacing="0" w:after="0" w:afterAutospacing="0"/>
              <w:jc w:val="both"/>
              <w:rPr>
                <w:b/>
                <w:bCs/>
                <w:color w:val="000000"/>
              </w:rPr>
            </w:pPr>
            <w:r>
              <w:t>Психические нарушения</w:t>
            </w:r>
          </w:p>
        </w:tc>
        <w:tc>
          <w:tcPr>
            <w:tcW w:w="2409" w:type="dxa"/>
          </w:tcPr>
          <w:p w14:paraId="48F9780D"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257F7379" w14:textId="77777777" w:rsidR="003C307A" w:rsidRDefault="003C307A" w:rsidP="003C307A">
            <w:pPr>
              <w:pStyle w:val="ab"/>
              <w:spacing w:before="0" w:beforeAutospacing="0" w:after="0" w:afterAutospacing="0"/>
              <w:jc w:val="both"/>
              <w:rPr>
                <w:b/>
                <w:bCs/>
                <w:color w:val="000000"/>
              </w:rPr>
            </w:pPr>
            <w:r>
              <w:t>Тревожность, бессонница, нарушения сна</w:t>
            </w:r>
          </w:p>
        </w:tc>
      </w:tr>
      <w:tr w:rsidR="003C307A" w14:paraId="5383D0B3" w14:textId="77777777" w:rsidTr="00A76175">
        <w:tc>
          <w:tcPr>
            <w:tcW w:w="3115" w:type="dxa"/>
            <w:vMerge/>
          </w:tcPr>
          <w:p w14:paraId="6445222D" w14:textId="77777777" w:rsidR="003C307A" w:rsidRDefault="003C307A" w:rsidP="003C307A">
            <w:pPr>
              <w:pStyle w:val="ab"/>
              <w:spacing w:before="0" w:beforeAutospacing="0" w:after="0" w:afterAutospacing="0"/>
              <w:jc w:val="both"/>
              <w:rPr>
                <w:b/>
                <w:bCs/>
                <w:color w:val="000000"/>
              </w:rPr>
            </w:pPr>
          </w:p>
        </w:tc>
        <w:tc>
          <w:tcPr>
            <w:tcW w:w="2409" w:type="dxa"/>
          </w:tcPr>
          <w:p w14:paraId="4B3D0AC3" w14:textId="77777777" w:rsidR="003C307A" w:rsidRDefault="003C307A" w:rsidP="003C307A">
            <w:pPr>
              <w:pStyle w:val="ab"/>
              <w:spacing w:before="0" w:beforeAutospacing="0" w:after="0" w:afterAutospacing="0"/>
              <w:jc w:val="both"/>
              <w:rPr>
                <w:b/>
                <w:bCs/>
                <w:color w:val="000000"/>
              </w:rPr>
            </w:pPr>
            <w:r>
              <w:rPr>
                <w:sz w:val="26"/>
              </w:rPr>
              <w:t>Нечасто</w:t>
            </w:r>
          </w:p>
        </w:tc>
        <w:tc>
          <w:tcPr>
            <w:tcW w:w="3940" w:type="dxa"/>
          </w:tcPr>
          <w:p w14:paraId="7FD2C2B0" w14:textId="77777777" w:rsidR="003C307A" w:rsidRDefault="003C307A" w:rsidP="003C307A">
            <w:pPr>
              <w:pStyle w:val="ab"/>
              <w:spacing w:before="0" w:beforeAutospacing="0" w:after="0" w:afterAutospacing="0"/>
              <w:jc w:val="both"/>
              <w:rPr>
                <w:b/>
                <w:bCs/>
                <w:color w:val="000000"/>
              </w:rPr>
            </w:pPr>
            <w:r>
              <w:t>Спутанность сознания, дезориентация, ночные кошмары, нервозность, патологические сновидения</w:t>
            </w:r>
          </w:p>
        </w:tc>
      </w:tr>
      <w:tr w:rsidR="003C307A" w14:paraId="526048CD" w14:textId="77777777" w:rsidTr="00A76175">
        <w:tc>
          <w:tcPr>
            <w:tcW w:w="3115" w:type="dxa"/>
            <w:vMerge w:val="restart"/>
          </w:tcPr>
          <w:p w14:paraId="02EA3920" w14:textId="77777777" w:rsidR="003C307A" w:rsidRDefault="003C307A" w:rsidP="003C307A">
            <w:pPr>
              <w:pStyle w:val="ab"/>
              <w:spacing w:before="0" w:beforeAutospacing="0" w:after="0" w:afterAutospacing="0"/>
              <w:jc w:val="both"/>
              <w:rPr>
                <w:b/>
                <w:bCs/>
                <w:color w:val="000000"/>
              </w:rPr>
            </w:pPr>
            <w:r>
              <w:t>Нарушения со стороны нервной систем</w:t>
            </w:r>
          </w:p>
        </w:tc>
        <w:tc>
          <w:tcPr>
            <w:tcW w:w="2409" w:type="dxa"/>
          </w:tcPr>
          <w:p w14:paraId="6E9E28C9" w14:textId="77777777" w:rsidR="003C307A" w:rsidRDefault="003C307A" w:rsidP="003C307A">
            <w:pPr>
              <w:pStyle w:val="ab"/>
              <w:spacing w:before="0" w:beforeAutospacing="0" w:after="0" w:afterAutospacing="0"/>
              <w:jc w:val="both"/>
              <w:rPr>
                <w:b/>
                <w:bCs/>
                <w:color w:val="000000"/>
              </w:rPr>
            </w:pPr>
            <w:r>
              <w:t>Очень часто</w:t>
            </w:r>
          </w:p>
        </w:tc>
        <w:tc>
          <w:tcPr>
            <w:tcW w:w="3940" w:type="dxa"/>
          </w:tcPr>
          <w:p w14:paraId="448F8EA6" w14:textId="77777777" w:rsidR="003C307A" w:rsidRDefault="003C307A" w:rsidP="003C307A">
            <w:pPr>
              <w:pStyle w:val="ab"/>
              <w:spacing w:before="0" w:beforeAutospacing="0" w:after="0" w:afterAutospacing="0"/>
              <w:jc w:val="both"/>
              <w:rPr>
                <w:b/>
                <w:bCs/>
                <w:color w:val="000000"/>
              </w:rPr>
            </w:pPr>
            <w:r>
              <w:t>Головная боль</w:t>
            </w:r>
          </w:p>
        </w:tc>
      </w:tr>
      <w:tr w:rsidR="003C307A" w14:paraId="26C22DE5" w14:textId="77777777" w:rsidTr="00A76175">
        <w:tc>
          <w:tcPr>
            <w:tcW w:w="3115" w:type="dxa"/>
            <w:vMerge/>
          </w:tcPr>
          <w:p w14:paraId="52D5B9C9" w14:textId="77777777" w:rsidR="003C307A" w:rsidRDefault="003C307A" w:rsidP="003C307A">
            <w:pPr>
              <w:pStyle w:val="ab"/>
              <w:spacing w:before="0" w:beforeAutospacing="0" w:after="0" w:afterAutospacing="0"/>
              <w:jc w:val="both"/>
              <w:rPr>
                <w:b/>
                <w:bCs/>
                <w:color w:val="000000"/>
              </w:rPr>
            </w:pPr>
          </w:p>
        </w:tc>
        <w:tc>
          <w:tcPr>
            <w:tcW w:w="2409" w:type="dxa"/>
          </w:tcPr>
          <w:p w14:paraId="6C4541A3"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37F40074" w14:textId="77777777" w:rsidR="003C307A" w:rsidRDefault="003C307A" w:rsidP="003C307A">
            <w:pPr>
              <w:pStyle w:val="ab"/>
              <w:spacing w:before="0" w:beforeAutospacing="0" w:after="0" w:afterAutospacing="0"/>
              <w:jc w:val="both"/>
              <w:rPr>
                <w:b/>
                <w:bCs/>
                <w:color w:val="000000"/>
              </w:rPr>
            </w:pPr>
            <w:r>
              <w:t>Периферическая нейропатия, парестезии, гипестезии, амнезия, сонливость</w:t>
            </w:r>
          </w:p>
        </w:tc>
      </w:tr>
      <w:tr w:rsidR="003C307A" w14:paraId="11CB3140" w14:textId="77777777" w:rsidTr="00A76175">
        <w:tc>
          <w:tcPr>
            <w:tcW w:w="3115" w:type="dxa"/>
            <w:vMerge/>
          </w:tcPr>
          <w:p w14:paraId="0267762C" w14:textId="77777777" w:rsidR="003C307A" w:rsidRDefault="003C307A" w:rsidP="003C307A">
            <w:pPr>
              <w:pStyle w:val="ab"/>
              <w:spacing w:before="0" w:beforeAutospacing="0" w:after="0" w:afterAutospacing="0"/>
              <w:jc w:val="both"/>
              <w:rPr>
                <w:b/>
                <w:bCs/>
                <w:color w:val="000000"/>
              </w:rPr>
            </w:pPr>
          </w:p>
        </w:tc>
        <w:tc>
          <w:tcPr>
            <w:tcW w:w="2409" w:type="dxa"/>
          </w:tcPr>
          <w:p w14:paraId="562D3081" w14:textId="77777777" w:rsidR="003C307A" w:rsidRDefault="003C307A" w:rsidP="003C307A">
            <w:pPr>
              <w:pStyle w:val="ab"/>
              <w:spacing w:before="0" w:beforeAutospacing="0" w:after="0" w:afterAutospacing="0"/>
              <w:jc w:val="both"/>
              <w:rPr>
                <w:b/>
                <w:bCs/>
                <w:color w:val="000000"/>
              </w:rPr>
            </w:pPr>
            <w:r>
              <w:rPr>
                <w:sz w:val="26"/>
              </w:rPr>
              <w:t>Нечасто</w:t>
            </w:r>
          </w:p>
        </w:tc>
        <w:tc>
          <w:tcPr>
            <w:tcW w:w="3940" w:type="dxa"/>
          </w:tcPr>
          <w:p w14:paraId="1EAA9963" w14:textId="77777777" w:rsidR="003C307A" w:rsidRDefault="003C307A" w:rsidP="003C307A">
            <w:pPr>
              <w:pStyle w:val="ab"/>
              <w:spacing w:before="0" w:beforeAutospacing="0" w:after="0" w:afterAutospacing="0"/>
              <w:jc w:val="both"/>
              <w:rPr>
                <w:b/>
                <w:bCs/>
                <w:color w:val="000000"/>
              </w:rPr>
            </w:pPr>
            <w:r>
              <w:t>Судороги, обморок, тремор, гиперсомния, нарушение внимания</w:t>
            </w:r>
          </w:p>
        </w:tc>
      </w:tr>
      <w:tr w:rsidR="003C307A" w14:paraId="7EBAC991" w14:textId="77777777" w:rsidTr="00A76175">
        <w:tc>
          <w:tcPr>
            <w:tcW w:w="3115" w:type="dxa"/>
          </w:tcPr>
          <w:p w14:paraId="3B2D2643" w14:textId="77777777" w:rsidR="003C307A" w:rsidRDefault="003C307A" w:rsidP="003C307A">
            <w:pPr>
              <w:pStyle w:val="ab"/>
              <w:spacing w:before="0" w:beforeAutospacing="0" w:after="0" w:afterAutospacing="0"/>
              <w:jc w:val="both"/>
              <w:rPr>
                <w:b/>
                <w:bCs/>
                <w:color w:val="000000"/>
              </w:rPr>
            </w:pPr>
            <w:r>
              <w:t>Нарушения со стороны органа зрения</w:t>
            </w:r>
          </w:p>
        </w:tc>
        <w:tc>
          <w:tcPr>
            <w:tcW w:w="2409" w:type="dxa"/>
          </w:tcPr>
          <w:p w14:paraId="4E21B327"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7DE2BEB3" w14:textId="77777777" w:rsidR="003C307A" w:rsidRDefault="003C307A" w:rsidP="003C307A">
            <w:pPr>
              <w:pStyle w:val="ab"/>
              <w:spacing w:before="0" w:beforeAutospacing="0" w:after="0" w:afterAutospacing="0"/>
              <w:jc w:val="both"/>
              <w:rPr>
                <w:b/>
                <w:bCs/>
                <w:color w:val="000000"/>
              </w:rPr>
            </w:pPr>
            <w:r>
              <w:t>Нечёткость зрения</w:t>
            </w:r>
          </w:p>
        </w:tc>
      </w:tr>
      <w:tr w:rsidR="003C307A" w14:paraId="1CB59B32" w14:textId="77777777" w:rsidTr="00A76175">
        <w:tc>
          <w:tcPr>
            <w:tcW w:w="3115" w:type="dxa"/>
          </w:tcPr>
          <w:p w14:paraId="5ED3B948" w14:textId="77777777" w:rsidR="003C307A" w:rsidRDefault="003C307A" w:rsidP="003C307A">
            <w:pPr>
              <w:pStyle w:val="ab"/>
              <w:spacing w:before="0" w:beforeAutospacing="0" w:after="0" w:afterAutospacing="0"/>
              <w:jc w:val="both"/>
              <w:rPr>
                <w:b/>
                <w:bCs/>
                <w:color w:val="000000"/>
              </w:rPr>
            </w:pPr>
            <w:r>
              <w:t>Нарушения со стороны органа слуха и лабиринт</w:t>
            </w:r>
          </w:p>
        </w:tc>
        <w:tc>
          <w:tcPr>
            <w:tcW w:w="2409" w:type="dxa"/>
          </w:tcPr>
          <w:p w14:paraId="7B77F7DD" w14:textId="77777777" w:rsidR="003C307A" w:rsidRDefault="003C307A" w:rsidP="003C307A">
            <w:pPr>
              <w:pStyle w:val="ab"/>
              <w:spacing w:before="0" w:beforeAutospacing="0" w:after="0" w:afterAutospacing="0"/>
              <w:jc w:val="both"/>
              <w:rPr>
                <w:b/>
                <w:bCs/>
                <w:color w:val="000000"/>
              </w:rPr>
            </w:pPr>
            <w:r>
              <w:t>Нечасто</w:t>
            </w:r>
          </w:p>
        </w:tc>
        <w:tc>
          <w:tcPr>
            <w:tcW w:w="3940" w:type="dxa"/>
          </w:tcPr>
          <w:p w14:paraId="446CCB07" w14:textId="77777777" w:rsidR="003C307A" w:rsidRDefault="003C307A" w:rsidP="003C307A">
            <w:pPr>
              <w:pStyle w:val="ab"/>
              <w:spacing w:before="0" w:beforeAutospacing="0" w:after="0" w:afterAutospacing="0"/>
              <w:jc w:val="both"/>
              <w:rPr>
                <w:b/>
                <w:bCs/>
                <w:color w:val="000000"/>
              </w:rPr>
            </w:pPr>
            <w:r>
              <w:t>Вертиго</w:t>
            </w:r>
          </w:p>
        </w:tc>
      </w:tr>
      <w:tr w:rsidR="003C307A" w14:paraId="2DFB3765" w14:textId="77777777" w:rsidTr="00A76175">
        <w:tc>
          <w:tcPr>
            <w:tcW w:w="3115" w:type="dxa"/>
            <w:vMerge w:val="restart"/>
          </w:tcPr>
          <w:p w14:paraId="7E0F83DC" w14:textId="77777777" w:rsidR="003C307A" w:rsidRDefault="003C307A" w:rsidP="003C307A">
            <w:pPr>
              <w:pStyle w:val="ab"/>
              <w:spacing w:before="0" w:beforeAutospacing="0" w:after="0" w:afterAutospacing="0"/>
              <w:jc w:val="both"/>
              <w:rPr>
                <w:b/>
                <w:bCs/>
                <w:color w:val="000000"/>
              </w:rPr>
            </w:pPr>
            <w:r>
              <w:t>Нарушения со стороны сердца</w:t>
            </w:r>
          </w:p>
        </w:tc>
        <w:tc>
          <w:tcPr>
            <w:tcW w:w="2409" w:type="dxa"/>
          </w:tcPr>
          <w:p w14:paraId="34427FB1"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76296B03" w14:textId="77777777" w:rsidR="003C307A" w:rsidRDefault="003C307A" w:rsidP="003C307A">
            <w:pPr>
              <w:pStyle w:val="ab"/>
              <w:spacing w:before="0" w:beforeAutospacing="0" w:after="0" w:afterAutospacing="0"/>
              <w:jc w:val="both"/>
              <w:rPr>
                <w:b/>
                <w:bCs/>
                <w:color w:val="000000"/>
              </w:rPr>
            </w:pPr>
            <w:r>
              <w:t>Инфаркт миокарда</w:t>
            </w:r>
          </w:p>
        </w:tc>
      </w:tr>
      <w:tr w:rsidR="003C307A" w14:paraId="73F0A575" w14:textId="77777777" w:rsidTr="00A76175">
        <w:tc>
          <w:tcPr>
            <w:tcW w:w="3115" w:type="dxa"/>
            <w:vMerge/>
          </w:tcPr>
          <w:p w14:paraId="1988E759" w14:textId="77777777" w:rsidR="003C307A" w:rsidRDefault="003C307A" w:rsidP="003C307A">
            <w:pPr>
              <w:pStyle w:val="ab"/>
              <w:spacing w:before="0" w:beforeAutospacing="0" w:after="0" w:afterAutospacing="0"/>
              <w:jc w:val="both"/>
              <w:rPr>
                <w:b/>
                <w:bCs/>
                <w:color w:val="000000"/>
              </w:rPr>
            </w:pPr>
          </w:p>
        </w:tc>
        <w:tc>
          <w:tcPr>
            <w:tcW w:w="2409" w:type="dxa"/>
          </w:tcPr>
          <w:p w14:paraId="34200A03" w14:textId="77777777" w:rsidR="003C307A" w:rsidRDefault="003C307A" w:rsidP="003C307A">
            <w:pPr>
              <w:pStyle w:val="ab"/>
              <w:spacing w:before="0" w:beforeAutospacing="0" w:after="0" w:afterAutospacing="0"/>
              <w:jc w:val="both"/>
              <w:rPr>
                <w:b/>
                <w:bCs/>
                <w:color w:val="000000"/>
              </w:rPr>
            </w:pPr>
            <w:r>
              <w:t>Нечасто</w:t>
            </w:r>
          </w:p>
        </w:tc>
        <w:tc>
          <w:tcPr>
            <w:tcW w:w="3940" w:type="dxa"/>
          </w:tcPr>
          <w:p w14:paraId="4C2CF645" w14:textId="77777777" w:rsidR="003C307A" w:rsidRDefault="003C307A" w:rsidP="003C307A">
            <w:pPr>
              <w:pStyle w:val="ab"/>
              <w:spacing w:before="0" w:beforeAutospacing="0" w:after="0" w:afterAutospacing="0"/>
              <w:jc w:val="both"/>
              <w:rPr>
                <w:b/>
                <w:bCs/>
                <w:color w:val="000000"/>
              </w:rPr>
            </w:pPr>
            <w:r>
              <w:t>Фибрилляция предсердий, стенокардия</w:t>
            </w:r>
          </w:p>
        </w:tc>
      </w:tr>
      <w:tr w:rsidR="003C307A" w14:paraId="5B9ED5EF" w14:textId="77777777" w:rsidTr="00A76175">
        <w:tc>
          <w:tcPr>
            <w:tcW w:w="3115" w:type="dxa"/>
            <w:vMerge w:val="restart"/>
          </w:tcPr>
          <w:p w14:paraId="72086506" w14:textId="77777777" w:rsidR="003C307A" w:rsidRDefault="003C307A" w:rsidP="003C307A">
            <w:pPr>
              <w:pStyle w:val="ab"/>
              <w:spacing w:before="0" w:beforeAutospacing="0" w:after="0" w:afterAutospacing="0"/>
              <w:jc w:val="both"/>
              <w:rPr>
                <w:b/>
                <w:bCs/>
                <w:color w:val="000000"/>
              </w:rPr>
            </w:pPr>
            <w:r>
              <w:t>Нарушения со стороны сосудов</w:t>
            </w:r>
          </w:p>
        </w:tc>
        <w:tc>
          <w:tcPr>
            <w:tcW w:w="2409" w:type="dxa"/>
          </w:tcPr>
          <w:p w14:paraId="47188A32"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137A731D" w14:textId="77777777" w:rsidR="003C307A" w:rsidRDefault="003C307A" w:rsidP="003C307A">
            <w:pPr>
              <w:pStyle w:val="ab"/>
              <w:spacing w:before="0" w:beforeAutospacing="0" w:after="0" w:afterAutospacing="0"/>
              <w:jc w:val="both"/>
              <w:rPr>
                <w:b/>
                <w:bCs/>
                <w:color w:val="000000"/>
              </w:rPr>
            </w:pPr>
            <w:r>
              <w:t>Гипертензия</w:t>
            </w:r>
          </w:p>
        </w:tc>
      </w:tr>
      <w:tr w:rsidR="003C307A" w14:paraId="0045988B" w14:textId="77777777" w:rsidTr="00A76175">
        <w:tc>
          <w:tcPr>
            <w:tcW w:w="3115" w:type="dxa"/>
            <w:vMerge/>
          </w:tcPr>
          <w:p w14:paraId="778206B7" w14:textId="77777777" w:rsidR="003C307A" w:rsidRDefault="003C307A" w:rsidP="003C307A">
            <w:pPr>
              <w:pStyle w:val="ab"/>
              <w:spacing w:before="0" w:beforeAutospacing="0" w:after="0" w:afterAutospacing="0"/>
              <w:jc w:val="both"/>
              <w:rPr>
                <w:b/>
                <w:bCs/>
                <w:color w:val="000000"/>
              </w:rPr>
            </w:pPr>
          </w:p>
        </w:tc>
        <w:tc>
          <w:tcPr>
            <w:tcW w:w="2409" w:type="dxa"/>
          </w:tcPr>
          <w:p w14:paraId="524892F7" w14:textId="77777777" w:rsidR="003C307A" w:rsidRDefault="003C307A" w:rsidP="003C307A">
            <w:pPr>
              <w:pStyle w:val="ab"/>
              <w:spacing w:before="0" w:beforeAutospacing="0" w:after="0" w:afterAutospacing="0"/>
              <w:jc w:val="both"/>
              <w:rPr>
                <w:b/>
                <w:bCs/>
                <w:color w:val="000000"/>
              </w:rPr>
            </w:pPr>
            <w:r>
              <w:t>Редко</w:t>
            </w:r>
          </w:p>
        </w:tc>
        <w:tc>
          <w:tcPr>
            <w:tcW w:w="3940" w:type="dxa"/>
          </w:tcPr>
          <w:p w14:paraId="453AEA91" w14:textId="77777777" w:rsidR="003C307A" w:rsidRDefault="003C307A" w:rsidP="003C307A">
            <w:pPr>
              <w:pStyle w:val="ab"/>
              <w:spacing w:before="0" w:beforeAutospacing="0" w:after="0" w:afterAutospacing="0"/>
              <w:jc w:val="both"/>
              <w:rPr>
                <w:b/>
                <w:bCs/>
                <w:color w:val="000000"/>
              </w:rPr>
            </w:pPr>
            <w:r>
              <w:t>Геморрагический инсульт</w:t>
            </w:r>
          </w:p>
        </w:tc>
      </w:tr>
      <w:tr w:rsidR="003C307A" w14:paraId="00518EAA" w14:textId="77777777" w:rsidTr="00A76175">
        <w:tc>
          <w:tcPr>
            <w:tcW w:w="3115" w:type="dxa"/>
            <w:vMerge w:val="restart"/>
          </w:tcPr>
          <w:p w14:paraId="08F9B423" w14:textId="77777777" w:rsidR="003C307A" w:rsidRDefault="003C307A" w:rsidP="003C307A">
            <w:pPr>
              <w:pStyle w:val="ab"/>
              <w:spacing w:before="0" w:beforeAutospacing="0" w:after="0" w:afterAutospacing="0"/>
              <w:jc w:val="both"/>
              <w:rPr>
                <w:b/>
                <w:bCs/>
                <w:color w:val="000000"/>
              </w:rPr>
            </w:pPr>
            <w:r>
              <w:t>Нарушения со стороны дыхательной системы, органов грудной клетки и средостения</w:t>
            </w:r>
          </w:p>
        </w:tc>
        <w:tc>
          <w:tcPr>
            <w:tcW w:w="2409" w:type="dxa"/>
          </w:tcPr>
          <w:p w14:paraId="6E805990"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4CF8D008" w14:textId="77777777" w:rsidR="003C307A" w:rsidRDefault="003C307A" w:rsidP="003C307A">
            <w:pPr>
              <w:pStyle w:val="ab"/>
              <w:spacing w:before="0" w:beforeAutospacing="0" w:after="0" w:afterAutospacing="0"/>
              <w:jc w:val="both"/>
              <w:rPr>
                <w:b/>
                <w:bCs/>
                <w:color w:val="000000"/>
              </w:rPr>
            </w:pPr>
            <w:r>
              <w:t>Одышка при нагрузке</w:t>
            </w:r>
          </w:p>
        </w:tc>
      </w:tr>
      <w:tr w:rsidR="003C307A" w14:paraId="3C6FDD6E" w14:textId="77777777" w:rsidTr="00A76175">
        <w:tc>
          <w:tcPr>
            <w:tcW w:w="3115" w:type="dxa"/>
            <w:vMerge/>
          </w:tcPr>
          <w:p w14:paraId="53DAB55F" w14:textId="77777777" w:rsidR="003C307A" w:rsidRDefault="003C307A" w:rsidP="003C307A">
            <w:pPr>
              <w:pStyle w:val="ab"/>
              <w:spacing w:before="0" w:beforeAutospacing="0" w:after="0" w:afterAutospacing="0"/>
              <w:jc w:val="both"/>
              <w:rPr>
                <w:b/>
                <w:bCs/>
                <w:color w:val="000000"/>
              </w:rPr>
            </w:pPr>
          </w:p>
        </w:tc>
        <w:tc>
          <w:tcPr>
            <w:tcW w:w="2409" w:type="dxa"/>
          </w:tcPr>
          <w:p w14:paraId="086CDE66" w14:textId="77777777" w:rsidR="003C307A" w:rsidRDefault="003C307A" w:rsidP="003C307A">
            <w:pPr>
              <w:pStyle w:val="ab"/>
              <w:spacing w:before="0" w:beforeAutospacing="0" w:after="0" w:afterAutospacing="0"/>
              <w:jc w:val="both"/>
              <w:rPr>
                <w:b/>
                <w:bCs/>
                <w:color w:val="000000"/>
              </w:rPr>
            </w:pPr>
            <w:r>
              <w:t>Нечасто</w:t>
            </w:r>
          </w:p>
        </w:tc>
        <w:tc>
          <w:tcPr>
            <w:tcW w:w="3940" w:type="dxa"/>
          </w:tcPr>
          <w:p w14:paraId="539CAB99" w14:textId="77777777" w:rsidR="003C307A" w:rsidRDefault="003C307A" w:rsidP="003C307A">
            <w:pPr>
              <w:pStyle w:val="ab"/>
              <w:spacing w:before="0" w:beforeAutospacing="0" w:after="0" w:afterAutospacing="0"/>
              <w:jc w:val="both"/>
              <w:rPr>
                <w:b/>
                <w:bCs/>
                <w:color w:val="000000"/>
              </w:rPr>
            </w:pPr>
            <w:r>
              <w:t>Бронхоспазм</w:t>
            </w:r>
          </w:p>
        </w:tc>
      </w:tr>
      <w:tr w:rsidR="003C307A" w14:paraId="057FEC98" w14:textId="77777777" w:rsidTr="00A76175">
        <w:tc>
          <w:tcPr>
            <w:tcW w:w="3115" w:type="dxa"/>
            <w:vMerge w:val="restart"/>
          </w:tcPr>
          <w:p w14:paraId="2A8E9E6D" w14:textId="77777777" w:rsidR="003C307A" w:rsidRDefault="003C307A" w:rsidP="003C307A">
            <w:pPr>
              <w:pStyle w:val="ab"/>
              <w:spacing w:before="0" w:beforeAutospacing="0" w:after="0" w:afterAutospacing="0"/>
              <w:jc w:val="both"/>
              <w:rPr>
                <w:b/>
                <w:bCs/>
                <w:color w:val="000000"/>
              </w:rPr>
            </w:pPr>
            <w:r>
              <w:t>Нарушения со стороны желудочно-кишечного тракта</w:t>
            </w:r>
          </w:p>
        </w:tc>
        <w:tc>
          <w:tcPr>
            <w:tcW w:w="2409" w:type="dxa"/>
          </w:tcPr>
          <w:p w14:paraId="3C6090CB" w14:textId="77777777" w:rsidR="003C307A" w:rsidRDefault="003C307A" w:rsidP="003C307A">
            <w:pPr>
              <w:pStyle w:val="ab"/>
              <w:spacing w:before="0" w:beforeAutospacing="0" w:after="0" w:afterAutospacing="0"/>
              <w:jc w:val="both"/>
              <w:rPr>
                <w:b/>
                <w:bCs/>
                <w:color w:val="000000"/>
              </w:rPr>
            </w:pPr>
            <w:r>
              <w:t>Очень часто</w:t>
            </w:r>
          </w:p>
        </w:tc>
        <w:tc>
          <w:tcPr>
            <w:tcW w:w="3940" w:type="dxa"/>
          </w:tcPr>
          <w:p w14:paraId="5F9F8360" w14:textId="77777777" w:rsidR="003C307A" w:rsidRDefault="003C307A" w:rsidP="003C307A">
            <w:pPr>
              <w:pStyle w:val="ab"/>
              <w:spacing w:before="0" w:beforeAutospacing="0" w:after="0" w:afterAutospacing="0"/>
              <w:jc w:val="both"/>
              <w:rPr>
                <w:b/>
                <w:bCs/>
                <w:color w:val="000000"/>
              </w:rPr>
            </w:pPr>
            <w:r>
              <w:t>Диарея, тошнота</w:t>
            </w:r>
          </w:p>
        </w:tc>
      </w:tr>
      <w:tr w:rsidR="003C307A" w14:paraId="1ED6169C" w14:textId="77777777" w:rsidTr="00A76175">
        <w:tc>
          <w:tcPr>
            <w:tcW w:w="3115" w:type="dxa"/>
            <w:vMerge/>
          </w:tcPr>
          <w:p w14:paraId="17A43A38" w14:textId="77777777" w:rsidR="003C307A" w:rsidRDefault="003C307A" w:rsidP="003C307A">
            <w:pPr>
              <w:pStyle w:val="ab"/>
              <w:spacing w:before="0" w:beforeAutospacing="0" w:after="0" w:afterAutospacing="0"/>
              <w:jc w:val="both"/>
              <w:rPr>
                <w:b/>
                <w:bCs/>
                <w:color w:val="000000"/>
              </w:rPr>
            </w:pPr>
          </w:p>
        </w:tc>
        <w:tc>
          <w:tcPr>
            <w:tcW w:w="2409" w:type="dxa"/>
          </w:tcPr>
          <w:p w14:paraId="125A3643"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29E0597F" w14:textId="77777777" w:rsidR="003C307A" w:rsidRDefault="003C307A" w:rsidP="003C307A">
            <w:pPr>
              <w:pStyle w:val="ab"/>
              <w:spacing w:before="0" w:beforeAutospacing="0" w:after="0" w:afterAutospacing="0"/>
              <w:jc w:val="both"/>
              <w:rPr>
                <w:b/>
                <w:bCs/>
                <w:color w:val="000000"/>
              </w:rPr>
            </w:pPr>
            <w:r>
              <w:t>Гастроэзофагеальная рефлюксная болезнь, рвота, боль в животе, вздутие живота, метеоризм, гастрит, запор, сухость во рту, стоматит, увеличение уровня липазы, увеличение уровня амилазы в крови</w:t>
            </w:r>
          </w:p>
        </w:tc>
      </w:tr>
      <w:tr w:rsidR="003C307A" w14:paraId="1A2A5766" w14:textId="77777777" w:rsidTr="00A76175">
        <w:tc>
          <w:tcPr>
            <w:tcW w:w="3115" w:type="dxa"/>
            <w:vMerge/>
          </w:tcPr>
          <w:p w14:paraId="162E1E5D" w14:textId="77777777" w:rsidR="003C307A" w:rsidRDefault="003C307A" w:rsidP="003C307A">
            <w:pPr>
              <w:pStyle w:val="ab"/>
              <w:spacing w:before="0" w:beforeAutospacing="0" w:after="0" w:afterAutospacing="0"/>
              <w:jc w:val="both"/>
              <w:rPr>
                <w:b/>
                <w:bCs/>
                <w:color w:val="000000"/>
              </w:rPr>
            </w:pPr>
          </w:p>
        </w:tc>
        <w:tc>
          <w:tcPr>
            <w:tcW w:w="2409" w:type="dxa"/>
          </w:tcPr>
          <w:p w14:paraId="024F9867" w14:textId="77777777" w:rsidR="003C307A" w:rsidRDefault="003C307A" w:rsidP="003C307A">
            <w:pPr>
              <w:pStyle w:val="ab"/>
              <w:spacing w:before="0" w:beforeAutospacing="0" w:after="0" w:afterAutospacing="0"/>
              <w:jc w:val="both"/>
              <w:rPr>
                <w:b/>
                <w:bCs/>
                <w:color w:val="000000"/>
              </w:rPr>
            </w:pPr>
            <w:r>
              <w:rPr>
                <w:sz w:val="26"/>
              </w:rPr>
              <w:t>Нечасто</w:t>
            </w:r>
          </w:p>
        </w:tc>
        <w:tc>
          <w:tcPr>
            <w:tcW w:w="3940" w:type="dxa"/>
          </w:tcPr>
          <w:p w14:paraId="429646E3" w14:textId="77777777" w:rsidR="003C307A" w:rsidRDefault="003C307A" w:rsidP="003C307A">
            <w:pPr>
              <w:pStyle w:val="ab"/>
              <w:spacing w:before="0" w:beforeAutospacing="0" w:after="0" w:afterAutospacing="0"/>
              <w:jc w:val="both"/>
              <w:rPr>
                <w:b/>
                <w:bCs/>
                <w:color w:val="000000"/>
              </w:rPr>
            </w:pPr>
            <w:r>
              <w:t>Панкреатит, кровавая рвота, позывы на рвоту</w:t>
            </w:r>
          </w:p>
        </w:tc>
      </w:tr>
      <w:tr w:rsidR="003C307A" w14:paraId="4BD0AD3D" w14:textId="77777777" w:rsidTr="00A76175">
        <w:tc>
          <w:tcPr>
            <w:tcW w:w="3115" w:type="dxa"/>
            <w:vMerge w:val="restart"/>
          </w:tcPr>
          <w:p w14:paraId="6567A1DE" w14:textId="77777777" w:rsidR="003C307A" w:rsidRDefault="003C307A" w:rsidP="003C307A">
            <w:pPr>
              <w:pStyle w:val="ab"/>
              <w:spacing w:before="0" w:beforeAutospacing="0" w:after="0" w:afterAutospacing="0"/>
              <w:jc w:val="both"/>
              <w:rPr>
                <w:b/>
                <w:bCs/>
                <w:color w:val="000000"/>
              </w:rPr>
            </w:pPr>
            <w:r>
              <w:t>Нарушения со стороны печени и желчевыводящих путей</w:t>
            </w:r>
          </w:p>
        </w:tc>
        <w:tc>
          <w:tcPr>
            <w:tcW w:w="2409" w:type="dxa"/>
          </w:tcPr>
          <w:p w14:paraId="53B9BC3B" w14:textId="77777777" w:rsidR="003C307A" w:rsidRDefault="003C307A" w:rsidP="003C307A">
            <w:pPr>
              <w:pStyle w:val="ab"/>
              <w:spacing w:before="0" w:beforeAutospacing="0" w:after="0" w:afterAutospacing="0"/>
              <w:jc w:val="both"/>
              <w:rPr>
                <w:b/>
                <w:bCs/>
                <w:color w:val="000000"/>
              </w:rPr>
            </w:pPr>
            <w:r>
              <w:t>Часто</w:t>
            </w:r>
          </w:p>
        </w:tc>
        <w:tc>
          <w:tcPr>
            <w:tcW w:w="3940" w:type="dxa"/>
          </w:tcPr>
          <w:p w14:paraId="17770392" w14:textId="77777777" w:rsidR="003C307A" w:rsidRDefault="003C307A" w:rsidP="003C307A">
            <w:pPr>
              <w:pStyle w:val="ab"/>
              <w:spacing w:before="0" w:beforeAutospacing="0" w:after="0" w:afterAutospacing="0"/>
              <w:jc w:val="both"/>
              <w:rPr>
                <w:b/>
                <w:bCs/>
                <w:color w:val="000000"/>
              </w:rPr>
            </w:pPr>
            <w:r>
              <w:t>Увеличение уровня аланинаминотрансферазы (АЛТ), увеличение уровня аспартатаминотрансферазы (АСТ)</w:t>
            </w:r>
          </w:p>
        </w:tc>
      </w:tr>
      <w:tr w:rsidR="003C307A" w14:paraId="25A5CAF4" w14:textId="77777777" w:rsidTr="00A76175">
        <w:tc>
          <w:tcPr>
            <w:tcW w:w="3115" w:type="dxa"/>
            <w:vMerge/>
          </w:tcPr>
          <w:p w14:paraId="1F92D5A7" w14:textId="77777777" w:rsidR="003C307A" w:rsidRDefault="003C307A" w:rsidP="003C307A">
            <w:pPr>
              <w:pStyle w:val="ab"/>
              <w:spacing w:before="0" w:beforeAutospacing="0" w:after="0" w:afterAutospacing="0"/>
              <w:jc w:val="both"/>
              <w:rPr>
                <w:b/>
                <w:bCs/>
                <w:color w:val="000000"/>
              </w:rPr>
            </w:pPr>
          </w:p>
        </w:tc>
        <w:tc>
          <w:tcPr>
            <w:tcW w:w="2409" w:type="dxa"/>
          </w:tcPr>
          <w:p w14:paraId="5F1B2F00" w14:textId="77777777" w:rsidR="003C307A" w:rsidRDefault="003C307A" w:rsidP="003C307A">
            <w:pPr>
              <w:pStyle w:val="ab"/>
              <w:spacing w:before="0" w:beforeAutospacing="0" w:after="0" w:afterAutospacing="0"/>
              <w:jc w:val="both"/>
              <w:rPr>
                <w:b/>
                <w:bCs/>
                <w:color w:val="000000"/>
              </w:rPr>
            </w:pPr>
            <w:r>
              <w:t>Нечасто</w:t>
            </w:r>
          </w:p>
        </w:tc>
        <w:tc>
          <w:tcPr>
            <w:tcW w:w="3940" w:type="dxa"/>
          </w:tcPr>
          <w:p w14:paraId="30E6E9D8" w14:textId="77777777" w:rsidR="003C307A" w:rsidRDefault="003C307A" w:rsidP="003C307A">
            <w:pPr>
              <w:pStyle w:val="ab"/>
              <w:spacing w:before="0" w:beforeAutospacing="0" w:after="0" w:afterAutospacing="0"/>
              <w:jc w:val="both"/>
              <w:rPr>
                <w:b/>
                <w:bCs/>
                <w:color w:val="000000"/>
              </w:rPr>
            </w:pPr>
            <w:r>
              <w:t>Гепатит, стеатоз печени, цитолитический гепатит, гепатомегалия</w:t>
            </w:r>
          </w:p>
        </w:tc>
      </w:tr>
      <w:tr w:rsidR="003C307A" w14:paraId="7A3AA7DD" w14:textId="77777777" w:rsidTr="00A76175">
        <w:tc>
          <w:tcPr>
            <w:tcW w:w="3115" w:type="dxa"/>
            <w:vMerge w:val="restart"/>
          </w:tcPr>
          <w:p w14:paraId="6467B10E" w14:textId="77777777" w:rsidR="003C307A" w:rsidRDefault="003C307A" w:rsidP="003C307A">
            <w:pPr>
              <w:pStyle w:val="ab"/>
              <w:spacing w:before="0" w:beforeAutospacing="0" w:after="0" w:afterAutospacing="0"/>
              <w:jc w:val="both"/>
              <w:rPr>
                <w:b/>
                <w:bCs/>
                <w:color w:val="000000"/>
              </w:rPr>
            </w:pPr>
            <w:r>
              <w:t>Нарушения со стороны кожи и подкожных тканей</w:t>
            </w:r>
          </w:p>
        </w:tc>
        <w:tc>
          <w:tcPr>
            <w:tcW w:w="2409" w:type="dxa"/>
          </w:tcPr>
          <w:p w14:paraId="79004BAF" w14:textId="77777777" w:rsidR="003C307A" w:rsidRPr="000C700F" w:rsidRDefault="003C307A" w:rsidP="003C307A">
            <w:pPr>
              <w:pStyle w:val="ab"/>
              <w:spacing w:before="0" w:beforeAutospacing="0" w:after="0" w:afterAutospacing="0"/>
              <w:jc w:val="both"/>
              <w:rPr>
                <w:color w:val="000000"/>
              </w:rPr>
            </w:pPr>
            <w:r w:rsidRPr="000C700F">
              <w:t>Очень часто</w:t>
            </w:r>
          </w:p>
        </w:tc>
        <w:tc>
          <w:tcPr>
            <w:tcW w:w="3940" w:type="dxa"/>
          </w:tcPr>
          <w:p w14:paraId="1B648478" w14:textId="77777777" w:rsidR="003C307A" w:rsidRDefault="003C307A" w:rsidP="003C307A">
            <w:pPr>
              <w:pStyle w:val="ab"/>
              <w:spacing w:before="0" w:beforeAutospacing="0" w:after="0" w:afterAutospacing="0"/>
              <w:jc w:val="both"/>
              <w:rPr>
                <w:b/>
                <w:bCs/>
                <w:color w:val="000000"/>
              </w:rPr>
            </w:pPr>
            <w:r>
              <w:t>Сыпь</w:t>
            </w:r>
          </w:p>
        </w:tc>
      </w:tr>
      <w:tr w:rsidR="003C307A" w14:paraId="21D259CB" w14:textId="77777777" w:rsidTr="00A76175">
        <w:tc>
          <w:tcPr>
            <w:tcW w:w="3115" w:type="dxa"/>
            <w:vMerge/>
          </w:tcPr>
          <w:p w14:paraId="3746B2EF" w14:textId="77777777" w:rsidR="003C307A" w:rsidRDefault="003C307A" w:rsidP="003C307A">
            <w:pPr>
              <w:pStyle w:val="ab"/>
              <w:spacing w:before="0" w:beforeAutospacing="0" w:after="0" w:afterAutospacing="0"/>
              <w:jc w:val="both"/>
              <w:rPr>
                <w:b/>
                <w:bCs/>
                <w:color w:val="000000"/>
              </w:rPr>
            </w:pPr>
          </w:p>
        </w:tc>
        <w:tc>
          <w:tcPr>
            <w:tcW w:w="2409" w:type="dxa"/>
          </w:tcPr>
          <w:p w14:paraId="2E4B5929" w14:textId="77777777" w:rsidR="003C307A" w:rsidRPr="000C700F" w:rsidRDefault="003C307A" w:rsidP="003C307A">
            <w:pPr>
              <w:pStyle w:val="ab"/>
              <w:spacing w:before="0" w:beforeAutospacing="0" w:after="0" w:afterAutospacing="0"/>
              <w:jc w:val="both"/>
              <w:rPr>
                <w:color w:val="000000"/>
              </w:rPr>
            </w:pPr>
            <w:r w:rsidRPr="000C700F">
              <w:t>Часто</w:t>
            </w:r>
          </w:p>
        </w:tc>
        <w:tc>
          <w:tcPr>
            <w:tcW w:w="3940" w:type="dxa"/>
          </w:tcPr>
          <w:p w14:paraId="1BA847AC" w14:textId="77777777" w:rsidR="003C307A" w:rsidRDefault="003C307A" w:rsidP="003C307A">
            <w:pPr>
              <w:pStyle w:val="ab"/>
              <w:spacing w:before="0" w:beforeAutospacing="0" w:after="0" w:afterAutospacing="0"/>
              <w:jc w:val="both"/>
              <w:rPr>
                <w:b/>
                <w:bCs/>
                <w:color w:val="000000"/>
              </w:rPr>
            </w:pPr>
            <w:r>
              <w:t>Ночная потливость, сухость кожи, пруриго</w:t>
            </w:r>
          </w:p>
        </w:tc>
      </w:tr>
      <w:tr w:rsidR="003C307A" w14:paraId="3327761E" w14:textId="77777777" w:rsidTr="00A76175">
        <w:tc>
          <w:tcPr>
            <w:tcW w:w="3115" w:type="dxa"/>
            <w:vMerge/>
          </w:tcPr>
          <w:p w14:paraId="1DCB7F17" w14:textId="77777777" w:rsidR="003C307A" w:rsidRDefault="003C307A" w:rsidP="003C307A">
            <w:pPr>
              <w:pStyle w:val="ab"/>
              <w:spacing w:before="0" w:beforeAutospacing="0" w:after="0" w:afterAutospacing="0"/>
              <w:jc w:val="both"/>
              <w:rPr>
                <w:b/>
                <w:bCs/>
                <w:color w:val="000000"/>
              </w:rPr>
            </w:pPr>
          </w:p>
        </w:tc>
        <w:tc>
          <w:tcPr>
            <w:tcW w:w="2409" w:type="dxa"/>
          </w:tcPr>
          <w:p w14:paraId="22D74DA1" w14:textId="77777777" w:rsidR="003C307A" w:rsidRPr="000C700F" w:rsidRDefault="003C307A" w:rsidP="003C307A">
            <w:pPr>
              <w:pStyle w:val="ab"/>
              <w:spacing w:before="0" w:beforeAutospacing="0" w:after="0" w:afterAutospacing="0"/>
              <w:jc w:val="both"/>
              <w:rPr>
                <w:color w:val="000000"/>
              </w:rPr>
            </w:pPr>
            <w:r w:rsidRPr="000C700F">
              <w:rPr>
                <w:color w:val="000000"/>
              </w:rPr>
              <w:t>Нечасто</w:t>
            </w:r>
          </w:p>
        </w:tc>
        <w:tc>
          <w:tcPr>
            <w:tcW w:w="3940" w:type="dxa"/>
          </w:tcPr>
          <w:p w14:paraId="38C9DCC6" w14:textId="77777777" w:rsidR="003C307A" w:rsidRDefault="003C307A" w:rsidP="003C307A">
            <w:pPr>
              <w:pStyle w:val="ab"/>
              <w:spacing w:before="0" w:beforeAutospacing="0" w:after="0" w:afterAutospacing="0"/>
              <w:jc w:val="both"/>
              <w:rPr>
                <w:b/>
                <w:bCs/>
                <w:color w:val="000000"/>
              </w:rPr>
            </w:pPr>
            <w:r>
              <w:t>Ангионевротический отёкa , отёк лица, гипергидроз</w:t>
            </w:r>
          </w:p>
        </w:tc>
      </w:tr>
      <w:tr w:rsidR="003C307A" w14:paraId="55DF3EEE" w14:textId="77777777" w:rsidTr="00A76175">
        <w:tc>
          <w:tcPr>
            <w:tcW w:w="3115" w:type="dxa"/>
            <w:vMerge/>
          </w:tcPr>
          <w:p w14:paraId="0BEB1CBE" w14:textId="77777777" w:rsidR="003C307A" w:rsidRDefault="003C307A" w:rsidP="003C307A">
            <w:pPr>
              <w:pStyle w:val="ab"/>
              <w:spacing w:before="0" w:beforeAutospacing="0" w:after="0" w:afterAutospacing="0"/>
              <w:jc w:val="both"/>
              <w:rPr>
                <w:b/>
                <w:bCs/>
                <w:color w:val="000000"/>
              </w:rPr>
            </w:pPr>
          </w:p>
        </w:tc>
        <w:tc>
          <w:tcPr>
            <w:tcW w:w="2409" w:type="dxa"/>
          </w:tcPr>
          <w:p w14:paraId="55BA4F35" w14:textId="77777777" w:rsidR="003C307A" w:rsidRPr="000C700F" w:rsidRDefault="003C307A" w:rsidP="003C307A">
            <w:pPr>
              <w:pStyle w:val="ab"/>
              <w:spacing w:before="0" w:beforeAutospacing="0" w:after="0" w:afterAutospacing="0"/>
              <w:jc w:val="both"/>
              <w:rPr>
                <w:color w:val="000000"/>
              </w:rPr>
            </w:pPr>
            <w:r w:rsidRPr="000C700F">
              <w:rPr>
                <w:color w:val="000000"/>
              </w:rPr>
              <w:t>Редко</w:t>
            </w:r>
          </w:p>
        </w:tc>
        <w:tc>
          <w:tcPr>
            <w:tcW w:w="3940" w:type="dxa"/>
          </w:tcPr>
          <w:p w14:paraId="677D8835" w14:textId="77777777" w:rsidR="003C307A" w:rsidRDefault="003C307A" w:rsidP="003C307A">
            <w:pPr>
              <w:pStyle w:val="ab"/>
              <w:spacing w:before="0" w:beforeAutospacing="0" w:after="0" w:afterAutospacing="0"/>
              <w:jc w:val="both"/>
              <w:rPr>
                <w:b/>
                <w:bCs/>
                <w:color w:val="000000"/>
              </w:rPr>
            </w:pPr>
            <w:r>
              <w:t>Синдром Стивенса-Джонсона, мультиформная эритема</w:t>
            </w:r>
          </w:p>
        </w:tc>
      </w:tr>
      <w:tr w:rsidR="003C307A" w14:paraId="4F637977" w14:textId="77777777" w:rsidTr="00A76175">
        <w:tc>
          <w:tcPr>
            <w:tcW w:w="3115" w:type="dxa"/>
            <w:vMerge/>
          </w:tcPr>
          <w:p w14:paraId="707E1CF4" w14:textId="77777777" w:rsidR="003C307A" w:rsidRDefault="003C307A" w:rsidP="003C307A">
            <w:pPr>
              <w:pStyle w:val="ab"/>
              <w:spacing w:before="0" w:beforeAutospacing="0" w:after="0" w:afterAutospacing="0"/>
              <w:jc w:val="both"/>
              <w:rPr>
                <w:b/>
                <w:bCs/>
                <w:color w:val="000000"/>
              </w:rPr>
            </w:pPr>
          </w:p>
        </w:tc>
        <w:tc>
          <w:tcPr>
            <w:tcW w:w="2409" w:type="dxa"/>
          </w:tcPr>
          <w:p w14:paraId="3129BD72" w14:textId="77777777" w:rsidR="003C307A" w:rsidRPr="000C700F" w:rsidRDefault="003C307A" w:rsidP="003C307A">
            <w:pPr>
              <w:pStyle w:val="ab"/>
              <w:spacing w:before="0" w:beforeAutospacing="0" w:after="0" w:afterAutospacing="0"/>
              <w:jc w:val="both"/>
              <w:rPr>
                <w:color w:val="000000"/>
              </w:rPr>
            </w:pPr>
            <w:r w:rsidRPr="000C700F">
              <w:rPr>
                <w:color w:val="000000"/>
              </w:rPr>
              <w:t>Очень редко</w:t>
            </w:r>
          </w:p>
        </w:tc>
        <w:tc>
          <w:tcPr>
            <w:tcW w:w="3940" w:type="dxa"/>
          </w:tcPr>
          <w:p w14:paraId="29557B2F" w14:textId="77777777" w:rsidR="003C307A" w:rsidRDefault="003C307A" w:rsidP="003C307A">
            <w:pPr>
              <w:pStyle w:val="ab"/>
              <w:spacing w:before="0" w:beforeAutospacing="0" w:after="0" w:afterAutospacing="0"/>
              <w:jc w:val="both"/>
              <w:rPr>
                <w:b/>
                <w:bCs/>
                <w:color w:val="000000"/>
              </w:rPr>
            </w:pPr>
            <w:r>
              <w:t>Токсический эпидермальный некролиза , DRESS-синдромb</w:t>
            </w:r>
          </w:p>
        </w:tc>
      </w:tr>
      <w:tr w:rsidR="003C307A" w14:paraId="3F9A3D7B" w14:textId="77777777" w:rsidTr="00A76175">
        <w:tc>
          <w:tcPr>
            <w:tcW w:w="3115" w:type="dxa"/>
          </w:tcPr>
          <w:p w14:paraId="36379755" w14:textId="77777777" w:rsidR="003C307A" w:rsidRDefault="003C307A" w:rsidP="003C307A">
            <w:pPr>
              <w:pStyle w:val="ab"/>
              <w:spacing w:before="0" w:beforeAutospacing="0" w:after="0" w:afterAutospacing="0"/>
              <w:jc w:val="both"/>
              <w:rPr>
                <w:b/>
                <w:bCs/>
                <w:color w:val="000000"/>
              </w:rPr>
            </w:pPr>
            <w:r>
              <w:t>Нарушения со стороны почек и мочевыводящих путей</w:t>
            </w:r>
          </w:p>
        </w:tc>
        <w:tc>
          <w:tcPr>
            <w:tcW w:w="2409" w:type="dxa"/>
          </w:tcPr>
          <w:p w14:paraId="0DB56E33" w14:textId="77777777" w:rsidR="003C307A" w:rsidRDefault="003C307A" w:rsidP="003C307A">
            <w:pPr>
              <w:pStyle w:val="ab"/>
              <w:spacing w:before="0" w:beforeAutospacing="0" w:after="0" w:afterAutospacing="0"/>
              <w:jc w:val="both"/>
              <w:rPr>
                <w:b/>
                <w:bCs/>
                <w:color w:val="000000"/>
              </w:rPr>
            </w:pPr>
            <w:r w:rsidRPr="000C700F">
              <w:t>Часто</w:t>
            </w:r>
          </w:p>
        </w:tc>
        <w:tc>
          <w:tcPr>
            <w:tcW w:w="3940" w:type="dxa"/>
          </w:tcPr>
          <w:p w14:paraId="04515799" w14:textId="77777777" w:rsidR="003C307A" w:rsidRDefault="003C307A" w:rsidP="003C307A">
            <w:pPr>
              <w:pStyle w:val="ab"/>
              <w:spacing w:before="0" w:beforeAutospacing="0" w:after="0" w:afterAutospacing="0"/>
              <w:jc w:val="both"/>
              <w:rPr>
                <w:b/>
                <w:bCs/>
                <w:color w:val="000000"/>
              </w:rPr>
            </w:pPr>
            <w:r>
              <w:t>Почечная недостаточность, увеличение уровня креатинина в крови</w:t>
            </w:r>
          </w:p>
        </w:tc>
      </w:tr>
      <w:tr w:rsidR="003C307A" w14:paraId="0AB95C09" w14:textId="77777777" w:rsidTr="00A76175">
        <w:tc>
          <w:tcPr>
            <w:tcW w:w="3115" w:type="dxa"/>
          </w:tcPr>
          <w:p w14:paraId="1B357AAB" w14:textId="77777777" w:rsidR="003C307A" w:rsidRDefault="003C307A" w:rsidP="003C307A">
            <w:pPr>
              <w:pStyle w:val="ab"/>
              <w:spacing w:before="0" w:beforeAutospacing="0" w:after="0" w:afterAutospacing="0"/>
              <w:jc w:val="both"/>
              <w:rPr>
                <w:b/>
                <w:bCs/>
                <w:color w:val="000000"/>
              </w:rPr>
            </w:pPr>
            <w:r>
              <w:t>Нарушения со стороны репродуктивной системы и молочных желез</w:t>
            </w:r>
          </w:p>
        </w:tc>
        <w:tc>
          <w:tcPr>
            <w:tcW w:w="2409" w:type="dxa"/>
          </w:tcPr>
          <w:p w14:paraId="6DAFA392" w14:textId="77777777" w:rsidR="003C307A" w:rsidRDefault="003C307A" w:rsidP="003C307A">
            <w:pPr>
              <w:pStyle w:val="ab"/>
              <w:spacing w:before="0" w:beforeAutospacing="0" w:after="0" w:afterAutospacing="0"/>
              <w:jc w:val="both"/>
              <w:rPr>
                <w:b/>
                <w:bCs/>
                <w:color w:val="000000"/>
              </w:rPr>
            </w:pPr>
            <w:r w:rsidRPr="000C700F">
              <w:rPr>
                <w:color w:val="000000"/>
              </w:rPr>
              <w:t>Нечасто</w:t>
            </w:r>
          </w:p>
        </w:tc>
        <w:tc>
          <w:tcPr>
            <w:tcW w:w="3940" w:type="dxa"/>
          </w:tcPr>
          <w:p w14:paraId="062313C0" w14:textId="77777777" w:rsidR="003C307A" w:rsidRDefault="003C307A" w:rsidP="003C307A">
            <w:pPr>
              <w:pStyle w:val="ab"/>
              <w:spacing w:before="0" w:beforeAutospacing="0" w:after="0" w:afterAutospacing="0"/>
              <w:jc w:val="both"/>
              <w:rPr>
                <w:b/>
                <w:bCs/>
                <w:color w:val="000000"/>
              </w:rPr>
            </w:pPr>
            <w:r>
              <w:t>Гинекомастия</w:t>
            </w:r>
          </w:p>
        </w:tc>
      </w:tr>
      <w:tr w:rsidR="003C307A" w14:paraId="18741763" w14:textId="77777777" w:rsidTr="00A76175">
        <w:tc>
          <w:tcPr>
            <w:tcW w:w="3115" w:type="dxa"/>
            <w:vMerge w:val="restart"/>
          </w:tcPr>
          <w:p w14:paraId="040C69FD" w14:textId="77777777" w:rsidR="003C307A" w:rsidRDefault="003C307A" w:rsidP="003C307A">
            <w:pPr>
              <w:pStyle w:val="ab"/>
              <w:spacing w:before="0" w:beforeAutospacing="0" w:after="0" w:afterAutospacing="0"/>
              <w:jc w:val="both"/>
              <w:rPr>
                <w:b/>
                <w:bCs/>
                <w:color w:val="000000"/>
              </w:rPr>
            </w:pPr>
            <w:r>
              <w:t>Общие нарушения и реакции в месте введения</w:t>
            </w:r>
          </w:p>
        </w:tc>
        <w:tc>
          <w:tcPr>
            <w:tcW w:w="2409" w:type="dxa"/>
          </w:tcPr>
          <w:p w14:paraId="6B4AC289" w14:textId="77777777" w:rsidR="003C307A" w:rsidRDefault="003C307A" w:rsidP="003C307A">
            <w:pPr>
              <w:pStyle w:val="ab"/>
              <w:spacing w:before="0" w:beforeAutospacing="0" w:after="0" w:afterAutospacing="0"/>
              <w:jc w:val="both"/>
              <w:rPr>
                <w:b/>
                <w:bCs/>
                <w:color w:val="000000"/>
              </w:rPr>
            </w:pPr>
            <w:r w:rsidRPr="000C700F">
              <w:t>Часто</w:t>
            </w:r>
          </w:p>
        </w:tc>
        <w:tc>
          <w:tcPr>
            <w:tcW w:w="3940" w:type="dxa"/>
          </w:tcPr>
          <w:p w14:paraId="2E15E161" w14:textId="77777777" w:rsidR="003C307A" w:rsidRDefault="003C307A" w:rsidP="003C307A">
            <w:pPr>
              <w:pStyle w:val="ab"/>
              <w:spacing w:before="0" w:beforeAutospacing="0" w:after="0" w:afterAutospacing="0"/>
              <w:jc w:val="both"/>
              <w:rPr>
                <w:b/>
                <w:bCs/>
                <w:color w:val="000000"/>
              </w:rPr>
            </w:pPr>
            <w:r>
              <w:t>Утомляемость</w:t>
            </w:r>
          </w:p>
        </w:tc>
      </w:tr>
      <w:tr w:rsidR="003C307A" w14:paraId="3BA8F439" w14:textId="77777777" w:rsidTr="00A76175">
        <w:tc>
          <w:tcPr>
            <w:tcW w:w="3115" w:type="dxa"/>
            <w:vMerge/>
          </w:tcPr>
          <w:p w14:paraId="38B1FFF1" w14:textId="77777777" w:rsidR="003C307A" w:rsidRDefault="003C307A" w:rsidP="003C307A">
            <w:pPr>
              <w:pStyle w:val="ab"/>
              <w:spacing w:before="0" w:beforeAutospacing="0" w:after="0" w:afterAutospacing="0"/>
              <w:jc w:val="both"/>
              <w:rPr>
                <w:b/>
                <w:bCs/>
                <w:color w:val="000000"/>
              </w:rPr>
            </w:pPr>
          </w:p>
        </w:tc>
        <w:tc>
          <w:tcPr>
            <w:tcW w:w="2409" w:type="dxa"/>
          </w:tcPr>
          <w:p w14:paraId="1FB48543" w14:textId="77777777" w:rsidR="003C307A" w:rsidRDefault="003C307A" w:rsidP="003C307A">
            <w:pPr>
              <w:pStyle w:val="ab"/>
              <w:spacing w:before="0" w:beforeAutospacing="0" w:after="0" w:afterAutospacing="0"/>
              <w:jc w:val="both"/>
              <w:rPr>
                <w:b/>
                <w:bCs/>
                <w:color w:val="000000"/>
              </w:rPr>
            </w:pPr>
            <w:r w:rsidRPr="000C700F">
              <w:rPr>
                <w:color w:val="000000"/>
              </w:rPr>
              <w:t>Нечасто</w:t>
            </w:r>
          </w:p>
        </w:tc>
        <w:tc>
          <w:tcPr>
            <w:tcW w:w="3940" w:type="dxa"/>
          </w:tcPr>
          <w:p w14:paraId="6B692478" w14:textId="77777777" w:rsidR="003C307A" w:rsidRDefault="003C307A" w:rsidP="003C307A">
            <w:pPr>
              <w:pStyle w:val="ab"/>
              <w:spacing w:before="0" w:beforeAutospacing="0" w:after="0" w:afterAutospacing="0"/>
              <w:jc w:val="both"/>
              <w:rPr>
                <w:b/>
                <w:bCs/>
                <w:color w:val="000000"/>
              </w:rPr>
            </w:pPr>
            <w:r>
              <w:t>Заторможенность</w:t>
            </w:r>
          </w:p>
        </w:tc>
      </w:tr>
    </w:tbl>
    <w:p w14:paraId="14C9F117" w14:textId="77777777" w:rsidR="007A7920" w:rsidRDefault="007A7920" w:rsidP="003C307A">
      <w:pPr>
        <w:pStyle w:val="affb"/>
        <w:spacing w:before="0" w:after="0" w:line="240" w:lineRule="auto"/>
        <w:ind w:firstLine="851"/>
      </w:pPr>
    </w:p>
    <w:p w14:paraId="0451CB1D" w14:textId="742EA15D" w:rsidR="00117BF8" w:rsidRPr="00FC3BD3" w:rsidRDefault="00117BF8" w:rsidP="001C0A37">
      <w:pPr>
        <w:pStyle w:val="affb"/>
        <w:spacing w:before="0" w:after="0" w:line="240" w:lineRule="auto"/>
        <w:ind w:firstLine="709"/>
        <w:rPr>
          <w:color w:val="000000"/>
        </w:rPr>
      </w:pPr>
      <w:r>
        <w:t>В</w:t>
      </w:r>
      <w:r w:rsidRPr="00F26648">
        <w:t xml:space="preserve"> </w:t>
      </w:r>
      <w:r>
        <w:t>исследованиях</w:t>
      </w:r>
      <w:r w:rsidRPr="00F26648">
        <w:t xml:space="preserve"> </w:t>
      </w:r>
      <w:r>
        <w:t>на</w:t>
      </w:r>
      <w:r w:rsidRPr="00F26648">
        <w:t xml:space="preserve"> </w:t>
      </w:r>
      <w:r>
        <w:t>постмаркетинговом</w:t>
      </w:r>
      <w:r w:rsidRPr="00F26648">
        <w:t xml:space="preserve"> </w:t>
      </w:r>
      <w:r>
        <w:t>этапе</w:t>
      </w:r>
      <w:r w:rsidRPr="00F26648">
        <w:t xml:space="preserve"> </w:t>
      </w:r>
      <w:r>
        <w:t>был</w:t>
      </w:r>
      <w:r w:rsidRPr="00F26648">
        <w:t xml:space="preserve"> </w:t>
      </w:r>
      <w:r>
        <w:t>выявлен</w:t>
      </w:r>
      <w:r w:rsidRPr="00F26648">
        <w:t xml:space="preserve"> </w:t>
      </w:r>
      <w:r>
        <w:t>ряд НЯ</w:t>
      </w:r>
      <w:r w:rsidRPr="00F26648">
        <w:t xml:space="preserve">, </w:t>
      </w:r>
      <w:r>
        <w:t>которые</w:t>
      </w:r>
      <w:r w:rsidRPr="00F26648">
        <w:t xml:space="preserve"> </w:t>
      </w:r>
      <w:r>
        <w:t>не</w:t>
      </w:r>
      <w:r w:rsidRPr="00F26648">
        <w:t xml:space="preserve"> </w:t>
      </w:r>
      <w:r>
        <w:t>были</w:t>
      </w:r>
      <w:r w:rsidRPr="00F26648">
        <w:t xml:space="preserve"> </w:t>
      </w:r>
      <w:r>
        <w:t xml:space="preserve">обнаружены во время исследований </w:t>
      </w:r>
      <w:r>
        <w:rPr>
          <w:lang w:val="en-US"/>
        </w:rPr>
        <w:t>II</w:t>
      </w:r>
      <w:r w:rsidRPr="00D43185">
        <w:t>/</w:t>
      </w:r>
      <w:r>
        <w:rPr>
          <w:lang w:val="en-US"/>
        </w:rPr>
        <w:t>III</w:t>
      </w:r>
      <w:r>
        <w:t xml:space="preserve"> фазы</w:t>
      </w:r>
      <w:r w:rsidRPr="00D43185">
        <w:t xml:space="preserve">. </w:t>
      </w:r>
      <w:r>
        <w:t>Поскольку</w:t>
      </w:r>
      <w:r w:rsidRPr="009052BC">
        <w:t xml:space="preserve"> </w:t>
      </w:r>
      <w:r>
        <w:t>эти</w:t>
      </w:r>
      <w:r w:rsidRPr="009052BC">
        <w:t xml:space="preserve"> </w:t>
      </w:r>
      <w:r>
        <w:t>НЯ</w:t>
      </w:r>
      <w:r w:rsidRPr="009052BC">
        <w:t xml:space="preserve"> </w:t>
      </w:r>
      <w:r>
        <w:t>получены</w:t>
      </w:r>
      <w:r w:rsidRPr="009052BC">
        <w:t xml:space="preserve"> </w:t>
      </w:r>
      <w:r>
        <w:t>из</w:t>
      </w:r>
      <w:r w:rsidRPr="009052BC">
        <w:t xml:space="preserve"> </w:t>
      </w:r>
      <w:r>
        <w:t>баз</w:t>
      </w:r>
      <w:r w:rsidRPr="009052BC">
        <w:t xml:space="preserve"> </w:t>
      </w:r>
      <w:r>
        <w:t>данных</w:t>
      </w:r>
      <w:r w:rsidRPr="009052BC">
        <w:t xml:space="preserve"> </w:t>
      </w:r>
      <w:r>
        <w:t>о</w:t>
      </w:r>
      <w:r w:rsidRPr="009052BC">
        <w:t xml:space="preserve"> </w:t>
      </w:r>
      <w:r>
        <w:t>репортировании</w:t>
      </w:r>
      <w:r w:rsidRPr="009052BC">
        <w:t xml:space="preserve"> </w:t>
      </w:r>
      <w:r>
        <w:t>побочных</w:t>
      </w:r>
      <w:r w:rsidRPr="009052BC">
        <w:t xml:space="preserve"> </w:t>
      </w:r>
      <w:r>
        <w:t>эффектов</w:t>
      </w:r>
      <w:r w:rsidRPr="009052BC">
        <w:t xml:space="preserve"> </w:t>
      </w:r>
      <w:r>
        <w:t>лекарственных</w:t>
      </w:r>
      <w:r w:rsidRPr="009052BC">
        <w:t xml:space="preserve"> </w:t>
      </w:r>
      <w:r>
        <w:t>препаратов, оценить реальную частоту их возникновения и определить причинно-следственную связь невозможно. Были выявлены: нарушения</w:t>
      </w:r>
      <w:r w:rsidRPr="00BC4908">
        <w:t xml:space="preserve"> </w:t>
      </w:r>
      <w:r>
        <w:t>со</w:t>
      </w:r>
      <w:r w:rsidRPr="00BC4908">
        <w:t xml:space="preserve"> </w:t>
      </w:r>
      <w:r>
        <w:t>стороны</w:t>
      </w:r>
      <w:r w:rsidRPr="00BC4908">
        <w:t xml:space="preserve"> </w:t>
      </w:r>
      <w:r>
        <w:t>иммунной</w:t>
      </w:r>
      <w:r w:rsidRPr="00BC4908">
        <w:t xml:space="preserve"> </w:t>
      </w:r>
      <w:r>
        <w:t>системы</w:t>
      </w:r>
      <w:r w:rsidRPr="00BC4908">
        <w:t xml:space="preserve">: </w:t>
      </w:r>
      <w:r>
        <w:t>реакции</w:t>
      </w:r>
      <w:r w:rsidRPr="00BC4908">
        <w:t xml:space="preserve"> </w:t>
      </w:r>
      <w:r>
        <w:t>гиперчувствительности</w:t>
      </w:r>
      <w:r w:rsidRPr="00BC4908">
        <w:t xml:space="preserve"> </w:t>
      </w:r>
      <w:r>
        <w:t>тяжелой</w:t>
      </w:r>
      <w:r w:rsidRPr="00BC4908">
        <w:t xml:space="preserve"> </w:t>
      </w:r>
      <w:r>
        <w:t xml:space="preserve">степени, включая </w:t>
      </w:r>
      <w:r w:rsidRPr="006551A7">
        <w:rPr>
          <w:lang w:val="en-US"/>
        </w:rPr>
        <w:t>DRESS</w:t>
      </w:r>
      <w:r w:rsidRPr="00BC4908">
        <w:t xml:space="preserve"> </w:t>
      </w:r>
      <w:r w:rsidRPr="004607BA">
        <w:t>(</w:t>
      </w:r>
      <w:r w:rsidRPr="004607BA">
        <w:rPr>
          <w:i/>
          <w:iCs/>
        </w:rPr>
        <w:t>Drug Reaction (or Rash) with Eosinophilia and Systemic Symptoms</w:t>
      </w:r>
      <w:r w:rsidRPr="004607BA">
        <w:t xml:space="preserve"> [лекарственная реакция с эозинофилией и системными проявлениями</w:t>
      </w:r>
      <w:r w:rsidRPr="00C33AAB">
        <w:t>]</w:t>
      </w:r>
      <w:r w:rsidRPr="004607BA">
        <w:t xml:space="preserve">) </w:t>
      </w:r>
      <w:r>
        <w:t>и случаи печеночной недостаточности. Н</w:t>
      </w:r>
      <w:r w:rsidRPr="0077458A">
        <w:t xml:space="preserve">арушения со стороны скелетно-мышечной и соединительной ткани: </w:t>
      </w:r>
      <w:r>
        <w:t>рабдомиолиз. Н</w:t>
      </w:r>
      <w:r w:rsidRPr="00DF6AFB">
        <w:t xml:space="preserve">арушения со стороны скелетно-мышечной и соединительной ткани: </w:t>
      </w:r>
      <w:r>
        <w:t>фатальные</w:t>
      </w:r>
      <w:r w:rsidRPr="00DF6AFB">
        <w:t xml:space="preserve"> </w:t>
      </w:r>
      <w:r>
        <w:t xml:space="preserve">случаи токсического эпидермального некролиза и </w:t>
      </w:r>
      <w:r w:rsidRPr="00CB56C0">
        <w:rPr>
          <w:lang w:val="en-US"/>
        </w:rPr>
        <w:t>SJS</w:t>
      </w:r>
      <w:r w:rsidRPr="00CB56C0">
        <w:t>.</w:t>
      </w:r>
      <w:r w:rsidRPr="00F71622">
        <w:t xml:space="preserve"> </w:t>
      </w:r>
      <w:r>
        <w:t xml:space="preserve">Однако, в целом, в </w:t>
      </w:r>
      <w:r w:rsidRPr="005A3A85">
        <w:t xml:space="preserve">исследованиях </w:t>
      </w:r>
      <w:r>
        <w:t xml:space="preserve">на постмаркетинговом этапе </w:t>
      </w:r>
      <w:r w:rsidRPr="005A3A85">
        <w:t xml:space="preserve">препараты </w:t>
      </w:r>
      <w:r w:rsidR="00C16B1D">
        <w:t>этравирин</w:t>
      </w:r>
      <w:r w:rsidRPr="004E045E">
        <w:t xml:space="preserve"> </w:t>
      </w:r>
      <w:r w:rsidRPr="005A3A85">
        <w:t xml:space="preserve">продемонстрировали безопасность и переносимость, сопоставимую с первичной оценкой на разных популяциях пациентов. </w:t>
      </w:r>
      <w:r>
        <w:t>П</w:t>
      </w:r>
      <w:r w:rsidRPr="005A3A85">
        <w:t xml:space="preserve">репараты </w:t>
      </w:r>
      <w:r>
        <w:t>этравирина</w:t>
      </w:r>
      <w:r w:rsidRPr="005A3A85">
        <w:t xml:space="preserve"> хорошо переносились и характеризовались благоприятным профилем безопасности, как </w:t>
      </w:r>
      <w:r>
        <w:t xml:space="preserve">в </w:t>
      </w:r>
      <w:r w:rsidRPr="005A3A85">
        <w:t>клинических исследованиях, так и в составе комбинированной АРТ</w:t>
      </w:r>
      <w:r>
        <w:t>.</w:t>
      </w:r>
    </w:p>
    <w:p w14:paraId="3187448F" w14:textId="687F3A54" w:rsidR="00783A7F" w:rsidRPr="00132D58" w:rsidRDefault="00783A7F" w:rsidP="00783A7F">
      <w:pPr>
        <w:ind w:firstLine="709"/>
        <w:rPr>
          <w:iCs/>
          <w:color w:val="000000" w:themeColor="text1"/>
        </w:rPr>
      </w:pPr>
      <w:r>
        <w:rPr>
          <w:iCs/>
          <w:color w:val="000000" w:themeColor="text1"/>
        </w:rPr>
        <w:t xml:space="preserve">Учитывая, что лекарственный препарат </w:t>
      </w:r>
      <w:r>
        <w:rPr>
          <w:color w:val="000000" w:themeColor="text1"/>
          <w:lang w:val="en-US"/>
        </w:rPr>
        <w:t>DT</w:t>
      </w:r>
      <w:r w:rsidRPr="0090184F">
        <w:rPr>
          <w:color w:val="000000" w:themeColor="text1"/>
        </w:rPr>
        <w:t>-</w:t>
      </w:r>
      <w:r>
        <w:rPr>
          <w:color w:val="000000" w:themeColor="text1"/>
          <w:lang w:val="en-US"/>
        </w:rPr>
        <w:t>ETR</w:t>
      </w:r>
      <w:r>
        <w:rPr>
          <w:color w:val="000000" w:themeColor="text1"/>
        </w:rPr>
        <w:t xml:space="preserve">, разработанный </w:t>
      </w:r>
      <w:r>
        <w:rPr>
          <w:rFonts w:eastAsia="Calibri"/>
          <w:color w:val="000000" w:themeColor="text1"/>
        </w:rPr>
        <w:t>АО «Р-Фарм», представляет собой воспроизведенный препарат этравирина, ожидается, что его свойства будут идентичны свойствам оригинального препарата Интеленс</w:t>
      </w:r>
      <w:r>
        <w:rPr>
          <w:rFonts w:eastAsia="Calibri"/>
          <w:color w:val="000000" w:themeColor="text1"/>
          <w:vertAlign w:val="superscript"/>
        </w:rPr>
        <w:t>®</w:t>
      </w:r>
      <w:r>
        <w:rPr>
          <w:rFonts w:eastAsia="Calibri"/>
          <w:color w:val="000000" w:themeColor="text1"/>
        </w:rPr>
        <w:t xml:space="preserve">, </w:t>
      </w:r>
      <w:r>
        <w:rPr>
          <w:color w:val="000000" w:themeColor="text1"/>
        </w:rPr>
        <w:t xml:space="preserve">таблетки </w:t>
      </w:r>
      <w:r>
        <w:rPr>
          <w:rFonts w:eastAsia="Calibri"/>
          <w:color w:val="000000" w:themeColor="text1"/>
        </w:rPr>
        <w:t>(</w:t>
      </w:r>
      <w:r>
        <w:t xml:space="preserve">ООО «Джонсон </w:t>
      </w:r>
      <w:r w:rsidRPr="009B427E">
        <w:t xml:space="preserve">&amp; </w:t>
      </w:r>
      <w:r>
        <w:t>Джонсон», Россия</w:t>
      </w:r>
      <w:r>
        <w:rPr>
          <w:rFonts w:eastAsia="Calibri"/>
          <w:color w:val="000000" w:themeColor="text1"/>
        </w:rPr>
        <w:t xml:space="preserve">), в связи с этим, предполагается, что соотношение </w:t>
      </w:r>
      <w:r w:rsidRPr="00284823">
        <w:rPr>
          <w:iCs/>
          <w:color w:val="000000" w:themeColor="text1"/>
        </w:rPr>
        <w:t>риск</w:t>
      </w:r>
      <w:r>
        <w:rPr>
          <w:iCs/>
          <w:color w:val="000000" w:themeColor="text1"/>
        </w:rPr>
        <w:t>а и пользы для</w:t>
      </w:r>
      <w:r w:rsidRPr="00284823">
        <w:rPr>
          <w:iCs/>
          <w:color w:val="000000" w:themeColor="text1"/>
        </w:rPr>
        <w:t xml:space="preserve"> </w:t>
      </w:r>
      <w:r>
        <w:rPr>
          <w:color w:val="000000" w:themeColor="text1"/>
          <w:lang w:val="en-US"/>
        </w:rPr>
        <w:t>DT</w:t>
      </w:r>
      <w:r w:rsidRPr="0090184F">
        <w:rPr>
          <w:color w:val="000000" w:themeColor="text1"/>
        </w:rPr>
        <w:t>-</w:t>
      </w:r>
      <w:r>
        <w:rPr>
          <w:color w:val="000000" w:themeColor="text1"/>
          <w:lang w:val="en-US"/>
        </w:rPr>
        <w:t>ETR</w:t>
      </w:r>
      <w:r>
        <w:rPr>
          <w:color w:val="000000" w:themeColor="text1"/>
        </w:rPr>
        <w:t xml:space="preserve"> является положительным</w:t>
      </w:r>
      <w:r w:rsidRPr="00284823">
        <w:rPr>
          <w:iCs/>
          <w:color w:val="000000" w:themeColor="text1"/>
        </w:rPr>
        <w:t>.</w:t>
      </w:r>
    </w:p>
    <w:p w14:paraId="29B25D68" w14:textId="437D36D1" w:rsidR="00D27156" w:rsidRPr="004D78CE" w:rsidRDefault="00783A7F" w:rsidP="00D27156">
      <w:pPr>
        <w:ind w:firstLine="709"/>
      </w:pPr>
      <w:r w:rsidRPr="00EB1D64">
        <w:rPr>
          <w:lang w:eastAsia="ru-RU"/>
        </w:rPr>
        <w:t xml:space="preserve">В </w:t>
      </w:r>
      <w:r>
        <w:rPr>
          <w:lang w:eastAsia="ru-RU"/>
        </w:rPr>
        <w:t>планируемом</w:t>
      </w:r>
      <w:r w:rsidRPr="00EB1D64">
        <w:rPr>
          <w:lang w:eastAsia="ru-RU"/>
        </w:rPr>
        <w:t xml:space="preserve"> исследовании </w:t>
      </w:r>
      <w:r>
        <w:rPr>
          <w:lang w:eastAsia="ru-RU"/>
        </w:rPr>
        <w:t xml:space="preserve">по протоколу </w:t>
      </w:r>
      <w:r w:rsidRPr="00A6420E">
        <w:rPr>
          <w:rFonts w:eastAsia="Calibri"/>
          <w:lang w:eastAsia="ru-RU"/>
        </w:rPr>
        <w:t xml:space="preserve">№ </w:t>
      </w:r>
      <w:r w:rsidRPr="00306CBA">
        <w:rPr>
          <w:lang w:val="en-US"/>
        </w:rPr>
        <w:t>CJ</w:t>
      </w:r>
      <w:r w:rsidRPr="00107E26">
        <w:t>05630128</w:t>
      </w:r>
      <w:r>
        <w:rPr>
          <w:lang w:eastAsia="ru-RU"/>
        </w:rPr>
        <w:t xml:space="preserve"> </w:t>
      </w:r>
      <w:r w:rsidRPr="00EB1D64">
        <w:rPr>
          <w:lang w:eastAsia="ru-RU"/>
        </w:rPr>
        <w:t xml:space="preserve">каждый доброволец </w:t>
      </w:r>
      <w:r w:rsidR="00D27156" w:rsidRPr="004D78CE">
        <w:rPr>
          <w:iCs/>
        </w:rPr>
        <w:t xml:space="preserve">получит по </w:t>
      </w:r>
      <w:r w:rsidR="00845859">
        <w:rPr>
          <w:iCs/>
        </w:rPr>
        <w:t>2</w:t>
      </w:r>
      <w:r w:rsidR="00D27156" w:rsidRPr="004D78CE">
        <w:rPr>
          <w:iCs/>
        </w:rPr>
        <w:t xml:space="preserve"> приема </w:t>
      </w:r>
      <w:r w:rsidR="00D27156">
        <w:rPr>
          <w:iCs/>
        </w:rPr>
        <w:t>этравирина в разовой дозе 2</w:t>
      </w:r>
      <w:r w:rsidR="00D27156" w:rsidRPr="004D78CE">
        <w:rPr>
          <w:iCs/>
        </w:rPr>
        <w:t>00 мг. Каждый прием будет отделен от посл</w:t>
      </w:r>
      <w:r w:rsidR="00D27156">
        <w:rPr>
          <w:iCs/>
        </w:rPr>
        <w:t>едующего отмывочным периодом в 14</w:t>
      </w:r>
      <w:r w:rsidR="00D27156" w:rsidRPr="004D78CE">
        <w:rPr>
          <w:iCs/>
        </w:rPr>
        <w:t xml:space="preserve"> дней. </w:t>
      </w:r>
      <w:r w:rsidR="00D27156" w:rsidRPr="004D78CE">
        <w:t xml:space="preserve">Таким образом, наиболее вероятными в данном исследовании являются нежелательные реакции, наблюдавшиеся ранее при однократном применении препаратов </w:t>
      </w:r>
      <w:r w:rsidR="00D27156">
        <w:t>этравирин</w:t>
      </w:r>
      <w:r w:rsidR="00D27156" w:rsidRPr="004D78CE">
        <w:t xml:space="preserve">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D27156">
        <w:t>этравирин</w:t>
      </w:r>
      <w:r w:rsidR="00D27156" w:rsidRPr="004D78CE">
        <w:t xml:space="preserve">а и характеризоваться преимущественно легкой или умеренной степенью выраженности. </w:t>
      </w:r>
    </w:p>
    <w:p w14:paraId="3AB62C55" w14:textId="3A764890" w:rsidR="00D27156" w:rsidRDefault="00D27156" w:rsidP="00D27156">
      <w:pPr>
        <w:ind w:firstLine="709"/>
      </w:pPr>
      <w:r w:rsidRPr="004D78CE">
        <w:t xml:space="preserve">Прием лекарственных препаратов, характеризующихся известным взаимодействием с </w:t>
      </w:r>
      <w:r>
        <w:t>этравирин</w:t>
      </w:r>
      <w:r w:rsidRPr="004D78CE">
        <w:t>ом, в исследовании будет запрещен. Кроме того, за добровольцами будет производится периодический контроль, включающий физикальное обследование, а также контроль лабораторных показателей, включая общий анализ крови, биохимический анализ крови (</w:t>
      </w:r>
      <w:r w:rsidRPr="006148C6">
        <w:t xml:space="preserve">глюкоза, холестерин, </w:t>
      </w:r>
      <w:r>
        <w:t>ЛПНП</w:t>
      </w:r>
      <w:r w:rsidRPr="006148C6">
        <w:t>, триглицериды, липаза, амил</w:t>
      </w:r>
      <w:r>
        <w:t>аза, АСТ</w:t>
      </w:r>
      <w:r w:rsidRPr="006148C6">
        <w:t xml:space="preserve">, </w:t>
      </w:r>
      <w:r>
        <w:t>АЛТ</w:t>
      </w:r>
      <w:r w:rsidRPr="006148C6">
        <w:t xml:space="preserve">, </w:t>
      </w:r>
      <w:r>
        <w:t>ГГТ</w:t>
      </w:r>
      <w:r w:rsidRPr="006148C6">
        <w:t>, креатинин</w:t>
      </w:r>
      <w:r w:rsidRPr="004D78CE">
        <w:t xml:space="preserve">) и общий анализ мочи. Это позволит своевременно выявить развитие НР, оказать необходимую помощь добровольцу (если такая потребуется) и при необходимости вывести его из исследования. </w:t>
      </w:r>
    </w:p>
    <w:p w14:paraId="66CA9759" w14:textId="494DD55D" w:rsidR="00612400" w:rsidRPr="004D78CE" w:rsidRDefault="00612400" w:rsidP="00612400">
      <w:pPr>
        <w:ind w:firstLine="709"/>
      </w:pPr>
      <w:r>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 с участием здоровых добровольцев.</w:t>
      </w:r>
      <w:r>
        <w:rPr>
          <w:rStyle w:val="af"/>
        </w:rPr>
        <w:footnoteReference w:id="2"/>
      </w:r>
      <w:r>
        <w:rPr>
          <w:vertAlign w:val="superscript"/>
        </w:rPr>
        <w:t xml:space="preserve"> </w:t>
      </w:r>
      <w:r w:rsidRPr="00BD717B">
        <w:t xml:space="preserve">С целью обеспечения максимальной безопасности применения </w:t>
      </w:r>
      <w:r>
        <w:t>этравирина</w:t>
      </w:r>
      <w:r w:rsidRPr="00BD717B">
        <w:t xml:space="preserve"> у добровольцев</w:t>
      </w:r>
      <w:r>
        <w:t xml:space="preserve"> женского пола</w:t>
      </w:r>
      <w:r w:rsidRPr="00BD717B">
        <w:t xml:space="preserve">, в рамках настоящего исследования будут учтены критерии, являющиеся противопоказаниями к назначению </w:t>
      </w:r>
      <w:r>
        <w:t xml:space="preserve">этравирина у женщин, в частности лактация, </w:t>
      </w:r>
      <w:r>
        <w:rPr>
          <w:lang w:eastAsia="ru-RU"/>
        </w:rPr>
        <w:t>или требующие особых мер предосторожности – беременность</w:t>
      </w:r>
      <w:r>
        <w:t xml:space="preserve">. Для предотвращения приема этравирина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этравирина. </w:t>
      </w:r>
      <w:r>
        <w:rPr>
          <w:color w:val="000000" w:themeColor="text1"/>
        </w:rPr>
        <w:t xml:space="preserve">Также тест на беременность будет выполнен на </w:t>
      </w:r>
      <w:r w:rsidR="00845859">
        <w:rPr>
          <w:color w:val="000000" w:themeColor="text1"/>
        </w:rPr>
        <w:t>29</w:t>
      </w:r>
      <w:r>
        <w:rPr>
          <w:color w:val="000000" w:themeColor="text1"/>
        </w:rPr>
        <w:t>(±</w:t>
      </w:r>
      <w:r w:rsidR="00845859">
        <w:rPr>
          <w:color w:val="000000" w:themeColor="text1"/>
        </w:rPr>
        <w:t>ё</w:t>
      </w:r>
      <w:r>
        <w:rPr>
          <w:color w:val="000000" w:themeColor="text1"/>
        </w:rPr>
        <w:t>) день исследования, соответствующий периоду наблюдения, с целью подтверждения ненаступления беременности в течение исследования.</w:t>
      </w:r>
      <w:r>
        <w:t xml:space="preserve"> </w:t>
      </w:r>
    </w:p>
    <w:p w14:paraId="79CF92A4" w14:textId="77777777" w:rsidR="00D27156" w:rsidRPr="004D78CE" w:rsidRDefault="00D27156" w:rsidP="00D27156">
      <w:pPr>
        <w:ind w:firstLine="709"/>
      </w:pPr>
      <w:r w:rsidRPr="004D78CE">
        <w:t>В связи с приведенными аргументами риск развития нежелательных явлений для здоровых добровольцев будет минимальным.</w:t>
      </w:r>
    </w:p>
    <w:p w14:paraId="3A7FE4A8" w14:textId="77777777" w:rsidR="008B7FBF" w:rsidRPr="005E6358" w:rsidRDefault="008B7FBF" w:rsidP="00AD301D">
      <w:pPr>
        <w:pStyle w:val="2"/>
        <w:spacing w:line="240" w:lineRule="auto"/>
        <w:rPr>
          <w:color w:val="000000" w:themeColor="text1"/>
          <w:szCs w:val="24"/>
        </w:rPr>
      </w:pPr>
      <w:bookmarkStart w:id="202" w:name="_Toc117179245"/>
      <w:bookmarkEnd w:id="199"/>
      <w:bookmarkEnd w:id="200"/>
      <w:bookmarkEnd w:id="201"/>
      <w:r w:rsidRPr="005E6358">
        <w:rPr>
          <w:color w:val="000000" w:themeColor="text1"/>
          <w:szCs w:val="24"/>
        </w:rPr>
        <w:t>5.3. Инструкции для исследователя</w:t>
      </w:r>
      <w:bookmarkEnd w:id="197"/>
      <w:bookmarkEnd w:id="198"/>
      <w:bookmarkEnd w:id="202"/>
    </w:p>
    <w:p w14:paraId="5773D028" w14:textId="4004E02A" w:rsidR="008B7FBF" w:rsidRDefault="008B7FBF" w:rsidP="00AD301D">
      <w:pPr>
        <w:pStyle w:val="3"/>
        <w:spacing w:after="240"/>
        <w:rPr>
          <w:rFonts w:ascii="Times New Roman" w:hAnsi="Times New Roman"/>
          <w:color w:val="000000" w:themeColor="text1"/>
        </w:rPr>
      </w:pPr>
      <w:bookmarkStart w:id="203" w:name="_Toc301482878"/>
      <w:bookmarkStart w:id="204" w:name="_Toc298775568"/>
      <w:bookmarkStart w:id="205" w:name="_Toc117179246"/>
      <w:r w:rsidRPr="005E6358">
        <w:rPr>
          <w:rFonts w:ascii="Times New Roman" w:hAnsi="Times New Roman"/>
          <w:color w:val="000000" w:themeColor="text1"/>
        </w:rPr>
        <w:t>5.3.1. Показания к применению</w:t>
      </w:r>
      <w:bookmarkEnd w:id="203"/>
      <w:bookmarkEnd w:id="204"/>
      <w:bookmarkEnd w:id="205"/>
    </w:p>
    <w:p w14:paraId="568C9936" w14:textId="11EB7686" w:rsidR="00B44164" w:rsidRPr="000F5295" w:rsidRDefault="00B44164" w:rsidP="001C0A37">
      <w:pPr>
        <w:ind w:firstLine="709"/>
      </w:pPr>
      <w:r w:rsidRPr="000F5295">
        <w:t xml:space="preserve">Лечение инфекции ВИЧ-1 у взрослых, которые ранее получали антиретровирусные препараты, и детей с 2 лет, которые ранее получали антиретровирусные препараты. </w:t>
      </w:r>
    </w:p>
    <w:p w14:paraId="2B33154F" w14:textId="77777777" w:rsidR="008B7FBF" w:rsidRPr="005E6358" w:rsidRDefault="008B7FBF" w:rsidP="00AD301D">
      <w:pPr>
        <w:pStyle w:val="3"/>
        <w:spacing w:after="240"/>
        <w:rPr>
          <w:rFonts w:ascii="Times New Roman" w:hAnsi="Times New Roman"/>
          <w:color w:val="000000" w:themeColor="text1"/>
        </w:rPr>
      </w:pPr>
      <w:bookmarkStart w:id="206" w:name="_Toc301482879"/>
      <w:bookmarkStart w:id="207" w:name="_Toc287529201"/>
      <w:bookmarkStart w:id="208" w:name="_Toc298775569"/>
      <w:bookmarkStart w:id="209" w:name="_Toc117179247"/>
      <w:r w:rsidRPr="005E6358">
        <w:rPr>
          <w:rFonts w:ascii="Times New Roman" w:hAnsi="Times New Roman"/>
          <w:color w:val="000000" w:themeColor="text1"/>
        </w:rPr>
        <w:t>5.3.2. Противопоказания</w:t>
      </w:r>
      <w:bookmarkEnd w:id="206"/>
      <w:bookmarkEnd w:id="207"/>
      <w:bookmarkEnd w:id="208"/>
      <w:bookmarkEnd w:id="209"/>
    </w:p>
    <w:p w14:paraId="1E594203" w14:textId="77777777" w:rsidR="000F5295" w:rsidRPr="000F5295" w:rsidRDefault="00585A93" w:rsidP="00585A93">
      <w:pPr>
        <w:pStyle w:val="OT"/>
        <w:numPr>
          <w:ilvl w:val="0"/>
          <w:numId w:val="20"/>
        </w:numPr>
        <w:spacing w:after="0"/>
        <w:ind w:left="714" w:hanging="357"/>
        <w:rPr>
          <w:sz w:val="24"/>
          <w:szCs w:val="24"/>
        </w:rPr>
      </w:pPr>
      <w:bookmarkStart w:id="210" w:name="_Toc301482880"/>
      <w:bookmarkStart w:id="211" w:name="_Toc287529202"/>
      <w:bookmarkStart w:id="212" w:name="_Toc298775570"/>
      <w:r w:rsidRPr="00585A93">
        <w:rPr>
          <w:sz w:val="24"/>
          <w:szCs w:val="24"/>
        </w:rPr>
        <w:t>Гиперчувствительность к этравирину или</w:t>
      </w:r>
      <w:r w:rsidR="000F5295">
        <w:rPr>
          <w:sz w:val="24"/>
          <w:szCs w:val="24"/>
        </w:rPr>
        <w:t xml:space="preserve"> любому компоненту препарата.  </w:t>
      </w:r>
    </w:p>
    <w:p w14:paraId="65DD9098" w14:textId="61464235" w:rsidR="00585A93" w:rsidRPr="00585A93" w:rsidRDefault="00585A93" w:rsidP="00585A93">
      <w:pPr>
        <w:pStyle w:val="OT"/>
        <w:numPr>
          <w:ilvl w:val="0"/>
          <w:numId w:val="20"/>
        </w:numPr>
        <w:spacing w:after="0"/>
        <w:ind w:left="714" w:hanging="357"/>
        <w:rPr>
          <w:sz w:val="24"/>
          <w:szCs w:val="24"/>
        </w:rPr>
      </w:pPr>
      <w:r w:rsidRPr="00585A93">
        <w:rPr>
          <w:sz w:val="24"/>
          <w:szCs w:val="24"/>
        </w:rPr>
        <w:t>Детский возраст (до 2-х лет).</w:t>
      </w:r>
    </w:p>
    <w:p w14:paraId="00010A3D" w14:textId="77777777" w:rsidR="00585A93" w:rsidRPr="00585A93" w:rsidRDefault="00585A93" w:rsidP="00585A93">
      <w:pPr>
        <w:pStyle w:val="OT"/>
        <w:numPr>
          <w:ilvl w:val="0"/>
          <w:numId w:val="20"/>
        </w:numPr>
        <w:spacing w:after="0"/>
        <w:ind w:left="714" w:hanging="357"/>
        <w:rPr>
          <w:sz w:val="24"/>
          <w:szCs w:val="24"/>
        </w:rPr>
      </w:pPr>
      <w:r w:rsidRPr="00585A93">
        <w:rPr>
          <w:sz w:val="24"/>
          <w:szCs w:val="24"/>
        </w:rPr>
        <w:t>Период грудного вскармливания.</w:t>
      </w:r>
    </w:p>
    <w:p w14:paraId="42F272AB" w14:textId="77777777" w:rsidR="00585A93" w:rsidRPr="00585A93" w:rsidRDefault="00585A93" w:rsidP="00585A93">
      <w:pPr>
        <w:pStyle w:val="OT"/>
        <w:numPr>
          <w:ilvl w:val="0"/>
          <w:numId w:val="20"/>
        </w:numPr>
        <w:spacing w:after="0"/>
        <w:ind w:left="714" w:hanging="357"/>
        <w:rPr>
          <w:sz w:val="24"/>
          <w:szCs w:val="24"/>
        </w:rPr>
      </w:pPr>
      <w:r w:rsidRPr="00585A93">
        <w:rPr>
          <w:sz w:val="24"/>
          <w:szCs w:val="24"/>
        </w:rPr>
        <w:t>Тяжелые нарушения функции печени (класс С по Чайлд-Пью).</w:t>
      </w:r>
    </w:p>
    <w:p w14:paraId="4201FE94" w14:textId="551A6206" w:rsidR="00585A93" w:rsidRPr="00585A93" w:rsidRDefault="00585A93" w:rsidP="00585A93">
      <w:pPr>
        <w:pStyle w:val="OT"/>
        <w:numPr>
          <w:ilvl w:val="0"/>
          <w:numId w:val="20"/>
        </w:numPr>
        <w:spacing w:after="0"/>
        <w:ind w:left="714" w:hanging="357"/>
        <w:rPr>
          <w:sz w:val="24"/>
          <w:szCs w:val="24"/>
        </w:rPr>
      </w:pPr>
      <w:r w:rsidRPr="00585A93">
        <w:rPr>
          <w:sz w:val="24"/>
          <w:szCs w:val="24"/>
        </w:rPr>
        <w:t>Одновременное применение с препаратами, которые влияют на концентрацию этравирина в плазме крови и с препаратами, концентрация которых в плазме крови изменяется при совместном применении с этравирином: ритонавир (при приеме в дозе 600 мг 2 раза в день)</w:t>
      </w:r>
      <w:r>
        <w:rPr>
          <w:sz w:val="24"/>
          <w:szCs w:val="24"/>
        </w:rPr>
        <w:t>.</w:t>
      </w:r>
    </w:p>
    <w:p w14:paraId="6A25DFEA" w14:textId="635566B8" w:rsidR="00585A93" w:rsidRPr="000F5295" w:rsidRDefault="00585A93" w:rsidP="00585A93">
      <w:pPr>
        <w:pStyle w:val="OT"/>
        <w:numPr>
          <w:ilvl w:val="0"/>
          <w:numId w:val="20"/>
        </w:numPr>
        <w:spacing w:after="0"/>
        <w:ind w:left="714" w:hanging="357"/>
        <w:rPr>
          <w:sz w:val="24"/>
          <w:szCs w:val="24"/>
        </w:rPr>
      </w:pPr>
      <w:r>
        <w:rPr>
          <w:sz w:val="24"/>
          <w:szCs w:val="24"/>
        </w:rPr>
        <w:t>П</w:t>
      </w:r>
      <w:r w:rsidRPr="00585A93">
        <w:rPr>
          <w:sz w:val="24"/>
          <w:szCs w:val="24"/>
        </w:rPr>
        <w:t>ротивовирусные средства (комбинация элбасвир / гразопревир).</w:t>
      </w:r>
    </w:p>
    <w:p w14:paraId="5F66D247" w14:textId="77777777" w:rsidR="000F5295" w:rsidRPr="0096103F" w:rsidRDefault="000F5295" w:rsidP="000F5295">
      <w:pPr>
        <w:pStyle w:val="OT"/>
        <w:spacing w:after="0"/>
        <w:ind w:left="714"/>
        <w:rPr>
          <w:sz w:val="24"/>
          <w:szCs w:val="24"/>
        </w:rPr>
      </w:pPr>
    </w:p>
    <w:p w14:paraId="5A1BF03C" w14:textId="45964312" w:rsidR="000F5295" w:rsidRPr="008B0B82" w:rsidRDefault="000F5295" w:rsidP="008B0B82">
      <w:pPr>
        <w:pStyle w:val="OT"/>
        <w:spacing w:after="0"/>
        <w:rPr>
          <w:b/>
          <w:sz w:val="24"/>
          <w:szCs w:val="24"/>
        </w:rPr>
      </w:pPr>
      <w:r w:rsidRPr="008B0B82">
        <w:rPr>
          <w:b/>
          <w:sz w:val="24"/>
          <w:szCs w:val="24"/>
        </w:rPr>
        <w:t>С осторожностью:</w:t>
      </w:r>
    </w:p>
    <w:p w14:paraId="3097E34E" w14:textId="77777777" w:rsidR="00235E54" w:rsidRDefault="00235E54" w:rsidP="008B0B82">
      <w:pPr>
        <w:pStyle w:val="OT"/>
        <w:spacing w:after="0"/>
        <w:rPr>
          <w:sz w:val="24"/>
          <w:szCs w:val="24"/>
        </w:rPr>
      </w:pPr>
    </w:p>
    <w:p w14:paraId="5148AA7C" w14:textId="6374B668" w:rsidR="000F5295" w:rsidRDefault="000F5295" w:rsidP="000F5295">
      <w:pPr>
        <w:pStyle w:val="OT"/>
        <w:numPr>
          <w:ilvl w:val="0"/>
          <w:numId w:val="20"/>
        </w:numPr>
        <w:spacing w:after="0"/>
        <w:rPr>
          <w:sz w:val="24"/>
          <w:szCs w:val="24"/>
        </w:rPr>
      </w:pPr>
      <w:r>
        <w:rPr>
          <w:sz w:val="24"/>
          <w:szCs w:val="24"/>
        </w:rPr>
        <w:t>Пожилые пациенты</w:t>
      </w:r>
      <w:r w:rsidR="009F68D5">
        <w:rPr>
          <w:sz w:val="24"/>
          <w:szCs w:val="24"/>
        </w:rPr>
        <w:t>.</w:t>
      </w:r>
    </w:p>
    <w:p w14:paraId="1B30D3CC" w14:textId="0F86914C" w:rsidR="000F5295" w:rsidRDefault="000F5295" w:rsidP="000F5295">
      <w:pPr>
        <w:pStyle w:val="OT"/>
        <w:numPr>
          <w:ilvl w:val="0"/>
          <w:numId w:val="20"/>
        </w:numPr>
        <w:spacing w:after="0"/>
        <w:rPr>
          <w:sz w:val="24"/>
          <w:szCs w:val="24"/>
        </w:rPr>
      </w:pPr>
      <w:r>
        <w:rPr>
          <w:sz w:val="24"/>
          <w:szCs w:val="24"/>
        </w:rPr>
        <w:t>Беременность (см. раздел 5.3.3)</w:t>
      </w:r>
      <w:r w:rsidR="009F68D5">
        <w:rPr>
          <w:sz w:val="24"/>
          <w:szCs w:val="24"/>
        </w:rPr>
        <w:t>.</w:t>
      </w:r>
    </w:p>
    <w:p w14:paraId="7C1537F5" w14:textId="3399A2C0" w:rsidR="000F5295" w:rsidRDefault="000F5295" w:rsidP="000F5295">
      <w:pPr>
        <w:pStyle w:val="OT"/>
        <w:numPr>
          <w:ilvl w:val="0"/>
          <w:numId w:val="20"/>
        </w:numPr>
        <w:spacing w:after="0"/>
        <w:rPr>
          <w:sz w:val="24"/>
          <w:szCs w:val="24"/>
        </w:rPr>
      </w:pPr>
      <w:r>
        <w:rPr>
          <w:sz w:val="24"/>
          <w:szCs w:val="24"/>
        </w:rPr>
        <w:t xml:space="preserve">Паценты, одновременно инфицированные вирусом гепатита </w:t>
      </w:r>
      <w:r w:rsidR="009F68D5">
        <w:rPr>
          <w:sz w:val="24"/>
          <w:szCs w:val="24"/>
          <w:lang w:val="en-US"/>
        </w:rPr>
        <w:t>B</w:t>
      </w:r>
      <w:r w:rsidR="009F68D5">
        <w:rPr>
          <w:sz w:val="24"/>
          <w:szCs w:val="24"/>
        </w:rPr>
        <w:t xml:space="preserve"> и/или вирусом гепатита С.</w:t>
      </w:r>
    </w:p>
    <w:p w14:paraId="670E888E" w14:textId="25FBDFBA" w:rsidR="009F68D5" w:rsidRDefault="009F68D5" w:rsidP="000F5295">
      <w:pPr>
        <w:pStyle w:val="OT"/>
        <w:numPr>
          <w:ilvl w:val="0"/>
          <w:numId w:val="20"/>
        </w:numPr>
        <w:spacing w:after="0"/>
        <w:rPr>
          <w:sz w:val="24"/>
          <w:szCs w:val="24"/>
        </w:rPr>
      </w:pPr>
      <w:r>
        <w:rPr>
          <w:sz w:val="24"/>
          <w:szCs w:val="24"/>
        </w:rPr>
        <w:t xml:space="preserve">Пациенты с нарушением функции печени средней степени (класс </w:t>
      </w:r>
      <w:r>
        <w:rPr>
          <w:sz w:val="24"/>
          <w:szCs w:val="24"/>
          <w:lang w:val="en-US"/>
        </w:rPr>
        <w:t>B</w:t>
      </w:r>
      <w:r>
        <w:rPr>
          <w:sz w:val="24"/>
          <w:szCs w:val="24"/>
        </w:rPr>
        <w:t xml:space="preserve"> по Чайлд-Пью).</w:t>
      </w:r>
    </w:p>
    <w:p w14:paraId="3D3499C5" w14:textId="503082AF" w:rsidR="009F68D5" w:rsidRDefault="009F68D5" w:rsidP="000F5295">
      <w:pPr>
        <w:pStyle w:val="OT"/>
        <w:numPr>
          <w:ilvl w:val="0"/>
          <w:numId w:val="20"/>
        </w:numPr>
        <w:spacing w:after="0"/>
        <w:rPr>
          <w:sz w:val="24"/>
          <w:szCs w:val="24"/>
        </w:rPr>
      </w:pPr>
      <w:r>
        <w:rPr>
          <w:sz w:val="24"/>
          <w:szCs w:val="24"/>
        </w:rPr>
        <w:t>Не рекомендуется совместное применение с препаратами, которые влияют на концентрацию этравирина в плазме крови и с препаратами, концентрация которых в плазме крови изменяется при совместном применении с этравирином: ненуклеозидные ингибиторы обратной транскриптазы (эфавиренз, невирапин, рилпивирин); ингибиторы протеазы без одновременного приема низкой дозы ритонавира (нелфинавир, индинавир); маравирок (при совместном применении с фосампренавиром и ристонавиром); комбинация типранавир/ритонавир; ингибиторы протеазы при совместнос применении с кобицистатом (атазанавир, дарунавир); противосудорожные средства (карбамазепин, фенобарбитал, фенитоин); противотуберкулезные препараты (рифампицин, рифапентин); антиагреганты (клопидогрел); противовирусные препараты (даклатасвир); лекарственные препараты, содержащие Зверобой продырявленный (</w:t>
      </w:r>
      <w:r>
        <w:rPr>
          <w:sz w:val="24"/>
          <w:szCs w:val="24"/>
          <w:lang w:val="en-US"/>
        </w:rPr>
        <w:t>Hypericum</w:t>
      </w:r>
      <w:r w:rsidRPr="009F68D5">
        <w:rPr>
          <w:sz w:val="24"/>
          <w:szCs w:val="24"/>
        </w:rPr>
        <w:t xml:space="preserve"> </w:t>
      </w:r>
      <w:r>
        <w:rPr>
          <w:sz w:val="24"/>
          <w:szCs w:val="24"/>
          <w:lang w:val="en-US"/>
        </w:rPr>
        <w:t>perforatum</w:t>
      </w:r>
      <w:r w:rsidRPr="009F68D5">
        <w:rPr>
          <w:sz w:val="24"/>
          <w:szCs w:val="24"/>
        </w:rPr>
        <w:t>)</w:t>
      </w:r>
      <w:r>
        <w:rPr>
          <w:sz w:val="24"/>
          <w:szCs w:val="24"/>
        </w:rPr>
        <w:t>.</w:t>
      </w:r>
    </w:p>
    <w:p w14:paraId="1002A2E9" w14:textId="37202B09" w:rsidR="009F68D5" w:rsidRPr="000F5295" w:rsidRDefault="009F68D5" w:rsidP="000F5295">
      <w:pPr>
        <w:pStyle w:val="OT"/>
        <w:numPr>
          <w:ilvl w:val="0"/>
          <w:numId w:val="20"/>
        </w:numPr>
        <w:spacing w:after="0"/>
        <w:rPr>
          <w:sz w:val="24"/>
          <w:szCs w:val="24"/>
        </w:rPr>
      </w:pPr>
      <w:r>
        <w:rPr>
          <w:sz w:val="24"/>
          <w:szCs w:val="24"/>
        </w:rPr>
        <w:t>Следует применять с осторожностью со следующими препаратами: амиодарон, бепридил, дизопирамид, флекаинид, лидокаин (системно), мексилетин, пропафенон, хинидин, дексаметазон (системно), циклоспорин, сиролимус, такролимус, рифабутин (в сочетании с бустированный ингибитором протеазы).</w:t>
      </w:r>
    </w:p>
    <w:p w14:paraId="27BFB440" w14:textId="77777777" w:rsidR="008B7FBF" w:rsidRPr="005E6358" w:rsidRDefault="008B7FBF" w:rsidP="00AD301D">
      <w:pPr>
        <w:pStyle w:val="3"/>
        <w:spacing w:after="240"/>
        <w:rPr>
          <w:rFonts w:ascii="Times New Roman" w:hAnsi="Times New Roman"/>
          <w:color w:val="000000" w:themeColor="text1"/>
        </w:rPr>
      </w:pPr>
      <w:bookmarkStart w:id="213" w:name="_Toc117179248"/>
      <w:r w:rsidRPr="00A26EEC">
        <w:rPr>
          <w:rFonts w:ascii="Times New Roman" w:hAnsi="Times New Roman"/>
          <w:color w:val="000000" w:themeColor="text1"/>
        </w:rPr>
        <w:t xml:space="preserve">5.3.3. </w:t>
      </w:r>
      <w:bookmarkEnd w:id="210"/>
      <w:bookmarkEnd w:id="211"/>
      <w:bookmarkEnd w:id="212"/>
      <w:r w:rsidRPr="00A26EEC">
        <w:rPr>
          <w:rFonts w:ascii="Times New Roman" w:hAnsi="Times New Roman"/>
          <w:color w:val="000000" w:themeColor="text1"/>
        </w:rPr>
        <w:t>Применение</w:t>
      </w:r>
      <w:r w:rsidRPr="005E6358">
        <w:rPr>
          <w:rFonts w:ascii="Times New Roman" w:hAnsi="Times New Roman"/>
          <w:color w:val="000000" w:themeColor="text1"/>
        </w:rPr>
        <w:t xml:space="preserve"> при беременности и в период грудного вскармливания</w:t>
      </w:r>
      <w:bookmarkEnd w:id="213"/>
    </w:p>
    <w:p w14:paraId="0072B207" w14:textId="77777777" w:rsidR="00AF4630" w:rsidRPr="00AF4630" w:rsidRDefault="00AF4630" w:rsidP="00585A93">
      <w:pPr>
        <w:pStyle w:val="ab"/>
        <w:shd w:val="clear" w:color="auto" w:fill="FFFFFF"/>
        <w:spacing w:before="120" w:beforeAutospacing="0" w:after="120" w:afterAutospacing="0"/>
        <w:jc w:val="both"/>
        <w:rPr>
          <w:b/>
          <w:color w:val="000000" w:themeColor="text1"/>
        </w:rPr>
      </w:pPr>
      <w:bookmarkStart w:id="214" w:name="_Toc301482881"/>
      <w:bookmarkStart w:id="215" w:name="_Toc287529203"/>
      <w:bookmarkStart w:id="216" w:name="_Toc298775571"/>
      <w:r w:rsidRPr="00AF4630">
        <w:rPr>
          <w:b/>
          <w:color w:val="000000" w:themeColor="text1"/>
        </w:rPr>
        <w:t>Беременность</w:t>
      </w:r>
    </w:p>
    <w:p w14:paraId="7B040E0C" w14:textId="77777777" w:rsidR="00585A93" w:rsidRPr="00585A93" w:rsidRDefault="00585A93" w:rsidP="001C0A37">
      <w:pPr>
        <w:pStyle w:val="ab"/>
        <w:shd w:val="clear" w:color="auto" w:fill="FFFFFF"/>
        <w:spacing w:before="0" w:beforeAutospacing="0" w:after="0" w:afterAutospacing="0"/>
        <w:ind w:firstLine="709"/>
        <w:jc w:val="both"/>
        <w:rPr>
          <w:rFonts w:eastAsia="MS Mincho"/>
          <w:lang w:eastAsia="ja-JP"/>
        </w:rPr>
      </w:pPr>
      <w:r w:rsidRPr="00585A93">
        <w:rPr>
          <w:rFonts w:eastAsia="MS Mincho"/>
          <w:lang w:eastAsia="ja-JP"/>
        </w:rPr>
        <w:t>В качестве общего правила при выборе антиретровирусного препарата для терапии ВИЧ инфекции у беременных женщин и, как следствие, снижения риска вертикальной передачи ВИЧ новорожденному, данные, полученные на животных, также как и клинический опыт применения у беременных женщин должны быть приняты во внимание для оценки безопасности для плода.</w:t>
      </w:r>
    </w:p>
    <w:p w14:paraId="71AE94E0" w14:textId="659BE3E9" w:rsidR="00BC7E97" w:rsidRDefault="00585A93" w:rsidP="001C0A37">
      <w:pPr>
        <w:pStyle w:val="ab"/>
        <w:shd w:val="clear" w:color="auto" w:fill="FFFFFF"/>
        <w:spacing w:before="0" w:beforeAutospacing="0" w:after="0" w:afterAutospacing="0"/>
        <w:ind w:firstLine="709"/>
        <w:jc w:val="both"/>
        <w:rPr>
          <w:b/>
          <w:color w:val="000000" w:themeColor="text1"/>
        </w:rPr>
      </w:pPr>
      <w:r w:rsidRPr="00585A93">
        <w:rPr>
          <w:rFonts w:eastAsia="MS Mincho"/>
          <w:lang w:eastAsia="ja-JP"/>
        </w:rPr>
        <w:t>Проникновение через плаценту наблюдалось у беременных крыс, но неизвестно, существует ли трансфер этравирина через плаценту у беременных женщин. Исследования на животных не показали прямого или косвенного вредного воздействия в отношении беременности, эмбрионального/фетального развития, родоразрешения или постнатального развития. На основании данных, полученных на животных, риск пороков развития у людей маловероятен. Клинические данные не вызывают беспокойства по поводу безопасности, но они крайне ограничены.</w:t>
      </w:r>
    </w:p>
    <w:p w14:paraId="4DBF421A" w14:textId="36F9E0C5" w:rsidR="002002E8" w:rsidRDefault="002002E8" w:rsidP="00585A93">
      <w:pPr>
        <w:pStyle w:val="ab"/>
        <w:shd w:val="clear" w:color="auto" w:fill="FFFFFF"/>
        <w:spacing w:before="120" w:beforeAutospacing="0" w:after="120" w:afterAutospacing="0"/>
        <w:jc w:val="both"/>
        <w:rPr>
          <w:b/>
          <w:color w:val="000000" w:themeColor="text1"/>
        </w:rPr>
      </w:pPr>
      <w:r w:rsidRPr="002002E8">
        <w:rPr>
          <w:b/>
          <w:color w:val="000000" w:themeColor="text1"/>
        </w:rPr>
        <w:t>Грудное вскармливание</w:t>
      </w:r>
    </w:p>
    <w:p w14:paraId="2B30C2EE" w14:textId="5305CB30" w:rsidR="00585A93" w:rsidRDefault="00585A93" w:rsidP="001C0A37">
      <w:pPr>
        <w:pStyle w:val="OT"/>
        <w:spacing w:after="0"/>
        <w:ind w:firstLine="709"/>
        <w:rPr>
          <w:sz w:val="24"/>
          <w:szCs w:val="24"/>
        </w:rPr>
      </w:pPr>
      <w:r w:rsidRPr="00585A93">
        <w:rPr>
          <w:sz w:val="24"/>
          <w:szCs w:val="24"/>
        </w:rPr>
        <w:t>Этравирин выделяется с грудным молоком у человека.</w:t>
      </w:r>
      <w:r w:rsidR="003C307A">
        <w:rPr>
          <w:sz w:val="24"/>
          <w:szCs w:val="24"/>
        </w:rPr>
        <w:t xml:space="preserve"> </w:t>
      </w:r>
      <w:r w:rsidRPr="00585A93">
        <w:rPr>
          <w:sz w:val="24"/>
          <w:szCs w:val="24"/>
        </w:rPr>
        <w:t>В качестве общего правила, матерям, инфицированным ВИЧ, не рекомендуется</w:t>
      </w:r>
      <w:r w:rsidR="003C307A">
        <w:rPr>
          <w:sz w:val="24"/>
          <w:szCs w:val="24"/>
        </w:rPr>
        <w:t xml:space="preserve"> </w:t>
      </w:r>
      <w:r w:rsidRPr="00585A93">
        <w:rPr>
          <w:sz w:val="24"/>
          <w:szCs w:val="24"/>
        </w:rPr>
        <w:t>грудное вскармливание детей ни при каких обстоятельствах во избежание передачи ВИЧ-инфекции.</w:t>
      </w:r>
    </w:p>
    <w:p w14:paraId="069C5862" w14:textId="77777777" w:rsidR="009F68D5" w:rsidRDefault="009F68D5" w:rsidP="001C0A37">
      <w:pPr>
        <w:pStyle w:val="OT"/>
        <w:spacing w:after="0"/>
        <w:ind w:firstLine="709"/>
        <w:rPr>
          <w:sz w:val="24"/>
          <w:szCs w:val="24"/>
        </w:rPr>
      </w:pPr>
    </w:p>
    <w:p w14:paraId="0F17E8B5" w14:textId="3272C9EE" w:rsidR="009F68D5" w:rsidRPr="00B468B9" w:rsidRDefault="009F68D5" w:rsidP="00B468B9">
      <w:pPr>
        <w:pStyle w:val="OT"/>
        <w:spacing w:after="0"/>
        <w:rPr>
          <w:b/>
          <w:sz w:val="24"/>
          <w:szCs w:val="24"/>
        </w:rPr>
      </w:pPr>
      <w:r w:rsidRPr="00B468B9">
        <w:rPr>
          <w:b/>
          <w:sz w:val="24"/>
          <w:szCs w:val="24"/>
        </w:rPr>
        <w:t>Фертильность</w:t>
      </w:r>
    </w:p>
    <w:p w14:paraId="7D22931D" w14:textId="5F242BD2" w:rsidR="009F68D5" w:rsidRPr="00585A93" w:rsidRDefault="009F68D5" w:rsidP="001C0A37">
      <w:pPr>
        <w:pStyle w:val="OT"/>
        <w:spacing w:after="0"/>
        <w:ind w:firstLine="709"/>
        <w:rPr>
          <w:sz w:val="24"/>
          <w:szCs w:val="24"/>
        </w:rPr>
      </w:pPr>
      <w:r>
        <w:rPr>
          <w:sz w:val="24"/>
          <w:szCs w:val="24"/>
        </w:rPr>
        <w:t xml:space="preserve">В настоящее время нет данных о влиянии этравирина на ферильность человека. </w:t>
      </w:r>
      <w:r w:rsidR="00B468B9">
        <w:rPr>
          <w:sz w:val="24"/>
          <w:szCs w:val="24"/>
        </w:rPr>
        <w:t xml:space="preserve"> В исследованиях у крыс не было выявлено влияния на спаривание или фертильность.</w:t>
      </w:r>
    </w:p>
    <w:p w14:paraId="03CC2E4F" w14:textId="77777777" w:rsidR="008B7FBF" w:rsidRDefault="008B7FBF" w:rsidP="008B7FBF">
      <w:pPr>
        <w:pStyle w:val="3"/>
        <w:spacing w:after="240"/>
        <w:rPr>
          <w:rFonts w:ascii="Times New Roman" w:hAnsi="Times New Roman"/>
          <w:color w:val="000000" w:themeColor="text1"/>
        </w:rPr>
      </w:pPr>
      <w:bookmarkStart w:id="217" w:name="_Toc117179249"/>
      <w:r w:rsidRPr="005E6358">
        <w:rPr>
          <w:rFonts w:ascii="Times New Roman" w:hAnsi="Times New Roman"/>
          <w:color w:val="000000" w:themeColor="text1"/>
        </w:rPr>
        <w:t>5.3.4. Способ применения и дозы</w:t>
      </w:r>
      <w:bookmarkEnd w:id="214"/>
      <w:bookmarkEnd w:id="215"/>
      <w:bookmarkEnd w:id="216"/>
      <w:bookmarkEnd w:id="217"/>
    </w:p>
    <w:p w14:paraId="70200871" w14:textId="0FC4ADB1" w:rsidR="00B468B9" w:rsidRPr="00B468B9" w:rsidRDefault="00B468B9" w:rsidP="00B468B9">
      <w:pPr>
        <w:ind w:firstLine="709"/>
      </w:pPr>
      <w:r>
        <w:t>Терапия должна быть назначена врачо</w:t>
      </w:r>
      <w:r w:rsidR="00214581">
        <w:t>м</w:t>
      </w:r>
      <w:r>
        <w:t>, имеющим опыт лечения ВИЧ инфекции.</w:t>
      </w:r>
    </w:p>
    <w:p w14:paraId="6E96EB00" w14:textId="323A9B2A" w:rsidR="00C94FEC" w:rsidRDefault="00585A93" w:rsidP="00A76175">
      <w:pPr>
        <w:pStyle w:val="OT"/>
        <w:spacing w:after="0"/>
        <w:rPr>
          <w:rFonts w:eastAsia="Courier New"/>
          <w:sz w:val="24"/>
          <w:szCs w:val="24"/>
          <w:lang w:bidi="ru-RU"/>
        </w:rPr>
      </w:pPr>
      <w:bookmarkStart w:id="218" w:name="_Toc301482882"/>
      <w:bookmarkStart w:id="219" w:name="_Toc287529204"/>
      <w:bookmarkStart w:id="220" w:name="_Toc298775572"/>
      <w:r w:rsidRPr="005D746C">
        <w:rPr>
          <w:rFonts w:eastAsia="Courier New"/>
          <w:i/>
          <w:iCs/>
          <w:sz w:val="24"/>
          <w:szCs w:val="24"/>
          <w:lang w:bidi="ru-RU"/>
        </w:rPr>
        <w:t>Взрослые</w:t>
      </w:r>
    </w:p>
    <w:p w14:paraId="440F64ED" w14:textId="705B3030" w:rsidR="00585A93" w:rsidRPr="005D746C" w:rsidRDefault="00C94FEC" w:rsidP="001C0A37">
      <w:pPr>
        <w:pStyle w:val="OT"/>
        <w:spacing w:after="0"/>
        <w:ind w:firstLine="709"/>
        <w:rPr>
          <w:rFonts w:eastAsia="Courier New"/>
          <w:i/>
          <w:iCs/>
          <w:sz w:val="24"/>
          <w:szCs w:val="24"/>
          <w:lang w:bidi="ru-RU"/>
        </w:rPr>
      </w:pPr>
      <w:r>
        <w:rPr>
          <w:rFonts w:eastAsia="Courier New"/>
          <w:sz w:val="24"/>
          <w:szCs w:val="24"/>
          <w:lang w:bidi="ru-RU"/>
        </w:rPr>
        <w:t>В</w:t>
      </w:r>
      <w:r w:rsidR="00585A93" w:rsidRPr="00585A93">
        <w:rPr>
          <w:rFonts w:eastAsia="Courier New"/>
          <w:sz w:val="24"/>
          <w:szCs w:val="24"/>
          <w:lang w:bidi="ru-RU"/>
        </w:rPr>
        <w:t xml:space="preserve">нутрь по 200 мг (1 таблетка 200 мг или 2 таблетки по 100 мг) 2 раза в сутки </w:t>
      </w:r>
      <w:r w:rsidR="00585A93" w:rsidRPr="001C0A37">
        <w:rPr>
          <w:rFonts w:eastAsia="Courier New"/>
          <w:iCs/>
          <w:sz w:val="24"/>
          <w:szCs w:val="24"/>
          <w:lang w:bidi="ru-RU"/>
        </w:rPr>
        <w:t xml:space="preserve">после </w:t>
      </w:r>
      <w:r w:rsidR="00585A93" w:rsidRPr="005D746C">
        <w:rPr>
          <w:rFonts w:eastAsia="Courier New"/>
          <w:sz w:val="24"/>
          <w:szCs w:val="24"/>
          <w:lang w:bidi="ru-RU"/>
        </w:rPr>
        <w:t>еды.</w:t>
      </w:r>
    </w:p>
    <w:p w14:paraId="1D9FBC94" w14:textId="0D5F7B5E" w:rsidR="00585A93" w:rsidRPr="00B962E5" w:rsidRDefault="00585A93" w:rsidP="00A76175">
      <w:pPr>
        <w:pStyle w:val="OT"/>
        <w:spacing w:after="0"/>
        <w:rPr>
          <w:rFonts w:eastAsia="Courier New"/>
          <w:i/>
          <w:iCs/>
          <w:sz w:val="24"/>
          <w:szCs w:val="24"/>
          <w:lang w:bidi="ru-RU"/>
        </w:rPr>
      </w:pPr>
      <w:r w:rsidRPr="005D746C">
        <w:rPr>
          <w:rFonts w:eastAsia="Courier New"/>
          <w:i/>
          <w:iCs/>
          <w:sz w:val="24"/>
          <w:szCs w:val="24"/>
          <w:lang w:bidi="ru-RU"/>
        </w:rPr>
        <w:t xml:space="preserve">Дети </w:t>
      </w:r>
      <w:r w:rsidRPr="00B962E5">
        <w:rPr>
          <w:rFonts w:eastAsia="Courier New"/>
          <w:i/>
          <w:iCs/>
          <w:sz w:val="24"/>
          <w:szCs w:val="24"/>
          <w:lang w:bidi="ru-RU"/>
        </w:rPr>
        <w:t>и по</w:t>
      </w:r>
      <w:r w:rsidR="005D746C" w:rsidRPr="00B962E5">
        <w:rPr>
          <w:rFonts w:eastAsia="Courier New"/>
          <w:i/>
          <w:iCs/>
          <w:sz w:val="24"/>
          <w:szCs w:val="24"/>
          <w:lang w:bidi="ru-RU"/>
        </w:rPr>
        <w:t>д</w:t>
      </w:r>
      <w:r w:rsidR="001C0A37" w:rsidRPr="00B962E5">
        <w:rPr>
          <w:rFonts w:eastAsia="Courier New"/>
          <w:i/>
          <w:iCs/>
          <w:sz w:val="24"/>
          <w:szCs w:val="24"/>
          <w:lang w:bidi="ru-RU"/>
        </w:rPr>
        <w:t>ростки (от 2 до 18 лет)</w:t>
      </w:r>
    </w:p>
    <w:p w14:paraId="7E60D85F" w14:textId="4B2F4F77" w:rsidR="003670E9" w:rsidRPr="00B962E5" w:rsidRDefault="00585A93">
      <w:pPr>
        <w:pStyle w:val="OT"/>
        <w:spacing w:after="0"/>
        <w:ind w:firstLine="709"/>
        <w:rPr>
          <w:rFonts w:eastAsia="Courier New"/>
          <w:sz w:val="24"/>
          <w:szCs w:val="24"/>
          <w:lang w:bidi="ru-RU"/>
        </w:rPr>
      </w:pPr>
      <w:r w:rsidRPr="00B962E5">
        <w:rPr>
          <w:rFonts w:eastAsia="Courier New"/>
          <w:sz w:val="24"/>
          <w:szCs w:val="24"/>
          <w:lang w:bidi="ru-RU"/>
        </w:rPr>
        <w:t>Рекомендованная доза этравирина для детей и подростков (от 2 до 18 лет, с массой тела не менее 10 кг) зависит от массы тела (</w:t>
      </w:r>
      <w:r w:rsidR="005D746C" w:rsidRPr="00B962E5">
        <w:rPr>
          <w:rFonts w:eastAsia="Courier New"/>
          <w:sz w:val="24"/>
          <w:szCs w:val="24"/>
          <w:lang w:bidi="ru-RU"/>
        </w:rPr>
        <w:t>Таблица 5-</w:t>
      </w:r>
      <w:r w:rsidR="003C307A" w:rsidRPr="00B962E5">
        <w:rPr>
          <w:rFonts w:eastAsia="Courier New"/>
          <w:sz w:val="24"/>
          <w:szCs w:val="24"/>
          <w:lang w:bidi="ru-RU"/>
        </w:rPr>
        <w:t>3</w:t>
      </w:r>
      <w:r w:rsidR="005D746C" w:rsidRPr="00B962E5">
        <w:rPr>
          <w:rFonts w:eastAsia="Courier New"/>
          <w:sz w:val="24"/>
          <w:szCs w:val="24"/>
          <w:lang w:bidi="ru-RU"/>
        </w:rPr>
        <w:t>)</w:t>
      </w:r>
      <w:r w:rsidR="00C94FEC" w:rsidRPr="00B962E5">
        <w:rPr>
          <w:rFonts w:eastAsia="Courier New"/>
          <w:sz w:val="24"/>
          <w:szCs w:val="24"/>
          <w:lang w:bidi="ru-RU"/>
        </w:rPr>
        <w:t>.</w:t>
      </w:r>
      <w:r w:rsidRPr="00B962E5">
        <w:rPr>
          <w:rFonts w:eastAsia="Courier New"/>
          <w:sz w:val="24"/>
          <w:szCs w:val="24"/>
          <w:lang w:bidi="ru-RU"/>
        </w:rPr>
        <w:t xml:space="preserve"> Препарат </w:t>
      </w:r>
      <w:r w:rsidR="005D746C" w:rsidRPr="00B962E5">
        <w:rPr>
          <w:rFonts w:eastAsia="Courier New"/>
          <w:sz w:val="24"/>
          <w:szCs w:val="24"/>
          <w:lang w:bidi="ru-RU"/>
        </w:rPr>
        <w:t xml:space="preserve">этравирин </w:t>
      </w:r>
      <w:r w:rsidRPr="00B962E5">
        <w:rPr>
          <w:rFonts w:eastAsia="Courier New"/>
          <w:sz w:val="24"/>
          <w:szCs w:val="24"/>
          <w:lang w:bidi="ru-RU"/>
        </w:rPr>
        <w:t>следует принимать перорально после еды.</w:t>
      </w:r>
    </w:p>
    <w:p w14:paraId="66A64ACA" w14:textId="01DEED38" w:rsidR="00C94FEC" w:rsidRPr="00B962E5" w:rsidRDefault="00C94FEC">
      <w:pPr>
        <w:pStyle w:val="OT"/>
        <w:spacing w:after="0"/>
        <w:rPr>
          <w:rFonts w:eastAsia="Courier New"/>
          <w:sz w:val="24"/>
          <w:szCs w:val="24"/>
          <w:lang w:bidi="ru-RU"/>
        </w:rPr>
      </w:pPr>
    </w:p>
    <w:p w14:paraId="64CB3B5A" w14:textId="6CEB9893" w:rsidR="00C94FEC" w:rsidRPr="00B962E5" w:rsidRDefault="009F1178">
      <w:pPr>
        <w:pStyle w:val="OT"/>
        <w:spacing w:after="0"/>
        <w:contextualSpacing/>
        <w:rPr>
          <w:b/>
          <w:bCs/>
          <w:sz w:val="24"/>
          <w:szCs w:val="24"/>
        </w:rPr>
      </w:pPr>
      <w:r w:rsidRPr="00B962E5">
        <w:rPr>
          <w:rFonts w:eastAsia="Courier New"/>
          <w:b/>
          <w:bCs/>
          <w:sz w:val="24"/>
          <w:szCs w:val="24"/>
          <w:lang w:bidi="ru-RU"/>
        </w:rPr>
        <w:t>Таблица 5-</w:t>
      </w:r>
      <w:r w:rsidR="003C307A" w:rsidRPr="00B962E5">
        <w:rPr>
          <w:rFonts w:eastAsia="Courier New"/>
          <w:b/>
          <w:bCs/>
          <w:sz w:val="24"/>
          <w:szCs w:val="24"/>
          <w:lang w:bidi="ru-RU"/>
        </w:rPr>
        <w:t>3</w:t>
      </w:r>
      <w:r w:rsidR="001C0A37" w:rsidRPr="00B962E5">
        <w:rPr>
          <w:rFonts w:eastAsia="Courier New"/>
          <w:b/>
          <w:bCs/>
          <w:sz w:val="24"/>
          <w:szCs w:val="24"/>
          <w:lang w:bidi="ru-RU"/>
        </w:rPr>
        <w:t>.</w:t>
      </w:r>
      <w:r w:rsidRPr="00B962E5">
        <w:rPr>
          <w:rFonts w:eastAsia="Courier New"/>
          <w:b/>
          <w:bCs/>
          <w:sz w:val="24"/>
          <w:szCs w:val="24"/>
          <w:lang w:bidi="ru-RU"/>
        </w:rPr>
        <w:t xml:space="preserve"> </w:t>
      </w:r>
      <w:r w:rsidR="00C94FEC" w:rsidRPr="00B962E5">
        <w:rPr>
          <w:bCs/>
          <w:sz w:val="24"/>
          <w:szCs w:val="24"/>
        </w:rPr>
        <w:t xml:space="preserve">Рекомендованные дозы </w:t>
      </w:r>
      <w:r w:rsidR="00235E54" w:rsidRPr="00B962E5">
        <w:rPr>
          <w:bCs/>
          <w:sz w:val="24"/>
          <w:szCs w:val="24"/>
        </w:rPr>
        <w:t xml:space="preserve">препарата </w:t>
      </w:r>
      <w:r w:rsidR="00235E54" w:rsidRPr="00B962E5">
        <w:rPr>
          <w:rFonts w:eastAsia="Courier New"/>
          <w:bCs/>
          <w:sz w:val="24"/>
          <w:szCs w:val="24"/>
          <w:lang w:bidi="ru-RU"/>
        </w:rPr>
        <w:t>этравирин</w:t>
      </w:r>
      <w:r w:rsidR="00C94FEC" w:rsidRPr="00B962E5">
        <w:rPr>
          <w:rFonts w:eastAsia="Courier New"/>
          <w:bCs/>
          <w:sz w:val="24"/>
          <w:szCs w:val="24"/>
          <w:lang w:bidi="ru-RU"/>
        </w:rPr>
        <w:t xml:space="preserve"> </w:t>
      </w:r>
      <w:r w:rsidR="00C94FEC" w:rsidRPr="00B962E5">
        <w:rPr>
          <w:bCs/>
          <w:sz w:val="24"/>
          <w:szCs w:val="24"/>
        </w:rPr>
        <w:t>для детей от 2 до 18 лет</w:t>
      </w:r>
      <w:r w:rsidR="001C0A37" w:rsidRPr="00B962E5">
        <w:rPr>
          <w:bCs/>
          <w:sz w:val="24"/>
          <w:szCs w:val="24"/>
        </w:rPr>
        <w:t>.</w:t>
      </w:r>
    </w:p>
    <w:tbl>
      <w:tblPr>
        <w:tblStyle w:val="TableGrid"/>
        <w:tblW w:w="9380" w:type="dxa"/>
        <w:tblInd w:w="0" w:type="dxa"/>
        <w:tblCellMar>
          <w:top w:w="27" w:type="dxa"/>
          <w:left w:w="91" w:type="dxa"/>
          <w:right w:w="89" w:type="dxa"/>
        </w:tblCellMar>
        <w:tblLook w:val="04A0" w:firstRow="1" w:lastRow="0" w:firstColumn="1" w:lastColumn="0" w:noHBand="0" w:noVBand="1"/>
      </w:tblPr>
      <w:tblGrid>
        <w:gridCol w:w="1752"/>
        <w:gridCol w:w="2627"/>
        <w:gridCol w:w="5001"/>
      </w:tblGrid>
      <w:tr w:rsidR="00C94FEC" w:rsidRPr="00B962E5" w14:paraId="31691F67" w14:textId="77777777" w:rsidTr="00421CA0">
        <w:trPr>
          <w:trHeight w:val="506"/>
          <w:tblHeader/>
        </w:trPr>
        <w:tc>
          <w:tcPr>
            <w:tcW w:w="175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A8C418F" w14:textId="06F475ED" w:rsidR="00C94FEC" w:rsidRPr="00B962E5" w:rsidRDefault="00C94FEC" w:rsidP="00A76175">
            <w:pPr>
              <w:ind w:left="5"/>
              <w:contextualSpacing/>
              <w:jc w:val="center"/>
              <w:rPr>
                <w:b/>
              </w:rPr>
            </w:pPr>
            <w:r w:rsidRPr="00B962E5">
              <w:rPr>
                <w:b/>
              </w:rPr>
              <w:t>Масса тела</w:t>
            </w:r>
          </w:p>
        </w:tc>
        <w:tc>
          <w:tcPr>
            <w:tcW w:w="262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1BBEFCD" w14:textId="086FBEA1" w:rsidR="00C94FEC" w:rsidRPr="00B962E5" w:rsidRDefault="00E12041" w:rsidP="00A76175">
            <w:pPr>
              <w:ind w:left="151"/>
              <w:contextualSpacing/>
              <w:jc w:val="center"/>
              <w:rPr>
                <w:b/>
              </w:rPr>
            </w:pPr>
            <w:r w:rsidRPr="00B962E5">
              <w:rPr>
                <w:b/>
              </w:rPr>
              <w:t>Д</w:t>
            </w:r>
            <w:r w:rsidR="00C94FEC" w:rsidRPr="00B962E5">
              <w:rPr>
                <w:b/>
              </w:rPr>
              <w:t>оза</w:t>
            </w:r>
          </w:p>
        </w:tc>
        <w:tc>
          <w:tcPr>
            <w:tcW w:w="500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1EB780C" w14:textId="77777777" w:rsidR="00C94FEC" w:rsidRPr="00B962E5" w:rsidRDefault="00C94FEC" w:rsidP="00A76175">
            <w:pPr>
              <w:ind w:left="2"/>
              <w:contextualSpacing/>
              <w:jc w:val="center"/>
              <w:rPr>
                <w:b/>
              </w:rPr>
            </w:pPr>
            <w:r w:rsidRPr="00B962E5">
              <w:rPr>
                <w:b/>
              </w:rPr>
              <w:t>Таблетки</w:t>
            </w:r>
          </w:p>
        </w:tc>
      </w:tr>
      <w:tr w:rsidR="007B1E38" w:rsidRPr="00B962E5" w14:paraId="62F493AC" w14:textId="77777777" w:rsidTr="00A76175">
        <w:trPr>
          <w:trHeight w:val="383"/>
        </w:trPr>
        <w:tc>
          <w:tcPr>
            <w:tcW w:w="1752" w:type="dxa"/>
            <w:tcBorders>
              <w:top w:val="single" w:sz="2" w:space="0" w:color="000000"/>
              <w:left w:val="single" w:sz="2" w:space="0" w:color="000000"/>
              <w:bottom w:val="single" w:sz="2" w:space="0" w:color="000000"/>
              <w:right w:val="single" w:sz="2" w:space="0" w:color="000000"/>
            </w:tcBorders>
            <w:vAlign w:val="center"/>
          </w:tcPr>
          <w:p w14:paraId="28E6915B" w14:textId="36B21993" w:rsidR="007B1E38" w:rsidRPr="00B962E5" w:rsidRDefault="007B1E38" w:rsidP="00A76175">
            <w:pPr>
              <w:tabs>
                <w:tab w:val="right" w:pos="1575"/>
              </w:tabs>
              <w:contextualSpacing/>
              <w:jc w:val="center"/>
            </w:pPr>
            <w:r w:rsidRPr="00B962E5">
              <w:t xml:space="preserve">От ≥ 10 кг до </w:t>
            </w:r>
            <w:r w:rsidRPr="00A76175">
              <w:t>&lt; 20 кг</w:t>
            </w:r>
          </w:p>
        </w:tc>
        <w:tc>
          <w:tcPr>
            <w:tcW w:w="2627" w:type="dxa"/>
            <w:tcBorders>
              <w:top w:val="single" w:sz="2" w:space="0" w:color="000000"/>
              <w:left w:val="single" w:sz="2" w:space="0" w:color="000000"/>
              <w:bottom w:val="single" w:sz="2" w:space="0" w:color="000000"/>
              <w:right w:val="single" w:sz="2" w:space="0" w:color="000000"/>
            </w:tcBorders>
            <w:vAlign w:val="center"/>
          </w:tcPr>
          <w:p w14:paraId="306308DB" w14:textId="77777777" w:rsidR="007B1E38" w:rsidRPr="00B962E5" w:rsidRDefault="007B1E38" w:rsidP="00A76175">
            <w:pPr>
              <w:ind w:left="2"/>
              <w:contextualSpacing/>
              <w:jc w:val="center"/>
            </w:pPr>
            <w:r w:rsidRPr="00A76175">
              <w:t>По 100 мг 2 раза в сутки</w:t>
            </w:r>
          </w:p>
        </w:tc>
        <w:tc>
          <w:tcPr>
            <w:tcW w:w="5001" w:type="dxa"/>
            <w:tcBorders>
              <w:top w:val="single" w:sz="2" w:space="0" w:color="000000"/>
              <w:left w:val="single" w:sz="2" w:space="0" w:color="000000"/>
              <w:bottom w:val="single" w:sz="2" w:space="0" w:color="000000"/>
              <w:right w:val="single" w:sz="2" w:space="0" w:color="000000"/>
            </w:tcBorders>
            <w:vAlign w:val="center"/>
          </w:tcPr>
          <w:p w14:paraId="52ECD6AD" w14:textId="575643C2" w:rsidR="007B1E38" w:rsidRPr="00B962E5" w:rsidRDefault="007B1E38" w:rsidP="00A76175">
            <w:pPr>
              <w:ind w:left="2"/>
              <w:contextualSpacing/>
              <w:jc w:val="center"/>
            </w:pPr>
            <w:r w:rsidRPr="00A76175">
              <w:t>4 таблетки по 25 мг 2 раза в сутки или 1 таблетка 100 мг 2 раза в сутки</w:t>
            </w:r>
          </w:p>
        </w:tc>
      </w:tr>
      <w:tr w:rsidR="007B1E38" w:rsidRPr="00B962E5" w14:paraId="7AB0514D" w14:textId="77777777" w:rsidTr="00A76175">
        <w:trPr>
          <w:trHeight w:val="381"/>
        </w:trPr>
        <w:tc>
          <w:tcPr>
            <w:tcW w:w="1752" w:type="dxa"/>
            <w:tcBorders>
              <w:top w:val="single" w:sz="2" w:space="0" w:color="000000"/>
              <w:left w:val="single" w:sz="2" w:space="0" w:color="000000"/>
              <w:bottom w:val="single" w:sz="2" w:space="0" w:color="000000"/>
              <w:right w:val="single" w:sz="2" w:space="0" w:color="000000"/>
            </w:tcBorders>
            <w:vAlign w:val="center"/>
          </w:tcPr>
          <w:p w14:paraId="5BD20BBE" w14:textId="46D6C0A4" w:rsidR="007B1E38" w:rsidRPr="00B962E5" w:rsidRDefault="007B1E38" w:rsidP="00A76175">
            <w:pPr>
              <w:tabs>
                <w:tab w:val="right" w:pos="1575"/>
              </w:tabs>
              <w:contextualSpacing/>
              <w:jc w:val="center"/>
            </w:pPr>
            <w:r w:rsidRPr="00B962E5">
              <w:t xml:space="preserve">От ≥ 20 кг до </w:t>
            </w:r>
            <w:r w:rsidRPr="00A76175">
              <w:t>&lt; 25 кг</w:t>
            </w:r>
          </w:p>
        </w:tc>
        <w:tc>
          <w:tcPr>
            <w:tcW w:w="2627" w:type="dxa"/>
            <w:tcBorders>
              <w:top w:val="single" w:sz="2" w:space="0" w:color="000000"/>
              <w:left w:val="single" w:sz="2" w:space="0" w:color="000000"/>
              <w:bottom w:val="single" w:sz="2" w:space="0" w:color="000000"/>
              <w:right w:val="single" w:sz="2" w:space="0" w:color="000000"/>
            </w:tcBorders>
            <w:vAlign w:val="center"/>
          </w:tcPr>
          <w:p w14:paraId="24196532" w14:textId="77777777" w:rsidR="007B1E38" w:rsidRPr="00B962E5" w:rsidRDefault="007B1E38" w:rsidP="00A76175">
            <w:pPr>
              <w:ind w:left="2"/>
              <w:contextualSpacing/>
              <w:jc w:val="center"/>
            </w:pPr>
            <w:r w:rsidRPr="00A76175">
              <w:t>По 125 мг 2 раза в сутки</w:t>
            </w:r>
          </w:p>
        </w:tc>
        <w:tc>
          <w:tcPr>
            <w:tcW w:w="5001" w:type="dxa"/>
            <w:tcBorders>
              <w:top w:val="single" w:sz="2" w:space="0" w:color="000000"/>
              <w:left w:val="single" w:sz="2" w:space="0" w:color="000000"/>
              <w:bottom w:val="single" w:sz="2" w:space="0" w:color="000000"/>
              <w:right w:val="single" w:sz="2" w:space="0" w:color="000000"/>
            </w:tcBorders>
            <w:vAlign w:val="center"/>
          </w:tcPr>
          <w:p w14:paraId="66FFB42F" w14:textId="34367552" w:rsidR="007B1E38" w:rsidRPr="00B962E5" w:rsidRDefault="007B1E38" w:rsidP="00A76175">
            <w:pPr>
              <w:ind w:left="11"/>
              <w:contextualSpacing/>
              <w:jc w:val="center"/>
            </w:pPr>
            <w:r w:rsidRPr="00A76175">
              <w:t>5 таблеток по 25 мг 2 раза в сутки или 1 таблетка 100 мг и 1 таблетка 25 мг 2  раза в сутки</w:t>
            </w:r>
          </w:p>
        </w:tc>
      </w:tr>
      <w:tr w:rsidR="007B1E38" w:rsidRPr="00B962E5" w14:paraId="147D33A4" w14:textId="77777777" w:rsidTr="00A76175">
        <w:trPr>
          <w:trHeight w:val="381"/>
        </w:trPr>
        <w:tc>
          <w:tcPr>
            <w:tcW w:w="1752" w:type="dxa"/>
            <w:tcBorders>
              <w:top w:val="single" w:sz="2" w:space="0" w:color="000000"/>
              <w:left w:val="single" w:sz="2" w:space="0" w:color="000000"/>
              <w:bottom w:val="single" w:sz="2" w:space="0" w:color="000000"/>
              <w:right w:val="single" w:sz="2" w:space="0" w:color="000000"/>
            </w:tcBorders>
            <w:vAlign w:val="center"/>
          </w:tcPr>
          <w:p w14:paraId="592BFC32" w14:textId="4383A1AE" w:rsidR="007B1E38" w:rsidRPr="00B962E5" w:rsidRDefault="007B1E38" w:rsidP="00A76175">
            <w:pPr>
              <w:ind w:left="10"/>
              <w:jc w:val="center"/>
            </w:pPr>
            <w:r w:rsidRPr="00B962E5">
              <w:t xml:space="preserve">От ≥ 25 кг до </w:t>
            </w:r>
            <w:r w:rsidRPr="00A76175">
              <w:t>&lt; 30 кг</w:t>
            </w:r>
          </w:p>
        </w:tc>
        <w:tc>
          <w:tcPr>
            <w:tcW w:w="2627" w:type="dxa"/>
            <w:tcBorders>
              <w:top w:val="single" w:sz="2" w:space="0" w:color="000000"/>
              <w:left w:val="single" w:sz="2" w:space="0" w:color="000000"/>
              <w:bottom w:val="single" w:sz="2" w:space="0" w:color="000000"/>
              <w:right w:val="single" w:sz="2" w:space="0" w:color="000000"/>
            </w:tcBorders>
            <w:vAlign w:val="center"/>
          </w:tcPr>
          <w:p w14:paraId="0776E282" w14:textId="77777777" w:rsidR="007B1E38" w:rsidRPr="00B962E5" w:rsidRDefault="007B1E38" w:rsidP="00A76175">
            <w:pPr>
              <w:ind w:left="7"/>
              <w:jc w:val="center"/>
            </w:pPr>
            <w:r w:rsidRPr="00A76175">
              <w:t>По 150 мг 2 раза в сутки</w:t>
            </w:r>
          </w:p>
        </w:tc>
        <w:tc>
          <w:tcPr>
            <w:tcW w:w="5001" w:type="dxa"/>
            <w:tcBorders>
              <w:top w:val="single" w:sz="2" w:space="0" w:color="000000"/>
              <w:left w:val="single" w:sz="2" w:space="0" w:color="000000"/>
              <w:bottom w:val="single" w:sz="2" w:space="0" w:color="000000"/>
              <w:right w:val="single" w:sz="2" w:space="0" w:color="000000"/>
            </w:tcBorders>
            <w:vAlign w:val="center"/>
          </w:tcPr>
          <w:p w14:paraId="7CC108D8" w14:textId="639B31FD" w:rsidR="007B1E38" w:rsidRPr="00B962E5" w:rsidRDefault="007B1E38" w:rsidP="00A76175">
            <w:pPr>
              <w:ind w:left="11"/>
              <w:jc w:val="center"/>
            </w:pPr>
            <w:r w:rsidRPr="00A76175">
              <w:t>6 таблеток по 25 мг 2 раза в сутки или 1 таблетка 100 мг и 2 таблетки 25 мг 2  раза в сутки</w:t>
            </w:r>
          </w:p>
        </w:tc>
      </w:tr>
      <w:tr w:rsidR="007B1E38" w:rsidRPr="00B962E5" w14:paraId="7D40D598" w14:textId="77777777" w:rsidTr="00A76175">
        <w:trPr>
          <w:trHeight w:val="571"/>
        </w:trPr>
        <w:tc>
          <w:tcPr>
            <w:tcW w:w="1752" w:type="dxa"/>
            <w:tcBorders>
              <w:top w:val="single" w:sz="2" w:space="0" w:color="000000"/>
              <w:left w:val="single" w:sz="2" w:space="0" w:color="000000"/>
              <w:bottom w:val="single" w:sz="2" w:space="0" w:color="000000"/>
              <w:right w:val="single" w:sz="2" w:space="0" w:color="000000"/>
            </w:tcBorders>
            <w:vAlign w:val="center"/>
          </w:tcPr>
          <w:p w14:paraId="2232E715" w14:textId="3EF2B220" w:rsidR="007B1E38" w:rsidRPr="00B962E5" w:rsidRDefault="007B1E38" w:rsidP="00A76175">
            <w:pPr>
              <w:jc w:val="center"/>
            </w:pPr>
            <w:r w:rsidRPr="00B962E5">
              <w:t>От ≥ 30 кг</w:t>
            </w:r>
          </w:p>
        </w:tc>
        <w:tc>
          <w:tcPr>
            <w:tcW w:w="2627" w:type="dxa"/>
            <w:tcBorders>
              <w:top w:val="single" w:sz="2" w:space="0" w:color="000000"/>
              <w:left w:val="single" w:sz="2" w:space="0" w:color="000000"/>
              <w:bottom w:val="single" w:sz="2" w:space="0" w:color="000000"/>
              <w:right w:val="single" w:sz="2" w:space="0" w:color="000000"/>
            </w:tcBorders>
            <w:vAlign w:val="center"/>
          </w:tcPr>
          <w:p w14:paraId="15D7D591" w14:textId="77777777" w:rsidR="007B1E38" w:rsidRPr="00B962E5" w:rsidRDefault="007B1E38" w:rsidP="00A76175">
            <w:pPr>
              <w:ind w:left="11"/>
              <w:jc w:val="center"/>
            </w:pPr>
            <w:r w:rsidRPr="00A76175">
              <w:t>По 200 мг 2 раза в сутки</w:t>
            </w:r>
          </w:p>
        </w:tc>
        <w:tc>
          <w:tcPr>
            <w:tcW w:w="5001" w:type="dxa"/>
            <w:tcBorders>
              <w:top w:val="single" w:sz="2" w:space="0" w:color="000000"/>
              <w:left w:val="single" w:sz="2" w:space="0" w:color="000000"/>
              <w:bottom w:val="single" w:sz="2" w:space="0" w:color="000000"/>
              <w:right w:val="single" w:sz="2" w:space="0" w:color="000000"/>
            </w:tcBorders>
            <w:vAlign w:val="center"/>
          </w:tcPr>
          <w:p w14:paraId="1428D35A" w14:textId="7A1875D4" w:rsidR="007B1E38" w:rsidRPr="00B962E5" w:rsidRDefault="007B1E38" w:rsidP="00A76175">
            <w:pPr>
              <w:ind w:left="11" w:firstLine="5"/>
              <w:jc w:val="center"/>
            </w:pPr>
            <w:r w:rsidRPr="00A76175">
              <w:t>8 таблеток по 25 мг 2 раза в сутки или 2 таблетки 100 мг 2 раза в сутки или 1 таблетка 200 мг 2  раза в сутки</w:t>
            </w:r>
          </w:p>
        </w:tc>
      </w:tr>
    </w:tbl>
    <w:p w14:paraId="799CBA9C" w14:textId="77777777" w:rsidR="00B468B9" w:rsidRPr="00B962E5" w:rsidRDefault="00B468B9">
      <w:pPr>
        <w:pStyle w:val="OT"/>
        <w:spacing w:after="0"/>
        <w:rPr>
          <w:rFonts w:eastAsia="Courier New"/>
          <w:b/>
          <w:bCs/>
          <w:sz w:val="24"/>
          <w:szCs w:val="24"/>
          <w:lang w:bidi="ru-RU"/>
        </w:rPr>
      </w:pPr>
    </w:p>
    <w:p w14:paraId="30C75C44" w14:textId="77777777" w:rsidR="00B468B9" w:rsidRPr="00B962E5" w:rsidRDefault="00B468B9">
      <w:pPr>
        <w:pStyle w:val="OT"/>
        <w:spacing w:after="0"/>
        <w:rPr>
          <w:rFonts w:eastAsia="Courier New"/>
          <w:b/>
          <w:bCs/>
          <w:sz w:val="24"/>
          <w:szCs w:val="24"/>
          <w:lang w:bidi="ru-RU"/>
        </w:rPr>
      </w:pPr>
      <w:r w:rsidRPr="00B962E5">
        <w:rPr>
          <w:rFonts w:eastAsia="Courier New"/>
          <w:b/>
          <w:bCs/>
          <w:sz w:val="24"/>
          <w:szCs w:val="24"/>
          <w:lang w:bidi="ru-RU"/>
        </w:rPr>
        <w:t>Пропуск дозы</w:t>
      </w:r>
    </w:p>
    <w:p w14:paraId="7597E121" w14:textId="77777777" w:rsidR="00235E54" w:rsidRDefault="00235E54" w:rsidP="008B0B82">
      <w:pPr>
        <w:pStyle w:val="OT"/>
        <w:spacing w:after="0"/>
        <w:ind w:firstLine="709"/>
        <w:rPr>
          <w:rFonts w:eastAsia="Courier New"/>
          <w:bCs/>
          <w:sz w:val="24"/>
          <w:szCs w:val="24"/>
          <w:lang w:bidi="ru-RU"/>
        </w:rPr>
      </w:pPr>
    </w:p>
    <w:p w14:paraId="39ABA25D" w14:textId="19F7382A" w:rsidR="00B468B9" w:rsidRDefault="00B468B9" w:rsidP="008B0B82">
      <w:pPr>
        <w:pStyle w:val="OT"/>
        <w:spacing w:after="0"/>
        <w:ind w:firstLine="709"/>
        <w:rPr>
          <w:rFonts w:eastAsia="Courier New"/>
          <w:bCs/>
          <w:sz w:val="24"/>
          <w:szCs w:val="24"/>
          <w:lang w:bidi="ru-RU"/>
        </w:rPr>
      </w:pPr>
      <w:r>
        <w:rPr>
          <w:rFonts w:eastAsia="Courier New"/>
          <w:bCs/>
          <w:sz w:val="24"/>
          <w:szCs w:val="24"/>
          <w:lang w:bidi="ru-RU"/>
        </w:rPr>
        <w:t xml:space="preserve">Если пациент забыл принять очередную дозу этравирина и вспомнил об этом не позже чем через 6 часов после обычного времени приема препарата, то он должен как можно быстрее принять ее после еды и затем принять следующую дозу в обычное время. Если прошло более 6 часов после обычного времени приема препарата, </w:t>
      </w:r>
      <w:r w:rsidR="00C46F4A">
        <w:rPr>
          <w:rFonts w:eastAsia="Courier New"/>
          <w:bCs/>
          <w:sz w:val="24"/>
          <w:szCs w:val="24"/>
          <w:lang w:bidi="ru-RU"/>
        </w:rPr>
        <w:t>т</w:t>
      </w:r>
      <w:r>
        <w:rPr>
          <w:rFonts w:eastAsia="Courier New"/>
          <w:bCs/>
          <w:sz w:val="24"/>
          <w:szCs w:val="24"/>
          <w:lang w:bidi="ru-RU"/>
        </w:rPr>
        <w:t xml:space="preserve">о пациент не </w:t>
      </w:r>
      <w:r w:rsidR="00C46F4A">
        <w:rPr>
          <w:rFonts w:eastAsia="Courier New"/>
          <w:bCs/>
          <w:sz w:val="24"/>
          <w:szCs w:val="24"/>
          <w:lang w:bidi="ru-RU"/>
        </w:rPr>
        <w:t>д</w:t>
      </w:r>
      <w:r>
        <w:rPr>
          <w:rFonts w:eastAsia="Courier New"/>
          <w:bCs/>
          <w:sz w:val="24"/>
          <w:szCs w:val="24"/>
          <w:lang w:bidi="ru-RU"/>
        </w:rPr>
        <w:t>олжен принимать пропущенную дозу, а просто возобновить прием препарата по обычной схеме.</w:t>
      </w:r>
    </w:p>
    <w:p w14:paraId="7BD476A9" w14:textId="26ECE852" w:rsidR="00B468B9" w:rsidRPr="00B468B9" w:rsidRDefault="00B468B9" w:rsidP="008B0B82">
      <w:pPr>
        <w:pStyle w:val="OT"/>
        <w:spacing w:after="0"/>
        <w:ind w:firstLine="709"/>
        <w:rPr>
          <w:rFonts w:eastAsia="Courier New"/>
          <w:bCs/>
          <w:sz w:val="24"/>
          <w:szCs w:val="24"/>
          <w:lang w:bidi="ru-RU"/>
        </w:rPr>
      </w:pPr>
      <w:r>
        <w:rPr>
          <w:rFonts w:eastAsia="Courier New"/>
          <w:bCs/>
          <w:sz w:val="24"/>
          <w:szCs w:val="24"/>
          <w:lang w:bidi="ru-RU"/>
        </w:rPr>
        <w:t>Если пациента вырвало в течение 4х часов после при</w:t>
      </w:r>
      <w:r w:rsidR="00235E54">
        <w:rPr>
          <w:rFonts w:eastAsia="Courier New"/>
          <w:bCs/>
          <w:sz w:val="24"/>
          <w:szCs w:val="24"/>
          <w:lang w:bidi="ru-RU"/>
        </w:rPr>
        <w:t>е</w:t>
      </w:r>
      <w:r>
        <w:rPr>
          <w:rFonts w:eastAsia="Courier New"/>
          <w:bCs/>
          <w:sz w:val="24"/>
          <w:szCs w:val="24"/>
          <w:lang w:bidi="ru-RU"/>
        </w:rPr>
        <w:t>ма препарата, следует принять новую дозу этравирина как можно скорее после еды. Если пациентв вырвало более чем через 4 часа после приема препарата, ему не требуется принимать новую дозу до следующей запланированной.</w:t>
      </w:r>
    </w:p>
    <w:p w14:paraId="20D918B9" w14:textId="77777777" w:rsidR="00B468B9" w:rsidRDefault="00B468B9" w:rsidP="008B0B82">
      <w:pPr>
        <w:pStyle w:val="OT"/>
        <w:spacing w:after="0"/>
        <w:rPr>
          <w:rFonts w:eastAsia="Courier New"/>
          <w:b/>
          <w:bCs/>
          <w:sz w:val="24"/>
          <w:szCs w:val="24"/>
          <w:lang w:bidi="ru-RU"/>
        </w:rPr>
      </w:pPr>
    </w:p>
    <w:p w14:paraId="77888D52" w14:textId="35FFF5FE" w:rsidR="003670E9" w:rsidRDefault="002002E8" w:rsidP="008B0B82">
      <w:pPr>
        <w:pStyle w:val="OT"/>
        <w:spacing w:after="0"/>
        <w:rPr>
          <w:rFonts w:eastAsia="Courier New"/>
          <w:b/>
          <w:bCs/>
          <w:sz w:val="24"/>
          <w:szCs w:val="24"/>
          <w:lang w:bidi="ru-RU"/>
        </w:rPr>
      </w:pPr>
      <w:r w:rsidRPr="007B1E38">
        <w:rPr>
          <w:rFonts w:eastAsia="Courier New"/>
          <w:b/>
          <w:bCs/>
          <w:sz w:val="24"/>
          <w:szCs w:val="24"/>
          <w:lang w:bidi="ru-RU"/>
        </w:rPr>
        <w:t>Применение у особых групп пациентов</w:t>
      </w:r>
    </w:p>
    <w:p w14:paraId="378CE917" w14:textId="77777777" w:rsidR="00235E54" w:rsidRPr="007B1E38" w:rsidRDefault="00235E54" w:rsidP="008B0B82">
      <w:pPr>
        <w:pStyle w:val="OT"/>
        <w:spacing w:after="0"/>
        <w:rPr>
          <w:rFonts w:eastAsia="Courier New"/>
          <w:b/>
          <w:bCs/>
          <w:sz w:val="24"/>
          <w:szCs w:val="24"/>
          <w:lang w:bidi="ru-RU"/>
        </w:rPr>
      </w:pPr>
    </w:p>
    <w:p w14:paraId="500D524F" w14:textId="77777777" w:rsidR="007B1E38" w:rsidRPr="00A76175" w:rsidRDefault="007B1E38" w:rsidP="008B0B82">
      <w:pPr>
        <w:pStyle w:val="ab"/>
        <w:widowControl w:val="0"/>
        <w:shd w:val="clear" w:color="auto" w:fill="FFFFFF"/>
        <w:tabs>
          <w:tab w:val="left" w:pos="8647"/>
        </w:tabs>
        <w:autoSpaceDE w:val="0"/>
        <w:autoSpaceDN w:val="0"/>
        <w:adjustRightInd w:val="0"/>
        <w:spacing w:before="0" w:beforeAutospacing="0" w:after="0" w:afterAutospacing="0"/>
        <w:jc w:val="both"/>
        <w:rPr>
          <w:i/>
          <w:color w:val="000000" w:themeColor="text1"/>
        </w:rPr>
      </w:pPr>
      <w:r w:rsidRPr="00A76175">
        <w:rPr>
          <w:i/>
          <w:color w:val="000000" w:themeColor="text1"/>
        </w:rPr>
        <w:t>Пациенты с нарушением функции почек</w:t>
      </w:r>
    </w:p>
    <w:p w14:paraId="31E3654F" w14:textId="0B084861" w:rsidR="00BC7E97" w:rsidRDefault="007B1E38">
      <w:pPr>
        <w:pStyle w:val="ab"/>
        <w:shd w:val="clear" w:color="auto" w:fill="FFFFFF"/>
        <w:tabs>
          <w:tab w:val="left" w:pos="8647"/>
        </w:tabs>
        <w:spacing w:before="0" w:beforeAutospacing="0" w:after="0" w:afterAutospacing="0"/>
        <w:ind w:firstLine="709"/>
        <w:jc w:val="both"/>
        <w:rPr>
          <w:bCs/>
          <w:iCs/>
          <w:color w:val="000000" w:themeColor="text1"/>
        </w:rPr>
      </w:pPr>
      <w:r w:rsidRPr="007B1E38">
        <w:rPr>
          <w:bCs/>
          <w:iCs/>
          <w:color w:val="000000" w:themeColor="text1"/>
        </w:rPr>
        <w:t>У пациентов с нарушением функции почек коррекции дозы не требуется.</w:t>
      </w:r>
    </w:p>
    <w:p w14:paraId="57CD6B75" w14:textId="77777777" w:rsidR="00235E54" w:rsidRPr="007B1E38" w:rsidRDefault="00235E54">
      <w:pPr>
        <w:pStyle w:val="ab"/>
        <w:shd w:val="clear" w:color="auto" w:fill="FFFFFF"/>
        <w:tabs>
          <w:tab w:val="left" w:pos="8647"/>
        </w:tabs>
        <w:spacing w:before="0" w:beforeAutospacing="0" w:after="0" w:afterAutospacing="0"/>
        <w:ind w:firstLine="709"/>
        <w:jc w:val="both"/>
        <w:rPr>
          <w:bCs/>
          <w:iCs/>
          <w:color w:val="000000" w:themeColor="text1"/>
        </w:rPr>
      </w:pPr>
    </w:p>
    <w:p w14:paraId="0C398854" w14:textId="5AA8BB49" w:rsidR="005F297D" w:rsidRPr="00A76175" w:rsidRDefault="005F297D" w:rsidP="008B0B82">
      <w:pPr>
        <w:pStyle w:val="ab"/>
        <w:shd w:val="clear" w:color="auto" w:fill="FFFFFF"/>
        <w:tabs>
          <w:tab w:val="left" w:pos="8647"/>
        </w:tabs>
        <w:spacing w:before="0" w:beforeAutospacing="0" w:after="0" w:afterAutospacing="0"/>
        <w:jc w:val="both"/>
        <w:rPr>
          <w:i/>
          <w:color w:val="000000" w:themeColor="text1"/>
        </w:rPr>
      </w:pPr>
      <w:r w:rsidRPr="00A76175">
        <w:rPr>
          <w:i/>
          <w:color w:val="000000" w:themeColor="text1"/>
        </w:rPr>
        <w:t>Пациенты с нарушением функции печени</w:t>
      </w:r>
    </w:p>
    <w:p w14:paraId="1625D143" w14:textId="1B825961" w:rsidR="007B1E38" w:rsidRDefault="00B46BBC">
      <w:pPr>
        <w:pStyle w:val="ab"/>
        <w:shd w:val="clear" w:color="auto" w:fill="FFFFFF"/>
        <w:tabs>
          <w:tab w:val="left" w:pos="8647"/>
        </w:tabs>
        <w:spacing w:before="0" w:beforeAutospacing="0" w:after="0" w:afterAutospacing="0"/>
        <w:ind w:firstLine="709"/>
        <w:jc w:val="both"/>
        <w:rPr>
          <w:bCs/>
          <w:iCs/>
          <w:color w:val="000000" w:themeColor="text1"/>
        </w:rPr>
      </w:pPr>
      <w:r w:rsidRPr="00B46BBC">
        <w:rPr>
          <w:bCs/>
          <w:iCs/>
          <w:color w:val="000000" w:themeColor="text1"/>
        </w:rPr>
        <w:t xml:space="preserve">У пациентов с нарушением функции печени легкой и средней степени тяжести (классы А или В по шкале Чайлд-Пью) коррекции дозы не требуется. Следует соблюдать осторожность при применении препарата </w:t>
      </w:r>
      <w:r w:rsidRPr="00B46BBC">
        <w:rPr>
          <w:rFonts w:eastAsia="Courier New"/>
          <w:lang w:bidi="ru-RU"/>
        </w:rPr>
        <w:t>этравирин</w:t>
      </w:r>
      <w:r w:rsidRPr="009F1178">
        <w:rPr>
          <w:rFonts w:eastAsia="Courier New"/>
          <w:b/>
          <w:bCs/>
          <w:lang w:bidi="ru-RU"/>
        </w:rPr>
        <w:t xml:space="preserve"> </w:t>
      </w:r>
      <w:r w:rsidRPr="00B46BBC">
        <w:rPr>
          <w:bCs/>
          <w:iCs/>
          <w:color w:val="000000" w:themeColor="text1"/>
        </w:rPr>
        <w:t xml:space="preserve">у пациентов с нарушением функции печени средней степени тяжести. У пациентов с тяжелым нарушением функции печени (класс С по шкале Чайлд-Пью) фармакокинетику препарата </w:t>
      </w:r>
      <w:r w:rsidRPr="00B46BBC">
        <w:rPr>
          <w:rFonts w:eastAsia="Courier New"/>
          <w:lang w:bidi="ru-RU"/>
        </w:rPr>
        <w:t>этравирин</w:t>
      </w:r>
      <w:r w:rsidRPr="00B46BBC">
        <w:rPr>
          <w:bCs/>
          <w:iCs/>
          <w:color w:val="000000" w:themeColor="text1"/>
        </w:rPr>
        <w:t xml:space="preserve"> не изучали. Применение препарата у пациентов с тяжелыми нарушениями функции печени (класс С по шкале Чайлд-Пью) противопоказано.</w:t>
      </w:r>
    </w:p>
    <w:p w14:paraId="72AB9DC6" w14:textId="77777777" w:rsidR="00235E54" w:rsidRPr="00B46BBC" w:rsidRDefault="00235E54">
      <w:pPr>
        <w:pStyle w:val="ab"/>
        <w:shd w:val="clear" w:color="auto" w:fill="FFFFFF"/>
        <w:tabs>
          <w:tab w:val="left" w:pos="8647"/>
        </w:tabs>
        <w:spacing w:before="0" w:beforeAutospacing="0" w:after="0" w:afterAutospacing="0"/>
        <w:ind w:firstLine="709"/>
        <w:jc w:val="both"/>
        <w:rPr>
          <w:bCs/>
          <w:iCs/>
          <w:color w:val="000000" w:themeColor="text1"/>
        </w:rPr>
      </w:pPr>
    </w:p>
    <w:p w14:paraId="1A84B6C9" w14:textId="1C941354" w:rsidR="002002E8" w:rsidRPr="00A76175" w:rsidRDefault="005F297D" w:rsidP="008B0B82">
      <w:pPr>
        <w:widowControl w:val="0"/>
        <w:tabs>
          <w:tab w:val="left" w:pos="8647"/>
        </w:tabs>
        <w:rPr>
          <w:i/>
        </w:rPr>
      </w:pPr>
      <w:r w:rsidRPr="00A76175">
        <w:rPr>
          <w:i/>
        </w:rPr>
        <w:t>Пожилые пациенты</w:t>
      </w:r>
    </w:p>
    <w:p w14:paraId="77B63855" w14:textId="31543E77" w:rsidR="00B46BBC" w:rsidRDefault="00B46BBC" w:rsidP="008B0B82">
      <w:pPr>
        <w:widowControl w:val="0"/>
        <w:tabs>
          <w:tab w:val="left" w:pos="8647"/>
        </w:tabs>
        <w:ind w:firstLine="709"/>
        <w:rPr>
          <w:b/>
          <w:i/>
        </w:rPr>
      </w:pPr>
      <w:r w:rsidRPr="00B46BBC">
        <w:rPr>
          <w:bCs/>
          <w:iCs/>
        </w:rPr>
        <w:t xml:space="preserve">Имеется ограниченная информация о лечении препаратом </w:t>
      </w:r>
      <w:r w:rsidRPr="00B46BBC">
        <w:rPr>
          <w:rFonts w:eastAsia="Courier New"/>
          <w:bCs/>
          <w:iCs/>
          <w:lang w:bidi="ru-RU"/>
        </w:rPr>
        <w:t>этравирин</w:t>
      </w:r>
      <w:r w:rsidRPr="00B46BBC">
        <w:rPr>
          <w:bCs/>
          <w:iCs/>
        </w:rPr>
        <w:t xml:space="preserve"> пациентов в возрасте ≥ 65 лет, таким образом, применять препарат у этой группы пациентов следует с осторожностью</w:t>
      </w:r>
      <w:r w:rsidRPr="00B46BBC">
        <w:rPr>
          <w:b/>
          <w:i/>
        </w:rPr>
        <w:t>.</w:t>
      </w:r>
    </w:p>
    <w:p w14:paraId="0082FE19" w14:textId="77777777" w:rsidR="00235E54" w:rsidRDefault="00235E54" w:rsidP="008B0B82">
      <w:pPr>
        <w:pStyle w:val="ab"/>
        <w:shd w:val="clear" w:color="auto" w:fill="FFFFFF"/>
        <w:tabs>
          <w:tab w:val="left" w:pos="8647"/>
        </w:tabs>
        <w:spacing w:before="0" w:beforeAutospacing="0" w:after="0" w:afterAutospacing="0"/>
        <w:jc w:val="both"/>
        <w:rPr>
          <w:b/>
          <w:color w:val="000000" w:themeColor="text1"/>
        </w:rPr>
      </w:pPr>
    </w:p>
    <w:p w14:paraId="0DBE1963" w14:textId="2621FA10" w:rsidR="002002E8" w:rsidRPr="00A76175" w:rsidRDefault="002002E8" w:rsidP="008B0B82">
      <w:pPr>
        <w:pStyle w:val="ab"/>
        <w:shd w:val="clear" w:color="auto" w:fill="FFFFFF"/>
        <w:tabs>
          <w:tab w:val="left" w:pos="8647"/>
        </w:tabs>
        <w:spacing w:before="0" w:beforeAutospacing="0" w:after="0" w:afterAutospacing="0"/>
        <w:jc w:val="both"/>
        <w:rPr>
          <w:i/>
          <w:color w:val="000000" w:themeColor="text1"/>
        </w:rPr>
      </w:pPr>
      <w:r w:rsidRPr="00A76175">
        <w:rPr>
          <w:i/>
          <w:color w:val="000000" w:themeColor="text1"/>
        </w:rPr>
        <w:t>Дети</w:t>
      </w:r>
    </w:p>
    <w:p w14:paraId="4B01BE0D" w14:textId="230C8836" w:rsidR="00235E54" w:rsidRDefault="00B46BBC" w:rsidP="00A76175">
      <w:pPr>
        <w:pStyle w:val="ab"/>
        <w:shd w:val="clear" w:color="auto" w:fill="FFFFFF"/>
        <w:tabs>
          <w:tab w:val="left" w:pos="8647"/>
        </w:tabs>
        <w:spacing w:before="0" w:beforeAutospacing="0" w:after="0" w:afterAutospacing="0"/>
        <w:ind w:firstLine="709"/>
        <w:jc w:val="both"/>
        <w:rPr>
          <w:rFonts w:eastAsia="Courier New"/>
          <w:lang w:bidi="ru-RU"/>
        </w:rPr>
      </w:pPr>
      <w:r w:rsidRPr="00B46BBC">
        <w:rPr>
          <w:bCs/>
          <w:color w:val="000000" w:themeColor="text1"/>
        </w:rPr>
        <w:t xml:space="preserve">Препарат </w:t>
      </w:r>
      <w:r w:rsidRPr="00B46BBC">
        <w:rPr>
          <w:rFonts w:eastAsia="Courier New"/>
          <w:bCs/>
          <w:iCs/>
          <w:lang w:bidi="ru-RU"/>
        </w:rPr>
        <w:t>этравирин</w:t>
      </w:r>
      <w:r w:rsidRPr="00B46BBC">
        <w:rPr>
          <w:bCs/>
          <w:color w:val="000000" w:themeColor="text1"/>
        </w:rPr>
        <w:t xml:space="preserve"> не должен применяться у детей младше 2 лет.</w:t>
      </w:r>
    </w:p>
    <w:p w14:paraId="089A8EE8" w14:textId="77777777" w:rsidR="008B7FBF" w:rsidRPr="005E6358" w:rsidRDefault="008B7FBF" w:rsidP="00A72CBF">
      <w:pPr>
        <w:pStyle w:val="3"/>
        <w:tabs>
          <w:tab w:val="left" w:pos="8647"/>
        </w:tabs>
        <w:spacing w:after="240"/>
        <w:rPr>
          <w:rFonts w:ascii="Times New Roman" w:hAnsi="Times New Roman"/>
          <w:color w:val="000000" w:themeColor="text1"/>
        </w:rPr>
      </w:pPr>
      <w:bookmarkStart w:id="221" w:name="_Toc117179250"/>
      <w:r w:rsidRPr="005E6358">
        <w:rPr>
          <w:rFonts w:ascii="Times New Roman" w:hAnsi="Times New Roman"/>
          <w:color w:val="000000" w:themeColor="text1"/>
        </w:rPr>
        <w:t>5.3.5. Побочн</w:t>
      </w:r>
      <w:bookmarkEnd w:id="218"/>
      <w:bookmarkEnd w:id="219"/>
      <w:bookmarkEnd w:id="220"/>
      <w:r w:rsidRPr="005E6358">
        <w:rPr>
          <w:rFonts w:ascii="Times New Roman" w:hAnsi="Times New Roman"/>
          <w:color w:val="000000" w:themeColor="text1"/>
        </w:rPr>
        <w:t>ое действие</w:t>
      </w:r>
      <w:bookmarkEnd w:id="221"/>
    </w:p>
    <w:p w14:paraId="084599F7" w14:textId="529D4658" w:rsidR="005F297D" w:rsidRDefault="005F297D" w:rsidP="00A76175">
      <w:pPr>
        <w:widowControl w:val="0"/>
        <w:tabs>
          <w:tab w:val="left" w:pos="8647"/>
        </w:tabs>
        <w:rPr>
          <w:rFonts w:eastAsia="Times New Roman"/>
          <w:b/>
          <w:lang w:eastAsia="ru-RU" w:bidi="ru-RU"/>
        </w:rPr>
      </w:pPr>
      <w:bookmarkStart w:id="222" w:name="bookmark4"/>
      <w:r>
        <w:rPr>
          <w:rFonts w:eastAsia="Times New Roman"/>
          <w:b/>
          <w:lang w:eastAsia="ru-RU" w:bidi="ru-RU"/>
        </w:rPr>
        <w:t>Обзор профиля безопасности</w:t>
      </w:r>
    </w:p>
    <w:p w14:paraId="75E34A8C" w14:textId="77777777" w:rsidR="00B962E5" w:rsidRDefault="00B962E5">
      <w:pPr>
        <w:widowControl w:val="0"/>
        <w:tabs>
          <w:tab w:val="left" w:pos="8647"/>
        </w:tabs>
        <w:ind w:firstLine="709"/>
        <w:rPr>
          <w:rFonts w:eastAsia="Times New Roman"/>
          <w:lang w:eastAsia="ru-RU" w:bidi="ru-RU"/>
        </w:rPr>
      </w:pPr>
    </w:p>
    <w:p w14:paraId="75FF4B05" w14:textId="24D40C29" w:rsidR="00B46BBC" w:rsidRDefault="00B46BBC">
      <w:pPr>
        <w:widowControl w:val="0"/>
        <w:tabs>
          <w:tab w:val="left" w:pos="8647"/>
        </w:tabs>
        <w:ind w:firstLine="709"/>
        <w:rPr>
          <w:rFonts w:eastAsia="Times New Roman"/>
          <w:lang w:eastAsia="ru-RU" w:bidi="ru-RU"/>
        </w:rPr>
      </w:pPr>
      <w:r w:rsidRPr="00B46BBC">
        <w:rPr>
          <w:rFonts w:eastAsia="Times New Roman"/>
          <w:lang w:eastAsia="ru-RU" w:bidi="ru-RU"/>
        </w:rPr>
        <w:t>Наиболее частыми побочными эффектами (частота &gt;10%) любой степени тяжести, отмеченными при применении этравирина, были сыпь, диарея, тошнота и головная боль. Наиболее частым побочным эффектом, приводящим к отмене терапии, была сыпь</w:t>
      </w:r>
      <w:r>
        <w:rPr>
          <w:rFonts w:eastAsia="Times New Roman"/>
          <w:lang w:eastAsia="ru-RU" w:bidi="ru-RU"/>
        </w:rPr>
        <w:t>.</w:t>
      </w:r>
    </w:p>
    <w:p w14:paraId="39A099B9" w14:textId="77777777" w:rsidR="00B962E5" w:rsidRDefault="00B962E5" w:rsidP="00A76175">
      <w:pPr>
        <w:widowControl w:val="0"/>
        <w:tabs>
          <w:tab w:val="left" w:pos="8647"/>
        </w:tabs>
        <w:rPr>
          <w:rFonts w:eastAsia="Times New Roman"/>
          <w:b/>
          <w:lang w:eastAsia="ru-RU" w:bidi="ru-RU"/>
        </w:rPr>
      </w:pPr>
    </w:p>
    <w:p w14:paraId="4B346368" w14:textId="711B267E" w:rsidR="005F297D" w:rsidRPr="00EA179F" w:rsidRDefault="001F12C9" w:rsidP="00A76175">
      <w:pPr>
        <w:widowControl w:val="0"/>
        <w:tabs>
          <w:tab w:val="left" w:pos="8647"/>
        </w:tabs>
        <w:rPr>
          <w:rFonts w:eastAsia="Times New Roman"/>
          <w:b/>
          <w:lang w:eastAsia="ru-RU" w:bidi="ru-RU"/>
        </w:rPr>
      </w:pPr>
      <w:r w:rsidRPr="00EA179F">
        <w:rPr>
          <w:rFonts w:eastAsia="Times New Roman"/>
          <w:b/>
          <w:lang w:eastAsia="ru-RU" w:bidi="ru-RU"/>
        </w:rPr>
        <w:t>Краткое описание профиля безопасности</w:t>
      </w:r>
    </w:p>
    <w:p w14:paraId="0A5A3BCD" w14:textId="77777777" w:rsidR="00B962E5" w:rsidRDefault="00B962E5">
      <w:pPr>
        <w:pStyle w:val="ab"/>
        <w:shd w:val="clear" w:color="auto" w:fill="FFFFFF"/>
        <w:spacing w:before="0" w:beforeAutospacing="0" w:after="0" w:afterAutospacing="0"/>
        <w:ind w:firstLine="709"/>
        <w:jc w:val="both"/>
        <w:rPr>
          <w:rFonts w:eastAsia="MS Mincho"/>
          <w:iCs/>
          <w:lang w:eastAsia="en-US"/>
        </w:rPr>
      </w:pPr>
    </w:p>
    <w:p w14:paraId="5046D6EB" w14:textId="040897B2" w:rsidR="00287251" w:rsidRDefault="00B46BBC" w:rsidP="00A76175">
      <w:pPr>
        <w:pStyle w:val="ab"/>
        <w:shd w:val="clear" w:color="auto" w:fill="FFFFFF"/>
        <w:spacing w:before="0" w:beforeAutospacing="0" w:after="0" w:afterAutospacing="0"/>
        <w:ind w:firstLine="709"/>
        <w:jc w:val="both"/>
        <w:rPr>
          <w:rFonts w:eastAsia="MS Mincho"/>
          <w:iCs/>
          <w:lang w:eastAsia="en-US"/>
        </w:rPr>
      </w:pPr>
      <w:r w:rsidRPr="00B46BBC">
        <w:rPr>
          <w:rFonts w:eastAsia="MS Mincho"/>
          <w:iCs/>
          <w:lang w:eastAsia="en-US"/>
        </w:rPr>
        <w:t xml:space="preserve">Побочные эффекты у пациентов, получавших этравирин, представлены в Таблице </w:t>
      </w:r>
      <w:r>
        <w:rPr>
          <w:rFonts w:eastAsia="MS Mincho"/>
          <w:iCs/>
          <w:lang w:eastAsia="en-US"/>
        </w:rPr>
        <w:t>5-2.</w:t>
      </w:r>
      <w:r w:rsidRPr="00B46BBC">
        <w:rPr>
          <w:rFonts w:eastAsia="MS Mincho"/>
          <w:iCs/>
          <w:lang w:eastAsia="en-US"/>
        </w:rPr>
        <w:t xml:space="preserve"> Побочные действия перечислены в зависимости от системно-органного класса и частоты. В рамках каждой категории частоты побочные эффекты представлены в порядке снижения серьёзности. Частоты возникновения побочных эффектов определены как очень часто (</w:t>
      </w:r>
      <w:r w:rsidR="00DE3850">
        <w:rPr>
          <w:rFonts w:eastAsia="MS Mincho"/>
          <w:iCs/>
          <w:lang w:eastAsia="en-US"/>
        </w:rPr>
        <w:t>≥</w:t>
      </w:r>
      <w:r w:rsidRPr="00B46BBC">
        <w:rPr>
          <w:rFonts w:eastAsia="MS Mincho"/>
          <w:iCs/>
          <w:lang w:eastAsia="en-US"/>
        </w:rPr>
        <w:t>1/10), часто (</w:t>
      </w:r>
      <w:r w:rsidR="00DE3850">
        <w:rPr>
          <w:rFonts w:eastAsia="MS Mincho"/>
          <w:iCs/>
          <w:lang w:eastAsia="en-US"/>
        </w:rPr>
        <w:t>≥</w:t>
      </w:r>
      <w:r w:rsidRPr="00B46BBC">
        <w:rPr>
          <w:rFonts w:eastAsia="MS Mincho"/>
          <w:iCs/>
          <w:lang w:eastAsia="en-US"/>
        </w:rPr>
        <w:t>1/100 — &lt;1/10), нечасто (</w:t>
      </w:r>
      <w:r w:rsidR="00DE3850">
        <w:rPr>
          <w:rFonts w:eastAsia="MS Mincho"/>
          <w:iCs/>
          <w:lang w:eastAsia="en-US"/>
        </w:rPr>
        <w:t>≥</w:t>
      </w:r>
      <w:r w:rsidRPr="00B46BBC">
        <w:rPr>
          <w:rFonts w:eastAsia="MS Mincho"/>
          <w:iCs/>
          <w:lang w:eastAsia="en-US"/>
        </w:rPr>
        <w:t xml:space="preserve">1/1000 — &lt;1/100), редко (от </w:t>
      </w:r>
      <w:r w:rsidR="00C20FD3">
        <w:rPr>
          <w:rFonts w:eastAsia="MS Mincho"/>
          <w:iCs/>
          <w:lang w:eastAsia="en-US"/>
        </w:rPr>
        <w:t>≥</w:t>
      </w:r>
      <w:r w:rsidRPr="00B46BBC">
        <w:rPr>
          <w:rFonts w:eastAsia="MS Mincho"/>
          <w:iCs/>
          <w:lang w:eastAsia="en-US"/>
        </w:rPr>
        <w:t xml:space="preserve"> 1/10 000 до &lt; 1/1000) и очень редко (&lt; 1/10 000).</w:t>
      </w:r>
    </w:p>
    <w:p w14:paraId="7E2F30E1" w14:textId="77777777" w:rsidR="00B962E5" w:rsidRDefault="00B962E5" w:rsidP="00B46BBC">
      <w:pPr>
        <w:pStyle w:val="ab"/>
        <w:shd w:val="clear" w:color="auto" w:fill="FFFFFF"/>
        <w:spacing w:before="0" w:beforeAutospacing="0" w:after="0" w:afterAutospacing="0"/>
        <w:jc w:val="both"/>
        <w:rPr>
          <w:b/>
          <w:bCs/>
        </w:rPr>
      </w:pPr>
    </w:p>
    <w:p w14:paraId="7D2C93A8" w14:textId="77777777" w:rsidR="00421CA0" w:rsidRDefault="00421CA0" w:rsidP="00B46BBC">
      <w:pPr>
        <w:pStyle w:val="ab"/>
        <w:shd w:val="clear" w:color="auto" w:fill="FFFFFF"/>
        <w:spacing w:before="0" w:beforeAutospacing="0" w:after="0" w:afterAutospacing="0"/>
        <w:jc w:val="both"/>
        <w:rPr>
          <w:b/>
          <w:bCs/>
        </w:rPr>
        <w:sectPr w:rsidR="00421CA0" w:rsidSect="00AB01E2">
          <w:pgSz w:w="11906" w:h="16838"/>
          <w:pgMar w:top="1134" w:right="849" w:bottom="1134" w:left="1701" w:header="708" w:footer="709" w:gutter="0"/>
          <w:cols w:space="708"/>
          <w:docGrid w:linePitch="360"/>
        </w:sectPr>
      </w:pPr>
    </w:p>
    <w:p w14:paraId="14184160" w14:textId="63422FB1" w:rsidR="00B46BBC" w:rsidRDefault="00B46BBC" w:rsidP="00B46BBC">
      <w:pPr>
        <w:pStyle w:val="ab"/>
        <w:shd w:val="clear" w:color="auto" w:fill="FFFFFF"/>
        <w:spacing w:before="0" w:beforeAutospacing="0" w:after="0" w:afterAutospacing="0"/>
        <w:jc w:val="both"/>
        <w:rPr>
          <w:b/>
          <w:bCs/>
          <w:color w:val="000000"/>
        </w:rPr>
      </w:pPr>
      <w:r w:rsidRPr="009E26B1">
        <w:rPr>
          <w:b/>
          <w:bCs/>
        </w:rPr>
        <w:t>Таблица 5-</w:t>
      </w:r>
      <w:r>
        <w:rPr>
          <w:b/>
          <w:bCs/>
        </w:rPr>
        <w:t>2</w:t>
      </w:r>
      <w:r w:rsidR="001C0A37">
        <w:rPr>
          <w:b/>
          <w:bCs/>
        </w:rPr>
        <w:t xml:space="preserve">. </w:t>
      </w:r>
      <w:r w:rsidRPr="001C0A37">
        <w:rPr>
          <w:bCs/>
          <w:color w:val="000000"/>
        </w:rPr>
        <w:t>Частота нежелательных явлений, выявленных в плацебо-контролируемых клинических исследованиях этравирина при пострегистрационном наблюдении</w:t>
      </w:r>
      <w:r w:rsidR="001C0A37" w:rsidRPr="001C0A37">
        <w:rPr>
          <w:bCs/>
          <w:color w:val="000000"/>
        </w:rPr>
        <w:t>.</w:t>
      </w:r>
    </w:p>
    <w:tbl>
      <w:tblPr>
        <w:tblStyle w:val="a8"/>
        <w:tblW w:w="0" w:type="auto"/>
        <w:tblLook w:val="04A0" w:firstRow="1" w:lastRow="0" w:firstColumn="1" w:lastColumn="0" w:noHBand="0" w:noVBand="1"/>
      </w:tblPr>
      <w:tblGrid>
        <w:gridCol w:w="3116"/>
        <w:gridCol w:w="2402"/>
        <w:gridCol w:w="3828"/>
      </w:tblGrid>
      <w:tr w:rsidR="00B46BBC" w14:paraId="3B04AB5D" w14:textId="77777777" w:rsidTr="00421CA0">
        <w:trPr>
          <w:trHeight w:val="661"/>
          <w:tblHeader/>
        </w:trPr>
        <w:tc>
          <w:tcPr>
            <w:tcW w:w="3139" w:type="dxa"/>
            <w:shd w:val="clear" w:color="auto" w:fill="D9D9D9" w:themeFill="background1" w:themeFillShade="D9"/>
            <w:vAlign w:val="center"/>
          </w:tcPr>
          <w:p w14:paraId="0190C663" w14:textId="439D38A7" w:rsidR="00B46BBC" w:rsidRPr="009074FE" w:rsidRDefault="00B46BBC" w:rsidP="00421CA0">
            <w:pPr>
              <w:pStyle w:val="ab"/>
              <w:spacing w:before="0" w:beforeAutospacing="0" w:after="0" w:afterAutospacing="0"/>
              <w:jc w:val="center"/>
              <w:rPr>
                <w:b/>
                <w:bCs/>
                <w:color w:val="000000"/>
              </w:rPr>
            </w:pPr>
            <w:r w:rsidRPr="009074FE">
              <w:rPr>
                <w:b/>
                <w:bCs/>
              </w:rPr>
              <w:t>Системно-органный класс</w:t>
            </w:r>
          </w:p>
        </w:tc>
        <w:tc>
          <w:tcPr>
            <w:tcW w:w="2428" w:type="dxa"/>
            <w:shd w:val="clear" w:color="auto" w:fill="D9D9D9" w:themeFill="background1" w:themeFillShade="D9"/>
            <w:vAlign w:val="center"/>
          </w:tcPr>
          <w:p w14:paraId="2A177485" w14:textId="01932794" w:rsidR="00B46BBC" w:rsidRPr="009074FE" w:rsidRDefault="00B46BBC" w:rsidP="00421CA0">
            <w:pPr>
              <w:pStyle w:val="ab"/>
              <w:spacing w:before="0" w:beforeAutospacing="0" w:after="0" w:afterAutospacing="0"/>
              <w:jc w:val="center"/>
              <w:rPr>
                <w:b/>
                <w:bCs/>
                <w:color w:val="000000"/>
              </w:rPr>
            </w:pPr>
            <w:r w:rsidRPr="009074FE">
              <w:rPr>
                <w:b/>
                <w:bCs/>
              </w:rPr>
              <w:t>Частота</w:t>
            </w:r>
          </w:p>
        </w:tc>
        <w:tc>
          <w:tcPr>
            <w:tcW w:w="3852" w:type="dxa"/>
            <w:shd w:val="clear" w:color="auto" w:fill="D9D9D9" w:themeFill="background1" w:themeFillShade="D9"/>
            <w:vAlign w:val="center"/>
          </w:tcPr>
          <w:p w14:paraId="60DDE0C4" w14:textId="77777777" w:rsidR="00B46BBC" w:rsidRPr="009074FE" w:rsidRDefault="00B46BBC" w:rsidP="00421CA0">
            <w:pPr>
              <w:pStyle w:val="ab"/>
              <w:spacing w:before="0" w:beforeAutospacing="0" w:after="0" w:afterAutospacing="0"/>
              <w:jc w:val="center"/>
              <w:rPr>
                <w:b/>
                <w:bCs/>
                <w:color w:val="000000"/>
              </w:rPr>
            </w:pPr>
            <w:r w:rsidRPr="009074FE">
              <w:rPr>
                <w:b/>
                <w:bCs/>
              </w:rPr>
              <w:t>Побочные действия</w:t>
            </w:r>
          </w:p>
        </w:tc>
      </w:tr>
      <w:tr w:rsidR="00B46BBC" w14:paraId="6A80374B" w14:textId="77777777" w:rsidTr="00A76175">
        <w:trPr>
          <w:trHeight w:val="555"/>
        </w:trPr>
        <w:tc>
          <w:tcPr>
            <w:tcW w:w="3139" w:type="dxa"/>
            <w:vMerge w:val="restart"/>
          </w:tcPr>
          <w:p w14:paraId="3D2EDD03" w14:textId="77777777" w:rsidR="00B46BBC" w:rsidRDefault="00B46BBC" w:rsidP="00B46BBC">
            <w:pPr>
              <w:pStyle w:val="ab"/>
              <w:spacing w:before="0" w:beforeAutospacing="0" w:after="0" w:afterAutospacing="0"/>
              <w:jc w:val="both"/>
              <w:rPr>
                <w:b/>
                <w:bCs/>
                <w:color w:val="000000"/>
              </w:rPr>
            </w:pPr>
            <w:r>
              <w:t>Нарушения со стороны крови и лимфатической системы</w:t>
            </w:r>
          </w:p>
        </w:tc>
        <w:tc>
          <w:tcPr>
            <w:tcW w:w="2428" w:type="dxa"/>
          </w:tcPr>
          <w:p w14:paraId="49E187D8" w14:textId="3DA1539D" w:rsidR="00B46BBC" w:rsidRDefault="00B46BBC" w:rsidP="00B46BBC">
            <w:pPr>
              <w:pStyle w:val="ab"/>
              <w:spacing w:before="0" w:beforeAutospacing="0" w:after="0" w:afterAutospacing="0"/>
              <w:jc w:val="both"/>
              <w:rPr>
                <w:b/>
                <w:bCs/>
                <w:color w:val="000000"/>
              </w:rPr>
            </w:pPr>
            <w:r>
              <w:t>Часто</w:t>
            </w:r>
          </w:p>
        </w:tc>
        <w:tc>
          <w:tcPr>
            <w:tcW w:w="3852" w:type="dxa"/>
          </w:tcPr>
          <w:p w14:paraId="6C253572" w14:textId="4A1A3667" w:rsidR="00B46BBC" w:rsidRDefault="00B46BBC" w:rsidP="00B46BBC">
            <w:pPr>
              <w:pStyle w:val="ab"/>
              <w:spacing w:before="0" w:beforeAutospacing="0" w:after="0" w:afterAutospacing="0"/>
              <w:jc w:val="both"/>
              <w:rPr>
                <w:b/>
                <w:bCs/>
                <w:color w:val="000000"/>
              </w:rPr>
            </w:pPr>
            <w:r w:rsidRPr="001E4D1A">
              <w:t xml:space="preserve">Тромбоцитопения, анемия, снижение числа </w:t>
            </w:r>
            <w:r>
              <w:t>нейтрофилов</w:t>
            </w:r>
          </w:p>
        </w:tc>
      </w:tr>
      <w:tr w:rsidR="00B46BBC" w14:paraId="59613FA7" w14:textId="77777777" w:rsidTr="00A76175">
        <w:trPr>
          <w:trHeight w:val="555"/>
        </w:trPr>
        <w:tc>
          <w:tcPr>
            <w:tcW w:w="3139" w:type="dxa"/>
            <w:vMerge/>
          </w:tcPr>
          <w:p w14:paraId="53D63334" w14:textId="77777777" w:rsidR="00B46BBC" w:rsidRDefault="00B46BBC" w:rsidP="00B46BBC">
            <w:pPr>
              <w:pStyle w:val="ab"/>
              <w:spacing w:before="0" w:beforeAutospacing="0" w:after="0" w:afterAutospacing="0"/>
              <w:jc w:val="both"/>
              <w:rPr>
                <w:b/>
                <w:bCs/>
                <w:color w:val="000000"/>
              </w:rPr>
            </w:pPr>
          </w:p>
        </w:tc>
        <w:tc>
          <w:tcPr>
            <w:tcW w:w="2428" w:type="dxa"/>
          </w:tcPr>
          <w:p w14:paraId="5B772E80" w14:textId="71117F2E" w:rsidR="00B46BBC" w:rsidRDefault="00B46BBC" w:rsidP="00B46BBC">
            <w:pPr>
              <w:pStyle w:val="ab"/>
              <w:spacing w:before="0" w:beforeAutospacing="0" w:after="0" w:afterAutospacing="0"/>
              <w:jc w:val="both"/>
              <w:rPr>
                <w:b/>
                <w:bCs/>
                <w:color w:val="000000"/>
              </w:rPr>
            </w:pPr>
            <w:r>
              <w:rPr>
                <w:sz w:val="26"/>
              </w:rPr>
              <w:t>Нечасто</w:t>
            </w:r>
          </w:p>
        </w:tc>
        <w:tc>
          <w:tcPr>
            <w:tcW w:w="3852" w:type="dxa"/>
          </w:tcPr>
          <w:p w14:paraId="063FD1D3" w14:textId="19BC192F" w:rsidR="00B46BBC" w:rsidRDefault="00B46BBC" w:rsidP="00B46BBC">
            <w:pPr>
              <w:pStyle w:val="ab"/>
              <w:spacing w:before="0" w:beforeAutospacing="0" w:after="0" w:afterAutospacing="0"/>
              <w:jc w:val="both"/>
              <w:rPr>
                <w:b/>
                <w:bCs/>
                <w:color w:val="000000"/>
              </w:rPr>
            </w:pPr>
            <w:r>
              <w:t>Снижение числа лейкоцитов</w:t>
            </w:r>
          </w:p>
        </w:tc>
      </w:tr>
      <w:tr w:rsidR="008B6A80" w14:paraId="74251A39" w14:textId="77777777" w:rsidTr="00A76175">
        <w:trPr>
          <w:trHeight w:val="555"/>
        </w:trPr>
        <w:tc>
          <w:tcPr>
            <w:tcW w:w="3139" w:type="dxa"/>
            <w:vMerge w:val="restart"/>
          </w:tcPr>
          <w:p w14:paraId="708FAA60" w14:textId="77777777" w:rsidR="008B6A80" w:rsidRDefault="008B6A80" w:rsidP="008B6A80">
            <w:pPr>
              <w:pStyle w:val="ab"/>
              <w:spacing w:before="0" w:beforeAutospacing="0" w:after="0" w:afterAutospacing="0"/>
              <w:jc w:val="both"/>
            </w:pPr>
            <w:r w:rsidRPr="001E4D1A">
              <w:t xml:space="preserve">Нарушения со стороны </w:t>
            </w:r>
          </w:p>
          <w:p w14:paraId="02D3C5C2" w14:textId="4B0EED14" w:rsidR="008B6A80" w:rsidRDefault="008B6A80" w:rsidP="008B6A80">
            <w:pPr>
              <w:pStyle w:val="ab"/>
              <w:spacing w:before="0" w:beforeAutospacing="0" w:after="0" w:afterAutospacing="0"/>
              <w:jc w:val="both"/>
              <w:rPr>
                <w:b/>
                <w:bCs/>
                <w:color w:val="000000"/>
              </w:rPr>
            </w:pPr>
            <w:r w:rsidRPr="001E4D1A">
              <w:t>им</w:t>
            </w:r>
            <w:r>
              <w:t>у</w:t>
            </w:r>
            <w:r w:rsidRPr="001E4D1A">
              <w:t>нной системы</w:t>
            </w:r>
          </w:p>
        </w:tc>
        <w:tc>
          <w:tcPr>
            <w:tcW w:w="2428" w:type="dxa"/>
          </w:tcPr>
          <w:p w14:paraId="11566006" w14:textId="67DCAA51" w:rsidR="008B6A80" w:rsidRDefault="008B6A80" w:rsidP="008B6A80">
            <w:pPr>
              <w:pStyle w:val="ab"/>
              <w:spacing w:before="0" w:beforeAutospacing="0" w:after="0" w:afterAutospacing="0"/>
              <w:jc w:val="both"/>
              <w:rPr>
                <w:b/>
                <w:bCs/>
                <w:color w:val="000000"/>
              </w:rPr>
            </w:pPr>
            <w:r>
              <w:t>Часто</w:t>
            </w:r>
          </w:p>
        </w:tc>
        <w:tc>
          <w:tcPr>
            <w:tcW w:w="3852" w:type="dxa"/>
          </w:tcPr>
          <w:p w14:paraId="39AE70AB" w14:textId="3C7B5DC1" w:rsidR="008B6A80" w:rsidRDefault="00287251" w:rsidP="008B6A80">
            <w:pPr>
              <w:pStyle w:val="ab"/>
              <w:spacing w:before="0" w:beforeAutospacing="0" w:after="0" w:afterAutospacing="0"/>
              <w:jc w:val="both"/>
              <w:rPr>
                <w:b/>
                <w:bCs/>
                <w:color w:val="000000"/>
              </w:rPr>
            </w:pPr>
            <w:r>
              <w:t>Гиперчувствительность к препарату</w:t>
            </w:r>
          </w:p>
        </w:tc>
      </w:tr>
      <w:tr w:rsidR="008B6A80" w14:paraId="405CDF0C" w14:textId="77777777" w:rsidTr="00A76175">
        <w:trPr>
          <w:trHeight w:val="555"/>
        </w:trPr>
        <w:tc>
          <w:tcPr>
            <w:tcW w:w="3139" w:type="dxa"/>
            <w:vMerge/>
          </w:tcPr>
          <w:p w14:paraId="4E6BEF32" w14:textId="77777777" w:rsidR="008B6A80" w:rsidRDefault="008B6A80" w:rsidP="008B6A80">
            <w:pPr>
              <w:pStyle w:val="ab"/>
              <w:spacing w:before="0" w:beforeAutospacing="0" w:after="0" w:afterAutospacing="0"/>
              <w:jc w:val="both"/>
              <w:rPr>
                <w:b/>
                <w:bCs/>
                <w:color w:val="000000"/>
              </w:rPr>
            </w:pPr>
          </w:p>
        </w:tc>
        <w:tc>
          <w:tcPr>
            <w:tcW w:w="2428" w:type="dxa"/>
          </w:tcPr>
          <w:p w14:paraId="1DC43FFC" w14:textId="177EDFF0" w:rsidR="008B6A80" w:rsidRDefault="008B6A80" w:rsidP="008B6A80">
            <w:pPr>
              <w:pStyle w:val="ab"/>
              <w:spacing w:before="0" w:beforeAutospacing="0" w:after="0" w:afterAutospacing="0"/>
              <w:jc w:val="both"/>
              <w:rPr>
                <w:b/>
                <w:bCs/>
                <w:color w:val="000000"/>
              </w:rPr>
            </w:pPr>
            <w:r>
              <w:rPr>
                <w:sz w:val="26"/>
              </w:rPr>
              <w:t>Нечасто</w:t>
            </w:r>
          </w:p>
        </w:tc>
        <w:tc>
          <w:tcPr>
            <w:tcW w:w="3852" w:type="dxa"/>
          </w:tcPr>
          <w:p w14:paraId="0CD772D4" w14:textId="7FFFE90A" w:rsidR="008B6A80" w:rsidRDefault="00287251" w:rsidP="008B6A80">
            <w:pPr>
              <w:pStyle w:val="ab"/>
              <w:spacing w:before="0" w:beforeAutospacing="0" w:after="0" w:afterAutospacing="0"/>
              <w:jc w:val="both"/>
              <w:rPr>
                <w:b/>
                <w:bCs/>
                <w:color w:val="000000"/>
              </w:rPr>
            </w:pPr>
            <w:r>
              <w:t>Синдром восстановления иммунитета</w:t>
            </w:r>
          </w:p>
        </w:tc>
      </w:tr>
      <w:tr w:rsidR="008B6A80" w14:paraId="39233698" w14:textId="77777777" w:rsidTr="00A76175">
        <w:trPr>
          <w:trHeight w:val="1937"/>
        </w:trPr>
        <w:tc>
          <w:tcPr>
            <w:tcW w:w="3139" w:type="dxa"/>
          </w:tcPr>
          <w:p w14:paraId="45E59365" w14:textId="59A44345" w:rsidR="008B6A80" w:rsidRDefault="00287251" w:rsidP="008B6A80">
            <w:pPr>
              <w:pStyle w:val="ab"/>
              <w:spacing w:before="0" w:beforeAutospacing="0" w:after="0" w:afterAutospacing="0"/>
              <w:jc w:val="both"/>
              <w:rPr>
                <w:b/>
                <w:bCs/>
                <w:color w:val="000000"/>
              </w:rPr>
            </w:pPr>
            <w:r>
              <w:t>Нарушения метаболизма и питания</w:t>
            </w:r>
          </w:p>
        </w:tc>
        <w:tc>
          <w:tcPr>
            <w:tcW w:w="2428" w:type="dxa"/>
          </w:tcPr>
          <w:p w14:paraId="135460D6" w14:textId="2448EF83" w:rsidR="008B6A80" w:rsidRDefault="00287251" w:rsidP="008B6A80">
            <w:pPr>
              <w:pStyle w:val="ab"/>
              <w:spacing w:before="0" w:beforeAutospacing="0" w:after="0" w:afterAutospacing="0"/>
              <w:jc w:val="both"/>
              <w:rPr>
                <w:b/>
                <w:bCs/>
                <w:color w:val="000000"/>
              </w:rPr>
            </w:pPr>
            <w:r>
              <w:t>Часто</w:t>
            </w:r>
          </w:p>
        </w:tc>
        <w:tc>
          <w:tcPr>
            <w:tcW w:w="3852" w:type="dxa"/>
          </w:tcPr>
          <w:p w14:paraId="2713AEBC" w14:textId="3FE38DD8" w:rsidR="008B6A80" w:rsidRDefault="00287251" w:rsidP="008B6A80">
            <w:pPr>
              <w:pStyle w:val="ab"/>
              <w:spacing w:before="0" w:beforeAutospacing="0" w:after="0" w:afterAutospacing="0"/>
              <w:jc w:val="both"/>
              <w:rPr>
                <w:b/>
                <w:bCs/>
                <w:color w:val="000000"/>
              </w:rPr>
            </w:pPr>
            <w:r>
              <w:t>Сахарный диабет, гипергликемия, гиперхолестеринемия, увеличение уровня липопротеинов низкой плотности (ЛПНП), гипертриглицеридемия, гиперлипидемия, дислипидемия, анорексия</w:t>
            </w:r>
          </w:p>
        </w:tc>
      </w:tr>
      <w:tr w:rsidR="006F0ABA" w14:paraId="66AC3AF7" w14:textId="77777777" w:rsidTr="00A76175">
        <w:trPr>
          <w:trHeight w:val="540"/>
        </w:trPr>
        <w:tc>
          <w:tcPr>
            <w:tcW w:w="3139" w:type="dxa"/>
            <w:vMerge w:val="restart"/>
          </w:tcPr>
          <w:p w14:paraId="16F225F6" w14:textId="691EC9C4" w:rsidR="006F0ABA" w:rsidRDefault="006F0ABA" w:rsidP="006F0ABA">
            <w:pPr>
              <w:pStyle w:val="ab"/>
              <w:spacing w:before="0" w:beforeAutospacing="0" w:after="0" w:afterAutospacing="0"/>
              <w:jc w:val="both"/>
              <w:rPr>
                <w:b/>
                <w:bCs/>
                <w:color w:val="000000"/>
              </w:rPr>
            </w:pPr>
            <w:r>
              <w:t>Психические нарушения</w:t>
            </w:r>
          </w:p>
        </w:tc>
        <w:tc>
          <w:tcPr>
            <w:tcW w:w="2428" w:type="dxa"/>
          </w:tcPr>
          <w:p w14:paraId="62A6FF72" w14:textId="2BFC16E5" w:rsidR="006F0ABA" w:rsidRDefault="006F0ABA" w:rsidP="006F0ABA">
            <w:pPr>
              <w:pStyle w:val="ab"/>
              <w:spacing w:before="0" w:beforeAutospacing="0" w:after="0" w:afterAutospacing="0"/>
              <w:jc w:val="both"/>
              <w:rPr>
                <w:b/>
                <w:bCs/>
                <w:color w:val="000000"/>
              </w:rPr>
            </w:pPr>
            <w:r>
              <w:t>Часто</w:t>
            </w:r>
          </w:p>
        </w:tc>
        <w:tc>
          <w:tcPr>
            <w:tcW w:w="3852" w:type="dxa"/>
          </w:tcPr>
          <w:p w14:paraId="3BA29148" w14:textId="0EB6B9DB" w:rsidR="006F0ABA" w:rsidRDefault="006F0ABA" w:rsidP="006F0ABA">
            <w:pPr>
              <w:pStyle w:val="ab"/>
              <w:spacing w:before="0" w:beforeAutospacing="0" w:after="0" w:afterAutospacing="0"/>
              <w:jc w:val="both"/>
              <w:rPr>
                <w:b/>
                <w:bCs/>
                <w:color w:val="000000"/>
              </w:rPr>
            </w:pPr>
            <w:r>
              <w:t>Тревожность, бессонница, нарушения сна</w:t>
            </w:r>
          </w:p>
        </w:tc>
      </w:tr>
      <w:tr w:rsidR="006F0ABA" w14:paraId="32449158" w14:textId="77777777" w:rsidTr="00A76175">
        <w:trPr>
          <w:trHeight w:val="540"/>
        </w:trPr>
        <w:tc>
          <w:tcPr>
            <w:tcW w:w="3139" w:type="dxa"/>
            <w:vMerge/>
          </w:tcPr>
          <w:p w14:paraId="785EFE54" w14:textId="77777777" w:rsidR="006F0ABA" w:rsidRDefault="006F0ABA" w:rsidP="006F0ABA">
            <w:pPr>
              <w:pStyle w:val="ab"/>
              <w:spacing w:before="0" w:beforeAutospacing="0" w:after="0" w:afterAutospacing="0"/>
              <w:jc w:val="both"/>
              <w:rPr>
                <w:b/>
                <w:bCs/>
                <w:color w:val="000000"/>
              </w:rPr>
            </w:pPr>
          </w:p>
        </w:tc>
        <w:tc>
          <w:tcPr>
            <w:tcW w:w="2428" w:type="dxa"/>
          </w:tcPr>
          <w:p w14:paraId="6F4FCC3B" w14:textId="0107109C" w:rsidR="006F0ABA" w:rsidRDefault="006F0ABA" w:rsidP="006F0ABA">
            <w:pPr>
              <w:pStyle w:val="ab"/>
              <w:spacing w:before="0" w:beforeAutospacing="0" w:after="0" w:afterAutospacing="0"/>
              <w:jc w:val="both"/>
              <w:rPr>
                <w:b/>
                <w:bCs/>
                <w:color w:val="000000"/>
              </w:rPr>
            </w:pPr>
            <w:r>
              <w:rPr>
                <w:sz w:val="26"/>
              </w:rPr>
              <w:t>Нечасто</w:t>
            </w:r>
          </w:p>
        </w:tc>
        <w:tc>
          <w:tcPr>
            <w:tcW w:w="3852" w:type="dxa"/>
          </w:tcPr>
          <w:p w14:paraId="635AED0A" w14:textId="466920BB" w:rsidR="006F0ABA" w:rsidRDefault="006F0ABA" w:rsidP="006F0ABA">
            <w:pPr>
              <w:pStyle w:val="ab"/>
              <w:spacing w:before="0" w:beforeAutospacing="0" w:after="0" w:afterAutospacing="0"/>
              <w:jc w:val="both"/>
              <w:rPr>
                <w:b/>
                <w:bCs/>
                <w:color w:val="000000"/>
              </w:rPr>
            </w:pPr>
            <w:r>
              <w:t>Спутанность сознания, дезориентация, ночные кошмары, нервозность, патологические сновидения</w:t>
            </w:r>
          </w:p>
        </w:tc>
      </w:tr>
      <w:tr w:rsidR="006F0ABA" w14:paraId="1BE84ACD" w14:textId="77777777" w:rsidTr="00A76175">
        <w:trPr>
          <w:trHeight w:val="270"/>
        </w:trPr>
        <w:tc>
          <w:tcPr>
            <w:tcW w:w="3139" w:type="dxa"/>
            <w:vMerge w:val="restart"/>
          </w:tcPr>
          <w:p w14:paraId="591461EE" w14:textId="38A308BB" w:rsidR="006F0ABA" w:rsidRDefault="006F0ABA" w:rsidP="008B6A80">
            <w:pPr>
              <w:pStyle w:val="ab"/>
              <w:spacing w:before="0" w:beforeAutospacing="0" w:after="0" w:afterAutospacing="0"/>
              <w:jc w:val="both"/>
              <w:rPr>
                <w:b/>
                <w:bCs/>
                <w:color w:val="000000"/>
              </w:rPr>
            </w:pPr>
            <w:r>
              <w:t>Нарушения со стороны нервной систем</w:t>
            </w:r>
          </w:p>
        </w:tc>
        <w:tc>
          <w:tcPr>
            <w:tcW w:w="2428" w:type="dxa"/>
          </w:tcPr>
          <w:p w14:paraId="7DFDC891" w14:textId="14ECB389" w:rsidR="006F0ABA" w:rsidRDefault="006F0ABA" w:rsidP="008B6A80">
            <w:pPr>
              <w:pStyle w:val="ab"/>
              <w:spacing w:before="0" w:beforeAutospacing="0" w:after="0" w:afterAutospacing="0"/>
              <w:jc w:val="both"/>
              <w:rPr>
                <w:b/>
                <w:bCs/>
                <w:color w:val="000000"/>
              </w:rPr>
            </w:pPr>
            <w:r>
              <w:t>Очень часто</w:t>
            </w:r>
          </w:p>
        </w:tc>
        <w:tc>
          <w:tcPr>
            <w:tcW w:w="3852" w:type="dxa"/>
          </w:tcPr>
          <w:p w14:paraId="0C044C1A" w14:textId="561A4654" w:rsidR="006F0ABA" w:rsidRDefault="006F0ABA" w:rsidP="008B6A80">
            <w:pPr>
              <w:pStyle w:val="ab"/>
              <w:spacing w:before="0" w:beforeAutospacing="0" w:after="0" w:afterAutospacing="0"/>
              <w:jc w:val="both"/>
              <w:rPr>
                <w:b/>
                <w:bCs/>
                <w:color w:val="000000"/>
              </w:rPr>
            </w:pPr>
            <w:r>
              <w:t>Головная боль</w:t>
            </w:r>
          </w:p>
        </w:tc>
      </w:tr>
      <w:tr w:rsidR="006F0ABA" w14:paraId="2C329650" w14:textId="77777777" w:rsidTr="00A76175">
        <w:trPr>
          <w:trHeight w:val="270"/>
        </w:trPr>
        <w:tc>
          <w:tcPr>
            <w:tcW w:w="3139" w:type="dxa"/>
            <w:vMerge/>
          </w:tcPr>
          <w:p w14:paraId="19281F1E" w14:textId="77777777" w:rsidR="006F0ABA" w:rsidRDefault="006F0ABA" w:rsidP="006F0ABA">
            <w:pPr>
              <w:pStyle w:val="ab"/>
              <w:spacing w:before="0" w:beforeAutospacing="0" w:after="0" w:afterAutospacing="0"/>
              <w:jc w:val="both"/>
              <w:rPr>
                <w:b/>
                <w:bCs/>
                <w:color w:val="000000"/>
              </w:rPr>
            </w:pPr>
          </w:p>
        </w:tc>
        <w:tc>
          <w:tcPr>
            <w:tcW w:w="2428" w:type="dxa"/>
          </w:tcPr>
          <w:p w14:paraId="333E942C" w14:textId="51D20E4C" w:rsidR="006F0ABA" w:rsidRDefault="006F0ABA" w:rsidP="006F0ABA">
            <w:pPr>
              <w:pStyle w:val="ab"/>
              <w:spacing w:before="0" w:beforeAutospacing="0" w:after="0" w:afterAutospacing="0"/>
              <w:jc w:val="both"/>
              <w:rPr>
                <w:b/>
                <w:bCs/>
                <w:color w:val="000000"/>
              </w:rPr>
            </w:pPr>
            <w:r>
              <w:t>Часто</w:t>
            </w:r>
          </w:p>
        </w:tc>
        <w:tc>
          <w:tcPr>
            <w:tcW w:w="3852" w:type="dxa"/>
          </w:tcPr>
          <w:p w14:paraId="02C72066" w14:textId="536AB214" w:rsidR="006F0ABA" w:rsidRDefault="006F0ABA" w:rsidP="006F0ABA">
            <w:pPr>
              <w:pStyle w:val="ab"/>
              <w:spacing w:before="0" w:beforeAutospacing="0" w:after="0" w:afterAutospacing="0"/>
              <w:jc w:val="both"/>
              <w:rPr>
                <w:b/>
                <w:bCs/>
                <w:color w:val="000000"/>
              </w:rPr>
            </w:pPr>
            <w:r>
              <w:t>Периферическая нейропатия, парестезии, гипестезии, амнезия, сонливость</w:t>
            </w:r>
          </w:p>
        </w:tc>
      </w:tr>
      <w:tr w:rsidR="006F0ABA" w14:paraId="20F22839" w14:textId="77777777" w:rsidTr="00A76175">
        <w:trPr>
          <w:trHeight w:val="270"/>
        </w:trPr>
        <w:tc>
          <w:tcPr>
            <w:tcW w:w="3139" w:type="dxa"/>
            <w:vMerge/>
          </w:tcPr>
          <w:p w14:paraId="3FEBFA89" w14:textId="77777777" w:rsidR="006F0ABA" w:rsidRDefault="006F0ABA" w:rsidP="006F0ABA">
            <w:pPr>
              <w:pStyle w:val="ab"/>
              <w:spacing w:before="0" w:beforeAutospacing="0" w:after="0" w:afterAutospacing="0"/>
              <w:jc w:val="both"/>
              <w:rPr>
                <w:b/>
                <w:bCs/>
                <w:color w:val="000000"/>
              </w:rPr>
            </w:pPr>
          </w:p>
        </w:tc>
        <w:tc>
          <w:tcPr>
            <w:tcW w:w="2428" w:type="dxa"/>
          </w:tcPr>
          <w:p w14:paraId="5AF73BED" w14:textId="027B551A" w:rsidR="006F0ABA" w:rsidRDefault="006F0ABA" w:rsidP="006F0ABA">
            <w:pPr>
              <w:pStyle w:val="ab"/>
              <w:spacing w:before="0" w:beforeAutospacing="0" w:after="0" w:afterAutospacing="0"/>
              <w:jc w:val="both"/>
              <w:rPr>
                <w:b/>
                <w:bCs/>
                <w:color w:val="000000"/>
              </w:rPr>
            </w:pPr>
            <w:r>
              <w:rPr>
                <w:sz w:val="26"/>
              </w:rPr>
              <w:t>Нечасто</w:t>
            </w:r>
          </w:p>
        </w:tc>
        <w:tc>
          <w:tcPr>
            <w:tcW w:w="3852" w:type="dxa"/>
          </w:tcPr>
          <w:p w14:paraId="59C2CAFD" w14:textId="25FBA486" w:rsidR="006F0ABA" w:rsidRDefault="006F0ABA" w:rsidP="006F0ABA">
            <w:pPr>
              <w:pStyle w:val="ab"/>
              <w:spacing w:before="0" w:beforeAutospacing="0" w:after="0" w:afterAutospacing="0"/>
              <w:jc w:val="both"/>
              <w:rPr>
                <w:b/>
                <w:bCs/>
                <w:color w:val="000000"/>
              </w:rPr>
            </w:pPr>
            <w:r>
              <w:t>Судороги, обморок, тремор, гиперсомния, нарушение внимания</w:t>
            </w:r>
          </w:p>
        </w:tc>
      </w:tr>
      <w:tr w:rsidR="00287251" w14:paraId="1478D0C5" w14:textId="77777777" w:rsidTr="00A76175">
        <w:trPr>
          <w:trHeight w:val="540"/>
        </w:trPr>
        <w:tc>
          <w:tcPr>
            <w:tcW w:w="3139" w:type="dxa"/>
          </w:tcPr>
          <w:p w14:paraId="65F1239F" w14:textId="5FDCC4A5" w:rsidR="00287251" w:rsidRDefault="006F0ABA" w:rsidP="008B6A80">
            <w:pPr>
              <w:pStyle w:val="ab"/>
              <w:spacing w:before="0" w:beforeAutospacing="0" w:after="0" w:afterAutospacing="0"/>
              <w:jc w:val="both"/>
              <w:rPr>
                <w:b/>
                <w:bCs/>
                <w:color w:val="000000"/>
              </w:rPr>
            </w:pPr>
            <w:r>
              <w:t>Нарушения со стороны органа зрения</w:t>
            </w:r>
          </w:p>
        </w:tc>
        <w:tc>
          <w:tcPr>
            <w:tcW w:w="2428" w:type="dxa"/>
          </w:tcPr>
          <w:p w14:paraId="6EF087AA" w14:textId="7E07000D" w:rsidR="00287251" w:rsidRDefault="006F0ABA" w:rsidP="008B6A80">
            <w:pPr>
              <w:pStyle w:val="ab"/>
              <w:spacing w:before="0" w:beforeAutospacing="0" w:after="0" w:afterAutospacing="0"/>
              <w:jc w:val="both"/>
              <w:rPr>
                <w:b/>
                <w:bCs/>
                <w:color w:val="000000"/>
              </w:rPr>
            </w:pPr>
            <w:r>
              <w:t>Часто</w:t>
            </w:r>
          </w:p>
        </w:tc>
        <w:tc>
          <w:tcPr>
            <w:tcW w:w="3852" w:type="dxa"/>
          </w:tcPr>
          <w:p w14:paraId="1C917D18" w14:textId="2EFED79E" w:rsidR="00287251" w:rsidRDefault="006F0ABA" w:rsidP="008B6A80">
            <w:pPr>
              <w:pStyle w:val="ab"/>
              <w:spacing w:before="0" w:beforeAutospacing="0" w:after="0" w:afterAutospacing="0"/>
              <w:jc w:val="both"/>
              <w:rPr>
                <w:b/>
                <w:bCs/>
                <w:color w:val="000000"/>
              </w:rPr>
            </w:pPr>
            <w:r>
              <w:t>Нечёткость зрения</w:t>
            </w:r>
          </w:p>
        </w:tc>
      </w:tr>
      <w:tr w:rsidR="00287251" w14:paraId="4FEAE394" w14:textId="77777777" w:rsidTr="00A76175">
        <w:trPr>
          <w:trHeight w:val="555"/>
        </w:trPr>
        <w:tc>
          <w:tcPr>
            <w:tcW w:w="3139" w:type="dxa"/>
          </w:tcPr>
          <w:p w14:paraId="5E3FD22D" w14:textId="3DFD1615" w:rsidR="00287251" w:rsidRDefault="006F0ABA" w:rsidP="008B6A80">
            <w:pPr>
              <w:pStyle w:val="ab"/>
              <w:spacing w:before="0" w:beforeAutospacing="0" w:after="0" w:afterAutospacing="0"/>
              <w:jc w:val="both"/>
              <w:rPr>
                <w:b/>
                <w:bCs/>
                <w:color w:val="000000"/>
              </w:rPr>
            </w:pPr>
            <w:r>
              <w:t>Нарушения со стороны органа слуха и лабиринт</w:t>
            </w:r>
          </w:p>
        </w:tc>
        <w:tc>
          <w:tcPr>
            <w:tcW w:w="2428" w:type="dxa"/>
          </w:tcPr>
          <w:p w14:paraId="516F03C1" w14:textId="569928A2" w:rsidR="00287251" w:rsidRDefault="006F0ABA" w:rsidP="008B6A80">
            <w:pPr>
              <w:pStyle w:val="ab"/>
              <w:spacing w:before="0" w:beforeAutospacing="0" w:after="0" w:afterAutospacing="0"/>
              <w:jc w:val="both"/>
              <w:rPr>
                <w:b/>
                <w:bCs/>
                <w:color w:val="000000"/>
              </w:rPr>
            </w:pPr>
            <w:r>
              <w:t>Нечасто</w:t>
            </w:r>
          </w:p>
        </w:tc>
        <w:tc>
          <w:tcPr>
            <w:tcW w:w="3852" w:type="dxa"/>
          </w:tcPr>
          <w:p w14:paraId="2AEFE32C" w14:textId="4DF305CF" w:rsidR="00287251" w:rsidRDefault="006F0ABA" w:rsidP="008B6A80">
            <w:pPr>
              <w:pStyle w:val="ab"/>
              <w:spacing w:before="0" w:beforeAutospacing="0" w:after="0" w:afterAutospacing="0"/>
              <w:jc w:val="both"/>
              <w:rPr>
                <w:b/>
                <w:bCs/>
                <w:color w:val="000000"/>
              </w:rPr>
            </w:pPr>
            <w:r>
              <w:t>Вертиго</w:t>
            </w:r>
          </w:p>
        </w:tc>
      </w:tr>
      <w:tr w:rsidR="006F0ABA" w14:paraId="05AA672C" w14:textId="77777777" w:rsidTr="00A76175">
        <w:trPr>
          <w:trHeight w:val="270"/>
        </w:trPr>
        <w:tc>
          <w:tcPr>
            <w:tcW w:w="3139" w:type="dxa"/>
            <w:vMerge w:val="restart"/>
          </w:tcPr>
          <w:p w14:paraId="5EAE6FA1" w14:textId="4C026125" w:rsidR="006F0ABA" w:rsidRDefault="006F0ABA" w:rsidP="006F0ABA">
            <w:pPr>
              <w:pStyle w:val="ab"/>
              <w:spacing w:before="0" w:beforeAutospacing="0" w:after="0" w:afterAutospacing="0"/>
              <w:jc w:val="both"/>
              <w:rPr>
                <w:b/>
                <w:bCs/>
                <w:color w:val="000000"/>
              </w:rPr>
            </w:pPr>
            <w:r>
              <w:t>Нарушения со стороны сердца</w:t>
            </w:r>
          </w:p>
        </w:tc>
        <w:tc>
          <w:tcPr>
            <w:tcW w:w="2428" w:type="dxa"/>
          </w:tcPr>
          <w:p w14:paraId="64FD6514" w14:textId="21E8D2A8" w:rsidR="006F0ABA" w:rsidRDefault="006F0ABA" w:rsidP="006F0ABA">
            <w:pPr>
              <w:pStyle w:val="ab"/>
              <w:spacing w:before="0" w:beforeAutospacing="0" w:after="0" w:afterAutospacing="0"/>
              <w:jc w:val="both"/>
              <w:rPr>
                <w:b/>
                <w:bCs/>
                <w:color w:val="000000"/>
              </w:rPr>
            </w:pPr>
            <w:r>
              <w:t>Часто</w:t>
            </w:r>
          </w:p>
        </w:tc>
        <w:tc>
          <w:tcPr>
            <w:tcW w:w="3852" w:type="dxa"/>
          </w:tcPr>
          <w:p w14:paraId="681B9830" w14:textId="51ABAFFC" w:rsidR="006F0ABA" w:rsidRDefault="006F0ABA" w:rsidP="006F0ABA">
            <w:pPr>
              <w:pStyle w:val="ab"/>
              <w:spacing w:before="0" w:beforeAutospacing="0" w:after="0" w:afterAutospacing="0"/>
              <w:jc w:val="both"/>
              <w:rPr>
                <w:b/>
                <w:bCs/>
                <w:color w:val="000000"/>
              </w:rPr>
            </w:pPr>
            <w:r>
              <w:t>Инфаркт миокарда</w:t>
            </w:r>
          </w:p>
        </w:tc>
      </w:tr>
      <w:tr w:rsidR="006F0ABA" w14:paraId="507F2965" w14:textId="77777777" w:rsidTr="00A76175">
        <w:trPr>
          <w:trHeight w:val="270"/>
        </w:trPr>
        <w:tc>
          <w:tcPr>
            <w:tcW w:w="3139" w:type="dxa"/>
            <w:vMerge/>
          </w:tcPr>
          <w:p w14:paraId="5CB9C669" w14:textId="77777777" w:rsidR="006F0ABA" w:rsidRDefault="006F0ABA" w:rsidP="006F0ABA">
            <w:pPr>
              <w:pStyle w:val="ab"/>
              <w:spacing w:before="0" w:beforeAutospacing="0" w:after="0" w:afterAutospacing="0"/>
              <w:jc w:val="both"/>
              <w:rPr>
                <w:b/>
                <w:bCs/>
                <w:color w:val="000000"/>
              </w:rPr>
            </w:pPr>
          </w:p>
        </w:tc>
        <w:tc>
          <w:tcPr>
            <w:tcW w:w="2428" w:type="dxa"/>
          </w:tcPr>
          <w:p w14:paraId="5DFD91EB" w14:textId="7BE64E3F" w:rsidR="006F0ABA" w:rsidRDefault="006F0ABA" w:rsidP="006F0ABA">
            <w:pPr>
              <w:pStyle w:val="ab"/>
              <w:spacing w:before="0" w:beforeAutospacing="0" w:after="0" w:afterAutospacing="0"/>
              <w:jc w:val="both"/>
              <w:rPr>
                <w:b/>
                <w:bCs/>
                <w:color w:val="000000"/>
              </w:rPr>
            </w:pPr>
            <w:r>
              <w:t>Нечасто</w:t>
            </w:r>
          </w:p>
        </w:tc>
        <w:tc>
          <w:tcPr>
            <w:tcW w:w="3852" w:type="dxa"/>
          </w:tcPr>
          <w:p w14:paraId="63D3D42A" w14:textId="5BA31BFE" w:rsidR="006F0ABA" w:rsidRDefault="006F0ABA" w:rsidP="006F0ABA">
            <w:pPr>
              <w:pStyle w:val="ab"/>
              <w:spacing w:before="0" w:beforeAutospacing="0" w:after="0" w:afterAutospacing="0"/>
              <w:jc w:val="both"/>
              <w:rPr>
                <w:b/>
                <w:bCs/>
                <w:color w:val="000000"/>
              </w:rPr>
            </w:pPr>
            <w:r>
              <w:t>Фибрилляция предсердий, стенокардия</w:t>
            </w:r>
          </w:p>
        </w:tc>
      </w:tr>
      <w:tr w:rsidR="00B01E5E" w14:paraId="6BCBF726" w14:textId="77777777" w:rsidTr="00A76175">
        <w:trPr>
          <w:trHeight w:val="285"/>
        </w:trPr>
        <w:tc>
          <w:tcPr>
            <w:tcW w:w="3139" w:type="dxa"/>
            <w:vMerge w:val="restart"/>
          </w:tcPr>
          <w:p w14:paraId="23D14896" w14:textId="27EA55F8" w:rsidR="00B01E5E" w:rsidRDefault="00B01E5E" w:rsidP="00B01E5E">
            <w:pPr>
              <w:pStyle w:val="ab"/>
              <w:spacing w:before="0" w:beforeAutospacing="0" w:after="0" w:afterAutospacing="0"/>
              <w:jc w:val="both"/>
              <w:rPr>
                <w:b/>
                <w:bCs/>
                <w:color w:val="000000"/>
              </w:rPr>
            </w:pPr>
            <w:r>
              <w:t>Нарушения со стороны сосудов</w:t>
            </w:r>
          </w:p>
        </w:tc>
        <w:tc>
          <w:tcPr>
            <w:tcW w:w="2428" w:type="dxa"/>
          </w:tcPr>
          <w:p w14:paraId="2EDA68C7" w14:textId="54538539" w:rsidR="00B01E5E" w:rsidRDefault="00B01E5E" w:rsidP="00B01E5E">
            <w:pPr>
              <w:pStyle w:val="ab"/>
              <w:spacing w:before="0" w:beforeAutospacing="0" w:after="0" w:afterAutospacing="0"/>
              <w:jc w:val="both"/>
              <w:rPr>
                <w:b/>
                <w:bCs/>
                <w:color w:val="000000"/>
              </w:rPr>
            </w:pPr>
            <w:r>
              <w:t>Часто</w:t>
            </w:r>
          </w:p>
        </w:tc>
        <w:tc>
          <w:tcPr>
            <w:tcW w:w="3852" w:type="dxa"/>
          </w:tcPr>
          <w:p w14:paraId="0BF25C4F" w14:textId="74E2F8B8" w:rsidR="00B01E5E" w:rsidRDefault="00B01E5E" w:rsidP="00B01E5E">
            <w:pPr>
              <w:pStyle w:val="ab"/>
              <w:spacing w:before="0" w:beforeAutospacing="0" w:after="0" w:afterAutospacing="0"/>
              <w:jc w:val="both"/>
              <w:rPr>
                <w:b/>
                <w:bCs/>
                <w:color w:val="000000"/>
              </w:rPr>
            </w:pPr>
            <w:r>
              <w:t>Гипертензия</w:t>
            </w:r>
          </w:p>
        </w:tc>
      </w:tr>
      <w:tr w:rsidR="00B01E5E" w14:paraId="749BB6E4" w14:textId="77777777" w:rsidTr="00A76175">
        <w:trPr>
          <w:trHeight w:val="285"/>
        </w:trPr>
        <w:tc>
          <w:tcPr>
            <w:tcW w:w="3139" w:type="dxa"/>
            <w:vMerge/>
          </w:tcPr>
          <w:p w14:paraId="0A75BE21" w14:textId="77777777" w:rsidR="00B01E5E" w:rsidRDefault="00B01E5E" w:rsidP="00B01E5E">
            <w:pPr>
              <w:pStyle w:val="ab"/>
              <w:spacing w:before="0" w:beforeAutospacing="0" w:after="0" w:afterAutospacing="0"/>
              <w:jc w:val="both"/>
              <w:rPr>
                <w:b/>
                <w:bCs/>
                <w:color w:val="000000"/>
              </w:rPr>
            </w:pPr>
          </w:p>
        </w:tc>
        <w:tc>
          <w:tcPr>
            <w:tcW w:w="2428" w:type="dxa"/>
          </w:tcPr>
          <w:p w14:paraId="620B9EB9" w14:textId="3D7AB203" w:rsidR="00B01E5E" w:rsidRDefault="00B01E5E" w:rsidP="00B01E5E">
            <w:pPr>
              <w:pStyle w:val="ab"/>
              <w:spacing w:before="0" w:beforeAutospacing="0" w:after="0" w:afterAutospacing="0"/>
              <w:jc w:val="both"/>
              <w:rPr>
                <w:b/>
                <w:bCs/>
                <w:color w:val="000000"/>
              </w:rPr>
            </w:pPr>
            <w:r>
              <w:t>Редко</w:t>
            </w:r>
          </w:p>
        </w:tc>
        <w:tc>
          <w:tcPr>
            <w:tcW w:w="3852" w:type="dxa"/>
          </w:tcPr>
          <w:p w14:paraId="72D51BE3" w14:textId="4BD0E1F3" w:rsidR="00B01E5E" w:rsidRDefault="00B01E5E" w:rsidP="00B01E5E">
            <w:pPr>
              <w:pStyle w:val="ab"/>
              <w:spacing w:before="0" w:beforeAutospacing="0" w:after="0" w:afterAutospacing="0"/>
              <w:jc w:val="both"/>
              <w:rPr>
                <w:b/>
                <w:bCs/>
                <w:color w:val="000000"/>
              </w:rPr>
            </w:pPr>
            <w:r>
              <w:t>Геморрагический инсульт</w:t>
            </w:r>
          </w:p>
        </w:tc>
      </w:tr>
      <w:tr w:rsidR="00B01E5E" w14:paraId="6581F018" w14:textId="77777777" w:rsidTr="00A76175">
        <w:trPr>
          <w:trHeight w:val="270"/>
        </w:trPr>
        <w:tc>
          <w:tcPr>
            <w:tcW w:w="3139" w:type="dxa"/>
            <w:vMerge w:val="restart"/>
          </w:tcPr>
          <w:p w14:paraId="58E596B4" w14:textId="3D9E64E6" w:rsidR="00B01E5E" w:rsidRDefault="00B01E5E" w:rsidP="00B01E5E">
            <w:pPr>
              <w:pStyle w:val="ab"/>
              <w:spacing w:before="0" w:beforeAutospacing="0" w:after="0" w:afterAutospacing="0"/>
              <w:jc w:val="both"/>
              <w:rPr>
                <w:b/>
                <w:bCs/>
                <w:color w:val="000000"/>
              </w:rPr>
            </w:pPr>
            <w:r>
              <w:t>Нарушения со стороны дыхательной системы, органов грудной клетки и средостения</w:t>
            </w:r>
          </w:p>
        </w:tc>
        <w:tc>
          <w:tcPr>
            <w:tcW w:w="2428" w:type="dxa"/>
          </w:tcPr>
          <w:p w14:paraId="7AD349CF" w14:textId="359628F3" w:rsidR="00B01E5E" w:rsidRDefault="00B01E5E" w:rsidP="00B01E5E">
            <w:pPr>
              <w:pStyle w:val="ab"/>
              <w:spacing w:before="0" w:beforeAutospacing="0" w:after="0" w:afterAutospacing="0"/>
              <w:jc w:val="both"/>
              <w:rPr>
                <w:b/>
                <w:bCs/>
                <w:color w:val="000000"/>
              </w:rPr>
            </w:pPr>
            <w:r>
              <w:t>Часто</w:t>
            </w:r>
          </w:p>
        </w:tc>
        <w:tc>
          <w:tcPr>
            <w:tcW w:w="3852" w:type="dxa"/>
          </w:tcPr>
          <w:p w14:paraId="16C382E9" w14:textId="0A026602" w:rsidR="00B01E5E" w:rsidRDefault="00B01E5E" w:rsidP="00B01E5E">
            <w:pPr>
              <w:pStyle w:val="ab"/>
              <w:spacing w:before="0" w:beforeAutospacing="0" w:after="0" w:afterAutospacing="0"/>
              <w:jc w:val="both"/>
              <w:rPr>
                <w:b/>
                <w:bCs/>
                <w:color w:val="000000"/>
              </w:rPr>
            </w:pPr>
            <w:r>
              <w:t>Одышка при нагрузке</w:t>
            </w:r>
          </w:p>
        </w:tc>
      </w:tr>
      <w:tr w:rsidR="00B01E5E" w14:paraId="0365D7B0" w14:textId="77777777" w:rsidTr="00A76175">
        <w:trPr>
          <w:trHeight w:val="270"/>
        </w:trPr>
        <w:tc>
          <w:tcPr>
            <w:tcW w:w="3139" w:type="dxa"/>
            <w:vMerge/>
          </w:tcPr>
          <w:p w14:paraId="3DA9A134" w14:textId="77777777" w:rsidR="00B01E5E" w:rsidRDefault="00B01E5E" w:rsidP="00B01E5E">
            <w:pPr>
              <w:pStyle w:val="ab"/>
              <w:spacing w:before="0" w:beforeAutospacing="0" w:after="0" w:afterAutospacing="0"/>
              <w:jc w:val="both"/>
              <w:rPr>
                <w:b/>
                <w:bCs/>
                <w:color w:val="000000"/>
              </w:rPr>
            </w:pPr>
          </w:p>
        </w:tc>
        <w:tc>
          <w:tcPr>
            <w:tcW w:w="2428" w:type="dxa"/>
          </w:tcPr>
          <w:p w14:paraId="2F9A25DA" w14:textId="5CADD34F" w:rsidR="00B01E5E" w:rsidRDefault="00B01E5E" w:rsidP="00B01E5E">
            <w:pPr>
              <w:pStyle w:val="ab"/>
              <w:spacing w:before="0" w:beforeAutospacing="0" w:after="0" w:afterAutospacing="0"/>
              <w:jc w:val="both"/>
              <w:rPr>
                <w:b/>
                <w:bCs/>
                <w:color w:val="000000"/>
              </w:rPr>
            </w:pPr>
            <w:r>
              <w:t>Нечасто</w:t>
            </w:r>
          </w:p>
        </w:tc>
        <w:tc>
          <w:tcPr>
            <w:tcW w:w="3852" w:type="dxa"/>
          </w:tcPr>
          <w:p w14:paraId="47AAED7E" w14:textId="4544D3D7" w:rsidR="00B01E5E" w:rsidRDefault="00B01E5E" w:rsidP="00B01E5E">
            <w:pPr>
              <w:pStyle w:val="ab"/>
              <w:spacing w:before="0" w:beforeAutospacing="0" w:after="0" w:afterAutospacing="0"/>
              <w:jc w:val="both"/>
              <w:rPr>
                <w:b/>
                <w:bCs/>
                <w:color w:val="000000"/>
              </w:rPr>
            </w:pPr>
            <w:r>
              <w:t>Бронхоспазм</w:t>
            </w:r>
          </w:p>
        </w:tc>
      </w:tr>
      <w:tr w:rsidR="004C26C2" w14:paraId="142B71DF" w14:textId="77777777" w:rsidTr="00A76175">
        <w:trPr>
          <w:trHeight w:val="270"/>
        </w:trPr>
        <w:tc>
          <w:tcPr>
            <w:tcW w:w="3139" w:type="dxa"/>
            <w:vMerge w:val="restart"/>
          </w:tcPr>
          <w:p w14:paraId="08EA4BBF" w14:textId="48E8DA18" w:rsidR="004C26C2" w:rsidRDefault="004C26C2" w:rsidP="004C26C2">
            <w:pPr>
              <w:pStyle w:val="ab"/>
              <w:spacing w:before="0" w:beforeAutospacing="0" w:after="0" w:afterAutospacing="0"/>
              <w:jc w:val="both"/>
              <w:rPr>
                <w:b/>
                <w:bCs/>
                <w:color w:val="000000"/>
              </w:rPr>
            </w:pPr>
            <w:r>
              <w:t>Нарушения со стороны желудочно-кишечного тракта</w:t>
            </w:r>
          </w:p>
        </w:tc>
        <w:tc>
          <w:tcPr>
            <w:tcW w:w="2428" w:type="dxa"/>
          </w:tcPr>
          <w:p w14:paraId="1F68A14D" w14:textId="25340685" w:rsidR="004C26C2" w:rsidRDefault="004C26C2" w:rsidP="004C26C2">
            <w:pPr>
              <w:pStyle w:val="ab"/>
              <w:spacing w:before="0" w:beforeAutospacing="0" w:after="0" w:afterAutospacing="0"/>
              <w:jc w:val="both"/>
              <w:rPr>
                <w:b/>
                <w:bCs/>
                <w:color w:val="000000"/>
              </w:rPr>
            </w:pPr>
            <w:r>
              <w:t>Очень часто</w:t>
            </w:r>
          </w:p>
        </w:tc>
        <w:tc>
          <w:tcPr>
            <w:tcW w:w="3852" w:type="dxa"/>
          </w:tcPr>
          <w:p w14:paraId="0C00C252" w14:textId="597CFADA" w:rsidR="004C26C2" w:rsidRDefault="004C26C2" w:rsidP="004C26C2">
            <w:pPr>
              <w:pStyle w:val="ab"/>
              <w:spacing w:before="0" w:beforeAutospacing="0" w:after="0" w:afterAutospacing="0"/>
              <w:jc w:val="both"/>
              <w:rPr>
                <w:b/>
                <w:bCs/>
                <w:color w:val="000000"/>
              </w:rPr>
            </w:pPr>
            <w:r>
              <w:t>Диарея, тошнота</w:t>
            </w:r>
          </w:p>
        </w:tc>
      </w:tr>
      <w:tr w:rsidR="004C26C2" w14:paraId="54E64F98" w14:textId="77777777" w:rsidTr="00A76175">
        <w:trPr>
          <w:trHeight w:val="1952"/>
        </w:trPr>
        <w:tc>
          <w:tcPr>
            <w:tcW w:w="3139" w:type="dxa"/>
            <w:vMerge/>
          </w:tcPr>
          <w:p w14:paraId="221076A6" w14:textId="77777777" w:rsidR="004C26C2" w:rsidRDefault="004C26C2" w:rsidP="004C26C2">
            <w:pPr>
              <w:pStyle w:val="ab"/>
              <w:spacing w:before="0" w:beforeAutospacing="0" w:after="0" w:afterAutospacing="0"/>
              <w:jc w:val="both"/>
              <w:rPr>
                <w:b/>
                <w:bCs/>
                <w:color w:val="000000"/>
              </w:rPr>
            </w:pPr>
          </w:p>
        </w:tc>
        <w:tc>
          <w:tcPr>
            <w:tcW w:w="2428" w:type="dxa"/>
          </w:tcPr>
          <w:p w14:paraId="6CA47DB1" w14:textId="57EAD1D0" w:rsidR="004C26C2" w:rsidRDefault="004C26C2" w:rsidP="004C26C2">
            <w:pPr>
              <w:pStyle w:val="ab"/>
              <w:spacing w:before="0" w:beforeAutospacing="0" w:after="0" w:afterAutospacing="0"/>
              <w:jc w:val="both"/>
              <w:rPr>
                <w:b/>
                <w:bCs/>
                <w:color w:val="000000"/>
              </w:rPr>
            </w:pPr>
            <w:r>
              <w:t>Часто</w:t>
            </w:r>
          </w:p>
        </w:tc>
        <w:tc>
          <w:tcPr>
            <w:tcW w:w="3852" w:type="dxa"/>
          </w:tcPr>
          <w:p w14:paraId="7D76E2C3" w14:textId="25816A32" w:rsidR="004C26C2" w:rsidRDefault="004C26C2" w:rsidP="004C26C2">
            <w:pPr>
              <w:pStyle w:val="ab"/>
              <w:spacing w:before="0" w:beforeAutospacing="0" w:after="0" w:afterAutospacing="0"/>
              <w:jc w:val="both"/>
              <w:rPr>
                <w:b/>
                <w:bCs/>
                <w:color w:val="000000"/>
              </w:rPr>
            </w:pPr>
            <w:r>
              <w:t>Гастроэзофагеальная рефлюксная болезнь, рвота, боль в животе, вздутие живота, метеоризм, гастрит, запор, сухость во рту, стоматит, увеличение уровня липазы, увеличение уровня амилазы в крови</w:t>
            </w:r>
          </w:p>
        </w:tc>
      </w:tr>
      <w:tr w:rsidR="004C26C2" w14:paraId="2B391000" w14:textId="77777777" w:rsidTr="00A76175">
        <w:trPr>
          <w:trHeight w:val="555"/>
        </w:trPr>
        <w:tc>
          <w:tcPr>
            <w:tcW w:w="3139" w:type="dxa"/>
            <w:vMerge/>
          </w:tcPr>
          <w:p w14:paraId="5D0D24E8" w14:textId="77777777" w:rsidR="004C26C2" w:rsidRDefault="004C26C2" w:rsidP="004C26C2">
            <w:pPr>
              <w:pStyle w:val="ab"/>
              <w:spacing w:before="0" w:beforeAutospacing="0" w:after="0" w:afterAutospacing="0"/>
              <w:jc w:val="both"/>
              <w:rPr>
                <w:b/>
                <w:bCs/>
                <w:color w:val="000000"/>
              </w:rPr>
            </w:pPr>
          </w:p>
        </w:tc>
        <w:tc>
          <w:tcPr>
            <w:tcW w:w="2428" w:type="dxa"/>
          </w:tcPr>
          <w:p w14:paraId="5C4DBBDC" w14:textId="66800CED" w:rsidR="004C26C2" w:rsidRDefault="004C26C2" w:rsidP="004C26C2">
            <w:pPr>
              <w:pStyle w:val="ab"/>
              <w:spacing w:before="0" w:beforeAutospacing="0" w:after="0" w:afterAutospacing="0"/>
              <w:jc w:val="both"/>
              <w:rPr>
                <w:b/>
                <w:bCs/>
                <w:color w:val="000000"/>
              </w:rPr>
            </w:pPr>
            <w:r>
              <w:rPr>
                <w:sz w:val="26"/>
              </w:rPr>
              <w:t>Нечасто</w:t>
            </w:r>
          </w:p>
        </w:tc>
        <w:tc>
          <w:tcPr>
            <w:tcW w:w="3852" w:type="dxa"/>
          </w:tcPr>
          <w:p w14:paraId="2D2CD01F" w14:textId="240E2C35" w:rsidR="004C26C2" w:rsidRDefault="004C26C2" w:rsidP="004C26C2">
            <w:pPr>
              <w:pStyle w:val="ab"/>
              <w:spacing w:before="0" w:beforeAutospacing="0" w:after="0" w:afterAutospacing="0"/>
              <w:jc w:val="both"/>
              <w:rPr>
                <w:b/>
                <w:bCs/>
                <w:color w:val="000000"/>
              </w:rPr>
            </w:pPr>
            <w:r>
              <w:t>Панкреатит, кровавая рвота, позывы на рвоту</w:t>
            </w:r>
          </w:p>
        </w:tc>
      </w:tr>
      <w:tr w:rsidR="004C26C2" w14:paraId="3D038B9E" w14:textId="77777777" w:rsidTr="00A76175">
        <w:trPr>
          <w:trHeight w:val="540"/>
        </w:trPr>
        <w:tc>
          <w:tcPr>
            <w:tcW w:w="3139" w:type="dxa"/>
            <w:vMerge w:val="restart"/>
          </w:tcPr>
          <w:p w14:paraId="0EC7315B" w14:textId="4AB3ED0E" w:rsidR="004C26C2" w:rsidRDefault="004C26C2" w:rsidP="004C26C2">
            <w:pPr>
              <w:pStyle w:val="ab"/>
              <w:spacing w:before="0" w:beforeAutospacing="0" w:after="0" w:afterAutospacing="0"/>
              <w:jc w:val="both"/>
              <w:rPr>
                <w:b/>
                <w:bCs/>
                <w:color w:val="000000"/>
              </w:rPr>
            </w:pPr>
            <w:r>
              <w:t>Нарушения со стороны печени и желчевыводящих путей</w:t>
            </w:r>
          </w:p>
        </w:tc>
        <w:tc>
          <w:tcPr>
            <w:tcW w:w="2428" w:type="dxa"/>
          </w:tcPr>
          <w:p w14:paraId="0ABD2AF5" w14:textId="59FBC558" w:rsidR="004C26C2" w:rsidRDefault="004C26C2" w:rsidP="004C26C2">
            <w:pPr>
              <w:pStyle w:val="ab"/>
              <w:spacing w:before="0" w:beforeAutospacing="0" w:after="0" w:afterAutospacing="0"/>
              <w:jc w:val="both"/>
              <w:rPr>
                <w:b/>
                <w:bCs/>
                <w:color w:val="000000"/>
              </w:rPr>
            </w:pPr>
            <w:r>
              <w:t>Часто</w:t>
            </w:r>
          </w:p>
        </w:tc>
        <w:tc>
          <w:tcPr>
            <w:tcW w:w="3852" w:type="dxa"/>
          </w:tcPr>
          <w:p w14:paraId="1625A3A4" w14:textId="71A24E35" w:rsidR="004C26C2" w:rsidRDefault="004C26C2" w:rsidP="004C26C2">
            <w:pPr>
              <w:pStyle w:val="ab"/>
              <w:spacing w:before="0" w:beforeAutospacing="0" w:after="0" w:afterAutospacing="0"/>
              <w:jc w:val="both"/>
              <w:rPr>
                <w:b/>
                <w:bCs/>
                <w:color w:val="000000"/>
              </w:rPr>
            </w:pPr>
            <w:r>
              <w:t>Увеличение уровня АЛТ, увеличение уровня АСТ</w:t>
            </w:r>
          </w:p>
        </w:tc>
      </w:tr>
      <w:tr w:rsidR="004C26C2" w14:paraId="463519A3" w14:textId="77777777" w:rsidTr="00A76175">
        <w:trPr>
          <w:trHeight w:val="841"/>
        </w:trPr>
        <w:tc>
          <w:tcPr>
            <w:tcW w:w="3139" w:type="dxa"/>
            <w:vMerge/>
          </w:tcPr>
          <w:p w14:paraId="205E1FEB" w14:textId="77777777" w:rsidR="004C26C2" w:rsidRDefault="004C26C2" w:rsidP="004C26C2">
            <w:pPr>
              <w:pStyle w:val="ab"/>
              <w:spacing w:before="0" w:beforeAutospacing="0" w:after="0" w:afterAutospacing="0"/>
              <w:jc w:val="both"/>
              <w:rPr>
                <w:b/>
                <w:bCs/>
                <w:color w:val="000000"/>
              </w:rPr>
            </w:pPr>
          </w:p>
        </w:tc>
        <w:tc>
          <w:tcPr>
            <w:tcW w:w="2428" w:type="dxa"/>
          </w:tcPr>
          <w:p w14:paraId="55FB3E08" w14:textId="2ACEA5F9" w:rsidR="004C26C2" w:rsidRDefault="004C26C2" w:rsidP="004C26C2">
            <w:pPr>
              <w:pStyle w:val="ab"/>
              <w:spacing w:before="0" w:beforeAutospacing="0" w:after="0" w:afterAutospacing="0"/>
              <w:jc w:val="both"/>
              <w:rPr>
                <w:b/>
                <w:bCs/>
                <w:color w:val="000000"/>
              </w:rPr>
            </w:pPr>
            <w:r>
              <w:t>Нечасто</w:t>
            </w:r>
          </w:p>
        </w:tc>
        <w:tc>
          <w:tcPr>
            <w:tcW w:w="3852" w:type="dxa"/>
          </w:tcPr>
          <w:p w14:paraId="22879392" w14:textId="31D0F6AF" w:rsidR="004C26C2" w:rsidRDefault="000C700F" w:rsidP="004C26C2">
            <w:pPr>
              <w:pStyle w:val="ab"/>
              <w:spacing w:before="0" w:beforeAutospacing="0" w:after="0" w:afterAutospacing="0"/>
              <w:jc w:val="both"/>
              <w:rPr>
                <w:b/>
                <w:bCs/>
                <w:color w:val="000000"/>
              </w:rPr>
            </w:pPr>
            <w:r>
              <w:t>Гепатит, стеатоз печени, цитолитический гепатит, гепатомегалия</w:t>
            </w:r>
          </w:p>
        </w:tc>
      </w:tr>
      <w:tr w:rsidR="000C700F" w14:paraId="44713DE5" w14:textId="77777777" w:rsidTr="00A76175">
        <w:trPr>
          <w:trHeight w:val="270"/>
        </w:trPr>
        <w:tc>
          <w:tcPr>
            <w:tcW w:w="3139" w:type="dxa"/>
            <w:vMerge w:val="restart"/>
          </w:tcPr>
          <w:p w14:paraId="3DDCD3BF" w14:textId="32FFC9EE" w:rsidR="000C700F" w:rsidRDefault="000C700F" w:rsidP="000C700F">
            <w:pPr>
              <w:pStyle w:val="ab"/>
              <w:spacing w:before="0" w:beforeAutospacing="0" w:after="0" w:afterAutospacing="0"/>
              <w:jc w:val="both"/>
              <w:rPr>
                <w:b/>
                <w:bCs/>
                <w:color w:val="000000"/>
              </w:rPr>
            </w:pPr>
            <w:r>
              <w:t>Нарушения со стороны кожи и подкожных тканей</w:t>
            </w:r>
          </w:p>
        </w:tc>
        <w:tc>
          <w:tcPr>
            <w:tcW w:w="2428" w:type="dxa"/>
          </w:tcPr>
          <w:p w14:paraId="5BB4185B" w14:textId="45C8A00F" w:rsidR="000C700F" w:rsidRPr="000C700F" w:rsidRDefault="000C700F" w:rsidP="000C700F">
            <w:pPr>
              <w:pStyle w:val="ab"/>
              <w:spacing w:before="0" w:beforeAutospacing="0" w:after="0" w:afterAutospacing="0"/>
              <w:jc w:val="both"/>
              <w:rPr>
                <w:color w:val="000000"/>
              </w:rPr>
            </w:pPr>
            <w:r w:rsidRPr="000C700F">
              <w:t>Очень часто</w:t>
            </w:r>
          </w:p>
        </w:tc>
        <w:tc>
          <w:tcPr>
            <w:tcW w:w="3852" w:type="dxa"/>
          </w:tcPr>
          <w:p w14:paraId="27175053" w14:textId="7A22247C" w:rsidR="000C700F" w:rsidRDefault="000C700F" w:rsidP="000C700F">
            <w:pPr>
              <w:pStyle w:val="ab"/>
              <w:spacing w:before="0" w:beforeAutospacing="0" w:after="0" w:afterAutospacing="0"/>
              <w:jc w:val="both"/>
              <w:rPr>
                <w:b/>
                <w:bCs/>
                <w:color w:val="000000"/>
              </w:rPr>
            </w:pPr>
            <w:r>
              <w:t>Сыпь</w:t>
            </w:r>
          </w:p>
        </w:tc>
      </w:tr>
      <w:tr w:rsidR="000C700F" w14:paraId="2B0E82F3" w14:textId="77777777" w:rsidTr="00A76175">
        <w:trPr>
          <w:trHeight w:val="570"/>
        </w:trPr>
        <w:tc>
          <w:tcPr>
            <w:tcW w:w="3139" w:type="dxa"/>
            <w:vMerge/>
          </w:tcPr>
          <w:p w14:paraId="75387DB0" w14:textId="77777777" w:rsidR="000C700F" w:rsidRDefault="000C700F" w:rsidP="000C700F">
            <w:pPr>
              <w:pStyle w:val="ab"/>
              <w:spacing w:before="0" w:beforeAutospacing="0" w:after="0" w:afterAutospacing="0"/>
              <w:jc w:val="both"/>
              <w:rPr>
                <w:b/>
                <w:bCs/>
                <w:color w:val="000000"/>
              </w:rPr>
            </w:pPr>
          </w:p>
        </w:tc>
        <w:tc>
          <w:tcPr>
            <w:tcW w:w="2428" w:type="dxa"/>
          </w:tcPr>
          <w:p w14:paraId="133ACB3E" w14:textId="3CB13BB0" w:rsidR="000C700F" w:rsidRPr="000C700F" w:rsidRDefault="000C700F" w:rsidP="000C700F">
            <w:pPr>
              <w:pStyle w:val="ab"/>
              <w:spacing w:before="0" w:beforeAutospacing="0" w:after="0" w:afterAutospacing="0"/>
              <w:jc w:val="both"/>
              <w:rPr>
                <w:color w:val="000000"/>
              </w:rPr>
            </w:pPr>
            <w:r w:rsidRPr="000C700F">
              <w:t>Часто</w:t>
            </w:r>
          </w:p>
        </w:tc>
        <w:tc>
          <w:tcPr>
            <w:tcW w:w="3852" w:type="dxa"/>
          </w:tcPr>
          <w:p w14:paraId="5193B834" w14:textId="4F5C77FC" w:rsidR="000C700F" w:rsidRDefault="000C700F" w:rsidP="000C700F">
            <w:pPr>
              <w:pStyle w:val="ab"/>
              <w:spacing w:before="0" w:beforeAutospacing="0" w:after="0" w:afterAutospacing="0"/>
              <w:jc w:val="both"/>
              <w:rPr>
                <w:b/>
                <w:bCs/>
                <w:color w:val="000000"/>
              </w:rPr>
            </w:pPr>
            <w:r>
              <w:t>Ночная потливость, сухость кожи, пруриго</w:t>
            </w:r>
          </w:p>
        </w:tc>
      </w:tr>
      <w:tr w:rsidR="000C700F" w14:paraId="5D4866ED" w14:textId="77777777" w:rsidTr="00A76175">
        <w:trPr>
          <w:trHeight w:val="555"/>
        </w:trPr>
        <w:tc>
          <w:tcPr>
            <w:tcW w:w="3139" w:type="dxa"/>
            <w:vMerge/>
          </w:tcPr>
          <w:p w14:paraId="384754AD" w14:textId="77777777" w:rsidR="000C700F" w:rsidRDefault="000C700F" w:rsidP="008B6A80">
            <w:pPr>
              <w:pStyle w:val="ab"/>
              <w:spacing w:before="0" w:beforeAutospacing="0" w:after="0" w:afterAutospacing="0"/>
              <w:jc w:val="both"/>
              <w:rPr>
                <w:b/>
                <w:bCs/>
                <w:color w:val="000000"/>
              </w:rPr>
            </w:pPr>
          </w:p>
        </w:tc>
        <w:tc>
          <w:tcPr>
            <w:tcW w:w="2428" w:type="dxa"/>
          </w:tcPr>
          <w:p w14:paraId="23883BB4" w14:textId="6CBE2B62" w:rsidR="000C700F" w:rsidRPr="000C700F" w:rsidRDefault="000C700F" w:rsidP="008B6A80">
            <w:pPr>
              <w:pStyle w:val="ab"/>
              <w:spacing w:before="0" w:beforeAutospacing="0" w:after="0" w:afterAutospacing="0"/>
              <w:jc w:val="both"/>
              <w:rPr>
                <w:color w:val="000000"/>
              </w:rPr>
            </w:pPr>
            <w:r w:rsidRPr="000C700F">
              <w:rPr>
                <w:color w:val="000000"/>
              </w:rPr>
              <w:t>Нечасто</w:t>
            </w:r>
          </w:p>
        </w:tc>
        <w:tc>
          <w:tcPr>
            <w:tcW w:w="3852" w:type="dxa"/>
          </w:tcPr>
          <w:p w14:paraId="3C672D7A" w14:textId="243E22F2" w:rsidR="000C700F" w:rsidRDefault="000C700F" w:rsidP="008B6A80">
            <w:pPr>
              <w:pStyle w:val="ab"/>
              <w:spacing w:before="0" w:beforeAutospacing="0" w:after="0" w:afterAutospacing="0"/>
              <w:jc w:val="both"/>
              <w:rPr>
                <w:b/>
                <w:bCs/>
                <w:color w:val="000000"/>
              </w:rPr>
            </w:pPr>
            <w:r>
              <w:t>Ангионевротический отёкa , отёк лица, гипергидроз</w:t>
            </w:r>
          </w:p>
        </w:tc>
      </w:tr>
      <w:tr w:rsidR="000C700F" w14:paraId="60742DEF" w14:textId="77777777" w:rsidTr="00A76175">
        <w:trPr>
          <w:trHeight w:val="570"/>
        </w:trPr>
        <w:tc>
          <w:tcPr>
            <w:tcW w:w="3139" w:type="dxa"/>
            <w:vMerge/>
          </w:tcPr>
          <w:p w14:paraId="460B34B1" w14:textId="77777777" w:rsidR="000C700F" w:rsidRDefault="000C700F" w:rsidP="008B6A80">
            <w:pPr>
              <w:pStyle w:val="ab"/>
              <w:spacing w:before="0" w:beforeAutospacing="0" w:after="0" w:afterAutospacing="0"/>
              <w:jc w:val="both"/>
              <w:rPr>
                <w:b/>
                <w:bCs/>
                <w:color w:val="000000"/>
              </w:rPr>
            </w:pPr>
          </w:p>
        </w:tc>
        <w:tc>
          <w:tcPr>
            <w:tcW w:w="2428" w:type="dxa"/>
          </w:tcPr>
          <w:p w14:paraId="36F144F7" w14:textId="6630FB8C" w:rsidR="000C700F" w:rsidRPr="000C700F" w:rsidRDefault="000C700F" w:rsidP="008B6A80">
            <w:pPr>
              <w:pStyle w:val="ab"/>
              <w:spacing w:before="0" w:beforeAutospacing="0" w:after="0" w:afterAutospacing="0"/>
              <w:jc w:val="both"/>
              <w:rPr>
                <w:color w:val="000000"/>
              </w:rPr>
            </w:pPr>
            <w:r w:rsidRPr="000C700F">
              <w:rPr>
                <w:color w:val="000000"/>
              </w:rPr>
              <w:t>Редко</w:t>
            </w:r>
          </w:p>
        </w:tc>
        <w:tc>
          <w:tcPr>
            <w:tcW w:w="3852" w:type="dxa"/>
          </w:tcPr>
          <w:p w14:paraId="60EF8953" w14:textId="0A33FAD1" w:rsidR="000C700F" w:rsidRDefault="000C700F" w:rsidP="008B6A80">
            <w:pPr>
              <w:pStyle w:val="ab"/>
              <w:spacing w:before="0" w:beforeAutospacing="0" w:after="0" w:afterAutospacing="0"/>
              <w:jc w:val="both"/>
              <w:rPr>
                <w:b/>
                <w:bCs/>
                <w:color w:val="000000"/>
              </w:rPr>
            </w:pPr>
            <w:r>
              <w:t>Синдром Стивенса-Джонсона, мультиформная эритема</w:t>
            </w:r>
          </w:p>
        </w:tc>
      </w:tr>
      <w:tr w:rsidR="000C700F" w14:paraId="5962A35A" w14:textId="77777777" w:rsidTr="00A76175">
        <w:trPr>
          <w:trHeight w:val="555"/>
        </w:trPr>
        <w:tc>
          <w:tcPr>
            <w:tcW w:w="3139" w:type="dxa"/>
            <w:vMerge/>
          </w:tcPr>
          <w:p w14:paraId="71583175" w14:textId="77777777" w:rsidR="000C700F" w:rsidRDefault="000C700F" w:rsidP="008B6A80">
            <w:pPr>
              <w:pStyle w:val="ab"/>
              <w:spacing w:before="0" w:beforeAutospacing="0" w:after="0" w:afterAutospacing="0"/>
              <w:jc w:val="both"/>
              <w:rPr>
                <w:b/>
                <w:bCs/>
                <w:color w:val="000000"/>
              </w:rPr>
            </w:pPr>
          </w:p>
        </w:tc>
        <w:tc>
          <w:tcPr>
            <w:tcW w:w="2428" w:type="dxa"/>
          </w:tcPr>
          <w:p w14:paraId="5F6E4E83" w14:textId="00B960A2" w:rsidR="000C700F" w:rsidRPr="000C700F" w:rsidRDefault="000C700F" w:rsidP="008B6A80">
            <w:pPr>
              <w:pStyle w:val="ab"/>
              <w:spacing w:before="0" w:beforeAutospacing="0" w:after="0" w:afterAutospacing="0"/>
              <w:jc w:val="both"/>
              <w:rPr>
                <w:color w:val="000000"/>
              </w:rPr>
            </w:pPr>
            <w:r w:rsidRPr="000C700F">
              <w:rPr>
                <w:color w:val="000000"/>
              </w:rPr>
              <w:t>Очень редко</w:t>
            </w:r>
          </w:p>
        </w:tc>
        <w:tc>
          <w:tcPr>
            <w:tcW w:w="3852" w:type="dxa"/>
          </w:tcPr>
          <w:p w14:paraId="25C6DEEB" w14:textId="3DD8FE0A" w:rsidR="000C700F" w:rsidRDefault="000C700F" w:rsidP="008B6A80">
            <w:pPr>
              <w:pStyle w:val="ab"/>
              <w:spacing w:before="0" w:beforeAutospacing="0" w:after="0" w:afterAutospacing="0"/>
              <w:jc w:val="both"/>
              <w:rPr>
                <w:b/>
                <w:bCs/>
                <w:color w:val="000000"/>
              </w:rPr>
            </w:pPr>
            <w:r>
              <w:t>Токсический эпидермальный некролиза , DRESS-синдромb</w:t>
            </w:r>
          </w:p>
        </w:tc>
      </w:tr>
      <w:tr w:rsidR="004C26C2" w14:paraId="36A52E6B" w14:textId="77777777" w:rsidTr="00A76175">
        <w:trPr>
          <w:trHeight w:val="826"/>
        </w:trPr>
        <w:tc>
          <w:tcPr>
            <w:tcW w:w="3139" w:type="dxa"/>
          </w:tcPr>
          <w:p w14:paraId="06E3AB14" w14:textId="7026C0FE" w:rsidR="004C26C2" w:rsidRDefault="000C700F" w:rsidP="008B6A80">
            <w:pPr>
              <w:pStyle w:val="ab"/>
              <w:spacing w:before="0" w:beforeAutospacing="0" w:after="0" w:afterAutospacing="0"/>
              <w:jc w:val="both"/>
              <w:rPr>
                <w:b/>
                <w:bCs/>
                <w:color w:val="000000"/>
              </w:rPr>
            </w:pPr>
            <w:r>
              <w:t>Нарушения со стороны почек и мочевыводящих путей</w:t>
            </w:r>
          </w:p>
        </w:tc>
        <w:tc>
          <w:tcPr>
            <w:tcW w:w="2428" w:type="dxa"/>
          </w:tcPr>
          <w:p w14:paraId="6726D7A9" w14:textId="52899C1A" w:rsidR="004C26C2" w:rsidRDefault="000C700F" w:rsidP="008B6A80">
            <w:pPr>
              <w:pStyle w:val="ab"/>
              <w:spacing w:before="0" w:beforeAutospacing="0" w:after="0" w:afterAutospacing="0"/>
              <w:jc w:val="both"/>
              <w:rPr>
                <w:b/>
                <w:bCs/>
                <w:color w:val="000000"/>
              </w:rPr>
            </w:pPr>
            <w:r w:rsidRPr="000C700F">
              <w:t>Часто</w:t>
            </w:r>
          </w:p>
        </w:tc>
        <w:tc>
          <w:tcPr>
            <w:tcW w:w="3852" w:type="dxa"/>
          </w:tcPr>
          <w:p w14:paraId="582C4D7A" w14:textId="0D7D8742" w:rsidR="004C26C2" w:rsidRDefault="000C700F" w:rsidP="008B6A80">
            <w:pPr>
              <w:pStyle w:val="ab"/>
              <w:spacing w:before="0" w:beforeAutospacing="0" w:after="0" w:afterAutospacing="0"/>
              <w:jc w:val="both"/>
              <w:rPr>
                <w:b/>
                <w:bCs/>
                <w:color w:val="000000"/>
              </w:rPr>
            </w:pPr>
            <w:r>
              <w:t>Почечная недостаточность, увеличение уровня креатинина в крови</w:t>
            </w:r>
          </w:p>
        </w:tc>
      </w:tr>
      <w:tr w:rsidR="004C26C2" w14:paraId="59CDCF0A" w14:textId="77777777" w:rsidTr="00A76175">
        <w:trPr>
          <w:trHeight w:val="826"/>
        </w:trPr>
        <w:tc>
          <w:tcPr>
            <w:tcW w:w="3139" w:type="dxa"/>
          </w:tcPr>
          <w:p w14:paraId="242AEFBF" w14:textId="4A6CE9D9" w:rsidR="004C26C2" w:rsidRDefault="000C700F" w:rsidP="008B6A80">
            <w:pPr>
              <w:pStyle w:val="ab"/>
              <w:spacing w:before="0" w:beforeAutospacing="0" w:after="0" w:afterAutospacing="0"/>
              <w:jc w:val="both"/>
              <w:rPr>
                <w:b/>
                <w:bCs/>
                <w:color w:val="000000"/>
              </w:rPr>
            </w:pPr>
            <w:r>
              <w:t>Нарушения со стороны репродуктивной системы и молочных желез</w:t>
            </w:r>
          </w:p>
        </w:tc>
        <w:tc>
          <w:tcPr>
            <w:tcW w:w="2428" w:type="dxa"/>
          </w:tcPr>
          <w:p w14:paraId="1E3C34B4" w14:textId="52412E90" w:rsidR="004C26C2" w:rsidRDefault="000C700F" w:rsidP="008B6A80">
            <w:pPr>
              <w:pStyle w:val="ab"/>
              <w:spacing w:before="0" w:beforeAutospacing="0" w:after="0" w:afterAutospacing="0"/>
              <w:jc w:val="both"/>
              <w:rPr>
                <w:b/>
                <w:bCs/>
                <w:color w:val="000000"/>
              </w:rPr>
            </w:pPr>
            <w:r w:rsidRPr="000C700F">
              <w:rPr>
                <w:color w:val="000000"/>
              </w:rPr>
              <w:t>Нечасто</w:t>
            </w:r>
          </w:p>
        </w:tc>
        <w:tc>
          <w:tcPr>
            <w:tcW w:w="3852" w:type="dxa"/>
          </w:tcPr>
          <w:p w14:paraId="06BE9E5B" w14:textId="156CF492" w:rsidR="004C26C2" w:rsidRDefault="000C700F" w:rsidP="008B6A80">
            <w:pPr>
              <w:pStyle w:val="ab"/>
              <w:spacing w:before="0" w:beforeAutospacing="0" w:after="0" w:afterAutospacing="0"/>
              <w:jc w:val="both"/>
              <w:rPr>
                <w:b/>
                <w:bCs/>
                <w:color w:val="000000"/>
              </w:rPr>
            </w:pPr>
            <w:r>
              <w:t>Гинекомастия</w:t>
            </w:r>
          </w:p>
        </w:tc>
      </w:tr>
      <w:tr w:rsidR="000C700F" w14:paraId="59EB13DA" w14:textId="77777777" w:rsidTr="00A76175">
        <w:trPr>
          <w:trHeight w:val="270"/>
        </w:trPr>
        <w:tc>
          <w:tcPr>
            <w:tcW w:w="3139" w:type="dxa"/>
            <w:vMerge w:val="restart"/>
          </w:tcPr>
          <w:p w14:paraId="4AF625C3" w14:textId="6ACE0DA6" w:rsidR="000C700F" w:rsidRDefault="000C700F" w:rsidP="000C700F">
            <w:pPr>
              <w:pStyle w:val="ab"/>
              <w:spacing w:before="0" w:beforeAutospacing="0" w:after="0" w:afterAutospacing="0"/>
              <w:jc w:val="both"/>
              <w:rPr>
                <w:b/>
                <w:bCs/>
                <w:color w:val="000000"/>
              </w:rPr>
            </w:pPr>
            <w:r>
              <w:t>Общие нарушения и реакции в месте введения</w:t>
            </w:r>
          </w:p>
        </w:tc>
        <w:tc>
          <w:tcPr>
            <w:tcW w:w="2428" w:type="dxa"/>
          </w:tcPr>
          <w:p w14:paraId="60138999" w14:textId="463B6CB7" w:rsidR="000C700F" w:rsidRDefault="000C700F" w:rsidP="000C700F">
            <w:pPr>
              <w:pStyle w:val="ab"/>
              <w:spacing w:before="0" w:beforeAutospacing="0" w:after="0" w:afterAutospacing="0"/>
              <w:jc w:val="both"/>
              <w:rPr>
                <w:b/>
                <w:bCs/>
                <w:color w:val="000000"/>
              </w:rPr>
            </w:pPr>
            <w:r w:rsidRPr="000C700F">
              <w:t>Часто</w:t>
            </w:r>
          </w:p>
        </w:tc>
        <w:tc>
          <w:tcPr>
            <w:tcW w:w="3852" w:type="dxa"/>
          </w:tcPr>
          <w:p w14:paraId="689291AA" w14:textId="3FDE351D" w:rsidR="000C700F" w:rsidRDefault="000C700F" w:rsidP="000C700F">
            <w:pPr>
              <w:pStyle w:val="ab"/>
              <w:spacing w:before="0" w:beforeAutospacing="0" w:after="0" w:afterAutospacing="0"/>
              <w:jc w:val="both"/>
              <w:rPr>
                <w:b/>
                <w:bCs/>
                <w:color w:val="000000"/>
              </w:rPr>
            </w:pPr>
            <w:r>
              <w:t>Утомляемость</w:t>
            </w:r>
          </w:p>
        </w:tc>
      </w:tr>
      <w:tr w:rsidR="000C700F" w14:paraId="67A5EA10" w14:textId="77777777" w:rsidTr="00A76175">
        <w:trPr>
          <w:trHeight w:val="285"/>
        </w:trPr>
        <w:tc>
          <w:tcPr>
            <w:tcW w:w="3139" w:type="dxa"/>
            <w:vMerge/>
          </w:tcPr>
          <w:p w14:paraId="75859070" w14:textId="77777777" w:rsidR="000C700F" w:rsidRDefault="000C700F" w:rsidP="000C700F">
            <w:pPr>
              <w:pStyle w:val="ab"/>
              <w:spacing w:before="0" w:beforeAutospacing="0" w:after="0" w:afterAutospacing="0"/>
              <w:jc w:val="both"/>
              <w:rPr>
                <w:b/>
                <w:bCs/>
                <w:color w:val="000000"/>
              </w:rPr>
            </w:pPr>
          </w:p>
        </w:tc>
        <w:tc>
          <w:tcPr>
            <w:tcW w:w="2428" w:type="dxa"/>
          </w:tcPr>
          <w:p w14:paraId="2003099B" w14:textId="70C67A73" w:rsidR="000C700F" w:rsidRDefault="000C700F" w:rsidP="000C700F">
            <w:pPr>
              <w:pStyle w:val="ab"/>
              <w:spacing w:before="0" w:beforeAutospacing="0" w:after="0" w:afterAutospacing="0"/>
              <w:jc w:val="both"/>
              <w:rPr>
                <w:b/>
                <w:bCs/>
                <w:color w:val="000000"/>
              </w:rPr>
            </w:pPr>
            <w:r w:rsidRPr="000C700F">
              <w:rPr>
                <w:color w:val="000000"/>
              </w:rPr>
              <w:t>Нечасто</w:t>
            </w:r>
          </w:p>
        </w:tc>
        <w:tc>
          <w:tcPr>
            <w:tcW w:w="3852" w:type="dxa"/>
          </w:tcPr>
          <w:p w14:paraId="2F944EF5" w14:textId="7998EA83" w:rsidR="000C700F" w:rsidRDefault="000C700F" w:rsidP="000C700F">
            <w:pPr>
              <w:pStyle w:val="ab"/>
              <w:spacing w:before="0" w:beforeAutospacing="0" w:after="0" w:afterAutospacing="0"/>
              <w:jc w:val="both"/>
              <w:rPr>
                <w:b/>
                <w:bCs/>
                <w:color w:val="000000"/>
              </w:rPr>
            </w:pPr>
            <w:r>
              <w:t>Заторможенность</w:t>
            </w:r>
          </w:p>
        </w:tc>
      </w:tr>
    </w:tbl>
    <w:p w14:paraId="08525A63" w14:textId="77777777" w:rsidR="00CF6EBF" w:rsidRPr="005E6358" w:rsidRDefault="00CF6EBF" w:rsidP="00A72CBF">
      <w:pPr>
        <w:pStyle w:val="3"/>
        <w:tabs>
          <w:tab w:val="left" w:pos="8647"/>
        </w:tabs>
        <w:spacing w:after="240"/>
        <w:rPr>
          <w:rFonts w:ascii="Times New Roman" w:hAnsi="Times New Roman"/>
          <w:color w:val="000000" w:themeColor="text1"/>
        </w:rPr>
      </w:pPr>
      <w:bookmarkStart w:id="223" w:name="_Toc117179251"/>
      <w:bookmarkStart w:id="224" w:name="bookmark5"/>
      <w:bookmarkEnd w:id="222"/>
      <w:r w:rsidRPr="005E6358">
        <w:rPr>
          <w:rFonts w:ascii="Times New Roman" w:hAnsi="Times New Roman"/>
          <w:color w:val="000000" w:themeColor="text1"/>
        </w:rPr>
        <w:t>5.3.</w:t>
      </w:r>
      <w:r>
        <w:rPr>
          <w:rFonts w:ascii="Times New Roman" w:hAnsi="Times New Roman"/>
          <w:color w:val="000000" w:themeColor="text1"/>
        </w:rPr>
        <w:t>6</w:t>
      </w:r>
      <w:r w:rsidRPr="005E6358">
        <w:rPr>
          <w:rFonts w:ascii="Times New Roman" w:hAnsi="Times New Roman"/>
          <w:color w:val="000000" w:themeColor="text1"/>
        </w:rPr>
        <w:t xml:space="preserve">. </w:t>
      </w:r>
      <w:r>
        <w:rPr>
          <w:rFonts w:ascii="Times New Roman" w:hAnsi="Times New Roman"/>
          <w:color w:val="000000" w:themeColor="text1"/>
        </w:rPr>
        <w:t>Передозировка</w:t>
      </w:r>
      <w:bookmarkEnd w:id="223"/>
    </w:p>
    <w:p w14:paraId="3FBBF34A" w14:textId="7C8B3F47" w:rsidR="005F297D" w:rsidRDefault="005F297D" w:rsidP="003C307A">
      <w:pPr>
        <w:tabs>
          <w:tab w:val="left" w:pos="8647"/>
        </w:tabs>
        <w:autoSpaceDE w:val="0"/>
        <w:autoSpaceDN w:val="0"/>
        <w:adjustRightInd w:val="0"/>
        <w:rPr>
          <w:b/>
          <w:iCs/>
          <w:lang w:eastAsia="en-US"/>
        </w:rPr>
      </w:pPr>
      <w:r w:rsidRPr="00BA2D96">
        <w:rPr>
          <w:b/>
          <w:iCs/>
          <w:lang w:eastAsia="en-US"/>
        </w:rPr>
        <w:t>Симптомы</w:t>
      </w:r>
    </w:p>
    <w:p w14:paraId="22925548" w14:textId="77777777" w:rsidR="00235E54" w:rsidRDefault="00235E54" w:rsidP="001C0A37">
      <w:pPr>
        <w:tabs>
          <w:tab w:val="left" w:pos="8647"/>
        </w:tabs>
        <w:autoSpaceDE w:val="0"/>
        <w:autoSpaceDN w:val="0"/>
        <w:adjustRightInd w:val="0"/>
        <w:ind w:firstLine="709"/>
        <w:rPr>
          <w:bCs/>
          <w:iCs/>
          <w:lang w:eastAsia="en-US"/>
        </w:rPr>
      </w:pPr>
    </w:p>
    <w:p w14:paraId="0507917D" w14:textId="23B2EF48" w:rsidR="00B46BBC" w:rsidRDefault="00B46BBC" w:rsidP="001C0A37">
      <w:pPr>
        <w:tabs>
          <w:tab w:val="left" w:pos="8647"/>
        </w:tabs>
        <w:autoSpaceDE w:val="0"/>
        <w:autoSpaceDN w:val="0"/>
        <w:adjustRightInd w:val="0"/>
        <w:ind w:firstLine="709"/>
        <w:rPr>
          <w:bCs/>
          <w:iCs/>
          <w:lang w:eastAsia="en-US"/>
        </w:rPr>
      </w:pPr>
      <w:r w:rsidRPr="00B46BBC">
        <w:rPr>
          <w:bCs/>
          <w:iCs/>
          <w:lang w:eastAsia="en-US"/>
        </w:rPr>
        <w:t xml:space="preserve">Данных о симптомах передозировки этравирина в настоящее время нет, однако, вероятно, что наиболее частые побочные действия при приеме этравирина, такие как сыпь, диарея, тошнота и головная боль, будут наиболее частыми симптомами. Нет специфического антидота для лечения передозировки этравирином. </w:t>
      </w:r>
    </w:p>
    <w:p w14:paraId="4BBEDA30" w14:textId="77777777" w:rsidR="0071509B" w:rsidRPr="00B46BBC" w:rsidRDefault="0071509B" w:rsidP="001C0A37">
      <w:pPr>
        <w:tabs>
          <w:tab w:val="left" w:pos="8647"/>
        </w:tabs>
        <w:autoSpaceDE w:val="0"/>
        <w:autoSpaceDN w:val="0"/>
        <w:adjustRightInd w:val="0"/>
        <w:ind w:firstLine="709"/>
        <w:rPr>
          <w:bCs/>
          <w:iCs/>
          <w:lang w:eastAsia="en-US"/>
        </w:rPr>
      </w:pPr>
    </w:p>
    <w:p w14:paraId="4DB190EB" w14:textId="079E8298" w:rsidR="005F297D" w:rsidRPr="00BA2D96" w:rsidRDefault="005F297D" w:rsidP="003C307A">
      <w:pPr>
        <w:tabs>
          <w:tab w:val="left" w:pos="8647"/>
        </w:tabs>
        <w:autoSpaceDE w:val="0"/>
        <w:autoSpaceDN w:val="0"/>
        <w:adjustRightInd w:val="0"/>
        <w:rPr>
          <w:b/>
          <w:iCs/>
          <w:lang w:eastAsia="en-US"/>
        </w:rPr>
      </w:pPr>
      <w:r w:rsidRPr="00BA2D96">
        <w:rPr>
          <w:b/>
          <w:iCs/>
          <w:lang w:eastAsia="en-US"/>
        </w:rPr>
        <w:t>Лечение</w:t>
      </w:r>
    </w:p>
    <w:p w14:paraId="748DAEAD" w14:textId="77777777" w:rsidR="00235E54" w:rsidRDefault="00235E54" w:rsidP="001C0A37">
      <w:pPr>
        <w:tabs>
          <w:tab w:val="left" w:pos="8647"/>
        </w:tabs>
        <w:autoSpaceDE w:val="0"/>
        <w:autoSpaceDN w:val="0"/>
        <w:adjustRightInd w:val="0"/>
        <w:ind w:firstLine="709"/>
        <w:rPr>
          <w:bCs/>
          <w:iCs/>
          <w:lang w:eastAsia="en-US"/>
        </w:rPr>
      </w:pPr>
    </w:p>
    <w:p w14:paraId="3D7C1C95" w14:textId="39B51FB1" w:rsidR="00B46BBC" w:rsidRPr="00B46BBC" w:rsidRDefault="00B46BBC" w:rsidP="001C0A37">
      <w:pPr>
        <w:tabs>
          <w:tab w:val="left" w:pos="8647"/>
        </w:tabs>
        <w:autoSpaceDE w:val="0"/>
        <w:autoSpaceDN w:val="0"/>
        <w:adjustRightInd w:val="0"/>
        <w:ind w:firstLine="709"/>
        <w:rPr>
          <w:bCs/>
          <w:iCs/>
          <w:lang w:eastAsia="en-US"/>
        </w:rPr>
      </w:pPr>
      <w:r w:rsidRPr="00B46BBC">
        <w:rPr>
          <w:bCs/>
          <w:iCs/>
          <w:lang w:eastAsia="en-US"/>
        </w:rPr>
        <w:t>Терапия передозировки препаратом этравирин включает общие поддерживающие меры, в том числе наблюдение за жизненно важными параметрами и клиническим состоянием пациента. Поскольку этравирин значительно связывается с белками, диализ вряд ли приведёт к значительному выведению действующего вещества.</w:t>
      </w:r>
    </w:p>
    <w:p w14:paraId="601DC282" w14:textId="6684AA09" w:rsidR="008A297D" w:rsidRDefault="00CF6EBF" w:rsidP="00A76175">
      <w:pPr>
        <w:pStyle w:val="3"/>
        <w:tabs>
          <w:tab w:val="left" w:pos="8647"/>
        </w:tabs>
        <w:spacing w:after="240"/>
        <w:rPr>
          <w:lang w:bidi="ru-RU"/>
        </w:rPr>
      </w:pPr>
      <w:bookmarkStart w:id="225" w:name="_Toc117179252"/>
      <w:r w:rsidRPr="008A297D">
        <w:rPr>
          <w:rFonts w:ascii="Times New Roman" w:hAnsi="Times New Roman"/>
          <w:color w:val="000000" w:themeColor="text1"/>
        </w:rPr>
        <w:t xml:space="preserve">5.3.7. </w:t>
      </w:r>
      <w:r w:rsidRPr="008A297D">
        <w:rPr>
          <w:rFonts w:ascii="Times New Roman" w:eastAsia="Courier New" w:hAnsi="Times New Roman"/>
          <w:szCs w:val="24"/>
          <w:lang w:eastAsia="ru-RU" w:bidi="ru-RU"/>
        </w:rPr>
        <w:t>Взаимодействие с другими лекарственными средствами</w:t>
      </w:r>
      <w:bookmarkEnd w:id="224"/>
      <w:bookmarkEnd w:id="225"/>
    </w:p>
    <w:p w14:paraId="766E06F0" w14:textId="77777777" w:rsidR="008A297D" w:rsidRPr="00AB48D6" w:rsidRDefault="008A297D" w:rsidP="008A297D">
      <w:pPr>
        <w:contextualSpacing/>
        <w:rPr>
          <w:b/>
        </w:rPr>
      </w:pPr>
      <w:r w:rsidRPr="00AB48D6">
        <w:rPr>
          <w:b/>
        </w:rPr>
        <w:t>Лекарственные средства, влияющие на концентрацию этравирина в плазме.</w:t>
      </w:r>
    </w:p>
    <w:p w14:paraId="760D107B" w14:textId="77777777" w:rsidR="008A297D" w:rsidRPr="006D4ACF" w:rsidRDefault="008A297D" w:rsidP="008A297D">
      <w:pPr>
        <w:ind w:firstLine="709"/>
        <w:contextualSpacing/>
        <w:rPr>
          <w:i/>
        </w:rPr>
      </w:pPr>
    </w:p>
    <w:p w14:paraId="6E3E4314" w14:textId="509F4308" w:rsidR="008A297D" w:rsidRDefault="008A297D" w:rsidP="008A297D">
      <w:pPr>
        <w:ind w:firstLine="709"/>
        <w:contextualSpacing/>
      </w:pPr>
      <w:r w:rsidRPr="006D4ACF">
        <w:t xml:space="preserve">Этравирин метаболизируется системой цитохрома </w:t>
      </w:r>
      <w:r w:rsidRPr="006D4ACF">
        <w:rPr>
          <w:lang w:val="en-US"/>
        </w:rPr>
        <w:t>P</w:t>
      </w:r>
      <w:r w:rsidRPr="006D4ACF">
        <w:t xml:space="preserve">450 </w:t>
      </w:r>
      <w:r w:rsidRPr="006D4ACF">
        <w:rPr>
          <w:lang w:val="en-US"/>
        </w:rPr>
        <w:t>CYP</w:t>
      </w:r>
      <w:r w:rsidRPr="006D4ACF">
        <w:t>3</w:t>
      </w:r>
      <w:r w:rsidRPr="006D4ACF">
        <w:rPr>
          <w:lang w:val="en-US"/>
        </w:rPr>
        <w:t>A</w:t>
      </w:r>
      <w:r w:rsidRPr="006D4ACF">
        <w:t xml:space="preserve">4, </w:t>
      </w:r>
      <w:r w:rsidRPr="006D4ACF">
        <w:rPr>
          <w:lang w:val="en-US"/>
        </w:rPr>
        <w:t>CYP</w:t>
      </w:r>
      <w:r w:rsidRPr="006D4ACF">
        <w:t>2</w:t>
      </w:r>
      <w:r w:rsidRPr="006D4ACF">
        <w:rPr>
          <w:lang w:val="en-US"/>
        </w:rPr>
        <w:t>C</w:t>
      </w:r>
      <w:r w:rsidRPr="006D4ACF">
        <w:t xml:space="preserve">9 и </w:t>
      </w:r>
      <w:r w:rsidRPr="006D4ACF">
        <w:rPr>
          <w:lang w:val="en-US"/>
        </w:rPr>
        <w:t>CYP</w:t>
      </w:r>
      <w:r w:rsidRPr="006D4ACF">
        <w:t>2</w:t>
      </w:r>
      <w:r w:rsidRPr="006D4ACF">
        <w:rPr>
          <w:lang w:val="en-US"/>
        </w:rPr>
        <w:t>C</w:t>
      </w:r>
      <w:r w:rsidRPr="006D4ACF">
        <w:t xml:space="preserve">19, а его метаболиты подвергаются глюкуронированию под влиянием фермента уридиндифосфатглюкуронозилтрансферазы. Лекарственные средства, индуцирующие изоферменты </w:t>
      </w:r>
      <w:r w:rsidRPr="006D4ACF">
        <w:rPr>
          <w:lang w:val="en-US"/>
        </w:rPr>
        <w:t>CYP</w:t>
      </w:r>
      <w:r w:rsidRPr="006D4ACF">
        <w:t>3</w:t>
      </w:r>
      <w:r w:rsidRPr="006D4ACF">
        <w:rPr>
          <w:lang w:val="en-US"/>
        </w:rPr>
        <w:t>A</w:t>
      </w:r>
      <w:r w:rsidRPr="006D4ACF">
        <w:t xml:space="preserve">4, </w:t>
      </w:r>
      <w:r w:rsidRPr="006D4ACF">
        <w:rPr>
          <w:lang w:val="en-US"/>
        </w:rPr>
        <w:t>CYP</w:t>
      </w:r>
      <w:r w:rsidRPr="006D4ACF">
        <w:t>2</w:t>
      </w:r>
      <w:r w:rsidRPr="006D4ACF">
        <w:rPr>
          <w:lang w:val="en-US"/>
        </w:rPr>
        <w:t>C</w:t>
      </w:r>
      <w:r w:rsidRPr="006D4ACF">
        <w:t xml:space="preserve">9 или </w:t>
      </w:r>
      <w:r w:rsidRPr="006D4ACF">
        <w:rPr>
          <w:lang w:val="en-US"/>
        </w:rPr>
        <w:t>CYP</w:t>
      </w:r>
      <w:r w:rsidRPr="006D4ACF">
        <w:t>2</w:t>
      </w:r>
      <w:r w:rsidRPr="006D4ACF">
        <w:rPr>
          <w:lang w:val="en-US"/>
        </w:rPr>
        <w:t>C</w:t>
      </w:r>
      <w:r w:rsidRPr="006D4ACF">
        <w:t xml:space="preserve">19, могут повышать клиренс этравирина, вследствие чего снижается его концентрация в плазме. Одновременное применение </w:t>
      </w:r>
      <w:r w:rsidR="00444D0D">
        <w:t>этравирина</w:t>
      </w:r>
      <w:r w:rsidRPr="006D4ACF">
        <w:t xml:space="preserve"> и препаратов, которые ингибируют изоферменты </w:t>
      </w:r>
      <w:r w:rsidRPr="006D4ACF">
        <w:rPr>
          <w:lang w:val="en-US"/>
        </w:rPr>
        <w:t>CYP</w:t>
      </w:r>
      <w:r w:rsidRPr="006D4ACF">
        <w:t>3</w:t>
      </w:r>
      <w:r w:rsidRPr="006D4ACF">
        <w:rPr>
          <w:lang w:val="en-US"/>
        </w:rPr>
        <w:t>A</w:t>
      </w:r>
      <w:r w:rsidRPr="006D4ACF">
        <w:t xml:space="preserve">4, </w:t>
      </w:r>
      <w:r w:rsidRPr="006D4ACF">
        <w:rPr>
          <w:lang w:val="en-US"/>
        </w:rPr>
        <w:t>CYP</w:t>
      </w:r>
      <w:r w:rsidRPr="006D4ACF">
        <w:t>2</w:t>
      </w:r>
      <w:r w:rsidRPr="006D4ACF">
        <w:rPr>
          <w:lang w:val="en-US"/>
        </w:rPr>
        <w:t>C</w:t>
      </w:r>
      <w:r w:rsidRPr="006D4ACF">
        <w:t xml:space="preserve">9 или </w:t>
      </w:r>
      <w:r w:rsidRPr="006D4ACF">
        <w:rPr>
          <w:lang w:val="en-US"/>
        </w:rPr>
        <w:t>CYP</w:t>
      </w:r>
      <w:r w:rsidRPr="006D4ACF">
        <w:t>2</w:t>
      </w:r>
      <w:r w:rsidRPr="006D4ACF">
        <w:rPr>
          <w:lang w:val="en-US"/>
        </w:rPr>
        <w:t>C</w:t>
      </w:r>
      <w:r w:rsidRPr="006D4ACF">
        <w:t>19, может снижать клиренс этравирина и повышать его концентрацию в плазме.</w:t>
      </w:r>
    </w:p>
    <w:p w14:paraId="65A054F8" w14:textId="77777777" w:rsidR="008A297D" w:rsidRPr="006D4ACF" w:rsidRDefault="008A297D" w:rsidP="008A297D">
      <w:pPr>
        <w:ind w:firstLine="709"/>
        <w:contextualSpacing/>
      </w:pPr>
    </w:p>
    <w:p w14:paraId="52E88DED" w14:textId="77777777" w:rsidR="008A297D" w:rsidRPr="00AB48D6" w:rsidRDefault="008A297D" w:rsidP="008A297D">
      <w:pPr>
        <w:contextualSpacing/>
        <w:rPr>
          <w:b/>
        </w:rPr>
      </w:pPr>
      <w:r w:rsidRPr="00AB48D6">
        <w:rPr>
          <w:b/>
        </w:rPr>
        <w:t>Лекарственные средства, на метаболизм которых влияет этравирин.</w:t>
      </w:r>
    </w:p>
    <w:p w14:paraId="3E99A327" w14:textId="77777777" w:rsidR="008A297D" w:rsidRPr="006D4ACF" w:rsidRDefault="008A297D" w:rsidP="008A297D">
      <w:pPr>
        <w:ind w:firstLine="709"/>
        <w:contextualSpacing/>
        <w:rPr>
          <w:i/>
        </w:rPr>
      </w:pPr>
    </w:p>
    <w:p w14:paraId="2714D1C8" w14:textId="665747FC" w:rsidR="008A297D" w:rsidRPr="006D4ACF" w:rsidRDefault="008A297D" w:rsidP="008A297D">
      <w:pPr>
        <w:ind w:firstLine="709"/>
        <w:contextualSpacing/>
      </w:pPr>
      <w:r w:rsidRPr="006D4ACF">
        <w:t xml:space="preserve">Этравирин является слабым индуктором изофермента </w:t>
      </w:r>
      <w:r w:rsidRPr="006D4ACF">
        <w:rPr>
          <w:lang w:val="en-US"/>
        </w:rPr>
        <w:t>CYP</w:t>
      </w:r>
      <w:r w:rsidRPr="006D4ACF">
        <w:t>3</w:t>
      </w:r>
      <w:r w:rsidRPr="006D4ACF">
        <w:rPr>
          <w:lang w:val="en-US"/>
        </w:rPr>
        <w:t>A</w:t>
      </w:r>
      <w:r w:rsidRPr="006D4ACF">
        <w:t xml:space="preserve">4. Одновременное применение </w:t>
      </w:r>
      <w:r w:rsidR="00444D0D">
        <w:t>этравирина</w:t>
      </w:r>
      <w:r w:rsidRPr="006D4ACF">
        <w:t xml:space="preserve"> и препаратов, которые метаболизируются в основном изоферментом </w:t>
      </w:r>
      <w:r w:rsidRPr="006D4ACF">
        <w:rPr>
          <w:lang w:val="en-US"/>
        </w:rPr>
        <w:t>CYP</w:t>
      </w:r>
      <w:r w:rsidRPr="006D4ACF">
        <w:t>3</w:t>
      </w:r>
      <w:r w:rsidRPr="006D4ACF">
        <w:rPr>
          <w:lang w:val="en-US"/>
        </w:rPr>
        <w:t>A</w:t>
      </w:r>
      <w:r w:rsidRPr="006D4ACF">
        <w:t xml:space="preserve">4, может приводить к снижению концентраций таких препаратов в плазме и, следовательно, ослаблять или укорачивать их терапевтические эффекты. Кроме того, этравирин является слабым ингибитором изоферментов </w:t>
      </w:r>
      <w:r w:rsidRPr="006D4ACF">
        <w:rPr>
          <w:lang w:val="en-US"/>
        </w:rPr>
        <w:t>CYP</w:t>
      </w:r>
      <w:r w:rsidRPr="006D4ACF">
        <w:t>2</w:t>
      </w:r>
      <w:r w:rsidRPr="006D4ACF">
        <w:rPr>
          <w:lang w:val="en-US"/>
        </w:rPr>
        <w:t>C</w:t>
      </w:r>
      <w:r w:rsidRPr="006D4ACF">
        <w:t xml:space="preserve">9 и </w:t>
      </w:r>
      <w:r w:rsidRPr="006D4ACF">
        <w:rPr>
          <w:lang w:val="en-US"/>
        </w:rPr>
        <w:t>CYP</w:t>
      </w:r>
      <w:r w:rsidRPr="006D4ACF">
        <w:t>2</w:t>
      </w:r>
      <w:r w:rsidRPr="006D4ACF">
        <w:rPr>
          <w:lang w:val="en-US"/>
        </w:rPr>
        <w:t>C</w:t>
      </w:r>
      <w:r w:rsidRPr="006D4ACF">
        <w:t xml:space="preserve">19. Этравирин так же является слабым ингибитором </w:t>
      </w:r>
      <w:r w:rsidRPr="006D4ACF">
        <w:rPr>
          <w:lang w:val="en-US"/>
        </w:rPr>
        <w:t>P</w:t>
      </w:r>
      <w:r w:rsidRPr="006D4ACF">
        <w:t>-гликопротеина.</w:t>
      </w:r>
    </w:p>
    <w:p w14:paraId="64C0AB7D" w14:textId="77777777" w:rsidR="008A297D" w:rsidRPr="006D4ACF" w:rsidRDefault="008A297D" w:rsidP="008A297D">
      <w:pPr>
        <w:ind w:firstLine="709"/>
        <w:contextualSpacing/>
      </w:pPr>
      <w:r w:rsidRPr="006D4ACF">
        <w:t xml:space="preserve">Одновременное применение этравирина и препаратов, которые метаболизируются в основном изоферментами </w:t>
      </w:r>
      <w:r w:rsidRPr="006D4ACF">
        <w:rPr>
          <w:lang w:val="en-US"/>
        </w:rPr>
        <w:t>CYP</w:t>
      </w:r>
      <w:r w:rsidRPr="006D4ACF">
        <w:t>2</w:t>
      </w:r>
      <w:r w:rsidRPr="006D4ACF">
        <w:rPr>
          <w:lang w:val="en-US"/>
        </w:rPr>
        <w:t>C</w:t>
      </w:r>
      <w:r w:rsidRPr="006D4ACF">
        <w:t xml:space="preserve">9 или </w:t>
      </w:r>
      <w:r w:rsidRPr="006D4ACF">
        <w:rPr>
          <w:lang w:val="en-US"/>
        </w:rPr>
        <w:t>CYP</w:t>
      </w:r>
      <w:r w:rsidRPr="006D4ACF">
        <w:t>2</w:t>
      </w:r>
      <w:r w:rsidRPr="006D4ACF">
        <w:rPr>
          <w:lang w:val="en-US"/>
        </w:rPr>
        <w:t>C</w:t>
      </w:r>
      <w:r w:rsidRPr="006D4ACF">
        <w:t xml:space="preserve">19 или транспортируются с помощью </w:t>
      </w:r>
      <w:r w:rsidRPr="006D4ACF">
        <w:rPr>
          <w:lang w:val="en-US"/>
        </w:rPr>
        <w:t>P</w:t>
      </w:r>
      <w:r w:rsidRPr="006D4ACF">
        <w:t>-гликопротеина, может повышать концентрацию таких препаратов в плазме и, следовательно, усиливать или пролонгировать их терапевтические или побочные эффекты.</w:t>
      </w:r>
    </w:p>
    <w:p w14:paraId="4E7FBF57" w14:textId="77777777" w:rsidR="008A297D" w:rsidRDefault="008A297D" w:rsidP="008A297D">
      <w:pPr>
        <w:ind w:firstLine="709"/>
        <w:contextualSpacing/>
      </w:pPr>
      <w:r w:rsidRPr="006D4ACF">
        <w:t>Известные и теоретические взаимодействия с отдельными препаратами антиретровирусной терапии и других групп представлены в таблице</w:t>
      </w:r>
      <w:r>
        <w:t xml:space="preserve"> 5-3</w:t>
      </w:r>
      <w:r w:rsidRPr="006D4ACF">
        <w:t>. Эта таблица не является всеобъемлющей.</w:t>
      </w:r>
    </w:p>
    <w:p w14:paraId="15DC39C9" w14:textId="77777777" w:rsidR="008A297D" w:rsidRPr="006D4ACF" w:rsidRDefault="008A297D" w:rsidP="008A297D">
      <w:pPr>
        <w:ind w:firstLine="709"/>
        <w:contextualSpacing/>
      </w:pPr>
    </w:p>
    <w:p w14:paraId="3CA18AF1" w14:textId="77777777" w:rsidR="008A297D" w:rsidRDefault="008A297D" w:rsidP="008A297D">
      <w:pPr>
        <w:contextualSpacing/>
      </w:pPr>
      <w:r w:rsidRPr="008A297D">
        <w:rPr>
          <w:b/>
          <w:color w:val="000000" w:themeColor="text1"/>
        </w:rPr>
        <w:t>Таблица 5-3.</w:t>
      </w:r>
      <w:r w:rsidRPr="008A297D">
        <w:rPr>
          <w:color w:val="000000" w:themeColor="text1"/>
        </w:rPr>
        <w:t xml:space="preserve"> </w:t>
      </w:r>
      <w:r w:rsidRPr="006D4ACF">
        <w:t>Взаимодействия между этравирином и сопутствующими ле</w:t>
      </w:r>
      <w:r>
        <w:t>карственными средствами</w:t>
      </w:r>
      <w:r w:rsidRPr="006D4ACF">
        <w:t>.</w:t>
      </w:r>
    </w:p>
    <w:tbl>
      <w:tblPr>
        <w:tblW w:w="4944" w:type="pct"/>
        <w:tblLayout w:type="fixed"/>
        <w:tblLook w:val="04A0" w:firstRow="1" w:lastRow="0" w:firstColumn="1" w:lastColumn="0" w:noHBand="0" w:noVBand="1"/>
      </w:tblPr>
      <w:tblGrid>
        <w:gridCol w:w="1905"/>
        <w:gridCol w:w="3462"/>
        <w:gridCol w:w="3874"/>
      </w:tblGrid>
      <w:tr w:rsidR="008A297D" w:rsidRPr="0069014A" w14:paraId="65FEB95A" w14:textId="77777777" w:rsidTr="00421CA0">
        <w:trPr>
          <w:trHeight w:val="20"/>
          <w:tblHeader/>
        </w:trPr>
        <w:tc>
          <w:tcPr>
            <w:tcW w:w="1031" w:type="pct"/>
            <w:tcBorders>
              <w:top w:val="single" w:sz="4" w:space="0" w:color="auto"/>
              <w:left w:val="single" w:sz="4" w:space="0" w:color="auto"/>
              <w:bottom w:val="single" w:sz="4" w:space="0" w:color="auto"/>
              <w:right w:val="nil"/>
            </w:tcBorders>
            <w:shd w:val="clear" w:color="000000" w:fill="D9D9D9"/>
            <w:vAlign w:val="center"/>
            <w:hideMark/>
          </w:tcPr>
          <w:p w14:paraId="1C5C1EDD" w14:textId="77777777" w:rsidR="008A297D" w:rsidRPr="0069014A" w:rsidRDefault="008A297D" w:rsidP="00421CA0">
            <w:pPr>
              <w:jc w:val="center"/>
              <w:rPr>
                <w:rFonts w:eastAsia="Times New Roman"/>
                <w:b/>
                <w:bCs/>
                <w:color w:val="000000"/>
                <w:lang w:eastAsia="ru-RU"/>
              </w:rPr>
            </w:pPr>
            <w:r w:rsidRPr="0069014A">
              <w:rPr>
                <w:rFonts w:eastAsia="Times New Roman"/>
                <w:b/>
                <w:bCs/>
                <w:color w:val="000000"/>
                <w:lang w:eastAsia="ru-RU"/>
              </w:rPr>
              <w:t>Лекарственные препараты</w:t>
            </w:r>
          </w:p>
        </w:tc>
        <w:tc>
          <w:tcPr>
            <w:tcW w:w="1873"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1518B990" w14:textId="77777777" w:rsidR="008A297D" w:rsidRPr="0069014A" w:rsidRDefault="008A297D" w:rsidP="00421CA0">
            <w:pPr>
              <w:jc w:val="center"/>
              <w:rPr>
                <w:rFonts w:eastAsia="Times New Roman"/>
                <w:b/>
                <w:bCs/>
                <w:color w:val="000000"/>
                <w:lang w:eastAsia="ru-RU"/>
              </w:rPr>
            </w:pPr>
            <w:r w:rsidRPr="0069014A">
              <w:rPr>
                <w:rFonts w:eastAsia="Times New Roman"/>
                <w:b/>
                <w:bCs/>
                <w:color w:val="000000"/>
                <w:lang w:eastAsia="ru-RU"/>
              </w:rPr>
              <w:t>Влияние на концентрации препаратов</w:t>
            </w:r>
            <w:r w:rsidRPr="0069014A">
              <w:rPr>
                <w:rFonts w:eastAsia="Times New Roman"/>
                <w:b/>
                <w:bCs/>
                <w:color w:val="000000"/>
                <w:lang w:eastAsia="ru-RU"/>
              </w:rPr>
              <w:br/>
              <w:t>Соотношение средних наименьших квадратов (90% ДИ; 1,00 = отсутствие эффекта)</w:t>
            </w:r>
          </w:p>
        </w:tc>
        <w:tc>
          <w:tcPr>
            <w:tcW w:w="2096" w:type="pct"/>
            <w:tcBorders>
              <w:top w:val="single" w:sz="4" w:space="0" w:color="auto"/>
              <w:left w:val="nil"/>
              <w:bottom w:val="single" w:sz="4" w:space="0" w:color="auto"/>
              <w:right w:val="single" w:sz="4" w:space="0" w:color="auto"/>
            </w:tcBorders>
            <w:shd w:val="clear" w:color="000000" w:fill="D9D9D9"/>
            <w:vAlign w:val="center"/>
            <w:hideMark/>
          </w:tcPr>
          <w:p w14:paraId="70938268" w14:textId="77777777" w:rsidR="008A297D" w:rsidRPr="0069014A" w:rsidRDefault="008A297D" w:rsidP="00421CA0">
            <w:pPr>
              <w:jc w:val="center"/>
              <w:rPr>
                <w:rFonts w:eastAsia="Times New Roman"/>
                <w:b/>
                <w:bCs/>
                <w:color w:val="000000"/>
                <w:lang w:eastAsia="ru-RU"/>
              </w:rPr>
            </w:pPr>
            <w:r w:rsidRPr="0069014A">
              <w:rPr>
                <w:rFonts w:eastAsia="Times New Roman"/>
                <w:b/>
                <w:bCs/>
                <w:color w:val="000000"/>
                <w:lang w:eastAsia="ru-RU"/>
              </w:rPr>
              <w:t>Рекомендации по совместному применению</w:t>
            </w:r>
          </w:p>
        </w:tc>
      </w:tr>
      <w:tr w:rsidR="008A297D" w:rsidRPr="0069014A" w14:paraId="0C68DAA1"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819AF59"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ПРЕПАРАТЫ ДЛЯ ЛЕЧЕНИЯ ИНФЕКЦИЙ</w:t>
            </w:r>
          </w:p>
        </w:tc>
      </w:tr>
      <w:tr w:rsidR="008A297D" w:rsidRPr="0069014A" w14:paraId="3A18BE33"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2D97F82E"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Препараты антиретровирусной терапии</w:t>
            </w:r>
          </w:p>
        </w:tc>
      </w:tr>
      <w:tr w:rsidR="008A297D" w:rsidRPr="0069014A" w14:paraId="1E89AC1E"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62457AEC"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Нуклеотидные / нуклеозидные ингибиторы обратной транскриптазы (НИОТ)</w:t>
            </w:r>
          </w:p>
        </w:tc>
      </w:tr>
      <w:tr w:rsidR="008A297D" w:rsidRPr="0069014A" w14:paraId="187B99E5"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229CC27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Диданозин</w:t>
            </w:r>
            <w:r w:rsidRPr="0069014A">
              <w:rPr>
                <w:rFonts w:eastAsia="Times New Roman"/>
                <w:color w:val="000000"/>
                <w:lang w:eastAsia="ru-RU"/>
              </w:rPr>
              <w:br/>
              <w:t>400 мг 1 раз в сутки</w:t>
            </w:r>
          </w:p>
        </w:tc>
        <w:tc>
          <w:tcPr>
            <w:tcW w:w="1873" w:type="pct"/>
            <w:tcBorders>
              <w:top w:val="nil"/>
              <w:left w:val="nil"/>
              <w:bottom w:val="single" w:sz="4" w:space="0" w:color="auto"/>
              <w:right w:val="single" w:sz="4" w:space="0" w:color="auto"/>
            </w:tcBorders>
            <w:shd w:val="clear" w:color="auto" w:fill="auto"/>
            <w:hideMark/>
          </w:tcPr>
          <w:p w14:paraId="72DCC7E2"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Диданозин</w:t>
            </w:r>
            <w:r w:rsidRPr="0069014A">
              <w:rPr>
                <w:rFonts w:eastAsia="Times New Roman"/>
                <w:color w:val="000000"/>
                <w:lang w:eastAsia="ru-RU"/>
              </w:rPr>
              <w:br/>
              <w:t>AUC ↔ 0,99 (0,79-1,25)</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н/о</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0,91 (0,58-1,42)</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1,11 (0,99-1,25)</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1,05 (0,93-1,18)</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1,16 (1,02-1,32)</w:t>
            </w:r>
          </w:p>
        </w:tc>
        <w:tc>
          <w:tcPr>
            <w:tcW w:w="2096" w:type="pct"/>
            <w:tcBorders>
              <w:top w:val="nil"/>
              <w:left w:val="nil"/>
              <w:bottom w:val="single" w:sz="4" w:space="0" w:color="auto"/>
              <w:right w:val="single" w:sz="4" w:space="0" w:color="auto"/>
            </w:tcBorders>
            <w:shd w:val="clear" w:color="auto" w:fill="auto"/>
            <w:hideMark/>
          </w:tcPr>
          <w:p w14:paraId="1AED30F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Не наблюдалось значительного влияния на параметры фармакокинетики диданозина и этравирина. Этравирин и диданозин могут применяться без коррекции доз.</w:t>
            </w:r>
          </w:p>
        </w:tc>
      </w:tr>
      <w:tr w:rsidR="008A297D" w:rsidRPr="0069014A" w14:paraId="35A3FA0B" w14:textId="77777777" w:rsidTr="00A76175">
        <w:trPr>
          <w:trHeight w:val="2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14:paraId="58CBA1D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Тенофовира</w:t>
            </w:r>
            <w:r w:rsidRPr="0069014A">
              <w:rPr>
                <w:rFonts w:eastAsia="Times New Roman"/>
                <w:color w:val="000000"/>
                <w:lang w:eastAsia="ru-RU"/>
              </w:rPr>
              <w:br/>
              <w:t>Дизопроксил</w:t>
            </w:r>
            <w:r w:rsidRPr="0069014A">
              <w:rPr>
                <w:rFonts w:eastAsia="Times New Roman"/>
                <w:color w:val="000000"/>
                <w:lang w:eastAsia="ru-RU"/>
              </w:rPr>
              <w:br/>
              <w:t>245 мг 1 раз в сутки</w:t>
            </w:r>
            <w:r w:rsidRPr="0069014A">
              <w:rPr>
                <w:rFonts w:eastAsia="Times New Roman"/>
                <w:color w:val="000000"/>
                <w:vertAlign w:val="superscript"/>
                <w:lang w:eastAsia="ru-RU"/>
              </w:rPr>
              <w:t>b</w:t>
            </w:r>
          </w:p>
        </w:tc>
        <w:tc>
          <w:tcPr>
            <w:tcW w:w="1873" w:type="pct"/>
            <w:tcBorders>
              <w:top w:val="single" w:sz="4" w:space="0" w:color="auto"/>
              <w:left w:val="nil"/>
              <w:bottom w:val="single" w:sz="4" w:space="0" w:color="auto"/>
              <w:right w:val="single" w:sz="4" w:space="0" w:color="auto"/>
            </w:tcBorders>
            <w:shd w:val="clear" w:color="auto" w:fill="auto"/>
            <w:hideMark/>
          </w:tcPr>
          <w:p w14:paraId="170C58B3"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Тенофовир</w:t>
            </w:r>
            <w:r w:rsidRPr="0069014A">
              <w:rPr>
                <w:rFonts w:eastAsia="Times New Roman"/>
                <w:color w:val="000000"/>
                <w:lang w:eastAsia="ru-RU"/>
              </w:rPr>
              <w:br/>
              <w:t>AUC ↔ 1,15 (1,09-1,21)</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1,19 (1,13-1,26)</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1,15 (1,04-1,27)</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0,81 (0,75-0,88)</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0,82 (0,73-0,91)</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0,81 (0,75-0,88)</w:t>
            </w:r>
          </w:p>
        </w:tc>
        <w:tc>
          <w:tcPr>
            <w:tcW w:w="2096" w:type="pct"/>
            <w:tcBorders>
              <w:top w:val="nil"/>
              <w:left w:val="nil"/>
              <w:bottom w:val="single" w:sz="4" w:space="0" w:color="auto"/>
              <w:right w:val="single" w:sz="4" w:space="0" w:color="auto"/>
            </w:tcBorders>
            <w:shd w:val="clear" w:color="auto" w:fill="auto"/>
            <w:hideMark/>
          </w:tcPr>
          <w:p w14:paraId="4FB3893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Не наблюдалось значительного влияния на параметры фармакокинетики тенофовира и этравирина. Этравирин и тенофовир могут применяться без коррекции доз.</w:t>
            </w:r>
          </w:p>
        </w:tc>
      </w:tr>
      <w:tr w:rsidR="008A297D" w:rsidRPr="0069014A" w14:paraId="253F0DED" w14:textId="77777777" w:rsidTr="00A76175">
        <w:trPr>
          <w:trHeight w:val="2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14:paraId="6EBC438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Другие НИОТ</w:t>
            </w:r>
          </w:p>
        </w:tc>
        <w:tc>
          <w:tcPr>
            <w:tcW w:w="1873" w:type="pct"/>
            <w:tcBorders>
              <w:top w:val="single" w:sz="4" w:space="0" w:color="auto"/>
              <w:left w:val="nil"/>
              <w:bottom w:val="single" w:sz="4" w:space="0" w:color="auto"/>
              <w:right w:val="single" w:sz="4" w:space="0" w:color="auto"/>
            </w:tcBorders>
            <w:shd w:val="clear" w:color="auto" w:fill="auto"/>
            <w:hideMark/>
          </w:tcPr>
          <w:p w14:paraId="4777491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Не изучалось, но не ожидается взаимодействий, учитывая основной почечный путь выведения других НИОТ (например, абакавира, эмтрицитабина, ламивудина, ставудина и зидовудина).</w:t>
            </w:r>
          </w:p>
        </w:tc>
        <w:tc>
          <w:tcPr>
            <w:tcW w:w="2096" w:type="pct"/>
            <w:tcBorders>
              <w:top w:val="nil"/>
              <w:left w:val="nil"/>
              <w:bottom w:val="single" w:sz="4" w:space="0" w:color="auto"/>
              <w:right w:val="single" w:sz="4" w:space="0" w:color="auto"/>
            </w:tcBorders>
            <w:shd w:val="clear" w:color="auto" w:fill="auto"/>
            <w:hideMark/>
          </w:tcPr>
          <w:p w14:paraId="463CCADB"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может применятья с этими НИОТ без коррекции доз.</w:t>
            </w:r>
          </w:p>
        </w:tc>
      </w:tr>
      <w:tr w:rsidR="008A297D" w:rsidRPr="0069014A" w14:paraId="22414532"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7F05F2D1"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Ненуклеозидные ингибиторы обратной транскриптазы (ННИОТ)</w:t>
            </w:r>
          </w:p>
        </w:tc>
      </w:tr>
      <w:tr w:rsidR="008A297D" w:rsidRPr="0069014A" w14:paraId="256D784A" w14:textId="77777777" w:rsidTr="00A76175">
        <w:trPr>
          <w:trHeight w:val="20"/>
        </w:trPr>
        <w:tc>
          <w:tcPr>
            <w:tcW w:w="1031" w:type="pct"/>
            <w:tcBorders>
              <w:top w:val="nil"/>
              <w:left w:val="single" w:sz="4" w:space="0" w:color="auto"/>
              <w:bottom w:val="nil"/>
              <w:right w:val="single" w:sz="4" w:space="0" w:color="auto"/>
            </w:tcBorders>
            <w:shd w:val="clear" w:color="auto" w:fill="auto"/>
            <w:hideMark/>
          </w:tcPr>
          <w:p w14:paraId="3D08600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Эфавиренз</w:t>
            </w:r>
            <w:r w:rsidRPr="0069014A">
              <w:rPr>
                <w:rFonts w:eastAsia="Times New Roman"/>
                <w:color w:val="000000"/>
                <w:lang w:eastAsia="ru-RU"/>
              </w:rPr>
              <w:br/>
              <w:t>Невирапин</w:t>
            </w:r>
            <w:r w:rsidRPr="0069014A">
              <w:rPr>
                <w:rFonts w:eastAsia="Times New Roman"/>
                <w:color w:val="000000"/>
                <w:lang w:eastAsia="ru-RU"/>
              </w:rPr>
              <w:br/>
              <w:t>Рилпивирин</w:t>
            </w:r>
          </w:p>
        </w:tc>
        <w:tc>
          <w:tcPr>
            <w:tcW w:w="1873" w:type="pct"/>
            <w:tcBorders>
              <w:top w:val="nil"/>
              <w:left w:val="nil"/>
              <w:bottom w:val="single" w:sz="4" w:space="0" w:color="auto"/>
              <w:right w:val="single" w:sz="4" w:space="0" w:color="auto"/>
            </w:tcBorders>
            <w:shd w:val="clear" w:color="auto" w:fill="auto"/>
            <w:hideMark/>
          </w:tcPr>
          <w:p w14:paraId="05582C8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Продемонстрировано, что комбинирование двух ННИОТ не приносит дополнительной пользы. При совместном применении этравирина с эфавирензом или невирапином может наблюдаться значительное снижение концентрации этравирина в плазме и потеря терапевтического эффекта этравирина. Совместное применение этравирина и рилпивирина может привести к снижению концентрации рилпивирина в плазе и потере его терапевтического эффекта.</w:t>
            </w:r>
          </w:p>
        </w:tc>
        <w:tc>
          <w:tcPr>
            <w:tcW w:w="2096" w:type="pct"/>
            <w:tcBorders>
              <w:top w:val="nil"/>
              <w:left w:val="nil"/>
              <w:bottom w:val="single" w:sz="4" w:space="0" w:color="auto"/>
              <w:right w:val="single" w:sz="4" w:space="0" w:color="auto"/>
            </w:tcBorders>
            <w:shd w:val="clear" w:color="auto" w:fill="auto"/>
            <w:hideMark/>
          </w:tcPr>
          <w:p w14:paraId="22B218C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не рекомендуется применять совместно с другими ННИОТ.</w:t>
            </w:r>
          </w:p>
        </w:tc>
      </w:tr>
      <w:tr w:rsidR="008A297D" w:rsidRPr="0069014A" w14:paraId="3B008A28"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3AC7B3B"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Ингибиторы протеазы ВИЧ, не бустированные (т.е. без совместного применения ритонавира в низкой дозе)</w:t>
            </w:r>
          </w:p>
        </w:tc>
      </w:tr>
      <w:tr w:rsidR="008A297D" w:rsidRPr="0069014A" w14:paraId="27555931"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1EC106D0"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Индинавир</w:t>
            </w:r>
          </w:p>
        </w:tc>
        <w:tc>
          <w:tcPr>
            <w:tcW w:w="1873" w:type="pct"/>
            <w:tcBorders>
              <w:top w:val="nil"/>
              <w:left w:val="nil"/>
              <w:bottom w:val="single" w:sz="4" w:space="0" w:color="auto"/>
              <w:right w:val="single" w:sz="4" w:space="0" w:color="auto"/>
            </w:tcBorders>
            <w:shd w:val="clear" w:color="auto" w:fill="auto"/>
            <w:hideMark/>
          </w:tcPr>
          <w:p w14:paraId="6E2F0AB7"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При совместном применении этравирина с ининавиром может отмечаться значительное снижение концентрации индинавира в плазме и потеря его терапветисеского эффекта.</w:t>
            </w:r>
          </w:p>
        </w:tc>
        <w:tc>
          <w:tcPr>
            <w:tcW w:w="2096" w:type="pct"/>
            <w:tcBorders>
              <w:top w:val="nil"/>
              <w:left w:val="nil"/>
              <w:bottom w:val="single" w:sz="4" w:space="0" w:color="auto"/>
              <w:right w:val="single" w:sz="4" w:space="0" w:color="auto"/>
            </w:tcBorders>
            <w:shd w:val="clear" w:color="auto" w:fill="auto"/>
            <w:hideMark/>
          </w:tcPr>
          <w:p w14:paraId="1DBAEE51"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не рекомендуется применять совместно с индинавиром.</w:t>
            </w:r>
          </w:p>
        </w:tc>
      </w:tr>
      <w:tr w:rsidR="008A297D" w:rsidRPr="0069014A" w14:paraId="065300CF"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104B7662"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Нелфинавир</w:t>
            </w:r>
          </w:p>
        </w:tc>
        <w:tc>
          <w:tcPr>
            <w:tcW w:w="1873" w:type="pct"/>
            <w:tcBorders>
              <w:top w:val="nil"/>
              <w:left w:val="nil"/>
              <w:bottom w:val="single" w:sz="4" w:space="0" w:color="auto"/>
              <w:right w:val="single" w:sz="4" w:space="0" w:color="auto"/>
            </w:tcBorders>
            <w:shd w:val="clear" w:color="auto" w:fill="auto"/>
            <w:hideMark/>
          </w:tcPr>
          <w:p w14:paraId="3A094F50"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Ожидается, что эхтравирин повыси концентрацию нелфинавира в плазме.</w:t>
            </w:r>
          </w:p>
        </w:tc>
        <w:tc>
          <w:tcPr>
            <w:tcW w:w="2096" w:type="pct"/>
            <w:tcBorders>
              <w:top w:val="nil"/>
              <w:left w:val="nil"/>
              <w:bottom w:val="single" w:sz="4" w:space="0" w:color="auto"/>
              <w:right w:val="single" w:sz="4" w:space="0" w:color="auto"/>
            </w:tcBorders>
            <w:shd w:val="clear" w:color="auto" w:fill="auto"/>
            <w:hideMark/>
          </w:tcPr>
          <w:p w14:paraId="1234955E"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не рекомендуется применять совместно с нелфинавиром.</w:t>
            </w:r>
          </w:p>
        </w:tc>
      </w:tr>
      <w:tr w:rsidR="008A297D" w:rsidRPr="0069014A" w14:paraId="32F15423"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3952A784"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Ингибиторы протеазы ВИЧ, бустированные ритонавиром в низких дозах</w:t>
            </w:r>
          </w:p>
        </w:tc>
      </w:tr>
      <w:tr w:rsidR="008A297D" w:rsidRPr="0069014A" w14:paraId="5DAEFF89" w14:textId="77777777" w:rsidTr="00A76175">
        <w:trPr>
          <w:trHeight w:val="2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14:paraId="6F358CBE"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Атазановир</w:t>
            </w:r>
            <w:r w:rsidRPr="0069014A">
              <w:rPr>
                <w:rFonts w:eastAsia="Times New Roman"/>
                <w:color w:val="000000"/>
                <w:lang w:eastAsia="ru-RU"/>
              </w:rPr>
              <w:br/>
              <w:t>Ринотавир</w:t>
            </w:r>
            <w:r w:rsidRPr="0069014A">
              <w:rPr>
                <w:rFonts w:eastAsia="Times New Roman"/>
                <w:color w:val="000000"/>
                <w:lang w:eastAsia="ru-RU"/>
              </w:rPr>
              <w:br/>
              <w:t>300 / 100 мг 1 раз в сутки</w:t>
            </w:r>
          </w:p>
        </w:tc>
        <w:tc>
          <w:tcPr>
            <w:tcW w:w="1873" w:type="pct"/>
            <w:tcBorders>
              <w:top w:val="single" w:sz="4" w:space="0" w:color="auto"/>
              <w:left w:val="nil"/>
              <w:bottom w:val="single" w:sz="4" w:space="0" w:color="auto"/>
              <w:right w:val="single" w:sz="4" w:space="0" w:color="auto"/>
            </w:tcBorders>
            <w:shd w:val="clear" w:color="auto" w:fill="auto"/>
            <w:hideMark/>
          </w:tcPr>
          <w:p w14:paraId="7465408B" w14:textId="77777777" w:rsidR="008A297D" w:rsidRPr="0069014A" w:rsidRDefault="008A297D" w:rsidP="0071509B">
            <w:pPr>
              <w:rPr>
                <w:rFonts w:eastAsia="Times New Roman"/>
                <w:color w:val="000000"/>
                <w:u w:val="single"/>
                <w:lang w:eastAsia="ru-RU"/>
              </w:rPr>
            </w:pPr>
            <w:r w:rsidRPr="0069014A">
              <w:rPr>
                <w:rFonts w:eastAsia="Times New Roman"/>
                <w:color w:val="000000"/>
                <w:u w:val="single"/>
                <w:lang w:eastAsia="ru-RU"/>
              </w:rPr>
              <w:t>Атазанавир</w:t>
            </w:r>
            <w:r w:rsidRPr="0069014A">
              <w:rPr>
                <w:rFonts w:eastAsia="Times New Roman"/>
                <w:color w:val="000000"/>
                <w:u w:val="single"/>
                <w:lang w:eastAsia="ru-RU"/>
              </w:rPr>
              <w:br/>
            </w:r>
            <w:r w:rsidRPr="0069014A">
              <w:rPr>
                <w:rFonts w:eastAsia="Times New Roman"/>
                <w:color w:val="000000"/>
                <w:lang w:eastAsia="ru-RU"/>
              </w:rPr>
              <w:t>AUC ↓ 0,86 (0,79-0,93)</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0,62 (0,55-0,71)</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0,97 (0,89-1,05)</w:t>
            </w:r>
            <w:r w:rsidRPr="0069014A">
              <w:rPr>
                <w:rFonts w:eastAsia="Times New Roman"/>
                <w:color w:val="000000"/>
                <w:u w:val="single"/>
                <w:lang w:eastAsia="ru-RU"/>
              </w:rPr>
              <w:br/>
              <w:t>Этравирин</w:t>
            </w:r>
            <w:r w:rsidRPr="0069014A">
              <w:rPr>
                <w:rFonts w:eastAsia="Times New Roman"/>
                <w:color w:val="000000"/>
                <w:u w:val="single"/>
                <w:lang w:eastAsia="ru-RU"/>
              </w:rPr>
              <w:br/>
            </w:r>
            <w:r w:rsidRPr="0069014A">
              <w:rPr>
                <w:rFonts w:eastAsia="Times New Roman"/>
                <w:color w:val="000000"/>
                <w:lang w:eastAsia="ru-RU"/>
              </w:rPr>
              <w:t>AUC ↑ 1,30 (1,18-1,44)</w:t>
            </w:r>
            <w:r w:rsidRPr="0069014A">
              <w:rPr>
                <w:rFonts w:eastAsia="Times New Roman"/>
                <w:color w:val="000000"/>
                <w:lang w:eastAsia="ru-RU"/>
              </w:rPr>
              <w:br/>
            </w:r>
            <w:r w:rsidRPr="0069014A">
              <w:rPr>
                <w:rFonts w:eastAsia="Times New Roman"/>
                <w:color w:val="000000"/>
                <w:vertAlign w:val="subscript"/>
                <w:lang w:eastAsia="ru-RU"/>
              </w:rPr>
              <w:t>Cmin</w:t>
            </w:r>
            <w:r w:rsidRPr="0069014A">
              <w:rPr>
                <w:rFonts w:eastAsia="Times New Roman"/>
                <w:color w:val="000000"/>
                <w:lang w:eastAsia="ru-RU"/>
              </w:rPr>
              <w:t xml:space="preserve"> ↑ 1,26 (1,12-1,42)</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1,30 (1,17-1,44)</w:t>
            </w:r>
          </w:p>
        </w:tc>
        <w:tc>
          <w:tcPr>
            <w:tcW w:w="2096" w:type="pct"/>
            <w:tcBorders>
              <w:top w:val="single" w:sz="4" w:space="0" w:color="auto"/>
              <w:left w:val="nil"/>
              <w:bottom w:val="single" w:sz="4" w:space="0" w:color="auto"/>
              <w:right w:val="single" w:sz="4" w:space="0" w:color="auto"/>
            </w:tcBorders>
            <w:shd w:val="clear" w:color="auto" w:fill="auto"/>
            <w:hideMark/>
          </w:tcPr>
          <w:p w14:paraId="6B6A0782"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комбинация атазанавир/ритонавир могут применяться без коррекции доз.</w:t>
            </w:r>
          </w:p>
        </w:tc>
      </w:tr>
      <w:tr w:rsidR="008A297D" w:rsidRPr="0069014A" w14:paraId="7E0DBAD4"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1D8E079C"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Дарунавир / ритонавир</w:t>
            </w:r>
            <w:r w:rsidRPr="0069014A">
              <w:rPr>
                <w:rFonts w:eastAsia="Times New Roman"/>
                <w:color w:val="000000"/>
                <w:lang w:eastAsia="ru-RU"/>
              </w:rPr>
              <w:br/>
              <w:t>600 / 100 мг 2 раза в сутки</w:t>
            </w:r>
          </w:p>
        </w:tc>
        <w:tc>
          <w:tcPr>
            <w:tcW w:w="1873" w:type="pct"/>
            <w:tcBorders>
              <w:top w:val="nil"/>
              <w:left w:val="nil"/>
              <w:bottom w:val="single" w:sz="4" w:space="0" w:color="auto"/>
              <w:right w:val="single" w:sz="4" w:space="0" w:color="auto"/>
            </w:tcBorders>
            <w:shd w:val="clear" w:color="auto" w:fill="auto"/>
            <w:hideMark/>
          </w:tcPr>
          <w:p w14:paraId="6CC6A12B"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Дарунавир</w:t>
            </w:r>
            <w:r w:rsidRPr="0069014A">
              <w:rPr>
                <w:rFonts w:eastAsia="Times New Roman"/>
                <w:color w:val="000000"/>
                <w:lang w:eastAsia="ru-RU"/>
              </w:rPr>
              <w:br/>
              <w:t>AUC ↔ 1,15 (1,05-1,26)</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1,02 (0,90-1,17)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1,11 (1,01-1,22)</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0,63 (0,54-0,73)</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0,51 (0,44-0,61)</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0,68 (0,57-0,82)</w:t>
            </w:r>
          </w:p>
        </w:tc>
        <w:tc>
          <w:tcPr>
            <w:tcW w:w="2096" w:type="pct"/>
            <w:tcBorders>
              <w:top w:val="nil"/>
              <w:left w:val="nil"/>
              <w:bottom w:val="single" w:sz="4" w:space="0" w:color="auto"/>
              <w:right w:val="single" w:sz="4" w:space="0" w:color="auto"/>
            </w:tcBorders>
            <w:shd w:val="clear" w:color="auto" w:fill="auto"/>
            <w:hideMark/>
          </w:tcPr>
          <w:p w14:paraId="1B21E2F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комбинация дарунавир/ритонавир могут применяться без коррекции доз.</w:t>
            </w:r>
          </w:p>
        </w:tc>
      </w:tr>
      <w:tr w:rsidR="008A297D" w:rsidRPr="0069014A" w14:paraId="25196E5F"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6FC55CA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Фосампренаври / ритонавир</w:t>
            </w:r>
            <w:r w:rsidRPr="0069014A">
              <w:rPr>
                <w:rFonts w:eastAsia="Times New Roman"/>
                <w:color w:val="000000"/>
                <w:lang w:eastAsia="ru-RU"/>
              </w:rPr>
              <w:br/>
              <w:t>700 / 100 мг 2 раза в сутки</w:t>
            </w:r>
          </w:p>
        </w:tc>
        <w:tc>
          <w:tcPr>
            <w:tcW w:w="1873" w:type="pct"/>
            <w:tcBorders>
              <w:top w:val="nil"/>
              <w:left w:val="nil"/>
              <w:bottom w:val="single" w:sz="4" w:space="0" w:color="auto"/>
              <w:right w:val="single" w:sz="4" w:space="0" w:color="auto"/>
            </w:tcBorders>
            <w:shd w:val="clear" w:color="auto" w:fill="auto"/>
            <w:hideMark/>
          </w:tcPr>
          <w:p w14:paraId="0181A794"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Аппренавир</w:t>
            </w:r>
            <w:r w:rsidRPr="0069014A">
              <w:rPr>
                <w:rFonts w:eastAsia="Times New Roman"/>
                <w:color w:val="000000"/>
                <w:lang w:eastAsia="ru-RU"/>
              </w:rPr>
              <w:br/>
              <w:t>AUC ↑ 1,69 (1,53-1,86)</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1,77 (1,39-2,25)</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1,62 (1,47-1,79)</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 xml:space="preserve">AUC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w:t>
            </w:r>
            <w:r w:rsidRPr="0069014A">
              <w:rPr>
                <w:rFonts w:eastAsia="Times New Roman"/>
                <w:color w:val="000000"/>
                <w:vertAlign w:val="superscript"/>
                <w:lang w:eastAsia="ru-RU"/>
              </w:rPr>
              <w:t xml:space="preserve"> а</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w:t>
            </w:r>
            <w:r w:rsidRPr="0069014A">
              <w:rPr>
                <w:rFonts w:eastAsia="Times New Roman"/>
                <w:color w:val="000000"/>
                <w:vertAlign w:val="superscript"/>
                <w:lang w:eastAsia="ru-RU"/>
              </w:rPr>
              <w:t>а</w:t>
            </w:r>
          </w:p>
        </w:tc>
        <w:tc>
          <w:tcPr>
            <w:tcW w:w="2096" w:type="pct"/>
            <w:tcBorders>
              <w:top w:val="nil"/>
              <w:left w:val="nil"/>
              <w:bottom w:val="single" w:sz="4" w:space="0" w:color="auto"/>
              <w:right w:val="single" w:sz="4" w:space="0" w:color="auto"/>
            </w:tcBorders>
            <w:shd w:val="clear" w:color="auto" w:fill="auto"/>
            <w:hideMark/>
          </w:tcPr>
          <w:p w14:paraId="660691E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При совместном применении с этравирином может потребоваться снижение доз в комбинациях ампренавир/ритонавир и фосампренавир/ритонавир. Для снижения доз может рассматриваться применение раствора для приема внутрь.</w:t>
            </w:r>
          </w:p>
        </w:tc>
      </w:tr>
      <w:tr w:rsidR="008A297D" w:rsidRPr="0069014A" w14:paraId="27851E51"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5BABEAB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Лопинавир / ритонавир</w:t>
            </w:r>
            <w:r w:rsidRPr="0069014A">
              <w:rPr>
                <w:rFonts w:eastAsia="Times New Roman"/>
                <w:color w:val="000000"/>
                <w:lang w:eastAsia="ru-RU"/>
              </w:rPr>
              <w:br/>
              <w:t>В таблетках</w:t>
            </w:r>
            <w:r w:rsidRPr="0069014A">
              <w:rPr>
                <w:rFonts w:eastAsia="Times New Roman"/>
                <w:color w:val="000000"/>
                <w:lang w:eastAsia="ru-RU"/>
              </w:rPr>
              <w:br/>
              <w:t>400 / 100 мг 2 раза в сутки</w:t>
            </w:r>
          </w:p>
        </w:tc>
        <w:tc>
          <w:tcPr>
            <w:tcW w:w="1873" w:type="pct"/>
            <w:tcBorders>
              <w:top w:val="nil"/>
              <w:left w:val="nil"/>
              <w:bottom w:val="single" w:sz="4" w:space="0" w:color="auto"/>
              <w:right w:val="single" w:sz="4" w:space="0" w:color="auto"/>
            </w:tcBorders>
            <w:shd w:val="clear" w:color="auto" w:fill="auto"/>
            <w:hideMark/>
          </w:tcPr>
          <w:p w14:paraId="6D58046F"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Лопинавир</w:t>
            </w:r>
            <w:r w:rsidRPr="0069014A">
              <w:rPr>
                <w:rFonts w:eastAsia="Times New Roman"/>
                <w:color w:val="000000"/>
                <w:lang w:eastAsia="ru-RU"/>
              </w:rPr>
              <w:br/>
              <w:t>AUC ↔ 0,87 (0,83-0,92)</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0,80 (0,73-0,88)</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0,89 (0,82-0,96)</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0,65 (0,59-0,71)</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0,55 (0,49-0,62)</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0,70 (0,64-0,78)</w:t>
            </w:r>
          </w:p>
        </w:tc>
        <w:tc>
          <w:tcPr>
            <w:tcW w:w="2096" w:type="pct"/>
            <w:tcBorders>
              <w:top w:val="nil"/>
              <w:left w:val="nil"/>
              <w:bottom w:val="single" w:sz="4" w:space="0" w:color="auto"/>
              <w:right w:val="single" w:sz="4" w:space="0" w:color="auto"/>
            </w:tcBorders>
            <w:shd w:val="clear" w:color="auto" w:fill="auto"/>
            <w:hideMark/>
          </w:tcPr>
          <w:p w14:paraId="64AEF8A1"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комбинация лопинавир/ритонавир могут применяться без коррекции доз.</w:t>
            </w:r>
          </w:p>
        </w:tc>
      </w:tr>
      <w:tr w:rsidR="008A297D" w:rsidRPr="0069014A" w14:paraId="675EAC50"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38E8DD7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Саквинавир / ритонавир</w:t>
            </w:r>
            <w:r w:rsidRPr="0069014A">
              <w:rPr>
                <w:rFonts w:eastAsia="Times New Roman"/>
                <w:color w:val="000000"/>
                <w:lang w:eastAsia="ru-RU"/>
              </w:rPr>
              <w:br/>
              <w:t>1000 / 100 мг 2 раза в сутки</w:t>
            </w:r>
          </w:p>
        </w:tc>
        <w:tc>
          <w:tcPr>
            <w:tcW w:w="1873" w:type="pct"/>
            <w:tcBorders>
              <w:top w:val="nil"/>
              <w:left w:val="nil"/>
              <w:bottom w:val="single" w:sz="4" w:space="0" w:color="auto"/>
              <w:right w:val="single" w:sz="4" w:space="0" w:color="auto"/>
            </w:tcBorders>
            <w:shd w:val="clear" w:color="auto" w:fill="auto"/>
            <w:hideMark/>
          </w:tcPr>
          <w:p w14:paraId="58862355"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Саквинавир</w:t>
            </w:r>
            <w:r w:rsidRPr="0069014A">
              <w:rPr>
                <w:rFonts w:eastAsia="Times New Roman"/>
                <w:color w:val="000000"/>
                <w:lang w:eastAsia="ru-RU"/>
              </w:rPr>
              <w:br/>
              <w:t>AUC ↔ 0,95 (0,64-1,42)</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0,80 (0,46-1,38)</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1,00 (0,70-1,42)</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0,67 (0,56-0,80)</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0,71 (0,58-0,87)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0,63 (0,53-0,75)</w:t>
            </w:r>
          </w:p>
        </w:tc>
        <w:tc>
          <w:tcPr>
            <w:tcW w:w="2096" w:type="pct"/>
            <w:tcBorders>
              <w:top w:val="nil"/>
              <w:left w:val="nil"/>
              <w:bottom w:val="single" w:sz="4" w:space="0" w:color="auto"/>
              <w:right w:val="single" w:sz="4" w:space="0" w:color="auto"/>
            </w:tcBorders>
            <w:shd w:val="clear" w:color="auto" w:fill="auto"/>
            <w:hideMark/>
          </w:tcPr>
          <w:p w14:paraId="2D0657A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комбинация саквинавир/ритонавир могут применяться без коррекции доз.</w:t>
            </w:r>
          </w:p>
        </w:tc>
      </w:tr>
      <w:tr w:rsidR="008A297D" w:rsidRPr="0069014A" w14:paraId="5575CAE7"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36056DC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Типранавир / ритонавир</w:t>
            </w:r>
            <w:r w:rsidRPr="0069014A">
              <w:rPr>
                <w:rFonts w:eastAsia="Times New Roman"/>
                <w:color w:val="000000"/>
                <w:lang w:eastAsia="ru-RU"/>
              </w:rPr>
              <w:br/>
              <w:t>500 / 100 мг 2 раза в сутки</w:t>
            </w:r>
          </w:p>
        </w:tc>
        <w:tc>
          <w:tcPr>
            <w:tcW w:w="1873" w:type="pct"/>
            <w:tcBorders>
              <w:top w:val="nil"/>
              <w:left w:val="nil"/>
              <w:bottom w:val="single" w:sz="4" w:space="0" w:color="auto"/>
              <w:right w:val="single" w:sz="4" w:space="0" w:color="auto"/>
            </w:tcBorders>
            <w:shd w:val="clear" w:color="auto" w:fill="auto"/>
            <w:hideMark/>
          </w:tcPr>
          <w:p w14:paraId="09522B2A"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Типравнавир</w:t>
            </w:r>
            <w:r w:rsidRPr="0069014A">
              <w:rPr>
                <w:rFonts w:eastAsia="Times New Roman"/>
                <w:color w:val="000000"/>
                <w:lang w:eastAsia="ru-RU"/>
              </w:rPr>
              <w:br/>
              <w:t>AUC ↑ 1,18 (1,03-1,36)</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1,24 (0,96-1,50)</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1,14 (1,02-1,27)</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0,24 (0,18-0,33)</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0,18 (0,13-0,25)</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0,29 (0.22-0,40)</w:t>
            </w:r>
          </w:p>
        </w:tc>
        <w:tc>
          <w:tcPr>
            <w:tcW w:w="2096" w:type="pct"/>
            <w:tcBorders>
              <w:top w:val="nil"/>
              <w:left w:val="nil"/>
              <w:bottom w:val="single" w:sz="4" w:space="0" w:color="auto"/>
              <w:right w:val="single" w:sz="4" w:space="0" w:color="auto"/>
            </w:tcBorders>
            <w:shd w:val="clear" w:color="auto" w:fill="auto"/>
            <w:hideMark/>
          </w:tcPr>
          <w:p w14:paraId="304EADF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Не рекомендуется совместное применение комбинации типранавир / ритонавир и этравирина.</w:t>
            </w:r>
          </w:p>
        </w:tc>
      </w:tr>
      <w:tr w:rsidR="008A297D" w:rsidRPr="0069014A" w14:paraId="50952C46"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22F5F3C2"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Ингибиторы протеазы ВИЧ, бустированные кобицистатом</w:t>
            </w:r>
          </w:p>
        </w:tc>
      </w:tr>
      <w:tr w:rsidR="008A297D" w:rsidRPr="0069014A" w14:paraId="2D59B625"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05D04842"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 xml:space="preserve">Атазанавир / кобицистат </w:t>
            </w:r>
            <w:r w:rsidRPr="0069014A">
              <w:rPr>
                <w:rFonts w:eastAsia="Times New Roman"/>
                <w:color w:val="000000"/>
                <w:lang w:eastAsia="ru-RU"/>
              </w:rPr>
              <w:br/>
              <w:t>Дарунавир / кобицистат</w:t>
            </w:r>
          </w:p>
        </w:tc>
        <w:tc>
          <w:tcPr>
            <w:tcW w:w="1873" w:type="pct"/>
            <w:tcBorders>
              <w:top w:val="nil"/>
              <w:left w:val="nil"/>
              <w:bottom w:val="single" w:sz="4" w:space="0" w:color="auto"/>
              <w:right w:val="single" w:sz="4" w:space="0" w:color="auto"/>
            </w:tcBorders>
            <w:shd w:val="clear" w:color="auto" w:fill="auto"/>
            <w:hideMark/>
          </w:tcPr>
          <w:p w14:paraId="2270C2C0"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Взаимодействия не изучались. При совместном применении этравирина с комбинацией атазанавир/кобицистат или комбинацией дарунавир/кобицистат может снижаться концентрация ингибитора протеазы и/или кобицистата в плазме, что может привести к потере терапевтического эффекта и развитию резистентности.</w:t>
            </w:r>
          </w:p>
        </w:tc>
        <w:tc>
          <w:tcPr>
            <w:tcW w:w="2096" w:type="pct"/>
            <w:tcBorders>
              <w:top w:val="nil"/>
              <w:left w:val="nil"/>
              <w:bottom w:val="single" w:sz="4" w:space="0" w:color="auto"/>
              <w:right w:val="single" w:sz="4" w:space="0" w:color="auto"/>
            </w:tcBorders>
            <w:shd w:val="clear" w:color="auto" w:fill="auto"/>
            <w:hideMark/>
          </w:tcPr>
          <w:p w14:paraId="5AEC111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Не рекомендуется совместное применение этравирина с комбинацией атазанавир/кобицистат или комбинацией дарунавир/кобицистат.</w:t>
            </w:r>
          </w:p>
        </w:tc>
      </w:tr>
      <w:tr w:rsidR="008A297D" w:rsidRPr="0069014A" w14:paraId="478D4CA3"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65AD61C9"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Блокаторы CCR5 рецепторов</w:t>
            </w:r>
          </w:p>
        </w:tc>
      </w:tr>
      <w:tr w:rsidR="008A297D" w:rsidRPr="0069014A" w14:paraId="03C88B7C" w14:textId="77777777" w:rsidTr="00A76175">
        <w:trPr>
          <w:trHeight w:val="2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14:paraId="12C1E34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Маравирок</w:t>
            </w:r>
            <w:r w:rsidRPr="0069014A">
              <w:rPr>
                <w:rFonts w:eastAsia="Times New Roman"/>
                <w:color w:val="000000"/>
                <w:lang w:eastAsia="ru-RU"/>
              </w:rPr>
              <w:br/>
              <w:t>300 мг 2 раза в сутки</w:t>
            </w:r>
          </w:p>
        </w:tc>
        <w:tc>
          <w:tcPr>
            <w:tcW w:w="1873" w:type="pct"/>
            <w:tcBorders>
              <w:top w:val="single" w:sz="4" w:space="0" w:color="auto"/>
              <w:left w:val="nil"/>
              <w:bottom w:val="single" w:sz="4" w:space="0" w:color="auto"/>
              <w:right w:val="single" w:sz="4" w:space="0" w:color="auto"/>
            </w:tcBorders>
            <w:shd w:val="clear" w:color="auto" w:fill="auto"/>
            <w:hideMark/>
          </w:tcPr>
          <w:p w14:paraId="3339015F"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Маравирок</w:t>
            </w:r>
            <w:r w:rsidRPr="0069014A">
              <w:rPr>
                <w:rFonts w:eastAsia="Times New Roman"/>
                <w:color w:val="000000"/>
                <w:lang w:eastAsia="ru-RU"/>
              </w:rPr>
              <w:br/>
              <w:t>AUC ↓ 0,47 (0,38-0,58)</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0,61 (0,53-0,71)</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0,40 (0,28-0,57)</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1,06 (0,99-1,14)</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1,08 (0,98-1,19)</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1,05 (0,95-1,17)</w:t>
            </w:r>
          </w:p>
        </w:tc>
        <w:tc>
          <w:tcPr>
            <w:tcW w:w="2096" w:type="pct"/>
            <w:vMerge w:val="restart"/>
            <w:tcBorders>
              <w:top w:val="nil"/>
              <w:left w:val="single" w:sz="4" w:space="0" w:color="auto"/>
              <w:bottom w:val="single" w:sz="4" w:space="0" w:color="auto"/>
              <w:right w:val="single" w:sz="4" w:space="0" w:color="auto"/>
            </w:tcBorders>
            <w:shd w:val="clear" w:color="auto" w:fill="auto"/>
            <w:hideMark/>
          </w:tcPr>
          <w:p w14:paraId="2CF6668A"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Рекомендованная доза маравирока при совместном применении с этравирином в присуствии ингибиторов протеазы составляет 150 мг 2 раза в сутки, за исключением комбинации фосампренавир/ритонавир, применять которую в комбинации с маравироком не рекомендуется. Коррекция дозы этраврина не требуется.</w:t>
            </w:r>
          </w:p>
        </w:tc>
      </w:tr>
      <w:tr w:rsidR="008A297D" w:rsidRPr="0069014A" w14:paraId="5F182652" w14:textId="77777777" w:rsidTr="00A76175">
        <w:trPr>
          <w:trHeight w:val="2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14:paraId="3F9BD53C"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Маравирок</w:t>
            </w:r>
            <w:r w:rsidRPr="0069014A">
              <w:rPr>
                <w:rFonts w:eastAsia="Times New Roman"/>
                <w:color w:val="000000"/>
                <w:lang w:eastAsia="ru-RU"/>
              </w:rPr>
              <w:br/>
              <w:t>Дарунавир / ритонавир</w:t>
            </w:r>
            <w:r w:rsidRPr="0069014A">
              <w:rPr>
                <w:rFonts w:eastAsia="Times New Roman"/>
                <w:color w:val="000000"/>
                <w:lang w:eastAsia="ru-RU"/>
              </w:rPr>
              <w:br/>
              <w:t>150 / 600 / 100 мг 2 раза в сутки</w:t>
            </w:r>
          </w:p>
        </w:tc>
        <w:tc>
          <w:tcPr>
            <w:tcW w:w="1873" w:type="pct"/>
            <w:tcBorders>
              <w:top w:val="single" w:sz="4" w:space="0" w:color="auto"/>
              <w:left w:val="nil"/>
              <w:bottom w:val="single" w:sz="4" w:space="0" w:color="auto"/>
              <w:right w:val="single" w:sz="4" w:space="0" w:color="auto"/>
            </w:tcBorders>
            <w:shd w:val="clear" w:color="auto" w:fill="auto"/>
            <w:hideMark/>
          </w:tcPr>
          <w:p w14:paraId="585039AF"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Маравирок*</w:t>
            </w:r>
            <w:r w:rsidRPr="0069014A">
              <w:rPr>
                <w:rFonts w:eastAsia="Times New Roman"/>
                <w:color w:val="000000"/>
                <w:u w:val="single"/>
                <w:lang w:eastAsia="ru-RU"/>
              </w:rPr>
              <w:br/>
            </w:r>
            <w:r w:rsidRPr="0069014A">
              <w:rPr>
                <w:rFonts w:eastAsia="Times New Roman"/>
                <w:color w:val="000000"/>
                <w:lang w:eastAsia="ru-RU"/>
              </w:rPr>
              <w:t>AUC ↑ 3,10 (2,57-3,74)</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5,27 (4,51-6,15)</w:t>
            </w:r>
            <w:r w:rsidRPr="0069014A">
              <w:rPr>
                <w:rFonts w:eastAsia="Times New Roman"/>
                <w:color w:val="000000"/>
                <w:lang w:eastAsia="ru-RU"/>
              </w:rPr>
              <w:br/>
              <w:t>C</w:t>
            </w:r>
            <w:r w:rsidRPr="0069014A">
              <w:rPr>
                <w:rFonts w:eastAsia="Times New Roman"/>
                <w:color w:val="000000"/>
                <w:vertAlign w:val="subscript"/>
                <w:lang w:eastAsia="ru-RU"/>
              </w:rPr>
              <w:t xml:space="preserve">max </w:t>
            </w:r>
            <w:r w:rsidRPr="0069014A">
              <w:rPr>
                <w:rFonts w:eastAsia="Times New Roman"/>
                <w:color w:val="000000"/>
                <w:lang w:eastAsia="ru-RU"/>
              </w:rPr>
              <w:t>↑ 1,77 (1,20-2,60)</w:t>
            </w:r>
            <w:r w:rsidRPr="0069014A">
              <w:rPr>
                <w:rFonts w:eastAsia="Times New Roman"/>
                <w:color w:val="000000"/>
                <w:lang w:eastAsia="ru-RU"/>
              </w:rPr>
              <w:br/>
              <w:t>⁎ По сравнению с маравироком 150 мг 2 раза в сутки</w:t>
            </w:r>
          </w:p>
        </w:tc>
        <w:tc>
          <w:tcPr>
            <w:tcW w:w="2096" w:type="pct"/>
            <w:vMerge/>
            <w:tcBorders>
              <w:top w:val="nil"/>
              <w:left w:val="single" w:sz="4" w:space="0" w:color="auto"/>
              <w:bottom w:val="single" w:sz="4" w:space="0" w:color="auto"/>
              <w:right w:val="single" w:sz="4" w:space="0" w:color="auto"/>
            </w:tcBorders>
            <w:hideMark/>
          </w:tcPr>
          <w:p w14:paraId="18C1D514" w14:textId="77777777" w:rsidR="008A297D" w:rsidRPr="0069014A" w:rsidRDefault="008A297D" w:rsidP="0071509B">
            <w:pPr>
              <w:rPr>
                <w:rFonts w:eastAsia="Times New Roman"/>
                <w:color w:val="000000"/>
                <w:lang w:eastAsia="ru-RU"/>
              </w:rPr>
            </w:pPr>
          </w:p>
        </w:tc>
      </w:tr>
      <w:tr w:rsidR="008A297D" w:rsidRPr="0069014A" w14:paraId="0B47E7F1"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3C83119F"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Ингибиторы слияния</w:t>
            </w:r>
          </w:p>
        </w:tc>
      </w:tr>
      <w:tr w:rsidR="008A297D" w:rsidRPr="0069014A" w14:paraId="6B077C1A"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6099C09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Энфувиртид</w:t>
            </w:r>
            <w:r w:rsidRPr="0069014A">
              <w:rPr>
                <w:rFonts w:eastAsia="Times New Roman"/>
                <w:color w:val="000000"/>
                <w:lang w:eastAsia="ru-RU"/>
              </w:rPr>
              <w:br/>
              <w:t>90 мг 2 раза в сутки</w:t>
            </w:r>
          </w:p>
        </w:tc>
        <w:tc>
          <w:tcPr>
            <w:tcW w:w="1873" w:type="pct"/>
            <w:tcBorders>
              <w:top w:val="nil"/>
              <w:left w:val="nil"/>
              <w:bottom w:val="single" w:sz="4" w:space="0" w:color="auto"/>
              <w:right w:val="single" w:sz="4" w:space="0" w:color="auto"/>
            </w:tcBorders>
            <w:shd w:val="clear" w:color="auto" w:fill="auto"/>
            <w:hideMark/>
          </w:tcPr>
          <w:p w14:paraId="057E8254"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Этравирин*</w:t>
            </w:r>
            <w:r w:rsidRPr="0069014A">
              <w:rPr>
                <w:rFonts w:eastAsia="Times New Roman"/>
                <w:color w:val="000000"/>
                <w:lang w:eastAsia="ru-RU"/>
              </w:rPr>
              <w:br/>
              <w:t>AUC ↔</w:t>
            </w:r>
            <w:r w:rsidRPr="0069014A">
              <w:rPr>
                <w:rFonts w:eastAsia="Times New Roman"/>
                <w:color w:val="000000"/>
                <w:vertAlign w:val="superscript"/>
                <w:lang w:eastAsia="ru-RU"/>
              </w:rPr>
              <w:t xml:space="preserve"> а</w:t>
            </w:r>
            <w:r w:rsidRPr="0069014A">
              <w:rPr>
                <w:rFonts w:eastAsia="Times New Roman"/>
                <w:color w:val="000000"/>
                <w:lang w:eastAsia="ru-RU"/>
              </w:rPr>
              <w:br/>
              <w:t xml:space="preserve">C0h ↔ </w:t>
            </w:r>
            <w:r w:rsidRPr="0069014A">
              <w:rPr>
                <w:rFonts w:eastAsia="Times New Roman"/>
                <w:color w:val="000000"/>
                <w:vertAlign w:val="superscript"/>
                <w:lang w:eastAsia="ru-RU"/>
              </w:rPr>
              <w:t>а</w:t>
            </w:r>
            <w:r w:rsidRPr="0069014A">
              <w:rPr>
                <w:rFonts w:eastAsia="Times New Roman"/>
                <w:color w:val="000000"/>
                <w:lang w:eastAsia="ru-RU"/>
              </w:rPr>
              <w:br/>
              <w:t>Концентрация энфувиртиа не изучалась, влияния не ожидается.</w:t>
            </w:r>
            <w:r w:rsidRPr="0069014A">
              <w:rPr>
                <w:rFonts w:eastAsia="Times New Roman"/>
                <w:color w:val="000000"/>
                <w:lang w:eastAsia="ru-RU"/>
              </w:rPr>
              <w:br/>
              <w:t>*По данным анализа популяционной фармакокинетики.</w:t>
            </w:r>
          </w:p>
        </w:tc>
        <w:tc>
          <w:tcPr>
            <w:tcW w:w="2096" w:type="pct"/>
            <w:tcBorders>
              <w:top w:val="nil"/>
              <w:left w:val="nil"/>
              <w:bottom w:val="single" w:sz="4" w:space="0" w:color="auto"/>
              <w:right w:val="single" w:sz="4" w:space="0" w:color="auto"/>
            </w:tcBorders>
            <w:shd w:val="clear" w:color="auto" w:fill="auto"/>
            <w:hideMark/>
          </w:tcPr>
          <w:p w14:paraId="615A94B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При совместном применении этравирина и энфувиртида взаимодействия не ожидается.</w:t>
            </w:r>
          </w:p>
        </w:tc>
      </w:tr>
      <w:tr w:rsidR="008A297D" w:rsidRPr="0069014A" w14:paraId="05E41CC8"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1930F2ED" w14:textId="77777777" w:rsidR="008A297D" w:rsidRPr="0069014A" w:rsidRDefault="008A297D" w:rsidP="0071509B">
            <w:pPr>
              <w:rPr>
                <w:rFonts w:eastAsia="Times New Roman"/>
                <w:i/>
                <w:iCs/>
                <w:color w:val="000000"/>
                <w:lang w:eastAsia="ru-RU"/>
              </w:rPr>
            </w:pPr>
            <w:r w:rsidRPr="0069014A">
              <w:rPr>
                <w:rFonts w:eastAsia="Times New Roman"/>
                <w:i/>
                <w:iCs/>
                <w:color w:val="000000"/>
                <w:lang w:eastAsia="ru-RU"/>
              </w:rPr>
              <w:t>Ингибиторы интегразы ВИЧ</w:t>
            </w:r>
          </w:p>
        </w:tc>
      </w:tr>
      <w:tr w:rsidR="008A297D" w:rsidRPr="0069014A" w14:paraId="54C00518"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1B30DE5B"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Долутегавир</w:t>
            </w:r>
            <w:r w:rsidRPr="0069014A">
              <w:rPr>
                <w:rFonts w:eastAsia="Times New Roman"/>
                <w:color w:val="000000"/>
                <w:lang w:eastAsia="ru-RU"/>
              </w:rPr>
              <w:br/>
              <w:t>50 мг 1 раз в сутки</w:t>
            </w:r>
          </w:p>
        </w:tc>
        <w:tc>
          <w:tcPr>
            <w:tcW w:w="1873" w:type="pct"/>
            <w:tcBorders>
              <w:top w:val="nil"/>
              <w:left w:val="nil"/>
              <w:bottom w:val="single" w:sz="4" w:space="0" w:color="auto"/>
              <w:right w:val="single" w:sz="4" w:space="0" w:color="auto"/>
            </w:tcBorders>
            <w:shd w:val="clear" w:color="auto" w:fill="auto"/>
            <w:hideMark/>
          </w:tcPr>
          <w:p w14:paraId="3CCEF74A"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Долутегавир</w:t>
            </w:r>
            <w:r w:rsidRPr="0069014A">
              <w:rPr>
                <w:rFonts w:eastAsia="Times New Roman"/>
                <w:color w:val="000000"/>
                <w:lang w:eastAsia="ru-RU"/>
              </w:rPr>
              <w:br/>
              <w:t>AUC ↓ 0,29 (0,26-0,43)</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0,12 (0,09-0,16)</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0,48 (0,43-0,54)</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 xml:space="preserve">AUC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w:t>
            </w:r>
            <w:r w:rsidRPr="0069014A">
              <w:rPr>
                <w:rFonts w:eastAsia="Times New Roman"/>
                <w:color w:val="000000"/>
                <w:vertAlign w:val="superscript"/>
                <w:lang w:eastAsia="ru-RU"/>
              </w:rPr>
              <w:t>а</w:t>
            </w:r>
          </w:p>
        </w:tc>
        <w:tc>
          <w:tcPr>
            <w:tcW w:w="2096" w:type="pct"/>
            <w:vMerge w:val="restart"/>
            <w:tcBorders>
              <w:top w:val="nil"/>
              <w:left w:val="single" w:sz="4" w:space="0" w:color="auto"/>
              <w:bottom w:val="single" w:sz="4" w:space="0" w:color="auto"/>
              <w:right w:val="single" w:sz="4" w:space="0" w:color="auto"/>
            </w:tcBorders>
            <w:shd w:val="clear" w:color="auto" w:fill="auto"/>
            <w:hideMark/>
          </w:tcPr>
          <w:p w14:paraId="6AF1AE7E"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значительно снижает концентрацию долутегавира в плазме. Влияние этравирина на концентрацию долутегавира в плазме снижалось посредством совместного применения комбинации дарунавир/ритонавир или лопинавир/ритонавир, и предполагается, что оно также может снижаться под воздействием комбинаци атазанавин/ритонавир.</w:t>
            </w:r>
            <w:r w:rsidRPr="0069014A">
              <w:rPr>
                <w:rFonts w:eastAsia="Times New Roman"/>
                <w:color w:val="000000"/>
                <w:lang w:eastAsia="ru-RU"/>
              </w:rPr>
              <w:br/>
              <w:t>Этравирин можно применять в комбинации с долутегавиром только в случае одновременного приенения комбинаций: атазанавир/ритонавир, дарунавир/ритонавир или лопинавир/ритонавир. Такие комбинации можно применять без коррекции дозы.</w:t>
            </w:r>
          </w:p>
        </w:tc>
      </w:tr>
      <w:tr w:rsidR="008A297D" w:rsidRPr="0069014A" w14:paraId="0405C705"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6590442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Долутегавир + дарунавир / ритонавир</w:t>
            </w:r>
            <w:r w:rsidRPr="0069014A">
              <w:rPr>
                <w:rFonts w:eastAsia="Times New Roman"/>
                <w:color w:val="000000"/>
                <w:lang w:eastAsia="ru-RU"/>
              </w:rPr>
              <w:br/>
              <w:t>50 мг 1 раз в сутки + 600 / 100 мг 2 раза в сутки</w:t>
            </w:r>
          </w:p>
        </w:tc>
        <w:tc>
          <w:tcPr>
            <w:tcW w:w="1873" w:type="pct"/>
            <w:tcBorders>
              <w:top w:val="nil"/>
              <w:left w:val="nil"/>
              <w:bottom w:val="single" w:sz="4" w:space="0" w:color="auto"/>
              <w:right w:val="single" w:sz="4" w:space="0" w:color="auto"/>
            </w:tcBorders>
            <w:shd w:val="clear" w:color="auto" w:fill="auto"/>
            <w:hideMark/>
          </w:tcPr>
          <w:p w14:paraId="6A939596"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Долутегавир</w:t>
            </w:r>
            <w:r w:rsidRPr="0069014A">
              <w:rPr>
                <w:rFonts w:eastAsia="Times New Roman"/>
                <w:color w:val="000000"/>
                <w:lang w:eastAsia="ru-RU"/>
              </w:rPr>
              <w:br/>
              <w:t>AUC ↑ 0,75 (0,69-0,81)</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0,63 (0,52-0,77)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0,88 (0,78-1,00)</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 xml:space="preserve">AUC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w:t>
            </w:r>
            <w:r w:rsidRPr="002E1EAE">
              <w:rPr>
                <w:rFonts w:eastAsia="Times New Roman"/>
                <w:color w:val="000000"/>
                <w:vertAlign w:val="superscript"/>
                <w:lang w:eastAsia="ru-RU"/>
              </w:rPr>
              <w:t>а</w:t>
            </w:r>
          </w:p>
        </w:tc>
        <w:tc>
          <w:tcPr>
            <w:tcW w:w="2096" w:type="pct"/>
            <w:vMerge/>
            <w:tcBorders>
              <w:top w:val="nil"/>
              <w:left w:val="single" w:sz="4" w:space="0" w:color="auto"/>
              <w:bottom w:val="single" w:sz="4" w:space="0" w:color="auto"/>
              <w:right w:val="single" w:sz="4" w:space="0" w:color="auto"/>
            </w:tcBorders>
            <w:hideMark/>
          </w:tcPr>
          <w:p w14:paraId="3ADE7A47" w14:textId="77777777" w:rsidR="008A297D" w:rsidRPr="0069014A" w:rsidRDefault="008A297D" w:rsidP="0071509B">
            <w:pPr>
              <w:rPr>
                <w:rFonts w:eastAsia="Times New Roman"/>
                <w:color w:val="000000"/>
                <w:lang w:eastAsia="ru-RU"/>
              </w:rPr>
            </w:pPr>
          </w:p>
        </w:tc>
      </w:tr>
      <w:tr w:rsidR="008A297D" w:rsidRPr="0069014A" w14:paraId="3A9C4086"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6CB0BA6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Долутегавир + лопинавир / ритонавир</w:t>
            </w:r>
            <w:r w:rsidRPr="0069014A">
              <w:rPr>
                <w:rFonts w:eastAsia="Times New Roman"/>
                <w:color w:val="000000"/>
                <w:lang w:eastAsia="ru-RU"/>
              </w:rPr>
              <w:br/>
              <w:t>50 мг 1 раз в сутки + 400 / 100 мг 2 раза в сутки</w:t>
            </w:r>
          </w:p>
        </w:tc>
        <w:tc>
          <w:tcPr>
            <w:tcW w:w="1873" w:type="pct"/>
            <w:tcBorders>
              <w:top w:val="nil"/>
              <w:left w:val="nil"/>
              <w:bottom w:val="single" w:sz="4" w:space="0" w:color="auto"/>
              <w:right w:val="single" w:sz="4" w:space="0" w:color="auto"/>
            </w:tcBorders>
            <w:shd w:val="clear" w:color="auto" w:fill="auto"/>
            <w:hideMark/>
          </w:tcPr>
          <w:p w14:paraId="52EB9BA4"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Долутегавир</w:t>
            </w:r>
            <w:r w:rsidRPr="0069014A">
              <w:rPr>
                <w:rFonts w:eastAsia="Times New Roman"/>
                <w:color w:val="000000"/>
                <w:lang w:eastAsia="ru-RU"/>
              </w:rPr>
              <w:br/>
              <w:t>AUC ↔ 1,11 (1,02-1,20)</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1,28 (1,13-1,45)</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1,07 (1,02-1,13)</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w:t>
            </w:r>
            <w:r w:rsidRPr="0069014A">
              <w:rPr>
                <w:rFonts w:eastAsia="Times New Roman"/>
                <w:color w:val="000000"/>
                <w:vertAlign w:val="superscript"/>
                <w:lang w:eastAsia="ru-RU"/>
              </w:rPr>
              <w:t xml:space="preserve"> а</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w:t>
            </w:r>
            <w:r w:rsidRPr="0069014A">
              <w:rPr>
                <w:rFonts w:eastAsia="Times New Roman"/>
                <w:color w:val="000000"/>
                <w:vertAlign w:val="superscript"/>
                <w:lang w:eastAsia="ru-RU"/>
              </w:rPr>
              <w:t>а</w:t>
            </w:r>
          </w:p>
        </w:tc>
        <w:tc>
          <w:tcPr>
            <w:tcW w:w="2096" w:type="pct"/>
            <w:vMerge/>
            <w:tcBorders>
              <w:top w:val="nil"/>
              <w:left w:val="single" w:sz="4" w:space="0" w:color="auto"/>
              <w:bottom w:val="single" w:sz="4" w:space="0" w:color="auto"/>
              <w:right w:val="single" w:sz="4" w:space="0" w:color="auto"/>
            </w:tcBorders>
            <w:hideMark/>
          </w:tcPr>
          <w:p w14:paraId="33BED272" w14:textId="77777777" w:rsidR="008A297D" w:rsidRPr="0069014A" w:rsidRDefault="008A297D" w:rsidP="0071509B">
            <w:pPr>
              <w:rPr>
                <w:rFonts w:eastAsia="Times New Roman"/>
                <w:color w:val="000000"/>
                <w:lang w:eastAsia="ru-RU"/>
              </w:rPr>
            </w:pPr>
          </w:p>
        </w:tc>
      </w:tr>
      <w:tr w:rsidR="008A297D" w:rsidRPr="0069014A" w14:paraId="3879CEA2"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176417BE"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Ралтегравир</w:t>
            </w:r>
            <w:r w:rsidRPr="0069014A">
              <w:rPr>
                <w:rFonts w:eastAsia="Times New Roman"/>
                <w:color w:val="000000"/>
                <w:lang w:eastAsia="ru-RU"/>
              </w:rPr>
              <w:br/>
              <w:t>400 мг 2 раза в сутки</w:t>
            </w:r>
          </w:p>
        </w:tc>
        <w:tc>
          <w:tcPr>
            <w:tcW w:w="1873" w:type="pct"/>
            <w:tcBorders>
              <w:top w:val="nil"/>
              <w:left w:val="nil"/>
              <w:bottom w:val="single" w:sz="4" w:space="0" w:color="auto"/>
              <w:right w:val="single" w:sz="4" w:space="0" w:color="auto"/>
            </w:tcBorders>
            <w:shd w:val="clear" w:color="auto" w:fill="auto"/>
            <w:hideMark/>
          </w:tcPr>
          <w:p w14:paraId="75EF9D4D"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Ралтегравир</w:t>
            </w:r>
            <w:r w:rsidRPr="0069014A">
              <w:rPr>
                <w:rFonts w:eastAsia="Times New Roman"/>
                <w:color w:val="000000"/>
                <w:lang w:eastAsia="ru-RU"/>
              </w:rPr>
              <w:br/>
              <w:t>AUC ↓ 0,90 (0,68-1,20)</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1,28 (1,13-1,45)</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1,07 (1,02-1,13)</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1,10 (1,03-1,18)</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1,17 (1,10-1,26)</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1,04 (0,97-1,12)</w:t>
            </w:r>
          </w:p>
        </w:tc>
        <w:tc>
          <w:tcPr>
            <w:tcW w:w="2096" w:type="pct"/>
            <w:tcBorders>
              <w:top w:val="nil"/>
              <w:left w:val="nil"/>
              <w:bottom w:val="single" w:sz="4" w:space="0" w:color="auto"/>
              <w:right w:val="single" w:sz="4" w:space="0" w:color="auto"/>
            </w:tcBorders>
            <w:shd w:val="clear" w:color="auto" w:fill="auto"/>
            <w:hideMark/>
          </w:tcPr>
          <w:p w14:paraId="0472858B"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ралтегравир могут применяться без коррекции доз.</w:t>
            </w:r>
          </w:p>
        </w:tc>
      </w:tr>
      <w:tr w:rsidR="008A297D" w:rsidRPr="0069014A" w14:paraId="6F81A877"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33F8EBFA"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АНТИАРИТИМИЧЕСКИЕ ПРЕПАРАТЫ</w:t>
            </w:r>
          </w:p>
        </w:tc>
      </w:tr>
      <w:tr w:rsidR="008A297D" w:rsidRPr="0069014A" w14:paraId="7C30F33E"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5C28C47B"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Дигоксин</w:t>
            </w:r>
            <w:r w:rsidRPr="0069014A">
              <w:rPr>
                <w:rFonts w:eastAsia="Times New Roman"/>
                <w:color w:val="000000"/>
                <w:lang w:eastAsia="ru-RU"/>
              </w:rPr>
              <w:br/>
              <w:t>0,5 мг однократно</w:t>
            </w:r>
          </w:p>
        </w:tc>
        <w:tc>
          <w:tcPr>
            <w:tcW w:w="1873" w:type="pct"/>
            <w:tcBorders>
              <w:top w:val="nil"/>
              <w:left w:val="nil"/>
              <w:bottom w:val="single" w:sz="4" w:space="0" w:color="auto"/>
              <w:right w:val="single" w:sz="4" w:space="0" w:color="auto"/>
            </w:tcBorders>
            <w:shd w:val="clear" w:color="auto" w:fill="auto"/>
            <w:hideMark/>
          </w:tcPr>
          <w:p w14:paraId="23068810"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Дигоксин</w:t>
            </w:r>
            <w:r w:rsidRPr="0069014A">
              <w:rPr>
                <w:rFonts w:eastAsia="Times New Roman"/>
                <w:color w:val="000000"/>
                <w:lang w:eastAsia="ru-RU"/>
              </w:rPr>
              <w:br/>
              <w:t>AUC ↑ 1,18 (0,90-1,56)</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н/о</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1,19 (0,96-1,49)</w:t>
            </w:r>
          </w:p>
        </w:tc>
        <w:tc>
          <w:tcPr>
            <w:tcW w:w="2096" w:type="pct"/>
            <w:tcBorders>
              <w:top w:val="nil"/>
              <w:left w:val="nil"/>
              <w:bottom w:val="single" w:sz="4" w:space="0" w:color="auto"/>
              <w:right w:val="single" w:sz="4" w:space="0" w:color="auto"/>
            </w:tcBorders>
            <w:shd w:val="clear" w:color="auto" w:fill="auto"/>
            <w:hideMark/>
          </w:tcPr>
          <w:p w14:paraId="4C9E9E6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дигоксин могут применяться без коррекции доз. Рекомендуется наблюдать за концентрацией дигоксина при одновременном применении с этравирином.</w:t>
            </w:r>
          </w:p>
        </w:tc>
      </w:tr>
      <w:tr w:rsidR="008A297D" w:rsidRPr="0069014A" w14:paraId="60BE88FD"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7CF09971"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Амиодарон</w:t>
            </w:r>
            <w:r w:rsidRPr="0069014A">
              <w:rPr>
                <w:rFonts w:eastAsia="Times New Roman"/>
                <w:color w:val="000000"/>
                <w:lang w:eastAsia="ru-RU"/>
              </w:rPr>
              <w:br/>
              <w:t>Бепридил</w:t>
            </w:r>
            <w:r w:rsidRPr="0069014A">
              <w:rPr>
                <w:rFonts w:eastAsia="Times New Roman"/>
                <w:color w:val="000000"/>
                <w:lang w:eastAsia="ru-RU"/>
              </w:rPr>
              <w:br/>
              <w:t>Дизопирамид</w:t>
            </w:r>
            <w:r w:rsidRPr="0069014A">
              <w:rPr>
                <w:rFonts w:eastAsia="Times New Roman"/>
                <w:color w:val="000000"/>
                <w:lang w:eastAsia="ru-RU"/>
              </w:rPr>
              <w:br/>
              <w:t>Флекаинид</w:t>
            </w:r>
            <w:r w:rsidRPr="0069014A">
              <w:rPr>
                <w:rFonts w:eastAsia="Times New Roman"/>
                <w:color w:val="000000"/>
                <w:lang w:eastAsia="ru-RU"/>
              </w:rPr>
              <w:br/>
              <w:t>Лидокаин (системно)</w:t>
            </w:r>
            <w:r w:rsidRPr="0069014A">
              <w:rPr>
                <w:rFonts w:eastAsia="Times New Roman"/>
                <w:color w:val="000000"/>
                <w:lang w:eastAsia="ru-RU"/>
              </w:rPr>
              <w:br/>
              <w:t>МЕксилетин</w:t>
            </w:r>
            <w:r w:rsidRPr="0069014A">
              <w:rPr>
                <w:rFonts w:eastAsia="Times New Roman"/>
                <w:color w:val="000000"/>
                <w:lang w:eastAsia="ru-RU"/>
              </w:rPr>
              <w:br/>
              <w:t>Пропафенон</w:t>
            </w:r>
            <w:r w:rsidRPr="0069014A">
              <w:rPr>
                <w:rFonts w:eastAsia="Times New Roman"/>
                <w:color w:val="000000"/>
                <w:lang w:eastAsia="ru-RU"/>
              </w:rPr>
              <w:br/>
              <w:t>Хинидин</w:t>
            </w:r>
          </w:p>
        </w:tc>
        <w:tc>
          <w:tcPr>
            <w:tcW w:w="1873" w:type="pct"/>
            <w:tcBorders>
              <w:top w:val="nil"/>
              <w:left w:val="nil"/>
              <w:bottom w:val="single" w:sz="4" w:space="0" w:color="auto"/>
              <w:right w:val="single" w:sz="4" w:space="0" w:color="auto"/>
            </w:tcBorders>
            <w:shd w:val="clear" w:color="auto" w:fill="auto"/>
            <w:hideMark/>
          </w:tcPr>
          <w:p w14:paraId="353B70EC"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Предполагается, что этравирин будет снижать концентрации этих антиаритмиечких препаратов в плазме.</w:t>
            </w:r>
          </w:p>
        </w:tc>
        <w:tc>
          <w:tcPr>
            <w:tcW w:w="2096" w:type="pct"/>
            <w:tcBorders>
              <w:top w:val="nil"/>
              <w:left w:val="nil"/>
              <w:bottom w:val="single" w:sz="4" w:space="0" w:color="auto"/>
              <w:right w:val="single" w:sz="4" w:space="0" w:color="auto"/>
            </w:tcBorders>
            <w:shd w:val="clear" w:color="auto" w:fill="auto"/>
            <w:hideMark/>
          </w:tcPr>
          <w:p w14:paraId="4467E4BA"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Требуется соблюдать осторожность; по мере возможности рекомендуется наблюдать за концентрациями антиаритмических препаратов при совместном применении с этравирином.</w:t>
            </w:r>
          </w:p>
        </w:tc>
      </w:tr>
      <w:tr w:rsidR="008A297D" w:rsidRPr="0069014A" w14:paraId="1DF4B1C5"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089A2E73"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АНТИБИОТИКИ</w:t>
            </w:r>
          </w:p>
        </w:tc>
      </w:tr>
      <w:tr w:rsidR="008A297D" w:rsidRPr="0069014A" w14:paraId="3718DE76"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noWrap/>
            <w:hideMark/>
          </w:tcPr>
          <w:p w14:paraId="4F548AB0"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Азитромицин</w:t>
            </w:r>
          </w:p>
        </w:tc>
        <w:tc>
          <w:tcPr>
            <w:tcW w:w="1873" w:type="pct"/>
            <w:tcBorders>
              <w:top w:val="nil"/>
              <w:left w:val="nil"/>
              <w:bottom w:val="single" w:sz="4" w:space="0" w:color="auto"/>
              <w:right w:val="single" w:sz="4" w:space="0" w:color="auto"/>
            </w:tcBorders>
            <w:shd w:val="clear" w:color="auto" w:fill="auto"/>
            <w:noWrap/>
            <w:hideMark/>
          </w:tcPr>
          <w:p w14:paraId="79595DA6"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Учитывая путь выведения азитромицина с желчью, не предполагается лекарственных взаимодействий между азитромицином и этравирином.</w:t>
            </w:r>
          </w:p>
        </w:tc>
        <w:tc>
          <w:tcPr>
            <w:tcW w:w="2096" w:type="pct"/>
            <w:tcBorders>
              <w:top w:val="nil"/>
              <w:left w:val="nil"/>
              <w:bottom w:val="single" w:sz="4" w:space="0" w:color="auto"/>
              <w:right w:val="single" w:sz="4" w:space="0" w:color="auto"/>
            </w:tcBorders>
            <w:shd w:val="clear" w:color="auto" w:fill="auto"/>
            <w:hideMark/>
          </w:tcPr>
          <w:p w14:paraId="746A8FBB"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азитромицин могут применяться без коррекции доз.</w:t>
            </w:r>
          </w:p>
        </w:tc>
      </w:tr>
      <w:tr w:rsidR="008A297D" w:rsidRPr="0069014A" w14:paraId="71759A1C"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501B3380"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Кларитромицин</w:t>
            </w:r>
            <w:r w:rsidRPr="0069014A">
              <w:rPr>
                <w:rFonts w:eastAsia="Times New Roman"/>
                <w:color w:val="000000"/>
                <w:lang w:eastAsia="ru-RU"/>
              </w:rPr>
              <w:br/>
              <w:t>500 мг 2 раза в сутки</w:t>
            </w:r>
          </w:p>
        </w:tc>
        <w:tc>
          <w:tcPr>
            <w:tcW w:w="1873" w:type="pct"/>
            <w:tcBorders>
              <w:top w:val="nil"/>
              <w:left w:val="nil"/>
              <w:bottom w:val="single" w:sz="4" w:space="0" w:color="auto"/>
              <w:right w:val="single" w:sz="4" w:space="0" w:color="auto"/>
            </w:tcBorders>
            <w:shd w:val="clear" w:color="auto" w:fill="auto"/>
            <w:hideMark/>
          </w:tcPr>
          <w:p w14:paraId="3E939F26"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Кларитромицин</w:t>
            </w:r>
            <w:r w:rsidRPr="0069014A">
              <w:rPr>
                <w:rFonts w:eastAsia="Times New Roman"/>
                <w:color w:val="000000"/>
                <w:lang w:eastAsia="ru-RU"/>
              </w:rPr>
              <w:br/>
              <w:t>AUC ↓ 0,61 (0,53-0,69)</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0,47 (0,38-0,57)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0,66 (0,57-0,77)</w:t>
            </w:r>
            <w:r w:rsidRPr="0069014A">
              <w:rPr>
                <w:rFonts w:eastAsia="Times New Roman"/>
                <w:color w:val="000000"/>
                <w:lang w:eastAsia="ru-RU"/>
              </w:rPr>
              <w:br/>
            </w:r>
            <w:r w:rsidRPr="0069014A">
              <w:rPr>
                <w:rFonts w:eastAsia="Times New Roman"/>
                <w:color w:val="000000"/>
                <w:u w:val="single"/>
                <w:lang w:eastAsia="ru-RU"/>
              </w:rPr>
              <w:t>14-гидроки-кларитромицин</w:t>
            </w:r>
            <w:r w:rsidRPr="0069014A">
              <w:rPr>
                <w:rFonts w:eastAsia="Times New Roman"/>
                <w:color w:val="000000"/>
                <w:lang w:eastAsia="ru-RU"/>
              </w:rPr>
              <w:br/>
              <w:t>AUC ↑ 1,21 (1,05-1,39)</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1,05 (0,90-1,22)</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1,33 (1,13-1,56)</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1,42 (1,34-1,50)</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1,46 (1,36-1,58)</w:t>
            </w:r>
            <w:r w:rsidRPr="0069014A">
              <w:rPr>
                <w:rFonts w:eastAsia="Times New Roman"/>
                <w:color w:val="000000"/>
                <w:lang w:eastAsia="ru-RU"/>
              </w:rPr>
              <w:br/>
              <w:t>C</w:t>
            </w:r>
            <w:r w:rsidRPr="0069014A">
              <w:rPr>
                <w:rFonts w:eastAsia="Times New Roman"/>
                <w:color w:val="000000"/>
                <w:vertAlign w:val="subscript"/>
                <w:lang w:eastAsia="ru-RU"/>
              </w:rPr>
              <w:t xml:space="preserve">max </w:t>
            </w:r>
            <w:r w:rsidRPr="0069014A">
              <w:rPr>
                <w:rFonts w:eastAsia="Times New Roman"/>
                <w:color w:val="000000"/>
                <w:lang w:eastAsia="ru-RU"/>
              </w:rPr>
              <w:t>↑ 1,46 (1,38-1,56)</w:t>
            </w:r>
          </w:p>
        </w:tc>
        <w:tc>
          <w:tcPr>
            <w:tcW w:w="2096" w:type="pct"/>
            <w:tcBorders>
              <w:top w:val="nil"/>
              <w:left w:val="nil"/>
              <w:bottom w:val="single" w:sz="4" w:space="0" w:color="auto"/>
              <w:right w:val="single" w:sz="4" w:space="0" w:color="auto"/>
            </w:tcBorders>
            <w:shd w:val="clear" w:color="auto" w:fill="auto"/>
            <w:hideMark/>
          </w:tcPr>
          <w:p w14:paraId="404D52F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Концентрация кларитромицина в плазме снижалась под воздействием этравирина; однако, концентрация активного метаболита, 14-гидроки-кларитромицина, возрастала. Поскольку 14-гидроки-кларитромицин обладает сниженной активностью против Mycobacterium avium complex (MAC), общая активность против этого патогена может быть изменена; следовательно, для лечения MAC необходимо рассмотреть альтернативные кларитромицину препараты.</w:t>
            </w:r>
          </w:p>
        </w:tc>
      </w:tr>
      <w:tr w:rsidR="008A297D" w:rsidRPr="0069014A" w14:paraId="4A69D8A8"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47A61B15"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АНТИКОАГУЛЯНТЫ</w:t>
            </w:r>
          </w:p>
        </w:tc>
      </w:tr>
      <w:tr w:rsidR="008A297D" w:rsidRPr="0069014A" w14:paraId="433A90DA" w14:textId="77777777" w:rsidTr="00A76175">
        <w:trPr>
          <w:trHeight w:val="20"/>
        </w:trPr>
        <w:tc>
          <w:tcPr>
            <w:tcW w:w="1031" w:type="pct"/>
            <w:tcBorders>
              <w:top w:val="nil"/>
              <w:left w:val="single" w:sz="4" w:space="0" w:color="auto"/>
              <w:bottom w:val="nil"/>
              <w:right w:val="nil"/>
            </w:tcBorders>
            <w:shd w:val="clear" w:color="auto" w:fill="auto"/>
            <w:noWrap/>
            <w:hideMark/>
          </w:tcPr>
          <w:p w14:paraId="59A991A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Варфарин</w:t>
            </w:r>
          </w:p>
        </w:tc>
        <w:tc>
          <w:tcPr>
            <w:tcW w:w="1873" w:type="pct"/>
            <w:tcBorders>
              <w:top w:val="nil"/>
              <w:left w:val="single" w:sz="4" w:space="0" w:color="auto"/>
              <w:bottom w:val="single" w:sz="4" w:space="0" w:color="auto"/>
              <w:right w:val="single" w:sz="4" w:space="0" w:color="auto"/>
            </w:tcBorders>
            <w:shd w:val="clear" w:color="auto" w:fill="auto"/>
            <w:hideMark/>
          </w:tcPr>
          <w:p w14:paraId="59468239"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Предполагается, что этравирин будет повышать концентрацию варфарина в плазме.</w:t>
            </w:r>
          </w:p>
        </w:tc>
        <w:tc>
          <w:tcPr>
            <w:tcW w:w="2096" w:type="pct"/>
            <w:tcBorders>
              <w:top w:val="nil"/>
              <w:left w:val="nil"/>
              <w:bottom w:val="single" w:sz="4" w:space="0" w:color="auto"/>
              <w:right w:val="single" w:sz="4" w:space="0" w:color="auto"/>
            </w:tcBorders>
            <w:shd w:val="clear" w:color="auto" w:fill="auto"/>
            <w:hideMark/>
          </w:tcPr>
          <w:p w14:paraId="00FE9F86"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При совместном применении варфарина и этравирина рекомендуется наблюдать за международным нормализованным отношением (МНО).</w:t>
            </w:r>
          </w:p>
        </w:tc>
      </w:tr>
      <w:tr w:rsidR="008A297D" w:rsidRPr="0069014A" w14:paraId="2F47D270"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38D3C560"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ПРОТИВОСУДОРОЖНЫЕ СРЕДСТВА</w:t>
            </w:r>
          </w:p>
        </w:tc>
      </w:tr>
      <w:tr w:rsidR="008A297D" w:rsidRPr="0069014A" w14:paraId="79ACE258"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7160CF01"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Карбамазепин</w:t>
            </w:r>
            <w:r w:rsidRPr="0069014A">
              <w:rPr>
                <w:rFonts w:eastAsia="Times New Roman"/>
                <w:color w:val="000000"/>
                <w:lang w:eastAsia="ru-RU"/>
              </w:rPr>
              <w:br/>
              <w:t>Фенобарбитал</w:t>
            </w:r>
            <w:r w:rsidRPr="0069014A">
              <w:rPr>
                <w:rFonts w:eastAsia="Times New Roman"/>
                <w:color w:val="000000"/>
                <w:lang w:eastAsia="ru-RU"/>
              </w:rPr>
              <w:br/>
              <w:t>Фенитоин</w:t>
            </w:r>
          </w:p>
        </w:tc>
        <w:tc>
          <w:tcPr>
            <w:tcW w:w="1873" w:type="pct"/>
            <w:tcBorders>
              <w:top w:val="nil"/>
              <w:left w:val="nil"/>
              <w:bottom w:val="single" w:sz="4" w:space="0" w:color="auto"/>
              <w:right w:val="single" w:sz="4" w:space="0" w:color="auto"/>
            </w:tcBorders>
            <w:shd w:val="clear" w:color="auto" w:fill="auto"/>
            <w:hideMark/>
          </w:tcPr>
          <w:p w14:paraId="29F23BAC"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Предполагается, что карбамазепин, фенобарбитал и фенитоин будут снижать концентрацию этравирина в плазме.</w:t>
            </w:r>
          </w:p>
        </w:tc>
        <w:tc>
          <w:tcPr>
            <w:tcW w:w="2096" w:type="pct"/>
            <w:tcBorders>
              <w:top w:val="nil"/>
              <w:left w:val="nil"/>
              <w:bottom w:val="single" w:sz="4" w:space="0" w:color="auto"/>
              <w:right w:val="single" w:sz="4" w:space="0" w:color="auto"/>
            </w:tcBorders>
            <w:shd w:val="clear" w:color="auto" w:fill="auto"/>
            <w:hideMark/>
          </w:tcPr>
          <w:p w14:paraId="4CE7F4F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Комбинация не рекомендуется.</w:t>
            </w:r>
          </w:p>
        </w:tc>
      </w:tr>
      <w:tr w:rsidR="008A297D" w:rsidRPr="0069014A" w14:paraId="1F2918ED"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78744286"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ПРОТИВОГРИБКОВЫЕ СРЕДСТВА</w:t>
            </w:r>
          </w:p>
        </w:tc>
      </w:tr>
      <w:tr w:rsidR="008A297D" w:rsidRPr="0069014A" w14:paraId="0E936EDB"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06ADF486"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Флуконазол</w:t>
            </w:r>
            <w:r w:rsidRPr="0069014A">
              <w:rPr>
                <w:rFonts w:eastAsia="Times New Roman"/>
                <w:color w:val="000000"/>
                <w:lang w:eastAsia="ru-RU"/>
              </w:rPr>
              <w:br/>
              <w:t>200 однократно утром</w:t>
            </w:r>
          </w:p>
        </w:tc>
        <w:tc>
          <w:tcPr>
            <w:tcW w:w="1873" w:type="pct"/>
            <w:tcBorders>
              <w:top w:val="nil"/>
              <w:left w:val="nil"/>
              <w:bottom w:val="single" w:sz="4" w:space="0" w:color="auto"/>
              <w:right w:val="single" w:sz="4" w:space="0" w:color="auto"/>
            </w:tcBorders>
            <w:shd w:val="clear" w:color="auto" w:fill="auto"/>
            <w:hideMark/>
          </w:tcPr>
          <w:p w14:paraId="5A8A638A"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Флуконазол</w:t>
            </w:r>
            <w:r w:rsidRPr="0069014A">
              <w:rPr>
                <w:rFonts w:eastAsia="Times New Roman"/>
                <w:color w:val="000000"/>
                <w:lang w:eastAsia="ru-RU"/>
              </w:rPr>
              <w:br/>
              <w:t>AUC ↔ 0,94 (0,88-1,01)</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0,91 (0,84-0,98)</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0,92 (0,85-1,00)</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1,86 (1,73-2,00)</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2,09 (1,90-2,31)</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1,75 (1,60-1,91)</w:t>
            </w:r>
          </w:p>
        </w:tc>
        <w:tc>
          <w:tcPr>
            <w:tcW w:w="2096" w:type="pct"/>
            <w:tcBorders>
              <w:top w:val="nil"/>
              <w:left w:val="nil"/>
              <w:bottom w:val="single" w:sz="4" w:space="0" w:color="auto"/>
              <w:right w:val="single" w:sz="4" w:space="0" w:color="auto"/>
            </w:tcBorders>
            <w:shd w:val="clear" w:color="auto" w:fill="auto"/>
            <w:hideMark/>
          </w:tcPr>
          <w:p w14:paraId="0A197B14"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флуконазол могут применяться без коррекции доз.</w:t>
            </w:r>
          </w:p>
        </w:tc>
      </w:tr>
      <w:tr w:rsidR="008A297D" w:rsidRPr="0069014A" w14:paraId="41ADC664"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49109110"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Итраконазол</w:t>
            </w:r>
            <w:r w:rsidRPr="0069014A">
              <w:rPr>
                <w:rFonts w:eastAsia="Times New Roman"/>
                <w:color w:val="000000"/>
                <w:lang w:eastAsia="ru-RU"/>
              </w:rPr>
              <w:br/>
              <w:t>Кетоконазол</w:t>
            </w:r>
            <w:r w:rsidRPr="0069014A">
              <w:rPr>
                <w:rFonts w:eastAsia="Times New Roman"/>
                <w:color w:val="000000"/>
                <w:lang w:eastAsia="ru-RU"/>
              </w:rPr>
              <w:br/>
              <w:t>Позаконазол</w:t>
            </w:r>
          </w:p>
        </w:tc>
        <w:tc>
          <w:tcPr>
            <w:tcW w:w="1873" w:type="pct"/>
            <w:tcBorders>
              <w:top w:val="nil"/>
              <w:left w:val="nil"/>
              <w:bottom w:val="single" w:sz="4" w:space="0" w:color="auto"/>
              <w:right w:val="single" w:sz="4" w:space="0" w:color="auto"/>
            </w:tcBorders>
            <w:shd w:val="clear" w:color="auto" w:fill="auto"/>
            <w:hideMark/>
          </w:tcPr>
          <w:p w14:paraId="1B99F3EC"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Проканазол, мощный ингибитор CYP3A4, может повышать концентрацию этравирина в плазме. Итраконазол и кетоконазол являются мощными ингибиторами, а так же субстратами CYP3A4. Совместное применение ираконазола или кетоконазола и этравирина может повышать концентрацию этравирина в плазме. В то же время концентрация итраконазола или кетоконазола может снижаться под воздействием этравирина.</w:t>
            </w:r>
          </w:p>
        </w:tc>
        <w:tc>
          <w:tcPr>
            <w:tcW w:w="2096" w:type="pct"/>
            <w:tcBorders>
              <w:top w:val="nil"/>
              <w:left w:val="nil"/>
              <w:bottom w:val="single" w:sz="4" w:space="0" w:color="auto"/>
              <w:right w:val="single" w:sz="4" w:space="0" w:color="auto"/>
            </w:tcBorders>
            <w:shd w:val="clear" w:color="auto" w:fill="auto"/>
            <w:hideMark/>
          </w:tcPr>
          <w:p w14:paraId="7C2F67CB"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эти противогрибковые средства могут применяться без коррекции доз.</w:t>
            </w:r>
          </w:p>
        </w:tc>
      </w:tr>
      <w:tr w:rsidR="008A297D" w:rsidRPr="0069014A" w14:paraId="17C2A38A"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42A0B68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Вориконазол</w:t>
            </w:r>
            <w:r w:rsidRPr="0069014A">
              <w:rPr>
                <w:rFonts w:eastAsia="Times New Roman"/>
                <w:color w:val="000000"/>
                <w:lang w:eastAsia="ru-RU"/>
              </w:rPr>
              <w:br/>
              <w:t>200 мг 2 раза в сутки</w:t>
            </w:r>
          </w:p>
        </w:tc>
        <w:tc>
          <w:tcPr>
            <w:tcW w:w="1873" w:type="pct"/>
            <w:tcBorders>
              <w:top w:val="nil"/>
              <w:left w:val="nil"/>
              <w:bottom w:val="single" w:sz="4" w:space="0" w:color="auto"/>
              <w:right w:val="single" w:sz="4" w:space="0" w:color="auto"/>
            </w:tcBorders>
            <w:shd w:val="clear" w:color="auto" w:fill="auto"/>
            <w:hideMark/>
          </w:tcPr>
          <w:p w14:paraId="2A874ED5"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Вориконазол</w:t>
            </w:r>
            <w:r w:rsidRPr="0069014A">
              <w:rPr>
                <w:rFonts w:eastAsia="Times New Roman"/>
                <w:color w:val="000000"/>
                <w:lang w:eastAsia="ru-RU"/>
              </w:rPr>
              <w:br/>
              <w:t>AUC ↑ 1,14 (0,88-1,47)</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1,23 (0,87-1,75)</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0,95 (0,75-1,21)</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1,36 (1,25-1,47)</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1,52 (1,41-1,64)</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1,26 (1,16-1,38)</w:t>
            </w:r>
          </w:p>
        </w:tc>
        <w:tc>
          <w:tcPr>
            <w:tcW w:w="2096" w:type="pct"/>
            <w:tcBorders>
              <w:top w:val="nil"/>
              <w:left w:val="nil"/>
              <w:bottom w:val="single" w:sz="4" w:space="0" w:color="auto"/>
              <w:right w:val="single" w:sz="4" w:space="0" w:color="auto"/>
            </w:tcBorders>
            <w:shd w:val="clear" w:color="auto" w:fill="auto"/>
            <w:hideMark/>
          </w:tcPr>
          <w:p w14:paraId="23E80989"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и вориконазол могут применяться без коррекции доз.</w:t>
            </w:r>
          </w:p>
        </w:tc>
      </w:tr>
      <w:tr w:rsidR="008A297D" w:rsidRPr="0069014A" w14:paraId="63C793D7"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2108A5A6"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ПРЕПАРАТЫ ДЛЯ ЛЕЧЕНИЯ МАЛЯРИИ</w:t>
            </w:r>
          </w:p>
        </w:tc>
      </w:tr>
      <w:tr w:rsidR="008A297D" w:rsidRPr="0069014A" w14:paraId="4DED4726"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7A7F845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Артеметер / люмефантрин</w:t>
            </w:r>
            <w:r w:rsidRPr="0069014A">
              <w:rPr>
                <w:rFonts w:eastAsia="Times New Roman"/>
                <w:color w:val="000000"/>
                <w:lang w:eastAsia="ru-RU"/>
              </w:rPr>
              <w:br/>
              <w:t>80 / 480 мг, 6 доз через 0, 8, 24, 36, 48 и 60 часов.</w:t>
            </w:r>
          </w:p>
        </w:tc>
        <w:tc>
          <w:tcPr>
            <w:tcW w:w="1873" w:type="pct"/>
            <w:tcBorders>
              <w:top w:val="nil"/>
              <w:left w:val="nil"/>
              <w:bottom w:val="single" w:sz="4" w:space="0" w:color="auto"/>
              <w:right w:val="single" w:sz="4" w:space="0" w:color="auto"/>
            </w:tcBorders>
            <w:shd w:val="clear" w:color="auto" w:fill="auto"/>
            <w:hideMark/>
          </w:tcPr>
          <w:p w14:paraId="090499EF"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Артеметер</w:t>
            </w:r>
            <w:r w:rsidRPr="0069014A">
              <w:rPr>
                <w:rFonts w:eastAsia="Times New Roman"/>
                <w:color w:val="000000"/>
                <w:lang w:eastAsia="ru-RU"/>
              </w:rPr>
              <w:br/>
              <w:t>AUC ↓ 0,62 (0,48-0,80)</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0,82 (0,67-1,01)</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0,72 (0,55-0,94)</w:t>
            </w:r>
            <w:r w:rsidRPr="0069014A">
              <w:rPr>
                <w:rFonts w:eastAsia="Times New Roman"/>
                <w:color w:val="000000"/>
                <w:lang w:eastAsia="ru-RU"/>
              </w:rPr>
              <w:br/>
            </w:r>
            <w:r w:rsidRPr="0069014A">
              <w:rPr>
                <w:rFonts w:eastAsia="Times New Roman"/>
                <w:color w:val="000000"/>
                <w:u w:val="single"/>
                <w:lang w:eastAsia="ru-RU"/>
              </w:rPr>
              <w:t>Дигидроартемизинин</w:t>
            </w:r>
            <w:r w:rsidRPr="0069014A">
              <w:rPr>
                <w:rFonts w:eastAsia="Times New Roman"/>
                <w:color w:val="000000"/>
                <w:lang w:eastAsia="ru-RU"/>
              </w:rPr>
              <w:br/>
              <w:t>AUC ↓ 0,85 (0,75-0,97)</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0,83 (0,71-0,97)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0,84 (0,71-0,99)</w:t>
            </w:r>
            <w:r w:rsidRPr="0069014A">
              <w:rPr>
                <w:rFonts w:eastAsia="Times New Roman"/>
                <w:color w:val="000000"/>
                <w:lang w:eastAsia="ru-RU"/>
              </w:rPr>
              <w:br/>
            </w:r>
            <w:r w:rsidRPr="0069014A">
              <w:rPr>
                <w:rFonts w:eastAsia="Times New Roman"/>
                <w:color w:val="000000"/>
                <w:u w:val="single"/>
                <w:lang w:eastAsia="ru-RU"/>
              </w:rPr>
              <w:t>Люмефантрин</w:t>
            </w:r>
            <w:r w:rsidRPr="0069014A">
              <w:rPr>
                <w:rFonts w:eastAsia="Times New Roman"/>
                <w:color w:val="000000"/>
                <w:lang w:eastAsia="ru-RU"/>
              </w:rPr>
              <w:br/>
              <w:t>AUC ↓ 0,87 (0,77-0,98)</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0,97 (0,83-1,15)</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1,07 (0,94-1,23)</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1,10 (1,06-1,15)</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1,08 (1,04-1,14)</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1,11 (1,06-1,17)</w:t>
            </w:r>
          </w:p>
        </w:tc>
        <w:tc>
          <w:tcPr>
            <w:tcW w:w="2096" w:type="pct"/>
            <w:tcBorders>
              <w:top w:val="nil"/>
              <w:left w:val="nil"/>
              <w:bottom w:val="single" w:sz="4" w:space="0" w:color="auto"/>
              <w:right w:val="single" w:sz="4" w:space="0" w:color="auto"/>
            </w:tcBorders>
            <w:shd w:val="clear" w:color="auto" w:fill="auto"/>
            <w:hideMark/>
          </w:tcPr>
          <w:p w14:paraId="10920C44"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При совместном применении этравирина и комбинации артеметер/люмефантрин требуется тщательное наблюдение за ответом на противомалярийную терапию, поскольку значительное снижение концентрации артеметера и его активного метаболита дигидроартемизинина в плазме может приводить к снижению противомалярийной эффективности. Коррекции дозы этравирина не требуется.</w:t>
            </w:r>
          </w:p>
        </w:tc>
      </w:tr>
      <w:tr w:rsidR="008A297D" w:rsidRPr="0069014A" w14:paraId="05645ED4"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22CF4A5C"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ПРОТИВОТУБЕРКУЛЕЗНЫЕ ПРЕПАРАТЫ</w:t>
            </w:r>
          </w:p>
        </w:tc>
      </w:tr>
      <w:tr w:rsidR="008A297D" w:rsidRPr="0069014A" w14:paraId="42937B1A"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76968F5A"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Рифампицин</w:t>
            </w:r>
            <w:r w:rsidRPr="0069014A">
              <w:rPr>
                <w:rFonts w:eastAsia="Times New Roman"/>
                <w:color w:val="000000"/>
                <w:lang w:eastAsia="ru-RU"/>
              </w:rPr>
              <w:br/>
              <w:t>Рифапентин</w:t>
            </w:r>
          </w:p>
        </w:tc>
        <w:tc>
          <w:tcPr>
            <w:tcW w:w="1873" w:type="pct"/>
            <w:tcBorders>
              <w:top w:val="nil"/>
              <w:left w:val="nil"/>
              <w:bottom w:val="single" w:sz="4" w:space="0" w:color="auto"/>
              <w:right w:val="single" w:sz="4" w:space="0" w:color="auto"/>
            </w:tcBorders>
            <w:shd w:val="clear" w:color="auto" w:fill="auto"/>
            <w:hideMark/>
          </w:tcPr>
          <w:p w14:paraId="0906739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Рифампицин и рифапентин могут снижать концентрацию этравирина в плазме.</w:t>
            </w:r>
            <w:r w:rsidRPr="0069014A">
              <w:rPr>
                <w:rFonts w:eastAsia="Times New Roman"/>
                <w:color w:val="000000"/>
                <w:lang w:eastAsia="ru-RU"/>
              </w:rPr>
              <w:br/>
              <w:t>Этравирин следуюет применять в комбинации с бустированным ингибитором протеазы. Совместное применение рифампицина и бустированных ингибиторов протеазы противопоказано.</w:t>
            </w:r>
          </w:p>
        </w:tc>
        <w:tc>
          <w:tcPr>
            <w:tcW w:w="2096" w:type="pct"/>
            <w:tcBorders>
              <w:top w:val="nil"/>
              <w:left w:val="nil"/>
              <w:bottom w:val="single" w:sz="4" w:space="0" w:color="auto"/>
              <w:right w:val="single" w:sz="4" w:space="0" w:color="auto"/>
            </w:tcBorders>
            <w:shd w:val="clear" w:color="auto" w:fill="auto"/>
            <w:hideMark/>
          </w:tcPr>
          <w:p w14:paraId="578C75E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Комбинация не рекомендуется.</w:t>
            </w:r>
          </w:p>
        </w:tc>
      </w:tr>
      <w:tr w:rsidR="008A297D" w:rsidRPr="0069014A" w14:paraId="41D59D46"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2EE67507"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Рифабутин</w:t>
            </w:r>
            <w:r w:rsidRPr="0069014A">
              <w:rPr>
                <w:rFonts w:eastAsia="Times New Roman"/>
                <w:color w:val="000000"/>
                <w:lang w:eastAsia="ru-RU"/>
              </w:rPr>
              <w:br/>
              <w:t>300 мг 1 раза в сутки</w:t>
            </w:r>
          </w:p>
        </w:tc>
        <w:tc>
          <w:tcPr>
            <w:tcW w:w="1873" w:type="pct"/>
            <w:tcBorders>
              <w:top w:val="nil"/>
              <w:left w:val="nil"/>
              <w:bottom w:val="single" w:sz="4" w:space="0" w:color="auto"/>
              <w:right w:val="single" w:sz="4" w:space="0" w:color="auto"/>
            </w:tcBorders>
            <w:shd w:val="clear" w:color="auto" w:fill="auto"/>
            <w:hideMark/>
          </w:tcPr>
          <w:p w14:paraId="5A246C8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 xml:space="preserve">При совместном применении с бустированными ингибиторами протеазы: </w:t>
            </w:r>
            <w:r w:rsidRPr="0069014A">
              <w:rPr>
                <w:rFonts w:eastAsia="Times New Roman"/>
                <w:color w:val="000000"/>
                <w:lang w:eastAsia="ru-RU"/>
              </w:rPr>
              <w:br/>
              <w:t>Исследование лекарственных взаимодействий не проводилось. Согласно историческим данным можно ожидать снижения концентрации этравирина в плазмме, а так же повышения концентрации рифабутина и особенно 25-О-дезацетилрифабутина в плазме.</w:t>
            </w:r>
            <w:r w:rsidRPr="0069014A">
              <w:rPr>
                <w:rFonts w:eastAsia="Times New Roman"/>
                <w:color w:val="000000"/>
                <w:lang w:eastAsia="ru-RU"/>
              </w:rPr>
              <w:br/>
              <w:t xml:space="preserve">Без совместного применения с бустированным ингибитором протеазы (что не является рекомендованым показанием к применению этравирина): </w:t>
            </w:r>
            <w:r w:rsidRPr="0069014A">
              <w:rPr>
                <w:rFonts w:eastAsia="Times New Roman"/>
                <w:color w:val="000000"/>
                <w:lang w:eastAsia="ru-RU"/>
              </w:rPr>
              <w:br/>
            </w:r>
            <w:r w:rsidRPr="0069014A">
              <w:rPr>
                <w:rFonts w:eastAsia="Times New Roman"/>
                <w:color w:val="000000"/>
                <w:u w:val="single"/>
                <w:lang w:eastAsia="ru-RU"/>
              </w:rPr>
              <w:t>Рифабутин</w:t>
            </w:r>
            <w:r w:rsidRPr="0069014A">
              <w:rPr>
                <w:rFonts w:eastAsia="Times New Roman"/>
                <w:color w:val="000000"/>
                <w:lang w:eastAsia="ru-RU"/>
              </w:rPr>
              <w:br/>
              <w:t>AUC ↓ 0,83 (0,75-0,94)</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0,76 (0,66-0,87)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0,90 (0,78-1,03)</w:t>
            </w:r>
            <w:r w:rsidRPr="0069014A">
              <w:rPr>
                <w:rFonts w:eastAsia="Times New Roman"/>
                <w:color w:val="000000"/>
                <w:lang w:eastAsia="ru-RU"/>
              </w:rPr>
              <w:br/>
            </w:r>
            <w:r w:rsidRPr="0069014A">
              <w:rPr>
                <w:rFonts w:eastAsia="Times New Roman"/>
                <w:color w:val="000000"/>
                <w:u w:val="single"/>
                <w:lang w:eastAsia="ru-RU"/>
              </w:rPr>
              <w:t>25-О-дезацетилрифабутин</w:t>
            </w:r>
            <w:r w:rsidRPr="0069014A">
              <w:rPr>
                <w:rFonts w:eastAsia="Times New Roman"/>
                <w:color w:val="000000"/>
                <w:lang w:eastAsia="ru-RU"/>
              </w:rPr>
              <w:br/>
              <w:t>AUC ↓ 0,83 (0,74-0,92)</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0,78 (0,79-0,87)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0,85 (0,72-1,00)</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0,63 (0,54-0,74)</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0,65 (0,56-0,74)</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0,63 (0,53-0,74)</w:t>
            </w:r>
          </w:p>
        </w:tc>
        <w:tc>
          <w:tcPr>
            <w:tcW w:w="2096" w:type="pct"/>
            <w:tcBorders>
              <w:top w:val="nil"/>
              <w:left w:val="nil"/>
              <w:bottom w:val="single" w:sz="4" w:space="0" w:color="auto"/>
              <w:right w:val="single" w:sz="4" w:space="0" w:color="auto"/>
            </w:tcBorders>
            <w:shd w:val="clear" w:color="auto" w:fill="auto"/>
            <w:hideMark/>
          </w:tcPr>
          <w:p w14:paraId="4265435A"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Комбинацию этравирина с бустированным ингибитором протеазы и рифабутином следует применять с осторожностью, учитывая риск снижения концентрации этравирина и повышения концентрации рифабутина и 25-О-дезацетилрифабутина в плазме. Рекомендуется тщательное наблюдение за вирусологическим ответом и связанным и рифабутином нежелательными реакциями. Следует изучить информацию о применяемом бустированном ингибиторе протеазы, чтоб правильно скорректировать дозу рифбутина.</w:t>
            </w:r>
          </w:p>
        </w:tc>
      </w:tr>
      <w:tr w:rsidR="008A297D" w:rsidRPr="0069014A" w14:paraId="743F302A"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3AFF6E81"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БЕНЗОДИАЗЕПИНЫ</w:t>
            </w:r>
          </w:p>
        </w:tc>
      </w:tr>
      <w:tr w:rsidR="008A297D" w:rsidRPr="0069014A" w14:paraId="248CD300"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noWrap/>
            <w:hideMark/>
          </w:tcPr>
          <w:p w14:paraId="3727AB47"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Диазепам</w:t>
            </w:r>
          </w:p>
        </w:tc>
        <w:tc>
          <w:tcPr>
            <w:tcW w:w="1873" w:type="pct"/>
            <w:tcBorders>
              <w:top w:val="nil"/>
              <w:left w:val="nil"/>
              <w:bottom w:val="single" w:sz="4" w:space="0" w:color="auto"/>
              <w:right w:val="single" w:sz="4" w:space="0" w:color="auto"/>
            </w:tcBorders>
            <w:shd w:val="clear" w:color="auto" w:fill="auto"/>
            <w:hideMark/>
          </w:tcPr>
          <w:p w14:paraId="07E28B8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Предполагается, что этравирин будет повышать концентрацию диазепама в плазме.</w:t>
            </w:r>
          </w:p>
        </w:tc>
        <w:tc>
          <w:tcPr>
            <w:tcW w:w="2096" w:type="pct"/>
            <w:tcBorders>
              <w:top w:val="nil"/>
              <w:left w:val="nil"/>
              <w:bottom w:val="single" w:sz="4" w:space="0" w:color="auto"/>
              <w:right w:val="single" w:sz="4" w:space="0" w:color="auto"/>
            </w:tcBorders>
            <w:shd w:val="clear" w:color="auto" w:fill="auto"/>
            <w:hideMark/>
          </w:tcPr>
          <w:p w14:paraId="1910620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Следует рассмотреть альтернативу диазепаму.</w:t>
            </w:r>
          </w:p>
        </w:tc>
      </w:tr>
      <w:tr w:rsidR="008A297D" w:rsidRPr="0069014A" w14:paraId="6B5B8CD3"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49876C88"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ГЛЮКОКОРТИКОСТЕРОИДЫ</w:t>
            </w:r>
          </w:p>
        </w:tc>
      </w:tr>
      <w:tr w:rsidR="008A297D" w:rsidRPr="0069014A" w14:paraId="774D4C66"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32365850"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Дексаметазон</w:t>
            </w:r>
            <w:r w:rsidRPr="0069014A">
              <w:rPr>
                <w:rFonts w:eastAsia="Times New Roman"/>
                <w:color w:val="000000"/>
                <w:lang w:eastAsia="ru-RU"/>
              </w:rPr>
              <w:br/>
              <w:t>(системно)</w:t>
            </w:r>
          </w:p>
        </w:tc>
        <w:tc>
          <w:tcPr>
            <w:tcW w:w="1873" w:type="pct"/>
            <w:tcBorders>
              <w:top w:val="nil"/>
              <w:left w:val="nil"/>
              <w:bottom w:val="single" w:sz="4" w:space="0" w:color="auto"/>
              <w:right w:val="single" w:sz="4" w:space="0" w:color="auto"/>
            </w:tcBorders>
            <w:shd w:val="clear" w:color="auto" w:fill="auto"/>
            <w:hideMark/>
          </w:tcPr>
          <w:p w14:paraId="69E6D0D9"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Предполагается, что дексаметазон будет снижать концентрацию этравирина в плазме.</w:t>
            </w:r>
          </w:p>
        </w:tc>
        <w:tc>
          <w:tcPr>
            <w:tcW w:w="2096" w:type="pct"/>
            <w:tcBorders>
              <w:top w:val="nil"/>
              <w:left w:val="nil"/>
              <w:bottom w:val="single" w:sz="4" w:space="0" w:color="auto"/>
              <w:right w:val="single" w:sz="4" w:space="0" w:color="auto"/>
            </w:tcBorders>
            <w:shd w:val="clear" w:color="auto" w:fill="auto"/>
            <w:hideMark/>
          </w:tcPr>
          <w:p w14:paraId="56E7023A"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Дексаметазон (системно) следует применять с осторожностью или рассмотреть альтернативные препараты, особенно для длительного применения.</w:t>
            </w:r>
          </w:p>
        </w:tc>
      </w:tr>
      <w:tr w:rsidR="008A297D" w:rsidRPr="0069014A" w14:paraId="17B809E2"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6B78E362"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ЭСТРОГЕН-СОДЕРЖАЩИЕ КОНТРАЦЕПТИВНЫЕ ПРЕПАРАТЫ</w:t>
            </w:r>
          </w:p>
        </w:tc>
      </w:tr>
      <w:tr w:rsidR="008A297D" w:rsidRPr="0069014A" w14:paraId="2AD072A6"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0A5FF082"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Этинилэстрадиол</w:t>
            </w:r>
            <w:r w:rsidRPr="0069014A">
              <w:rPr>
                <w:rFonts w:eastAsia="Times New Roman"/>
                <w:color w:val="000000"/>
                <w:lang w:eastAsia="ru-RU"/>
              </w:rPr>
              <w:br/>
              <w:t>0,035 мг 1 раз в сутки</w:t>
            </w:r>
            <w:r w:rsidRPr="0069014A">
              <w:rPr>
                <w:rFonts w:eastAsia="Times New Roman"/>
                <w:color w:val="000000"/>
                <w:lang w:eastAsia="ru-RU"/>
              </w:rPr>
              <w:br/>
              <w:t>Норэтиндрон</w:t>
            </w:r>
            <w:r w:rsidRPr="0069014A">
              <w:rPr>
                <w:rFonts w:eastAsia="Times New Roman"/>
                <w:color w:val="000000"/>
                <w:lang w:eastAsia="ru-RU"/>
              </w:rPr>
              <w:br/>
              <w:t>1 мг 1 раз в сутки</w:t>
            </w:r>
          </w:p>
        </w:tc>
        <w:tc>
          <w:tcPr>
            <w:tcW w:w="1873" w:type="pct"/>
            <w:tcBorders>
              <w:top w:val="nil"/>
              <w:left w:val="nil"/>
              <w:bottom w:val="single" w:sz="4" w:space="0" w:color="auto"/>
              <w:right w:val="single" w:sz="4" w:space="0" w:color="auto"/>
            </w:tcBorders>
            <w:shd w:val="clear" w:color="auto" w:fill="auto"/>
            <w:hideMark/>
          </w:tcPr>
          <w:p w14:paraId="1D9A50B1"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Этинилэстрадиол</w:t>
            </w:r>
            <w:r w:rsidRPr="0069014A">
              <w:rPr>
                <w:rFonts w:eastAsia="Times New Roman"/>
                <w:color w:val="000000"/>
                <w:lang w:eastAsia="ru-RU"/>
              </w:rPr>
              <w:br/>
              <w:t>AUC ↑ 1,22 (1,13-1,31)</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1,09 (1,01-1,18)</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1,33 (1,21-1,46)</w:t>
            </w:r>
            <w:r w:rsidRPr="0069014A">
              <w:rPr>
                <w:rFonts w:eastAsia="Times New Roman"/>
                <w:color w:val="000000"/>
                <w:lang w:eastAsia="ru-RU"/>
              </w:rPr>
              <w:br/>
            </w:r>
            <w:r w:rsidRPr="0069014A">
              <w:rPr>
                <w:rFonts w:eastAsia="Times New Roman"/>
                <w:color w:val="000000"/>
                <w:u w:val="single"/>
                <w:lang w:eastAsia="ru-RU"/>
              </w:rPr>
              <w:t>Норэтиндрон</w:t>
            </w:r>
            <w:r w:rsidRPr="0069014A">
              <w:rPr>
                <w:rFonts w:eastAsia="Times New Roman"/>
                <w:color w:val="000000"/>
                <w:lang w:eastAsia="ru-RU"/>
              </w:rPr>
              <w:br/>
              <w:t>AUC ↔ 0,95 (0,90-0,99)</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0,78 (0,68-0,90)</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1,05 (0,98-1,12)</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 xml:space="preserve">AUC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w:t>
            </w:r>
            <w:r w:rsidRPr="0069014A">
              <w:rPr>
                <w:rFonts w:eastAsia="Times New Roman"/>
                <w:color w:val="000000"/>
                <w:vertAlign w:val="superscript"/>
                <w:lang w:eastAsia="ru-RU"/>
              </w:rPr>
              <w:t>а</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w:t>
            </w:r>
            <w:r w:rsidRPr="0069014A">
              <w:rPr>
                <w:rFonts w:eastAsia="Times New Roman"/>
                <w:color w:val="000000"/>
                <w:vertAlign w:val="superscript"/>
                <w:lang w:eastAsia="ru-RU"/>
              </w:rPr>
              <w:t xml:space="preserve"> а</w:t>
            </w:r>
          </w:p>
        </w:tc>
        <w:tc>
          <w:tcPr>
            <w:tcW w:w="2096" w:type="pct"/>
            <w:tcBorders>
              <w:top w:val="nil"/>
              <w:left w:val="nil"/>
              <w:bottom w:val="single" w:sz="4" w:space="0" w:color="auto"/>
              <w:right w:val="single" w:sz="4" w:space="0" w:color="auto"/>
            </w:tcBorders>
            <w:shd w:val="clear" w:color="auto" w:fill="auto"/>
            <w:hideMark/>
          </w:tcPr>
          <w:p w14:paraId="4416693F"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Комбинация контрацептивов на основе эстрогенов и/или прогестерона и этравирин может применяться без коррекции доз.</w:t>
            </w:r>
          </w:p>
        </w:tc>
      </w:tr>
      <w:tr w:rsidR="008A297D" w:rsidRPr="0069014A" w14:paraId="2078B9A7"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9CB1F33"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ПРЕПАРАТЫ ПРЯМОГО ПРОТИВОВИРУСНОГО ДЕЙСТВИЯ ДЛЯ ЛЕЧЕНИЯ ГЕПАТИТА С</w:t>
            </w:r>
          </w:p>
        </w:tc>
      </w:tr>
      <w:tr w:rsidR="008A297D" w:rsidRPr="0069014A" w14:paraId="38C0576F"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noWrap/>
            <w:hideMark/>
          </w:tcPr>
          <w:p w14:paraId="5276F224"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Рибавирин</w:t>
            </w:r>
          </w:p>
        </w:tc>
        <w:tc>
          <w:tcPr>
            <w:tcW w:w="1873" w:type="pct"/>
            <w:tcBorders>
              <w:top w:val="nil"/>
              <w:left w:val="nil"/>
              <w:bottom w:val="single" w:sz="4" w:space="0" w:color="auto"/>
              <w:right w:val="single" w:sz="4" w:space="0" w:color="auto"/>
            </w:tcBorders>
            <w:shd w:val="clear" w:color="auto" w:fill="auto"/>
            <w:hideMark/>
          </w:tcPr>
          <w:p w14:paraId="38342AF1"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но не ожидается лекарственных взаимодействий, учитывая почечный путь выведения рибавирина.</w:t>
            </w:r>
          </w:p>
        </w:tc>
        <w:tc>
          <w:tcPr>
            <w:tcW w:w="2096" w:type="pct"/>
            <w:tcBorders>
              <w:top w:val="nil"/>
              <w:left w:val="nil"/>
              <w:bottom w:val="single" w:sz="4" w:space="0" w:color="auto"/>
              <w:right w:val="single" w:sz="4" w:space="0" w:color="auto"/>
            </w:tcBorders>
            <w:shd w:val="clear" w:color="auto" w:fill="auto"/>
            <w:hideMark/>
          </w:tcPr>
          <w:p w14:paraId="44602D8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Комбинация этравирина и рибавирина может применяться без коррекции доз.</w:t>
            </w:r>
          </w:p>
        </w:tc>
      </w:tr>
      <w:tr w:rsidR="008A297D" w:rsidRPr="0069014A" w14:paraId="0B713B5E"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noWrap/>
            <w:hideMark/>
          </w:tcPr>
          <w:p w14:paraId="45E715AA"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Даклатасвир</w:t>
            </w:r>
          </w:p>
        </w:tc>
        <w:tc>
          <w:tcPr>
            <w:tcW w:w="1873" w:type="pct"/>
            <w:tcBorders>
              <w:top w:val="nil"/>
              <w:left w:val="nil"/>
              <w:bottom w:val="nil"/>
              <w:right w:val="nil"/>
            </w:tcBorders>
            <w:shd w:val="clear" w:color="auto" w:fill="auto"/>
            <w:hideMark/>
          </w:tcPr>
          <w:p w14:paraId="4D36FA84"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При совместном применении этравирина и даклатасвира возможно снижение концентрации даклатасвира.</w:t>
            </w:r>
          </w:p>
        </w:tc>
        <w:tc>
          <w:tcPr>
            <w:tcW w:w="2096" w:type="pct"/>
            <w:tcBorders>
              <w:top w:val="nil"/>
              <w:left w:val="single" w:sz="4" w:space="0" w:color="auto"/>
              <w:bottom w:val="single" w:sz="4" w:space="0" w:color="auto"/>
              <w:right w:val="single" w:sz="4" w:space="0" w:color="auto"/>
            </w:tcBorders>
            <w:shd w:val="clear" w:color="auto" w:fill="auto"/>
            <w:hideMark/>
          </w:tcPr>
          <w:p w14:paraId="51357909"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Совместное применение этравирина и даклатасвира не рекомендуется.</w:t>
            </w:r>
          </w:p>
        </w:tc>
      </w:tr>
      <w:tr w:rsidR="008A297D" w:rsidRPr="0069014A" w14:paraId="57D18763"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11FF4A9C"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Элбасвир / гразопревир</w:t>
            </w:r>
          </w:p>
        </w:tc>
        <w:tc>
          <w:tcPr>
            <w:tcW w:w="1873" w:type="pct"/>
            <w:tcBorders>
              <w:top w:val="single" w:sz="4" w:space="0" w:color="auto"/>
              <w:left w:val="nil"/>
              <w:bottom w:val="single" w:sz="4" w:space="0" w:color="auto"/>
              <w:right w:val="single" w:sz="4" w:space="0" w:color="auto"/>
            </w:tcBorders>
            <w:shd w:val="clear" w:color="auto" w:fill="auto"/>
            <w:hideMark/>
          </w:tcPr>
          <w:p w14:paraId="09DE04C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При совместном применении этравирина и комбинации элбасвир/гразопервир может снижаться концентрация элбасвира и гразопервира, приводя к снижению их терапевтического эффекта.</w:t>
            </w:r>
          </w:p>
        </w:tc>
        <w:tc>
          <w:tcPr>
            <w:tcW w:w="2096" w:type="pct"/>
            <w:tcBorders>
              <w:top w:val="nil"/>
              <w:left w:val="nil"/>
              <w:bottom w:val="single" w:sz="4" w:space="0" w:color="auto"/>
              <w:right w:val="single" w:sz="4" w:space="0" w:color="auto"/>
            </w:tcBorders>
            <w:shd w:val="clear" w:color="auto" w:fill="auto"/>
            <w:hideMark/>
          </w:tcPr>
          <w:p w14:paraId="2569684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Совместное применение противопоказано.</w:t>
            </w:r>
          </w:p>
        </w:tc>
      </w:tr>
      <w:tr w:rsidR="008A297D" w:rsidRPr="0069014A" w14:paraId="70D79AAC"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1C43D1E2"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РАСТИТЕЛЬНЫЕ ПРЕПАРАТЫ</w:t>
            </w:r>
          </w:p>
        </w:tc>
      </w:tr>
      <w:tr w:rsidR="008A297D" w:rsidRPr="0069014A" w14:paraId="149216CB"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1A55B4F1"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Препараты зверобоя</w:t>
            </w:r>
            <w:r w:rsidRPr="0069014A">
              <w:rPr>
                <w:rFonts w:eastAsia="Times New Roman"/>
                <w:color w:val="000000"/>
                <w:lang w:eastAsia="ru-RU"/>
              </w:rPr>
              <w:br/>
            </w:r>
            <w:r w:rsidRPr="0069014A">
              <w:rPr>
                <w:rFonts w:eastAsia="Times New Roman"/>
                <w:i/>
                <w:iCs/>
                <w:color w:val="000000"/>
                <w:lang w:eastAsia="ru-RU"/>
              </w:rPr>
              <w:t>(Hypericum perforatum)</w:t>
            </w:r>
          </w:p>
        </w:tc>
        <w:tc>
          <w:tcPr>
            <w:tcW w:w="1873" w:type="pct"/>
            <w:tcBorders>
              <w:top w:val="nil"/>
              <w:left w:val="nil"/>
              <w:bottom w:val="single" w:sz="4" w:space="0" w:color="auto"/>
              <w:right w:val="single" w:sz="4" w:space="0" w:color="auto"/>
            </w:tcBorders>
            <w:shd w:val="clear" w:color="auto" w:fill="auto"/>
            <w:hideMark/>
          </w:tcPr>
          <w:p w14:paraId="650B5026"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Предполагается, что препараты зверобоя буду снижать концентрацию этравирина в плазме.</w:t>
            </w:r>
          </w:p>
        </w:tc>
        <w:tc>
          <w:tcPr>
            <w:tcW w:w="2096" w:type="pct"/>
            <w:tcBorders>
              <w:top w:val="nil"/>
              <w:left w:val="nil"/>
              <w:bottom w:val="single" w:sz="4" w:space="0" w:color="auto"/>
              <w:right w:val="single" w:sz="4" w:space="0" w:color="auto"/>
            </w:tcBorders>
            <w:shd w:val="clear" w:color="auto" w:fill="auto"/>
            <w:hideMark/>
          </w:tcPr>
          <w:p w14:paraId="7E0EB06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Комбинация не рекомендуется.</w:t>
            </w:r>
          </w:p>
        </w:tc>
      </w:tr>
      <w:tr w:rsidR="008A297D" w:rsidRPr="0069014A" w14:paraId="4CA3D5DC"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43812637"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Ингибиторы ГМГ-КоА-редуктазы</w:t>
            </w:r>
          </w:p>
        </w:tc>
      </w:tr>
      <w:tr w:rsidR="008A297D" w:rsidRPr="0069014A" w14:paraId="73073B8B"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44503682"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Аторвастатин</w:t>
            </w:r>
            <w:r w:rsidRPr="0069014A">
              <w:rPr>
                <w:rFonts w:eastAsia="Times New Roman"/>
                <w:color w:val="000000"/>
                <w:lang w:eastAsia="ru-RU"/>
              </w:rPr>
              <w:br/>
              <w:t>40 мг 1 раз в сутки</w:t>
            </w:r>
          </w:p>
        </w:tc>
        <w:tc>
          <w:tcPr>
            <w:tcW w:w="1873" w:type="pct"/>
            <w:tcBorders>
              <w:top w:val="nil"/>
              <w:left w:val="nil"/>
              <w:bottom w:val="single" w:sz="4" w:space="0" w:color="auto"/>
              <w:right w:val="single" w:sz="4" w:space="0" w:color="auto"/>
            </w:tcBorders>
            <w:shd w:val="clear" w:color="auto" w:fill="auto"/>
            <w:hideMark/>
          </w:tcPr>
          <w:p w14:paraId="5447EE0B"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Аторвастатин</w:t>
            </w:r>
            <w:r w:rsidRPr="0069014A">
              <w:rPr>
                <w:rFonts w:eastAsia="Times New Roman"/>
                <w:color w:val="000000"/>
                <w:lang w:eastAsia="ru-RU"/>
              </w:rPr>
              <w:br/>
              <w:t>AUC ↓ 0,63 (0,58-0,68)</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н/о</w:t>
            </w:r>
            <w:r w:rsidRPr="0069014A">
              <w:rPr>
                <w:rFonts w:eastAsia="Times New Roman"/>
                <w:color w:val="000000"/>
                <w:lang w:eastAsia="ru-RU"/>
              </w:rPr>
              <w:br/>
              <w:t>C</w:t>
            </w:r>
            <w:r w:rsidRPr="0069014A">
              <w:rPr>
                <w:rFonts w:eastAsia="Times New Roman"/>
                <w:color w:val="000000"/>
                <w:vertAlign w:val="subscript"/>
                <w:lang w:eastAsia="ru-RU"/>
              </w:rPr>
              <w:t xml:space="preserve">max </w:t>
            </w:r>
            <w:r w:rsidRPr="0069014A">
              <w:rPr>
                <w:rFonts w:eastAsia="Times New Roman"/>
                <w:color w:val="000000"/>
                <w:lang w:eastAsia="ru-RU"/>
              </w:rPr>
              <w:t>↑ 1,04 (0,84-1,30)</w:t>
            </w:r>
            <w:r w:rsidRPr="0069014A">
              <w:rPr>
                <w:rFonts w:eastAsia="Times New Roman"/>
                <w:color w:val="000000"/>
                <w:lang w:eastAsia="ru-RU"/>
              </w:rPr>
              <w:br/>
            </w:r>
            <w:r w:rsidRPr="0069014A">
              <w:rPr>
                <w:rFonts w:eastAsia="Times New Roman"/>
                <w:color w:val="000000"/>
                <w:u w:val="single"/>
                <w:lang w:eastAsia="ru-RU"/>
              </w:rPr>
              <w:t>2-гидрокси-аторвастатин</w:t>
            </w:r>
            <w:r w:rsidRPr="0069014A">
              <w:rPr>
                <w:rFonts w:eastAsia="Times New Roman"/>
                <w:color w:val="000000"/>
                <w:lang w:eastAsia="ru-RU"/>
              </w:rPr>
              <w:br/>
              <w:t>AUC ↑ 1,27 (1,19-1,36)</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н/о</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1,76 (1,60-1,94)</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1,02 (0,97-1,07)</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1,10 (1,02-1,19)</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0,97 (0,93-1,02)</w:t>
            </w:r>
          </w:p>
        </w:tc>
        <w:tc>
          <w:tcPr>
            <w:tcW w:w="2096" w:type="pct"/>
            <w:tcBorders>
              <w:top w:val="nil"/>
              <w:left w:val="nil"/>
              <w:bottom w:val="single" w:sz="4" w:space="0" w:color="auto"/>
              <w:right w:val="single" w:sz="4" w:space="0" w:color="auto"/>
            </w:tcBorders>
            <w:shd w:val="clear" w:color="auto" w:fill="auto"/>
            <w:hideMark/>
          </w:tcPr>
          <w:p w14:paraId="66840D83"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Комбинация этравирина и аторвастатина может применяться без коррекции доз, но может потребоваться изменение дозы аторвастатина в зависимости от клинического ответа.</w:t>
            </w:r>
          </w:p>
        </w:tc>
      </w:tr>
      <w:tr w:rsidR="008A297D" w:rsidRPr="0069014A" w14:paraId="68079451"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7784455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Флувастатин</w:t>
            </w:r>
            <w:r w:rsidRPr="0069014A">
              <w:rPr>
                <w:rFonts w:eastAsia="Times New Roman"/>
                <w:color w:val="000000"/>
                <w:lang w:eastAsia="ru-RU"/>
              </w:rPr>
              <w:br/>
              <w:t>Ловастатин</w:t>
            </w:r>
            <w:r w:rsidRPr="0069014A">
              <w:rPr>
                <w:rFonts w:eastAsia="Times New Roman"/>
                <w:color w:val="000000"/>
                <w:lang w:eastAsia="ru-RU"/>
              </w:rPr>
              <w:br/>
              <w:t>Правастатин</w:t>
            </w:r>
            <w:r w:rsidRPr="0069014A">
              <w:rPr>
                <w:rFonts w:eastAsia="Times New Roman"/>
                <w:color w:val="000000"/>
                <w:lang w:eastAsia="ru-RU"/>
              </w:rPr>
              <w:br/>
              <w:t>Розувастатин</w:t>
            </w:r>
            <w:r w:rsidRPr="0069014A">
              <w:rPr>
                <w:rFonts w:eastAsia="Times New Roman"/>
                <w:color w:val="000000"/>
                <w:lang w:eastAsia="ru-RU"/>
              </w:rPr>
              <w:br/>
              <w:t>Симвастатин</w:t>
            </w:r>
          </w:p>
        </w:tc>
        <w:tc>
          <w:tcPr>
            <w:tcW w:w="1873" w:type="pct"/>
            <w:tcBorders>
              <w:top w:val="nil"/>
              <w:left w:val="nil"/>
              <w:bottom w:val="single" w:sz="4" w:space="0" w:color="auto"/>
              <w:right w:val="single" w:sz="4" w:space="0" w:color="auto"/>
            </w:tcBorders>
            <w:shd w:val="clear" w:color="auto" w:fill="auto"/>
            <w:hideMark/>
          </w:tcPr>
          <w:p w14:paraId="286538EE"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Не ожидается взаимодействий мжду правастатином и этравирином.</w:t>
            </w:r>
            <w:r w:rsidRPr="0069014A">
              <w:rPr>
                <w:rFonts w:eastAsia="Times New Roman"/>
                <w:color w:val="000000"/>
                <w:lang w:eastAsia="ru-RU"/>
              </w:rPr>
              <w:br/>
              <w:t>Ловастатин, розувастатин и симвастатин являются субстратами CYP3A4, и при совместном применении с этравирином конентрация этих ингибиторов ГМГ-КоА-редуктазы в плазме может снижаться. Флувастатин и розувастатин метаболизируются CYP2C9и при совместном применении с этравирином концентрация указанных ингибиторов ГМГ-КоА-редуктазы в плазме может повыситься.</w:t>
            </w:r>
          </w:p>
        </w:tc>
        <w:tc>
          <w:tcPr>
            <w:tcW w:w="2096" w:type="pct"/>
            <w:tcBorders>
              <w:top w:val="nil"/>
              <w:left w:val="nil"/>
              <w:bottom w:val="single" w:sz="4" w:space="0" w:color="auto"/>
              <w:right w:val="single" w:sz="4" w:space="0" w:color="auto"/>
            </w:tcBorders>
            <w:shd w:val="clear" w:color="auto" w:fill="auto"/>
            <w:hideMark/>
          </w:tcPr>
          <w:p w14:paraId="4E45D4F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Может потребоваться коррекция доз указанных ингибиторов ГМГ-КоА-редуктазы.</w:t>
            </w:r>
          </w:p>
        </w:tc>
      </w:tr>
      <w:tr w:rsidR="008A297D" w:rsidRPr="0069014A" w14:paraId="5DE6FD3B"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05D1D50D"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БЛОКАТОРЫ Н</w:t>
            </w:r>
            <w:r w:rsidRPr="0069014A">
              <w:rPr>
                <w:rFonts w:eastAsia="Times New Roman"/>
                <w:b/>
                <w:bCs/>
                <w:color w:val="000000"/>
                <w:vertAlign w:val="subscript"/>
                <w:lang w:eastAsia="ru-RU"/>
              </w:rPr>
              <w:t>2</w:t>
            </w:r>
            <w:r w:rsidRPr="0069014A">
              <w:rPr>
                <w:rFonts w:eastAsia="Times New Roman"/>
                <w:b/>
                <w:bCs/>
                <w:color w:val="000000"/>
                <w:lang w:eastAsia="ru-RU"/>
              </w:rPr>
              <w:t>-ГИСТАМИНОВЫХ РЕЦЕПТОРОВ</w:t>
            </w:r>
          </w:p>
        </w:tc>
      </w:tr>
      <w:tr w:rsidR="008A297D" w:rsidRPr="0069014A" w14:paraId="1426DBC3"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018DB267"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Ранитидин</w:t>
            </w:r>
            <w:r w:rsidRPr="0069014A">
              <w:rPr>
                <w:rFonts w:eastAsia="Times New Roman"/>
                <w:color w:val="000000"/>
                <w:lang w:eastAsia="ru-RU"/>
              </w:rPr>
              <w:br/>
              <w:t>150 мг 2 раза в сутки</w:t>
            </w:r>
          </w:p>
        </w:tc>
        <w:tc>
          <w:tcPr>
            <w:tcW w:w="1873" w:type="pct"/>
            <w:tcBorders>
              <w:top w:val="nil"/>
              <w:left w:val="nil"/>
              <w:bottom w:val="single" w:sz="4" w:space="0" w:color="auto"/>
              <w:right w:val="single" w:sz="4" w:space="0" w:color="auto"/>
            </w:tcBorders>
            <w:shd w:val="clear" w:color="auto" w:fill="auto"/>
            <w:hideMark/>
          </w:tcPr>
          <w:p w14:paraId="3401D776"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Этравирин</w:t>
            </w:r>
            <w:r w:rsidRPr="0069014A">
              <w:rPr>
                <w:rFonts w:eastAsia="Times New Roman"/>
                <w:color w:val="000000"/>
                <w:lang w:eastAsia="ru-RU"/>
              </w:rPr>
              <w:br/>
              <w:t>AUC ↓ 0,86 (0,76-0,97)</w:t>
            </w:r>
            <w:r w:rsidRPr="0069014A">
              <w:rPr>
                <w:rFonts w:eastAsia="Times New Roman"/>
                <w:color w:val="000000"/>
                <w:lang w:eastAsia="ru-RU"/>
              </w:rPr>
              <w:br/>
              <w:t>C</w:t>
            </w:r>
            <w:r w:rsidRPr="0069014A">
              <w:rPr>
                <w:rFonts w:eastAsia="Times New Roman"/>
                <w:color w:val="000000"/>
                <w:vertAlign w:val="subscript"/>
                <w:lang w:eastAsia="ru-RU"/>
              </w:rPr>
              <w:t>mi</w:t>
            </w:r>
            <w:r w:rsidRPr="0069014A">
              <w:rPr>
                <w:rFonts w:eastAsia="Times New Roman"/>
                <w:color w:val="000000"/>
                <w:lang w:eastAsia="ru-RU"/>
              </w:rPr>
              <w:t>n н/о</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0,94 (0,75-1,17)</w:t>
            </w:r>
          </w:p>
        </w:tc>
        <w:tc>
          <w:tcPr>
            <w:tcW w:w="2096" w:type="pct"/>
            <w:tcBorders>
              <w:top w:val="nil"/>
              <w:left w:val="nil"/>
              <w:bottom w:val="single" w:sz="4" w:space="0" w:color="auto"/>
              <w:right w:val="single" w:sz="4" w:space="0" w:color="auto"/>
            </w:tcBorders>
            <w:shd w:val="clear" w:color="auto" w:fill="auto"/>
            <w:hideMark/>
          </w:tcPr>
          <w:p w14:paraId="45B38CA1"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может применяться с блокатарами H</w:t>
            </w:r>
            <w:r w:rsidRPr="0069014A">
              <w:rPr>
                <w:rFonts w:eastAsia="Times New Roman"/>
                <w:color w:val="000000"/>
                <w:vertAlign w:val="subscript"/>
                <w:lang w:eastAsia="ru-RU"/>
              </w:rPr>
              <w:t>2</w:t>
            </w:r>
            <w:r w:rsidRPr="0069014A">
              <w:rPr>
                <w:rFonts w:eastAsia="Times New Roman"/>
                <w:color w:val="000000"/>
                <w:lang w:eastAsia="ru-RU"/>
              </w:rPr>
              <w:t>-гистаминовых рецепторов без коррекции доз.</w:t>
            </w:r>
          </w:p>
        </w:tc>
      </w:tr>
      <w:tr w:rsidR="008A297D" w:rsidRPr="0069014A" w14:paraId="1C2D45D6"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31C98CDA"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ИММУНОДЕПРЕССАНТЫ</w:t>
            </w:r>
          </w:p>
        </w:tc>
      </w:tr>
      <w:tr w:rsidR="008A297D" w:rsidRPr="0069014A" w14:paraId="7AF9C319"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0FDCF6E4"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Циклоспорин</w:t>
            </w:r>
            <w:r w:rsidRPr="0069014A">
              <w:rPr>
                <w:rFonts w:eastAsia="Times New Roman"/>
                <w:color w:val="000000"/>
                <w:lang w:eastAsia="ru-RU"/>
              </w:rPr>
              <w:br/>
              <w:t>Сиролимус</w:t>
            </w:r>
            <w:r w:rsidRPr="0069014A">
              <w:rPr>
                <w:rFonts w:eastAsia="Times New Roman"/>
                <w:color w:val="000000"/>
                <w:lang w:eastAsia="ru-RU"/>
              </w:rPr>
              <w:br/>
              <w:t>Такролимус</w:t>
            </w:r>
          </w:p>
        </w:tc>
        <w:tc>
          <w:tcPr>
            <w:tcW w:w="1873" w:type="pct"/>
            <w:tcBorders>
              <w:top w:val="nil"/>
              <w:left w:val="nil"/>
              <w:bottom w:val="single" w:sz="4" w:space="0" w:color="auto"/>
              <w:right w:val="single" w:sz="4" w:space="0" w:color="auto"/>
            </w:tcBorders>
            <w:shd w:val="clear" w:color="auto" w:fill="auto"/>
            <w:hideMark/>
          </w:tcPr>
          <w:p w14:paraId="2AF83BA2"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Взаимодействие не изучалось. Предполагается, что этравирин будет снижать концентрации циклоспорина, сиролимуса и такролимуса в плазме.</w:t>
            </w:r>
          </w:p>
        </w:tc>
        <w:tc>
          <w:tcPr>
            <w:tcW w:w="2096" w:type="pct"/>
            <w:tcBorders>
              <w:top w:val="nil"/>
              <w:left w:val="nil"/>
              <w:bottom w:val="single" w:sz="4" w:space="0" w:color="auto"/>
              <w:right w:val="single" w:sz="4" w:space="0" w:color="auto"/>
            </w:tcBorders>
            <w:shd w:val="clear" w:color="auto" w:fill="auto"/>
            <w:hideMark/>
          </w:tcPr>
          <w:p w14:paraId="10146F2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Следует соблюдать осторожность при совместном применении с системными иммунодепрессантами, т.к. при совместном применении с этравирином возможно изменение концентраций циклоспорина, сиролмуса и такролимуса в плазме.</w:t>
            </w:r>
          </w:p>
        </w:tc>
      </w:tr>
      <w:tr w:rsidR="008A297D" w:rsidRPr="0069014A" w14:paraId="5A595A21"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5ABE874C"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НАРКОТИЧЕСКИЕ АНАЛЬГЕТИКИ</w:t>
            </w:r>
          </w:p>
        </w:tc>
      </w:tr>
      <w:tr w:rsidR="008A297D" w:rsidRPr="0069014A" w14:paraId="7B8544AA"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30E396EE"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Метадон в индивидуальной дозе, варьирующей от 60 мг до 130 мг 1 раз в сутки.</w:t>
            </w:r>
          </w:p>
        </w:tc>
        <w:tc>
          <w:tcPr>
            <w:tcW w:w="1873" w:type="pct"/>
            <w:tcBorders>
              <w:top w:val="nil"/>
              <w:left w:val="nil"/>
              <w:bottom w:val="single" w:sz="4" w:space="0" w:color="auto"/>
              <w:right w:val="single" w:sz="4" w:space="0" w:color="auto"/>
            </w:tcBorders>
            <w:shd w:val="clear" w:color="auto" w:fill="auto"/>
            <w:hideMark/>
          </w:tcPr>
          <w:p w14:paraId="2621F45D"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R(-) метадон</w:t>
            </w:r>
            <w:r w:rsidRPr="0069014A">
              <w:rPr>
                <w:rFonts w:eastAsia="Times New Roman"/>
                <w:color w:val="000000"/>
                <w:lang w:eastAsia="ru-RU"/>
              </w:rPr>
              <w:br/>
              <w:t>AUC ↔ 1,06 (0,99-1,13)</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1,10 (1,02-1,19)</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1,02 (0,96-1,09)</w:t>
            </w:r>
            <w:r w:rsidRPr="0069014A">
              <w:rPr>
                <w:rFonts w:eastAsia="Times New Roman"/>
                <w:color w:val="000000"/>
                <w:lang w:eastAsia="ru-RU"/>
              </w:rPr>
              <w:br/>
            </w:r>
            <w:r w:rsidRPr="0069014A">
              <w:rPr>
                <w:rFonts w:eastAsia="Times New Roman"/>
                <w:color w:val="000000"/>
                <w:u w:val="single"/>
                <w:lang w:eastAsia="ru-RU"/>
              </w:rPr>
              <w:t>S(+) метадон</w:t>
            </w:r>
            <w:r w:rsidRPr="0069014A">
              <w:rPr>
                <w:rFonts w:eastAsia="Times New Roman"/>
                <w:color w:val="000000"/>
                <w:lang w:eastAsia="ru-RU"/>
              </w:rPr>
              <w:br/>
              <w:t>AUC ↔ 0,89 (0,82-0,96)</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0,89 (0,81-0,98)</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0,89 (0,83-0,97)</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w:t>
            </w:r>
            <w:r w:rsidRPr="0069014A">
              <w:rPr>
                <w:rFonts w:eastAsia="Times New Roman"/>
                <w:color w:val="000000"/>
                <w:vertAlign w:val="superscript"/>
                <w:lang w:eastAsia="ru-RU"/>
              </w:rPr>
              <w:t xml:space="preserve"> а</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w:t>
            </w:r>
            <w:r w:rsidRPr="0069014A">
              <w:rPr>
                <w:rFonts w:eastAsia="Times New Roman"/>
                <w:color w:val="000000"/>
                <w:vertAlign w:val="superscript"/>
                <w:lang w:eastAsia="ru-RU"/>
              </w:rPr>
              <w:t>а</w:t>
            </w:r>
            <w:r w:rsidRPr="0069014A">
              <w:rPr>
                <w:rFonts w:eastAsia="Times New Roman"/>
                <w:color w:val="000000"/>
                <w:vertAlign w:val="superscript"/>
                <w:lang w:eastAsia="ru-RU"/>
              </w:rPr>
              <w:br/>
            </w:r>
            <w:r w:rsidRPr="0069014A">
              <w:rPr>
                <w:rFonts w:eastAsia="Times New Roman"/>
                <w:color w:val="000000"/>
                <w:lang w:eastAsia="ru-RU"/>
              </w:rPr>
              <w:t>C</w:t>
            </w:r>
            <w:r w:rsidRPr="0069014A">
              <w:rPr>
                <w:rFonts w:eastAsia="Times New Roman"/>
                <w:color w:val="000000"/>
                <w:vertAlign w:val="subscript"/>
                <w:lang w:eastAsia="ru-RU"/>
              </w:rPr>
              <w:t>max</w:t>
            </w:r>
            <w:r w:rsidRPr="0069014A">
              <w:rPr>
                <w:rFonts w:eastAsia="Times New Roman"/>
                <w:color w:val="000000"/>
                <w:lang w:eastAsia="ru-RU"/>
              </w:rPr>
              <w:t xml:space="preserve"> ↔ </w:t>
            </w:r>
            <w:r w:rsidRPr="0069014A">
              <w:rPr>
                <w:rFonts w:eastAsia="Times New Roman"/>
                <w:color w:val="000000"/>
                <w:vertAlign w:val="superscript"/>
                <w:lang w:eastAsia="ru-RU"/>
              </w:rPr>
              <w:t>а</w:t>
            </w:r>
          </w:p>
        </w:tc>
        <w:tc>
          <w:tcPr>
            <w:tcW w:w="2096" w:type="pct"/>
            <w:tcBorders>
              <w:top w:val="nil"/>
              <w:left w:val="nil"/>
              <w:bottom w:val="single" w:sz="4" w:space="0" w:color="auto"/>
              <w:right w:val="single" w:sz="4" w:space="0" w:color="auto"/>
            </w:tcBorders>
            <w:shd w:val="clear" w:color="auto" w:fill="auto"/>
            <w:hideMark/>
          </w:tcPr>
          <w:p w14:paraId="7FA86DB2"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По данным клинического статуса, во время и после совместного применения с этравирином, измененние дозв метадона не требовалось.</w:t>
            </w:r>
          </w:p>
        </w:tc>
      </w:tr>
      <w:tr w:rsidR="008A297D" w:rsidRPr="0069014A" w14:paraId="484B8FE0" w14:textId="77777777" w:rsidTr="00A76175">
        <w:trPr>
          <w:trHeight w:val="20"/>
        </w:trPr>
        <w:tc>
          <w:tcPr>
            <w:tcW w:w="5000" w:type="pct"/>
            <w:gridSpan w:val="3"/>
            <w:tcBorders>
              <w:top w:val="single" w:sz="4" w:space="0" w:color="auto"/>
              <w:left w:val="single" w:sz="4" w:space="0" w:color="auto"/>
              <w:bottom w:val="nil"/>
              <w:right w:val="single" w:sz="4" w:space="0" w:color="auto"/>
            </w:tcBorders>
            <w:shd w:val="clear" w:color="auto" w:fill="auto"/>
            <w:noWrap/>
            <w:hideMark/>
          </w:tcPr>
          <w:p w14:paraId="42A82977"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ИНГИБИТОРЫ ФОСОДИЭСТЕРАЗЫ ТИПА 5 (ФДЭ-5)</w:t>
            </w:r>
          </w:p>
        </w:tc>
      </w:tr>
      <w:tr w:rsidR="008A297D" w:rsidRPr="0069014A" w14:paraId="56AC52BA" w14:textId="77777777" w:rsidTr="00A76175">
        <w:trPr>
          <w:trHeight w:val="20"/>
        </w:trPr>
        <w:tc>
          <w:tcPr>
            <w:tcW w:w="1031" w:type="pct"/>
            <w:tcBorders>
              <w:top w:val="single" w:sz="4" w:space="0" w:color="auto"/>
              <w:left w:val="single" w:sz="4" w:space="0" w:color="auto"/>
              <w:bottom w:val="single" w:sz="4" w:space="0" w:color="auto"/>
              <w:right w:val="single" w:sz="4" w:space="0" w:color="auto"/>
            </w:tcBorders>
            <w:shd w:val="clear" w:color="auto" w:fill="auto"/>
            <w:hideMark/>
          </w:tcPr>
          <w:p w14:paraId="15DB4F7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Силденафил</w:t>
            </w:r>
            <w:r w:rsidRPr="0069014A">
              <w:rPr>
                <w:rFonts w:eastAsia="Times New Roman"/>
                <w:color w:val="000000"/>
                <w:lang w:eastAsia="ru-RU"/>
              </w:rPr>
              <w:br/>
              <w:t>50 мг однократно</w:t>
            </w:r>
            <w:r w:rsidRPr="0069014A">
              <w:rPr>
                <w:rFonts w:eastAsia="Times New Roman"/>
                <w:color w:val="000000"/>
                <w:lang w:eastAsia="ru-RU"/>
              </w:rPr>
              <w:br/>
              <w:t>Тадалафил</w:t>
            </w:r>
            <w:r w:rsidRPr="0069014A">
              <w:rPr>
                <w:rFonts w:eastAsia="Times New Roman"/>
                <w:color w:val="000000"/>
                <w:lang w:eastAsia="ru-RU"/>
              </w:rPr>
              <w:br/>
              <w:t>Варденафил</w:t>
            </w:r>
          </w:p>
        </w:tc>
        <w:tc>
          <w:tcPr>
            <w:tcW w:w="1873" w:type="pct"/>
            <w:tcBorders>
              <w:top w:val="single" w:sz="4" w:space="0" w:color="auto"/>
              <w:left w:val="nil"/>
              <w:bottom w:val="single" w:sz="4" w:space="0" w:color="auto"/>
              <w:right w:val="single" w:sz="4" w:space="0" w:color="auto"/>
            </w:tcBorders>
            <w:shd w:val="clear" w:color="auto" w:fill="auto"/>
            <w:hideMark/>
          </w:tcPr>
          <w:p w14:paraId="1983EF22"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Силденафил</w:t>
            </w:r>
            <w:r w:rsidRPr="0069014A">
              <w:rPr>
                <w:rFonts w:eastAsia="Times New Roman"/>
                <w:color w:val="000000"/>
                <w:lang w:eastAsia="ru-RU"/>
              </w:rPr>
              <w:br/>
              <w:t>AUC ↓ 0,43 (0,36-0,51)</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н/о</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0,55 (0,40-0,75)</w:t>
            </w:r>
            <w:r w:rsidRPr="0069014A">
              <w:rPr>
                <w:rFonts w:eastAsia="Times New Roman"/>
                <w:color w:val="000000"/>
                <w:lang w:eastAsia="ru-RU"/>
              </w:rPr>
              <w:br/>
            </w:r>
            <w:r w:rsidRPr="0069014A">
              <w:rPr>
                <w:rFonts w:eastAsia="Times New Roman"/>
                <w:color w:val="000000"/>
                <w:u w:val="single"/>
                <w:lang w:eastAsia="ru-RU"/>
              </w:rPr>
              <w:t>N-десметилсилденафил</w:t>
            </w:r>
            <w:r w:rsidRPr="0069014A">
              <w:rPr>
                <w:rFonts w:eastAsia="Times New Roman"/>
                <w:color w:val="000000"/>
                <w:lang w:eastAsia="ru-RU"/>
              </w:rPr>
              <w:br/>
              <w:t>AUC ↓ 0,59 (0,52-0,75)</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н/о</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0,75 (0,59-0,96)</w:t>
            </w:r>
          </w:p>
        </w:tc>
        <w:tc>
          <w:tcPr>
            <w:tcW w:w="2096" w:type="pct"/>
            <w:tcBorders>
              <w:top w:val="single" w:sz="4" w:space="0" w:color="auto"/>
              <w:left w:val="nil"/>
              <w:bottom w:val="single" w:sz="4" w:space="0" w:color="auto"/>
              <w:right w:val="single" w:sz="4" w:space="0" w:color="auto"/>
            </w:tcBorders>
            <w:shd w:val="clear" w:color="auto" w:fill="auto"/>
            <w:hideMark/>
          </w:tcPr>
          <w:p w14:paraId="7579A498"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При совместном применении ингибиторов ФЭД-5 и этравирина для получения желаемого клинического эффекта может потребоваться коррекция дозы ингибитора ФЭД-5.</w:t>
            </w:r>
          </w:p>
        </w:tc>
      </w:tr>
      <w:tr w:rsidR="008A297D" w:rsidRPr="0069014A" w14:paraId="7C55F539"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2BEE9EFC"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АНТИАГРЕГАНТЫ</w:t>
            </w:r>
          </w:p>
        </w:tc>
      </w:tr>
      <w:tr w:rsidR="008A297D" w:rsidRPr="0069014A" w14:paraId="2D5150AD"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noWrap/>
            <w:hideMark/>
          </w:tcPr>
          <w:p w14:paraId="08AD7715"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Клопидогрел</w:t>
            </w:r>
          </w:p>
        </w:tc>
        <w:tc>
          <w:tcPr>
            <w:tcW w:w="1873" w:type="pct"/>
            <w:tcBorders>
              <w:top w:val="nil"/>
              <w:left w:val="nil"/>
              <w:bottom w:val="single" w:sz="4" w:space="0" w:color="auto"/>
              <w:right w:val="single" w:sz="4" w:space="0" w:color="auto"/>
            </w:tcBorders>
            <w:shd w:val="clear" w:color="auto" w:fill="auto"/>
            <w:hideMark/>
          </w:tcPr>
          <w:p w14:paraId="01BE1F59"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 xml:space="preserve">По данным </w:t>
            </w:r>
            <w:r w:rsidRPr="0069014A">
              <w:rPr>
                <w:rFonts w:eastAsia="Times New Roman"/>
                <w:i/>
                <w:color w:val="000000"/>
                <w:lang w:eastAsia="ru-RU"/>
              </w:rPr>
              <w:t>in vitro</w:t>
            </w:r>
            <w:r w:rsidRPr="0069014A">
              <w:rPr>
                <w:rFonts w:eastAsia="Times New Roman"/>
                <w:color w:val="000000"/>
                <w:lang w:eastAsia="ru-RU"/>
              </w:rPr>
              <w:t xml:space="preserve">, этравирин ингибирует CYP2C19. Таким образом, этравирин может ингибировать трансформацию клопидогрела в его активный метаболит, ингибируя CYP2C19 </w:t>
            </w:r>
            <w:r w:rsidRPr="0069014A">
              <w:rPr>
                <w:rFonts w:eastAsia="Times New Roman"/>
                <w:i/>
                <w:color w:val="000000"/>
                <w:lang w:eastAsia="ru-RU"/>
              </w:rPr>
              <w:t>in vivo</w:t>
            </w:r>
            <w:r w:rsidRPr="0069014A">
              <w:rPr>
                <w:rFonts w:eastAsia="Times New Roman"/>
                <w:color w:val="000000"/>
                <w:lang w:eastAsia="ru-RU"/>
              </w:rPr>
              <w:t>. Клиническая значимость данного взаимодействия не продемонстрирована.</w:t>
            </w:r>
          </w:p>
        </w:tc>
        <w:tc>
          <w:tcPr>
            <w:tcW w:w="2096" w:type="pct"/>
            <w:tcBorders>
              <w:top w:val="nil"/>
              <w:left w:val="nil"/>
              <w:bottom w:val="single" w:sz="4" w:space="0" w:color="auto"/>
              <w:right w:val="single" w:sz="4" w:space="0" w:color="auto"/>
            </w:tcBorders>
            <w:shd w:val="clear" w:color="auto" w:fill="auto"/>
            <w:hideMark/>
          </w:tcPr>
          <w:p w14:paraId="75C54E14"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В качестве меры предосторожности совместное применение этравирина и клопидогрела не рекомендуется.</w:t>
            </w:r>
          </w:p>
        </w:tc>
      </w:tr>
      <w:tr w:rsidR="008A297D" w:rsidRPr="0069014A" w14:paraId="052A3F64"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2390CD8C"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ИНГИБИТОРЫ ПРОТОННОЙ ПОМПЫ</w:t>
            </w:r>
          </w:p>
        </w:tc>
      </w:tr>
      <w:tr w:rsidR="008A297D" w:rsidRPr="0069014A" w14:paraId="4300135B"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40CE9667"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Омепразол</w:t>
            </w:r>
            <w:r w:rsidRPr="0069014A">
              <w:rPr>
                <w:rFonts w:eastAsia="Times New Roman"/>
                <w:color w:val="000000"/>
                <w:lang w:eastAsia="ru-RU"/>
              </w:rPr>
              <w:br/>
              <w:t xml:space="preserve">40 мг 1 раз в сутки </w:t>
            </w:r>
          </w:p>
        </w:tc>
        <w:tc>
          <w:tcPr>
            <w:tcW w:w="1873" w:type="pct"/>
            <w:tcBorders>
              <w:top w:val="nil"/>
              <w:left w:val="nil"/>
              <w:bottom w:val="single" w:sz="4" w:space="0" w:color="auto"/>
              <w:right w:val="single" w:sz="4" w:space="0" w:color="auto"/>
            </w:tcBorders>
            <w:shd w:val="clear" w:color="auto" w:fill="auto"/>
            <w:hideMark/>
          </w:tcPr>
          <w:p w14:paraId="506CB44D"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Этравирин</w:t>
            </w:r>
            <w:r w:rsidRPr="0069014A">
              <w:rPr>
                <w:rFonts w:eastAsia="Times New Roman"/>
                <w:color w:val="000000"/>
                <w:lang w:eastAsia="ru-RU"/>
              </w:rPr>
              <w:br/>
              <w:t>AUC ↑ 1,41 (1,22-1,62)</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н/о</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1,17 (0,96-1,43)</w:t>
            </w:r>
          </w:p>
        </w:tc>
        <w:tc>
          <w:tcPr>
            <w:tcW w:w="2096" w:type="pct"/>
            <w:tcBorders>
              <w:top w:val="nil"/>
              <w:left w:val="nil"/>
              <w:bottom w:val="single" w:sz="4" w:space="0" w:color="auto"/>
              <w:right w:val="single" w:sz="4" w:space="0" w:color="auto"/>
            </w:tcBorders>
            <w:shd w:val="clear" w:color="auto" w:fill="auto"/>
            <w:hideMark/>
          </w:tcPr>
          <w:p w14:paraId="754DC15D"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может применяться с ингибиторами протонной помпы без коррекции доз.</w:t>
            </w:r>
          </w:p>
        </w:tc>
      </w:tr>
      <w:tr w:rsidR="008A297D" w:rsidRPr="0069014A" w14:paraId="3999B13A"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74F36C96" w14:textId="77777777" w:rsidR="008A297D" w:rsidRPr="0069014A" w:rsidRDefault="008A297D" w:rsidP="0071509B">
            <w:pPr>
              <w:rPr>
                <w:rFonts w:eastAsia="Times New Roman"/>
                <w:b/>
                <w:bCs/>
                <w:color w:val="000000"/>
                <w:lang w:eastAsia="ru-RU"/>
              </w:rPr>
            </w:pPr>
            <w:r w:rsidRPr="0069014A">
              <w:rPr>
                <w:rFonts w:eastAsia="Times New Roman"/>
                <w:b/>
                <w:bCs/>
                <w:color w:val="000000"/>
                <w:lang w:eastAsia="ru-RU"/>
              </w:rPr>
              <w:t>СЕЛЕКТИВНЫЕ ИНГИБИТОРЫ ОБРАТНОГО ЗАХВАТА СЕРОТОНИНА</w:t>
            </w:r>
          </w:p>
        </w:tc>
      </w:tr>
      <w:tr w:rsidR="008A297D" w:rsidRPr="0069014A" w14:paraId="7AB6AA14" w14:textId="77777777" w:rsidTr="00A76175">
        <w:trPr>
          <w:trHeight w:val="20"/>
        </w:trPr>
        <w:tc>
          <w:tcPr>
            <w:tcW w:w="1031" w:type="pct"/>
            <w:tcBorders>
              <w:top w:val="nil"/>
              <w:left w:val="single" w:sz="4" w:space="0" w:color="auto"/>
              <w:bottom w:val="single" w:sz="4" w:space="0" w:color="auto"/>
              <w:right w:val="single" w:sz="4" w:space="0" w:color="auto"/>
            </w:tcBorders>
            <w:shd w:val="clear" w:color="auto" w:fill="auto"/>
            <w:hideMark/>
          </w:tcPr>
          <w:p w14:paraId="5830C5C7"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Пароксетин</w:t>
            </w:r>
            <w:r w:rsidRPr="0069014A">
              <w:rPr>
                <w:rFonts w:eastAsia="Times New Roman"/>
                <w:color w:val="000000"/>
                <w:lang w:eastAsia="ru-RU"/>
              </w:rPr>
              <w:br/>
              <w:t>20 мг 1 раз в сутки</w:t>
            </w:r>
          </w:p>
        </w:tc>
        <w:tc>
          <w:tcPr>
            <w:tcW w:w="1873" w:type="pct"/>
            <w:tcBorders>
              <w:top w:val="nil"/>
              <w:left w:val="nil"/>
              <w:bottom w:val="single" w:sz="4" w:space="0" w:color="auto"/>
              <w:right w:val="single" w:sz="4" w:space="0" w:color="auto"/>
            </w:tcBorders>
            <w:shd w:val="clear" w:color="auto" w:fill="auto"/>
            <w:hideMark/>
          </w:tcPr>
          <w:p w14:paraId="6220369D" w14:textId="77777777" w:rsidR="008A297D" w:rsidRPr="0069014A" w:rsidRDefault="008A297D" w:rsidP="0071509B">
            <w:pPr>
              <w:rPr>
                <w:rFonts w:eastAsia="Times New Roman"/>
                <w:color w:val="000000"/>
                <w:lang w:eastAsia="ru-RU"/>
              </w:rPr>
            </w:pPr>
            <w:r w:rsidRPr="0069014A">
              <w:rPr>
                <w:rFonts w:eastAsia="Times New Roman"/>
                <w:color w:val="000000"/>
                <w:u w:val="single"/>
                <w:lang w:eastAsia="ru-RU"/>
              </w:rPr>
              <w:t>Пароксетин</w:t>
            </w:r>
            <w:r w:rsidRPr="0069014A">
              <w:rPr>
                <w:rFonts w:eastAsia="Times New Roman"/>
                <w:color w:val="000000"/>
                <w:lang w:eastAsia="ru-RU"/>
              </w:rPr>
              <w:br/>
              <w:t>AUC ↔ 1,03 (0,90-1,18)</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0,87 (0,75-1,02)</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1,06 (0,95-1,20)</w:t>
            </w:r>
            <w:r w:rsidRPr="0069014A">
              <w:rPr>
                <w:rFonts w:eastAsia="Times New Roman"/>
                <w:color w:val="000000"/>
                <w:lang w:eastAsia="ru-RU"/>
              </w:rPr>
              <w:br/>
            </w:r>
            <w:r w:rsidRPr="0069014A">
              <w:rPr>
                <w:rFonts w:eastAsia="Times New Roman"/>
                <w:color w:val="000000"/>
                <w:u w:val="single"/>
                <w:lang w:eastAsia="ru-RU"/>
              </w:rPr>
              <w:t>Этравирин</w:t>
            </w:r>
            <w:r w:rsidRPr="0069014A">
              <w:rPr>
                <w:rFonts w:eastAsia="Times New Roman"/>
                <w:color w:val="000000"/>
                <w:lang w:eastAsia="ru-RU"/>
              </w:rPr>
              <w:br/>
              <w:t>AUC ↔ 1,01 (0,93-1,10)</w:t>
            </w:r>
            <w:r w:rsidRPr="0069014A">
              <w:rPr>
                <w:rFonts w:eastAsia="Times New Roman"/>
                <w:color w:val="000000"/>
                <w:lang w:eastAsia="ru-RU"/>
              </w:rPr>
              <w:br/>
              <w:t>C</w:t>
            </w:r>
            <w:r w:rsidRPr="0069014A">
              <w:rPr>
                <w:rFonts w:eastAsia="Times New Roman"/>
                <w:color w:val="000000"/>
                <w:vertAlign w:val="subscript"/>
                <w:lang w:eastAsia="ru-RU"/>
              </w:rPr>
              <w:t>min</w:t>
            </w:r>
            <w:r w:rsidRPr="0069014A">
              <w:rPr>
                <w:rFonts w:eastAsia="Times New Roman"/>
                <w:color w:val="000000"/>
                <w:lang w:eastAsia="ru-RU"/>
              </w:rPr>
              <w:t xml:space="preserve"> ↔ 1,07 (0,98-1,17)</w:t>
            </w:r>
            <w:r w:rsidRPr="0069014A">
              <w:rPr>
                <w:rFonts w:eastAsia="Times New Roman"/>
                <w:color w:val="000000"/>
                <w:lang w:eastAsia="ru-RU"/>
              </w:rPr>
              <w:br/>
              <w:t>C</w:t>
            </w:r>
            <w:r w:rsidRPr="0069014A">
              <w:rPr>
                <w:rFonts w:eastAsia="Times New Roman"/>
                <w:color w:val="000000"/>
                <w:vertAlign w:val="subscript"/>
                <w:lang w:eastAsia="ru-RU"/>
              </w:rPr>
              <w:t>max</w:t>
            </w:r>
            <w:r w:rsidRPr="0069014A">
              <w:rPr>
                <w:rFonts w:eastAsia="Times New Roman"/>
                <w:color w:val="000000"/>
                <w:lang w:eastAsia="ru-RU"/>
              </w:rPr>
              <w:t xml:space="preserve"> ↔ 1,05 (0,96-1,15)</w:t>
            </w:r>
          </w:p>
        </w:tc>
        <w:tc>
          <w:tcPr>
            <w:tcW w:w="2096" w:type="pct"/>
            <w:tcBorders>
              <w:top w:val="nil"/>
              <w:left w:val="nil"/>
              <w:bottom w:val="single" w:sz="4" w:space="0" w:color="auto"/>
              <w:right w:val="single" w:sz="4" w:space="0" w:color="auto"/>
            </w:tcBorders>
            <w:shd w:val="clear" w:color="auto" w:fill="auto"/>
            <w:hideMark/>
          </w:tcPr>
          <w:p w14:paraId="08DBFE47" w14:textId="77777777" w:rsidR="008A297D" w:rsidRPr="0069014A" w:rsidRDefault="008A297D" w:rsidP="0071509B">
            <w:pPr>
              <w:rPr>
                <w:rFonts w:eastAsia="Times New Roman"/>
                <w:color w:val="000000"/>
                <w:lang w:eastAsia="ru-RU"/>
              </w:rPr>
            </w:pPr>
            <w:r w:rsidRPr="0069014A">
              <w:rPr>
                <w:rFonts w:eastAsia="Times New Roman"/>
                <w:color w:val="000000"/>
                <w:lang w:eastAsia="ru-RU"/>
              </w:rPr>
              <w:t>Этравирин может применяться с пароксетином без коррекции доз.</w:t>
            </w:r>
          </w:p>
        </w:tc>
      </w:tr>
      <w:tr w:rsidR="008A297D" w:rsidRPr="0069014A" w14:paraId="59D5B46D" w14:textId="77777777" w:rsidTr="00A76175">
        <w:trPr>
          <w:trHeight w:val="2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CA7BBA0" w14:textId="77777777" w:rsidR="008A297D" w:rsidRPr="0069014A" w:rsidRDefault="008A297D" w:rsidP="008A297D">
            <w:pPr>
              <w:jc w:val="left"/>
              <w:rPr>
                <w:rFonts w:eastAsia="Times New Roman"/>
                <w:color w:val="000000"/>
                <w:lang w:eastAsia="ru-RU"/>
              </w:rPr>
            </w:pPr>
            <w:r w:rsidRPr="0069014A">
              <w:rPr>
                <w:rFonts w:eastAsia="Times New Roman"/>
                <w:b/>
                <w:bCs/>
                <w:color w:val="000000"/>
                <w:sz w:val="20"/>
                <w:szCs w:val="20"/>
                <w:lang w:eastAsia="ru-RU"/>
              </w:rPr>
              <w:t>Примечание:</w:t>
            </w:r>
            <w:r w:rsidRPr="0069014A">
              <w:rPr>
                <w:rFonts w:eastAsia="Times New Roman"/>
                <w:color w:val="000000"/>
                <w:sz w:val="20"/>
                <w:szCs w:val="20"/>
                <w:lang w:eastAsia="ru-RU"/>
              </w:rPr>
              <w:br/>
              <w:t>В исследованиях лекарственных взаимодействий использовались различные лекарственные формы и/или дозы этравирина, которые приводили к одинаковой концентрации этравирина в плазме и, следовательно, взаимодействия, релевантные для одной лекарственной формы, релевантны для других.</w:t>
            </w:r>
            <w:r w:rsidRPr="0069014A">
              <w:rPr>
                <w:rFonts w:eastAsia="Times New Roman"/>
                <w:color w:val="000000"/>
                <w:sz w:val="20"/>
                <w:szCs w:val="20"/>
                <w:lang w:eastAsia="ru-RU"/>
              </w:rPr>
              <w:br/>
              <w:t>↑ - повышение</w:t>
            </w:r>
            <w:r w:rsidRPr="0069014A">
              <w:rPr>
                <w:rFonts w:eastAsia="Times New Roman"/>
                <w:color w:val="000000"/>
                <w:sz w:val="20"/>
                <w:szCs w:val="20"/>
                <w:lang w:eastAsia="ru-RU"/>
              </w:rPr>
              <w:br/>
              <w:t>↓ - снижение</w:t>
            </w:r>
            <w:r w:rsidRPr="0069014A">
              <w:rPr>
                <w:rFonts w:eastAsia="Times New Roman"/>
                <w:color w:val="000000"/>
                <w:sz w:val="20"/>
                <w:szCs w:val="20"/>
                <w:lang w:eastAsia="ru-RU"/>
              </w:rPr>
              <w:br/>
              <w:t>↔ - отсутствие изменений</w:t>
            </w:r>
            <w:r w:rsidRPr="0069014A">
              <w:rPr>
                <w:rFonts w:eastAsia="Times New Roman"/>
                <w:color w:val="000000"/>
                <w:sz w:val="20"/>
                <w:szCs w:val="20"/>
                <w:lang w:eastAsia="ru-RU"/>
              </w:rPr>
              <w:br/>
              <w:t>н/о – отсутствие данных</w:t>
            </w:r>
            <w:r w:rsidRPr="0069014A">
              <w:rPr>
                <w:rFonts w:eastAsia="Times New Roman"/>
                <w:color w:val="000000"/>
                <w:sz w:val="20"/>
                <w:szCs w:val="20"/>
                <w:lang w:eastAsia="ru-RU"/>
              </w:rPr>
              <w:br/>
            </w:r>
            <w:r w:rsidRPr="0069014A">
              <w:rPr>
                <w:rFonts w:eastAsia="Times New Roman"/>
                <w:color w:val="000000"/>
                <w:sz w:val="20"/>
                <w:szCs w:val="20"/>
                <w:vertAlign w:val="superscript"/>
                <w:lang w:eastAsia="ru-RU"/>
              </w:rPr>
              <w:t>a</w:t>
            </w:r>
            <w:r w:rsidRPr="0069014A">
              <w:rPr>
                <w:rFonts w:eastAsia="Times New Roman"/>
                <w:color w:val="000000"/>
                <w:sz w:val="20"/>
                <w:szCs w:val="20"/>
                <w:lang w:eastAsia="ru-RU"/>
              </w:rPr>
              <w:t xml:space="preserve"> - сравнение основано на данных исторического контроля</w:t>
            </w:r>
            <w:r w:rsidRPr="0069014A">
              <w:rPr>
                <w:rFonts w:eastAsia="Times New Roman"/>
                <w:color w:val="000000"/>
                <w:sz w:val="20"/>
                <w:szCs w:val="20"/>
                <w:lang w:eastAsia="ru-RU"/>
              </w:rPr>
              <w:br/>
            </w:r>
            <w:r w:rsidRPr="0069014A">
              <w:rPr>
                <w:rFonts w:eastAsia="Times New Roman"/>
                <w:color w:val="000000"/>
                <w:sz w:val="20"/>
                <w:szCs w:val="20"/>
                <w:vertAlign w:val="superscript"/>
                <w:lang w:eastAsia="ru-RU"/>
              </w:rPr>
              <w:t>b</w:t>
            </w:r>
            <w:r w:rsidRPr="0069014A">
              <w:rPr>
                <w:rFonts w:eastAsia="Times New Roman"/>
                <w:color w:val="000000"/>
                <w:sz w:val="20"/>
                <w:szCs w:val="20"/>
                <w:lang w:eastAsia="ru-RU"/>
              </w:rPr>
              <w:t xml:space="preserve"> – исследование проводилось с применением тенофовира дизопроксила фумарата 300 мг 1 раз в сутки.</w:t>
            </w:r>
          </w:p>
        </w:tc>
      </w:tr>
    </w:tbl>
    <w:p w14:paraId="49225D18" w14:textId="2D7E7D09" w:rsidR="00CF6EBF" w:rsidRPr="005E6358" w:rsidRDefault="00CF6EBF" w:rsidP="00A72CBF">
      <w:pPr>
        <w:pStyle w:val="3"/>
        <w:tabs>
          <w:tab w:val="left" w:pos="8647"/>
        </w:tabs>
        <w:spacing w:after="240"/>
        <w:rPr>
          <w:rFonts w:ascii="Times New Roman" w:hAnsi="Times New Roman"/>
          <w:color w:val="000000" w:themeColor="text1"/>
        </w:rPr>
      </w:pPr>
      <w:bookmarkStart w:id="226" w:name="_Toc117179253"/>
      <w:r w:rsidRPr="005E6358">
        <w:rPr>
          <w:rFonts w:ascii="Times New Roman" w:hAnsi="Times New Roman"/>
          <w:color w:val="000000" w:themeColor="text1"/>
        </w:rPr>
        <w:t>5.3.</w:t>
      </w:r>
      <w:r>
        <w:rPr>
          <w:rFonts w:ascii="Times New Roman" w:hAnsi="Times New Roman"/>
          <w:color w:val="000000" w:themeColor="text1"/>
        </w:rPr>
        <w:t>8</w:t>
      </w:r>
      <w:r w:rsidRPr="005E6358">
        <w:rPr>
          <w:rFonts w:ascii="Times New Roman" w:hAnsi="Times New Roman"/>
          <w:color w:val="000000" w:themeColor="text1"/>
        </w:rPr>
        <w:t xml:space="preserve">. </w:t>
      </w:r>
      <w:r>
        <w:rPr>
          <w:rFonts w:ascii="Times New Roman" w:eastAsia="Courier New" w:hAnsi="Times New Roman"/>
          <w:szCs w:val="24"/>
          <w:lang w:eastAsia="ru-RU" w:bidi="ru-RU"/>
        </w:rPr>
        <w:t>Особые указания</w:t>
      </w:r>
      <w:bookmarkEnd w:id="226"/>
    </w:p>
    <w:p w14:paraId="6663EAF7" w14:textId="77777777" w:rsidR="00867B85" w:rsidRPr="00867B85" w:rsidRDefault="00867B85" w:rsidP="001C0A37">
      <w:pPr>
        <w:pStyle w:val="OT"/>
        <w:spacing w:after="0"/>
        <w:ind w:firstLine="709"/>
        <w:rPr>
          <w:sz w:val="24"/>
          <w:szCs w:val="24"/>
        </w:rPr>
      </w:pPr>
      <w:bookmarkStart w:id="227" w:name="_Toc81410160"/>
      <w:r w:rsidRPr="00867B85">
        <w:rPr>
          <w:sz w:val="24"/>
          <w:szCs w:val="24"/>
        </w:rPr>
        <w:t>Несмотря на полученное подтверждение эффективного подавления вирусной инфекции при проведении АРТ, что существенно снижает риск передачи инфекции половым путем, остаточный риск не может быть исключен. Во избежание передачи инфекции половым путем следует принять меры предосторожности согласно национальным руководствам.</w:t>
      </w:r>
    </w:p>
    <w:p w14:paraId="2239FF57" w14:textId="356DFC8B" w:rsidR="00867B85" w:rsidRPr="00867B85" w:rsidRDefault="00867B85" w:rsidP="001C0A37">
      <w:pPr>
        <w:pStyle w:val="OT"/>
        <w:spacing w:after="0"/>
        <w:ind w:firstLine="709"/>
        <w:rPr>
          <w:sz w:val="24"/>
          <w:szCs w:val="24"/>
        </w:rPr>
      </w:pPr>
      <w:r w:rsidRPr="00867B85">
        <w:rPr>
          <w:sz w:val="24"/>
          <w:szCs w:val="24"/>
        </w:rPr>
        <w:t xml:space="preserve">Препарат </w:t>
      </w:r>
      <w:r w:rsidRPr="00867B85">
        <w:rPr>
          <w:sz w:val="24"/>
          <w:szCs w:val="24"/>
          <w:lang w:bidi="ru-RU"/>
        </w:rPr>
        <w:t>этравирин</w:t>
      </w:r>
      <w:r w:rsidRPr="00867B85">
        <w:rPr>
          <w:sz w:val="24"/>
          <w:szCs w:val="24"/>
        </w:rPr>
        <w:t xml:space="preserve"> следует оптимально применять в комбинации с другими антиретровирусными препаратами, обладающими активностью в отношении конкретного типа вируса, имеющегося у пациента. Снижение вирусологического ответа на терапию этравирином отмечалось у пациентов с ВИЧ-инфекцией, вызванной штаммами, имеющими одновременно </w:t>
      </w:r>
      <w:r w:rsidR="0071509B">
        <w:rPr>
          <w:sz w:val="24"/>
          <w:szCs w:val="24"/>
        </w:rPr>
        <w:t>3</w:t>
      </w:r>
      <w:r w:rsidRPr="00867B85">
        <w:rPr>
          <w:sz w:val="24"/>
          <w:szCs w:val="24"/>
        </w:rPr>
        <w:t xml:space="preserve"> или более мутаций из ниже перечисленных: V901, A98G, L1001, КIОIЕ/Р, V1061, V179D/F, Y181C/VV и G190A/S. Заключение о значимости отдельных мутаций или сочетаний мутаций должно делаться с учетом дополнительных данных: рекомендуется обращаться к актуальным современным системам интерпретации для оценки результатов теста на резистентность.</w:t>
      </w:r>
    </w:p>
    <w:p w14:paraId="26057EE1" w14:textId="505F58AD" w:rsidR="00867B85" w:rsidRDefault="00867B85">
      <w:pPr>
        <w:pStyle w:val="OT"/>
        <w:spacing w:after="0"/>
        <w:ind w:firstLine="709"/>
        <w:rPr>
          <w:sz w:val="24"/>
          <w:szCs w:val="24"/>
        </w:rPr>
      </w:pPr>
      <w:r w:rsidRPr="00867B85">
        <w:rPr>
          <w:sz w:val="24"/>
          <w:szCs w:val="24"/>
        </w:rPr>
        <w:t>При применении этравирина в комбинации с ралтегравиром или маравироком какие-либо данные, выходящие за рамки данных о взаимодействиях между лекарственными средствами, отсутствуют.</w:t>
      </w:r>
    </w:p>
    <w:p w14:paraId="74D9CB59" w14:textId="77777777" w:rsidR="00B962E5" w:rsidRPr="00867B85" w:rsidRDefault="00B962E5">
      <w:pPr>
        <w:pStyle w:val="OT"/>
        <w:spacing w:after="0"/>
        <w:ind w:firstLine="709"/>
        <w:rPr>
          <w:sz w:val="24"/>
          <w:szCs w:val="24"/>
        </w:rPr>
      </w:pPr>
    </w:p>
    <w:p w14:paraId="7D2AE689" w14:textId="77777777" w:rsidR="00421CA0" w:rsidRDefault="00421CA0" w:rsidP="00A76175">
      <w:pPr>
        <w:pStyle w:val="OT"/>
        <w:spacing w:after="0"/>
        <w:rPr>
          <w:b/>
          <w:iCs/>
          <w:sz w:val="24"/>
          <w:szCs w:val="24"/>
        </w:rPr>
        <w:sectPr w:rsidR="00421CA0" w:rsidSect="00AB01E2">
          <w:pgSz w:w="11906" w:h="16838"/>
          <w:pgMar w:top="1134" w:right="849" w:bottom="1134" w:left="1701" w:header="708" w:footer="709" w:gutter="0"/>
          <w:cols w:space="708"/>
          <w:docGrid w:linePitch="360"/>
        </w:sectPr>
      </w:pPr>
    </w:p>
    <w:p w14:paraId="3BE14226" w14:textId="708D70BD" w:rsidR="00867B85" w:rsidRPr="00A76175" w:rsidRDefault="00867B85" w:rsidP="00A76175">
      <w:pPr>
        <w:pStyle w:val="OT"/>
        <w:spacing w:after="0"/>
        <w:rPr>
          <w:b/>
          <w:iCs/>
          <w:sz w:val="24"/>
          <w:szCs w:val="24"/>
        </w:rPr>
      </w:pPr>
      <w:r w:rsidRPr="00A76175">
        <w:rPr>
          <w:b/>
          <w:iCs/>
          <w:sz w:val="24"/>
          <w:szCs w:val="24"/>
        </w:rPr>
        <w:t>Реакции со стороны кожи тяжелой степени и реакции гиперчувствительности</w:t>
      </w:r>
    </w:p>
    <w:p w14:paraId="36E4FA73" w14:textId="77777777" w:rsidR="00B962E5" w:rsidRDefault="00B962E5">
      <w:pPr>
        <w:pStyle w:val="OT"/>
        <w:spacing w:after="0"/>
        <w:ind w:firstLine="709"/>
        <w:rPr>
          <w:sz w:val="24"/>
          <w:szCs w:val="24"/>
        </w:rPr>
      </w:pPr>
    </w:p>
    <w:p w14:paraId="4BB37F6D" w14:textId="1BB62CE4" w:rsidR="00867B85" w:rsidRPr="00867B85" w:rsidRDefault="00867B85">
      <w:pPr>
        <w:pStyle w:val="OT"/>
        <w:spacing w:after="0"/>
        <w:ind w:firstLine="709"/>
        <w:rPr>
          <w:sz w:val="24"/>
          <w:szCs w:val="24"/>
        </w:rPr>
      </w:pPr>
      <w:r w:rsidRPr="00867B85">
        <w:rPr>
          <w:sz w:val="24"/>
          <w:szCs w:val="24"/>
        </w:rPr>
        <w:t xml:space="preserve">При применении этравирина отмечались тяжёлые побочные эффекты со стороны кожи. В клинических исследованиях отмечались редкие сообщения о случаях возникновения синдрома Стивенса-Джонсона и мультиформной эритемы (с частотой &lt;0,1%). При развитии тяжёлых реакций со стороны кожи терапию препаратом </w:t>
      </w:r>
      <w:r w:rsidR="007209C1" w:rsidRPr="00867B85">
        <w:rPr>
          <w:sz w:val="24"/>
          <w:szCs w:val="24"/>
          <w:lang w:bidi="ru-RU"/>
        </w:rPr>
        <w:t>этравирин</w:t>
      </w:r>
      <w:r w:rsidRPr="00867B85">
        <w:rPr>
          <w:sz w:val="24"/>
          <w:szCs w:val="24"/>
        </w:rPr>
        <w:t xml:space="preserve"> следует отменить.</w:t>
      </w:r>
    </w:p>
    <w:p w14:paraId="402C4759" w14:textId="577E3F94" w:rsidR="00867B85" w:rsidRPr="00867B85" w:rsidRDefault="00867B85" w:rsidP="001C0A37">
      <w:pPr>
        <w:pStyle w:val="OT"/>
        <w:spacing w:after="0"/>
        <w:ind w:firstLine="709"/>
        <w:rPr>
          <w:sz w:val="24"/>
          <w:szCs w:val="24"/>
        </w:rPr>
      </w:pPr>
      <w:r w:rsidRPr="00867B85">
        <w:rPr>
          <w:sz w:val="24"/>
          <w:szCs w:val="24"/>
        </w:rPr>
        <w:t xml:space="preserve">Клинические данные ограничены, нельзя исключать увеличение риска развития реакций со стороны кожи у пациентов с кожными реакциями, связанными с ННИОТ, в анамнезе. Следует соблюдать осторожность у пациентов с реакциями со стороны кожи при применении ННИОТ в анамнезе, в </w:t>
      </w:r>
      <w:r w:rsidR="0071509B" w:rsidRPr="00867B85">
        <w:rPr>
          <w:sz w:val="24"/>
          <w:szCs w:val="24"/>
        </w:rPr>
        <w:t>особенности,</w:t>
      </w:r>
      <w:r w:rsidRPr="00867B85">
        <w:rPr>
          <w:sz w:val="24"/>
          <w:szCs w:val="24"/>
        </w:rPr>
        <w:t xml:space="preserve"> если эти реакции носили тяжёлый характер.</w:t>
      </w:r>
    </w:p>
    <w:p w14:paraId="7DB9F77F" w14:textId="18CC3CDD" w:rsidR="00867B85" w:rsidRPr="00867B85" w:rsidRDefault="00867B85" w:rsidP="001C0A37">
      <w:pPr>
        <w:pStyle w:val="OT"/>
        <w:spacing w:after="0"/>
        <w:ind w:firstLine="709"/>
        <w:rPr>
          <w:sz w:val="24"/>
          <w:szCs w:val="24"/>
        </w:rPr>
      </w:pPr>
      <w:r w:rsidRPr="00867B85">
        <w:rPr>
          <w:sz w:val="24"/>
          <w:szCs w:val="24"/>
        </w:rPr>
        <w:t>При применении этравирина отмечались случаи тяжёлых реакций гиперчувствительности, включая лекарственная сыпь с эозинофилией и системной симптоматикой</w:t>
      </w:r>
      <w:r w:rsidR="001341EB">
        <w:rPr>
          <w:sz w:val="24"/>
          <w:szCs w:val="24"/>
        </w:rPr>
        <w:t>,</w:t>
      </w:r>
      <w:r w:rsidRPr="00867B85">
        <w:rPr>
          <w:sz w:val="24"/>
          <w:szCs w:val="24"/>
        </w:rPr>
        <w:t xml:space="preserve"> токсический эпидермальный некролиз, в некоторых случаях — со смертельными исходами.  </w:t>
      </w:r>
    </w:p>
    <w:p w14:paraId="6258BEFE" w14:textId="7B7298EC" w:rsidR="00867B85" w:rsidRPr="00867B85" w:rsidRDefault="001341EB" w:rsidP="001C0A37">
      <w:pPr>
        <w:pStyle w:val="OT"/>
        <w:spacing w:after="0"/>
        <w:ind w:firstLine="709"/>
        <w:rPr>
          <w:sz w:val="24"/>
          <w:szCs w:val="24"/>
        </w:rPr>
      </w:pPr>
      <w:r>
        <w:rPr>
          <w:sz w:val="24"/>
          <w:szCs w:val="24"/>
          <w:lang w:val="en-US"/>
        </w:rPr>
        <w:t>DRESS</w:t>
      </w:r>
      <w:r>
        <w:rPr>
          <w:sz w:val="24"/>
          <w:szCs w:val="24"/>
        </w:rPr>
        <w:t xml:space="preserve">-синдром </w:t>
      </w:r>
      <w:r w:rsidR="00867B85" w:rsidRPr="00867B85">
        <w:rPr>
          <w:sz w:val="24"/>
          <w:szCs w:val="24"/>
        </w:rPr>
        <w:t xml:space="preserve">характеризуется сыпью, лихорадкой, эозинофилией и системными проявлениями (включая, но не ограничиваясь: тяжёлая сыпь, либо сыпь с лихорадкой, общее недомогание, утомляемость, боль в мышцах или суставах, буллёзные поражения, очаги поражения ротовой полости, конъюнктивит, гепатит и эозинофилия). Как правило, он развивается примерно через 3-6 недель, а исход в большинстве случаев носит благоприятный характер при условии отмены лечения и начала терапии кортикостероидами. Пациентов следует проинформировать о необходимости обращения за медицинской помощью в случае развития тяжёлой сыпи или реакций гиперчувствительности. При диагностике реакций гиперчувствительности во время терапии препаратом </w:t>
      </w:r>
      <w:r w:rsidRPr="00867B85">
        <w:rPr>
          <w:sz w:val="24"/>
          <w:szCs w:val="24"/>
        </w:rPr>
        <w:t>этравирин</w:t>
      </w:r>
      <w:r w:rsidR="00867B85" w:rsidRPr="00867B85">
        <w:rPr>
          <w:sz w:val="24"/>
          <w:szCs w:val="24"/>
        </w:rPr>
        <w:t xml:space="preserve"> необходимо немедленно её отменить.</w:t>
      </w:r>
    </w:p>
    <w:p w14:paraId="01A3F9DB" w14:textId="15B40D1D" w:rsidR="00867B85" w:rsidRPr="00867B85" w:rsidRDefault="00867B85" w:rsidP="001C0A37">
      <w:pPr>
        <w:pStyle w:val="OT"/>
        <w:spacing w:after="0"/>
        <w:ind w:firstLine="709"/>
        <w:rPr>
          <w:sz w:val="24"/>
          <w:szCs w:val="24"/>
        </w:rPr>
      </w:pPr>
      <w:r w:rsidRPr="00867B85">
        <w:rPr>
          <w:sz w:val="24"/>
          <w:szCs w:val="24"/>
        </w:rPr>
        <w:t xml:space="preserve">Задержка в отмене препарата </w:t>
      </w:r>
      <w:r w:rsidR="001341EB" w:rsidRPr="00867B85">
        <w:rPr>
          <w:sz w:val="24"/>
          <w:szCs w:val="24"/>
        </w:rPr>
        <w:t>этравирина</w:t>
      </w:r>
      <w:r w:rsidRPr="00867B85">
        <w:rPr>
          <w:sz w:val="24"/>
          <w:szCs w:val="24"/>
        </w:rPr>
        <w:t xml:space="preserve"> после выявления сыпи тяжелой степени может вызвать реакцию, угрожающую жизни пациента.</w:t>
      </w:r>
    </w:p>
    <w:p w14:paraId="0AB50966" w14:textId="26012D5D" w:rsidR="00867B85" w:rsidRPr="00867B85" w:rsidRDefault="00867B85">
      <w:pPr>
        <w:pStyle w:val="OT"/>
        <w:spacing w:after="0"/>
        <w:ind w:firstLine="709"/>
        <w:rPr>
          <w:sz w:val="24"/>
          <w:szCs w:val="24"/>
        </w:rPr>
      </w:pPr>
      <w:r w:rsidRPr="00867B85">
        <w:rPr>
          <w:sz w:val="24"/>
          <w:szCs w:val="24"/>
        </w:rPr>
        <w:t xml:space="preserve">Пациентам, прекратившим терапию препаратом </w:t>
      </w:r>
      <w:r w:rsidR="001341EB" w:rsidRPr="00867B85">
        <w:rPr>
          <w:sz w:val="24"/>
          <w:szCs w:val="24"/>
        </w:rPr>
        <w:t>этравирин</w:t>
      </w:r>
      <w:r w:rsidRPr="00867B85">
        <w:rPr>
          <w:sz w:val="24"/>
          <w:szCs w:val="24"/>
        </w:rPr>
        <w:t xml:space="preserve"> в связи с реакциями гиперчувствительности, возобновлять её не следует.</w:t>
      </w:r>
    </w:p>
    <w:p w14:paraId="5E36426E" w14:textId="77777777" w:rsidR="00867B85" w:rsidRPr="00A76175" w:rsidRDefault="00867B85" w:rsidP="00A76175">
      <w:pPr>
        <w:pStyle w:val="OT"/>
        <w:spacing w:after="0"/>
        <w:rPr>
          <w:b/>
          <w:i/>
          <w:iCs/>
          <w:sz w:val="24"/>
          <w:szCs w:val="24"/>
        </w:rPr>
      </w:pPr>
      <w:r w:rsidRPr="00A76175">
        <w:rPr>
          <w:b/>
          <w:i/>
          <w:iCs/>
          <w:sz w:val="24"/>
          <w:szCs w:val="24"/>
        </w:rPr>
        <w:t>Сыпь</w:t>
      </w:r>
    </w:p>
    <w:p w14:paraId="0BFE5C47" w14:textId="31A1E27F" w:rsidR="001341EB" w:rsidRDefault="00867B85">
      <w:pPr>
        <w:pStyle w:val="OT"/>
        <w:spacing w:after="0"/>
        <w:ind w:firstLine="709"/>
        <w:rPr>
          <w:sz w:val="24"/>
          <w:szCs w:val="24"/>
        </w:rPr>
      </w:pPr>
      <w:r w:rsidRPr="00867B85">
        <w:rPr>
          <w:sz w:val="24"/>
          <w:szCs w:val="24"/>
        </w:rPr>
        <w:t xml:space="preserve">При применении этравирина описаны случаи возникновения сыпи. Чаще всего кожная сыпь бывает легкой или умеренно выраженной, возникает на второй неделе терапии и редко наблюдается после 4-й недели. В большинстве случаев такая сыпь не требует специального лечения и обычно исчезает через 1-2 недели на фоне продолжающегося лечения. При назначении препарата </w:t>
      </w:r>
      <w:r w:rsidR="001341EB" w:rsidRPr="00867B85">
        <w:rPr>
          <w:sz w:val="24"/>
          <w:szCs w:val="24"/>
        </w:rPr>
        <w:t>этравирин</w:t>
      </w:r>
      <w:r w:rsidRPr="00867B85">
        <w:rPr>
          <w:sz w:val="24"/>
          <w:szCs w:val="24"/>
        </w:rPr>
        <w:t xml:space="preserve"> женщинам следует помнить о более высокой частоте развития сыпи у женщин.</w:t>
      </w:r>
    </w:p>
    <w:p w14:paraId="2A7AEF64" w14:textId="77777777" w:rsidR="00B962E5" w:rsidRPr="00867B85" w:rsidRDefault="00B962E5">
      <w:pPr>
        <w:pStyle w:val="OT"/>
        <w:spacing w:after="0"/>
        <w:ind w:firstLine="709"/>
        <w:rPr>
          <w:sz w:val="24"/>
          <w:szCs w:val="24"/>
        </w:rPr>
      </w:pPr>
    </w:p>
    <w:p w14:paraId="164D9B75" w14:textId="77777777" w:rsidR="00867B85" w:rsidRPr="00A76175" w:rsidRDefault="00867B85" w:rsidP="00A76175">
      <w:pPr>
        <w:pStyle w:val="OT"/>
        <w:spacing w:after="0"/>
        <w:rPr>
          <w:b/>
          <w:iCs/>
          <w:sz w:val="24"/>
          <w:szCs w:val="24"/>
        </w:rPr>
      </w:pPr>
      <w:r w:rsidRPr="00A76175">
        <w:rPr>
          <w:b/>
          <w:iCs/>
          <w:sz w:val="24"/>
          <w:szCs w:val="24"/>
        </w:rPr>
        <w:t>Дети</w:t>
      </w:r>
    </w:p>
    <w:p w14:paraId="0CEF1ADE" w14:textId="77777777" w:rsidR="00B962E5" w:rsidRDefault="00B962E5">
      <w:pPr>
        <w:pStyle w:val="OT"/>
        <w:spacing w:after="0"/>
        <w:ind w:firstLine="709"/>
        <w:rPr>
          <w:sz w:val="24"/>
          <w:szCs w:val="24"/>
        </w:rPr>
      </w:pPr>
    </w:p>
    <w:p w14:paraId="3A5193F9" w14:textId="097948EB" w:rsidR="00867B85" w:rsidRPr="00867B85" w:rsidRDefault="00867B85">
      <w:pPr>
        <w:pStyle w:val="OT"/>
        <w:spacing w:after="0"/>
        <w:ind w:firstLine="709"/>
        <w:rPr>
          <w:sz w:val="24"/>
          <w:szCs w:val="24"/>
        </w:rPr>
      </w:pPr>
      <w:r w:rsidRPr="00867B85">
        <w:rPr>
          <w:sz w:val="24"/>
          <w:szCs w:val="24"/>
        </w:rPr>
        <w:t>Для детей, которые не могут проглотить таблетки целиком, таблетки могут быть растворены в жидкости. Такую возможность следует рассматривать только в том случае, если ребенок</w:t>
      </w:r>
      <w:r w:rsidR="0071509B">
        <w:rPr>
          <w:sz w:val="24"/>
          <w:szCs w:val="24"/>
        </w:rPr>
        <w:t>,</w:t>
      </w:r>
      <w:r w:rsidRPr="00867B85">
        <w:rPr>
          <w:sz w:val="24"/>
          <w:szCs w:val="24"/>
        </w:rPr>
        <w:t xml:space="preserve"> скорее всего</w:t>
      </w:r>
      <w:r w:rsidR="0071509B">
        <w:rPr>
          <w:sz w:val="24"/>
          <w:szCs w:val="24"/>
        </w:rPr>
        <w:t>,</w:t>
      </w:r>
      <w:r w:rsidRPr="00867B85">
        <w:rPr>
          <w:sz w:val="24"/>
          <w:szCs w:val="24"/>
        </w:rPr>
        <w:t xml:space="preserve"> сможет принять полную дозу таблеток, растворенных в жидкости. Важность приема полной дозы должна быть обозначена как для ребенка, так и для лица, осуществляющего за ним уход, чтобы избежать слишком низкой экспозиции и снижения вирусологического ответа. В случае сомнения в том, что ребенок примет полную дозу таблеток, растворенных в жидкости, следует рассмотреть терапию другим антиретровирусным препаратом.</w:t>
      </w:r>
    </w:p>
    <w:p w14:paraId="7CA00F2A" w14:textId="77777777" w:rsidR="0071509B" w:rsidRDefault="0071509B">
      <w:pPr>
        <w:pStyle w:val="OT"/>
        <w:spacing w:after="0"/>
        <w:rPr>
          <w:i/>
          <w:iCs/>
          <w:sz w:val="24"/>
          <w:szCs w:val="24"/>
        </w:rPr>
      </w:pPr>
    </w:p>
    <w:p w14:paraId="66A68156" w14:textId="77777777" w:rsidR="00867B85" w:rsidRPr="00A76175" w:rsidRDefault="00867B85">
      <w:pPr>
        <w:pStyle w:val="OT"/>
        <w:spacing w:after="0"/>
        <w:rPr>
          <w:b/>
          <w:iCs/>
          <w:sz w:val="24"/>
          <w:szCs w:val="24"/>
        </w:rPr>
      </w:pPr>
      <w:r w:rsidRPr="00A76175">
        <w:rPr>
          <w:b/>
          <w:iCs/>
          <w:sz w:val="24"/>
          <w:szCs w:val="24"/>
        </w:rPr>
        <w:t>Пожилые пациенты</w:t>
      </w:r>
    </w:p>
    <w:p w14:paraId="6D288D01" w14:textId="77777777" w:rsidR="00B962E5" w:rsidRDefault="00B962E5">
      <w:pPr>
        <w:pStyle w:val="OT"/>
        <w:spacing w:after="0"/>
        <w:ind w:firstLine="709"/>
        <w:rPr>
          <w:sz w:val="24"/>
          <w:szCs w:val="24"/>
        </w:rPr>
      </w:pPr>
    </w:p>
    <w:p w14:paraId="15947696" w14:textId="78C9B4C3" w:rsidR="0071509B" w:rsidRDefault="00867B85">
      <w:pPr>
        <w:pStyle w:val="OT"/>
        <w:spacing w:after="0"/>
        <w:ind w:firstLine="709"/>
        <w:rPr>
          <w:sz w:val="24"/>
          <w:szCs w:val="24"/>
        </w:rPr>
      </w:pPr>
      <w:r w:rsidRPr="00867B85">
        <w:rPr>
          <w:sz w:val="24"/>
          <w:szCs w:val="24"/>
        </w:rPr>
        <w:t xml:space="preserve">Опыт применения препарата </w:t>
      </w:r>
      <w:r w:rsidR="001341EB" w:rsidRPr="00867B85">
        <w:rPr>
          <w:sz w:val="24"/>
          <w:szCs w:val="24"/>
        </w:rPr>
        <w:t>этравирин</w:t>
      </w:r>
      <w:r w:rsidRPr="00867B85">
        <w:rPr>
          <w:sz w:val="24"/>
          <w:szCs w:val="24"/>
        </w:rPr>
        <w:t xml:space="preserve"> у пожилых пациентов ограничен: в III фазе клинических исследований 6 пациентов в возрасте 65 лет или старше, и 53 пациента в возрасте 56-64 лет получали терапию этравирином. Тип и частота побочных эффектов у пациентов старше 55 лет были схожи с теми, что наблюдались у более молодых пациентов. </w:t>
      </w:r>
    </w:p>
    <w:p w14:paraId="49F950DD" w14:textId="77777777" w:rsidR="0071509B" w:rsidRDefault="0071509B">
      <w:pPr>
        <w:pStyle w:val="OT"/>
        <w:spacing w:after="0"/>
        <w:ind w:firstLine="709"/>
        <w:rPr>
          <w:sz w:val="24"/>
          <w:szCs w:val="24"/>
        </w:rPr>
      </w:pPr>
    </w:p>
    <w:p w14:paraId="1CBC9DD5" w14:textId="7B96243E" w:rsidR="00867B85" w:rsidRPr="00A76175" w:rsidRDefault="00867B85">
      <w:pPr>
        <w:pStyle w:val="OT"/>
        <w:spacing w:after="0"/>
        <w:rPr>
          <w:b/>
          <w:iCs/>
          <w:sz w:val="24"/>
          <w:szCs w:val="24"/>
        </w:rPr>
      </w:pPr>
      <w:r w:rsidRPr="00A76175">
        <w:rPr>
          <w:b/>
          <w:iCs/>
          <w:sz w:val="24"/>
          <w:szCs w:val="24"/>
        </w:rPr>
        <w:t>Беременность</w:t>
      </w:r>
    </w:p>
    <w:p w14:paraId="39D30CF7" w14:textId="77777777" w:rsidR="00B962E5" w:rsidRDefault="00B962E5">
      <w:pPr>
        <w:pStyle w:val="OT"/>
        <w:spacing w:after="0"/>
        <w:ind w:firstLine="709"/>
        <w:rPr>
          <w:sz w:val="24"/>
          <w:szCs w:val="24"/>
        </w:rPr>
      </w:pPr>
    </w:p>
    <w:p w14:paraId="0AFFA2D7" w14:textId="44FD05C4" w:rsidR="00867B85" w:rsidRPr="00867B85" w:rsidRDefault="00867B85">
      <w:pPr>
        <w:pStyle w:val="OT"/>
        <w:spacing w:after="0"/>
        <w:ind w:firstLine="709"/>
        <w:rPr>
          <w:sz w:val="24"/>
          <w:szCs w:val="24"/>
        </w:rPr>
      </w:pPr>
      <w:r w:rsidRPr="00867B85">
        <w:rPr>
          <w:sz w:val="24"/>
          <w:szCs w:val="24"/>
        </w:rPr>
        <w:t>Учитывая повышение экспозиции во время беременности, следует соблюдать осторожность при назначении препарата беременным, которым требуется сопутствующая лекарственная терапия либо имеющим сопутствующие заболевания, в связи с которыми может наблюдаться дополнительное повышение экспозиции этравирина.</w:t>
      </w:r>
    </w:p>
    <w:p w14:paraId="59717C6B" w14:textId="77777777" w:rsidR="00B962E5" w:rsidRDefault="00B962E5" w:rsidP="00A76175">
      <w:pPr>
        <w:pStyle w:val="OT"/>
        <w:spacing w:after="0"/>
        <w:rPr>
          <w:i/>
          <w:iCs/>
          <w:sz w:val="24"/>
          <w:szCs w:val="24"/>
        </w:rPr>
      </w:pPr>
    </w:p>
    <w:p w14:paraId="0C16B6E6" w14:textId="65D5E2FA" w:rsidR="00867B85" w:rsidRPr="00A76175" w:rsidRDefault="00867B85" w:rsidP="00A76175">
      <w:pPr>
        <w:pStyle w:val="OT"/>
        <w:spacing w:after="0"/>
        <w:rPr>
          <w:b/>
          <w:iCs/>
          <w:sz w:val="24"/>
          <w:szCs w:val="24"/>
        </w:rPr>
      </w:pPr>
      <w:r w:rsidRPr="00A76175">
        <w:rPr>
          <w:b/>
          <w:iCs/>
          <w:sz w:val="24"/>
          <w:szCs w:val="24"/>
        </w:rPr>
        <w:t>Пациенты с сопутствующими заболеваниями</w:t>
      </w:r>
    </w:p>
    <w:p w14:paraId="25217BEF" w14:textId="77777777" w:rsidR="00B962E5" w:rsidRDefault="00B962E5" w:rsidP="00A76175">
      <w:pPr>
        <w:pStyle w:val="OT"/>
        <w:spacing w:after="0"/>
        <w:rPr>
          <w:i/>
          <w:iCs/>
          <w:sz w:val="24"/>
          <w:szCs w:val="24"/>
        </w:rPr>
      </w:pPr>
    </w:p>
    <w:p w14:paraId="5E735026" w14:textId="47370757" w:rsidR="00867B85" w:rsidRPr="00A76175" w:rsidRDefault="00867B85" w:rsidP="00A76175">
      <w:pPr>
        <w:pStyle w:val="OT"/>
        <w:spacing w:after="0"/>
        <w:rPr>
          <w:b/>
          <w:i/>
          <w:iCs/>
          <w:sz w:val="24"/>
          <w:szCs w:val="24"/>
        </w:rPr>
      </w:pPr>
      <w:r w:rsidRPr="00A76175">
        <w:rPr>
          <w:b/>
          <w:i/>
          <w:iCs/>
          <w:sz w:val="24"/>
          <w:szCs w:val="24"/>
        </w:rPr>
        <w:t>Нарушение функции печени</w:t>
      </w:r>
    </w:p>
    <w:p w14:paraId="08D69D4C" w14:textId="20FD5AA7" w:rsidR="00867B85" w:rsidRDefault="00867B85">
      <w:pPr>
        <w:pStyle w:val="OT"/>
        <w:spacing w:after="0"/>
        <w:ind w:firstLine="709"/>
        <w:rPr>
          <w:sz w:val="24"/>
          <w:szCs w:val="24"/>
        </w:rPr>
      </w:pPr>
      <w:r w:rsidRPr="00867B85">
        <w:rPr>
          <w:sz w:val="24"/>
          <w:szCs w:val="24"/>
        </w:rPr>
        <w:t>Этравирин в основном метаболизируется и выводится печенью, а также обладает высокой степенью связывания с белками плазмы крови. Возможны эффекты в отношении экспозиции несвязанного препарата (что не изучено) и, таким образом, следует соблюдать осторожность у пациентов с нарушением функции печени средней степени тяжести. Применение этравирина не изучалось у пациентов с тяжёлым нарушением функции печени (класс С по шкале Чайлд-Пью), в связи с чем назначение препарата пациентам с тяжёлым нарушением функции печени (класс С по шкале Чайлд-Пью) противопоказано</w:t>
      </w:r>
      <w:r w:rsidR="00B962E5">
        <w:rPr>
          <w:sz w:val="24"/>
          <w:szCs w:val="24"/>
        </w:rPr>
        <w:t>.</w:t>
      </w:r>
    </w:p>
    <w:p w14:paraId="328B786F" w14:textId="77777777" w:rsidR="00B962E5" w:rsidRPr="00867B85" w:rsidRDefault="00B962E5">
      <w:pPr>
        <w:pStyle w:val="OT"/>
        <w:spacing w:after="0"/>
        <w:ind w:firstLine="709"/>
        <w:rPr>
          <w:sz w:val="24"/>
          <w:szCs w:val="24"/>
        </w:rPr>
      </w:pPr>
    </w:p>
    <w:p w14:paraId="2C5D17C5" w14:textId="77777777" w:rsidR="00867B85" w:rsidRPr="00A76175" w:rsidRDefault="00867B85" w:rsidP="00A76175">
      <w:pPr>
        <w:pStyle w:val="OT"/>
        <w:spacing w:after="0"/>
        <w:rPr>
          <w:b/>
          <w:i/>
          <w:iCs/>
          <w:sz w:val="24"/>
          <w:szCs w:val="24"/>
        </w:rPr>
      </w:pPr>
      <w:r w:rsidRPr="00A76175">
        <w:rPr>
          <w:b/>
          <w:i/>
          <w:iCs/>
          <w:sz w:val="24"/>
          <w:szCs w:val="24"/>
        </w:rPr>
        <w:t>Пациенты, одновременно инфицированные вирусом гепатита В или вирусом гепатита С</w:t>
      </w:r>
    </w:p>
    <w:p w14:paraId="0A65AC06" w14:textId="175F0701" w:rsidR="00867B85" w:rsidRDefault="00867B85">
      <w:pPr>
        <w:pStyle w:val="OT"/>
        <w:spacing w:after="0"/>
        <w:ind w:firstLine="709"/>
        <w:rPr>
          <w:sz w:val="24"/>
          <w:szCs w:val="24"/>
        </w:rPr>
      </w:pPr>
      <w:r w:rsidRPr="00867B85">
        <w:rPr>
          <w:sz w:val="24"/>
          <w:szCs w:val="24"/>
        </w:rPr>
        <w:t xml:space="preserve">Следует соблюдать осторожность при применении препарата </w:t>
      </w:r>
      <w:r w:rsidR="00194739" w:rsidRPr="00867B85">
        <w:rPr>
          <w:sz w:val="24"/>
          <w:szCs w:val="24"/>
        </w:rPr>
        <w:t>этравирин</w:t>
      </w:r>
      <w:r w:rsidRPr="00867B85">
        <w:rPr>
          <w:sz w:val="24"/>
          <w:szCs w:val="24"/>
        </w:rPr>
        <w:t xml:space="preserve"> у пациентов, одновременно инфицированных вирусом гепатита В или вирусом гепатита С, в связи с ограниченными данными по применению этравирина у данной группы пациентов. Нельзя исключить потенциальную возможность увеличения риска повышения активности печеночных ферментов.</w:t>
      </w:r>
    </w:p>
    <w:p w14:paraId="339C6C09" w14:textId="77777777" w:rsidR="00B962E5" w:rsidRPr="00867B85" w:rsidRDefault="00B962E5">
      <w:pPr>
        <w:pStyle w:val="OT"/>
        <w:spacing w:after="0"/>
        <w:ind w:firstLine="709"/>
        <w:rPr>
          <w:sz w:val="24"/>
          <w:szCs w:val="24"/>
        </w:rPr>
      </w:pPr>
    </w:p>
    <w:p w14:paraId="79851248" w14:textId="7A534467" w:rsidR="00867B85" w:rsidRPr="00A76175" w:rsidRDefault="00867B85" w:rsidP="00A76175">
      <w:pPr>
        <w:pStyle w:val="OT"/>
        <w:spacing w:after="0"/>
        <w:rPr>
          <w:b/>
          <w:i/>
          <w:iCs/>
          <w:sz w:val="24"/>
          <w:szCs w:val="24"/>
        </w:rPr>
      </w:pPr>
      <w:r w:rsidRPr="00A76175">
        <w:rPr>
          <w:b/>
          <w:i/>
          <w:iCs/>
          <w:sz w:val="24"/>
          <w:szCs w:val="24"/>
        </w:rPr>
        <w:t>Масса тела и метаболические показатели</w:t>
      </w:r>
    </w:p>
    <w:p w14:paraId="011B4587" w14:textId="77777777" w:rsidR="00867B85" w:rsidRPr="00867B85" w:rsidRDefault="00867B85">
      <w:pPr>
        <w:pStyle w:val="OT"/>
        <w:spacing w:after="0"/>
        <w:ind w:firstLine="709"/>
        <w:rPr>
          <w:sz w:val="24"/>
          <w:szCs w:val="24"/>
        </w:rPr>
      </w:pPr>
      <w:r w:rsidRPr="00867B85">
        <w:rPr>
          <w:sz w:val="24"/>
          <w:szCs w:val="24"/>
        </w:rPr>
        <w:t>При проведении антиретровирусной терапии может наблюдаться увеличение массы тела и концентрации липидов и глюкозы в плазме крови. Данные изменения могут быть отчасти связаны с контролем заболевания и образом жизни. В некоторых случаях было получено подтверждение влияния терапии на концентрацию липидов, в то время как доказательства связи между применением какого-либо определенного препарата и увеличением массы тела отсутствуют. Для мониторинга концентраций липидов и глюкозы в плазме крови рекомендуется использовать утвержденные руководства по терапии ВИЧ. Нарушения липидного обмена следует лечить клинически подходящим способом.</w:t>
      </w:r>
    </w:p>
    <w:p w14:paraId="4FA99B73" w14:textId="77777777" w:rsidR="00B962E5" w:rsidRDefault="00B962E5" w:rsidP="00A76175">
      <w:pPr>
        <w:pStyle w:val="OT"/>
        <w:spacing w:after="0"/>
        <w:rPr>
          <w:i/>
          <w:iCs/>
          <w:sz w:val="24"/>
          <w:szCs w:val="24"/>
        </w:rPr>
      </w:pPr>
    </w:p>
    <w:p w14:paraId="0E46F8C7" w14:textId="1F3F04D8" w:rsidR="00867B85" w:rsidRPr="00A76175" w:rsidRDefault="00867B85" w:rsidP="00A76175">
      <w:pPr>
        <w:pStyle w:val="OT"/>
        <w:spacing w:after="0"/>
        <w:rPr>
          <w:b/>
          <w:i/>
          <w:iCs/>
          <w:sz w:val="24"/>
          <w:szCs w:val="24"/>
        </w:rPr>
      </w:pPr>
      <w:r w:rsidRPr="00A76175">
        <w:rPr>
          <w:b/>
          <w:i/>
          <w:iCs/>
          <w:sz w:val="24"/>
          <w:szCs w:val="24"/>
        </w:rPr>
        <w:t>Синдром восстановления иммунитета</w:t>
      </w:r>
    </w:p>
    <w:p w14:paraId="53C2AEA1" w14:textId="77777777" w:rsidR="00867B85" w:rsidRPr="00867B85" w:rsidRDefault="00867B85">
      <w:pPr>
        <w:pStyle w:val="OT"/>
        <w:spacing w:after="0"/>
        <w:ind w:firstLine="709"/>
        <w:rPr>
          <w:sz w:val="24"/>
          <w:szCs w:val="24"/>
        </w:rPr>
      </w:pPr>
      <w:r w:rsidRPr="00867B85">
        <w:rPr>
          <w:sz w:val="24"/>
          <w:szCs w:val="24"/>
        </w:rPr>
        <w:t>У ВИЧ-инфицированных пациентов с тяжелым иммунодефицитом во время начала комбинированной антиретровирусной терапии может возникнуть воспалительная реакция на бессимптомные или латентные оппортунистические инфекции, которая может проявляться ухудшением клинического состояния и усилением имеющихся симптомов. Обычно такие реакции наблюдаются в первые недели или месяцы после начала комбинированной антиретровирусной терапии. В качестве примеров можно привести цитомегаловирусный ретинит, генерализованные и/или очаговые микобактериальные инфекции и пневмонию, вызванную Pneumocystis jirovecii. Появление любых симптомов воспаления требует немедленного обследования и, при необходимости, лечения. Имеются сообщения о возникновении аутоиммунных заболеваний (таких как болезнь Грейвса и аутоиммунный гепатит) на фоне восстановления иммунитета. Срок возникновения данных заболеваний широко варьируется; заболевания могут начаться через много месяцев после начала лечения.</w:t>
      </w:r>
    </w:p>
    <w:p w14:paraId="2E434678" w14:textId="77777777" w:rsidR="00B962E5" w:rsidRDefault="00B962E5" w:rsidP="00A76175">
      <w:pPr>
        <w:pStyle w:val="OT"/>
        <w:spacing w:after="0"/>
        <w:rPr>
          <w:i/>
          <w:iCs/>
          <w:sz w:val="24"/>
          <w:szCs w:val="24"/>
        </w:rPr>
      </w:pPr>
    </w:p>
    <w:p w14:paraId="6EB22EA4" w14:textId="00288A03" w:rsidR="00867B85" w:rsidRPr="00A76175" w:rsidRDefault="00867B85" w:rsidP="00A76175">
      <w:pPr>
        <w:pStyle w:val="OT"/>
        <w:spacing w:after="0"/>
        <w:rPr>
          <w:b/>
          <w:i/>
          <w:iCs/>
          <w:sz w:val="24"/>
          <w:szCs w:val="24"/>
        </w:rPr>
      </w:pPr>
      <w:r w:rsidRPr="00A76175">
        <w:rPr>
          <w:b/>
          <w:i/>
          <w:iCs/>
          <w:sz w:val="24"/>
          <w:szCs w:val="24"/>
        </w:rPr>
        <w:t>Остеонекроз</w:t>
      </w:r>
    </w:p>
    <w:p w14:paraId="7EEE436A" w14:textId="146CCCBF" w:rsidR="00867B85" w:rsidRPr="00867B85" w:rsidRDefault="00867B85">
      <w:pPr>
        <w:pStyle w:val="OT"/>
        <w:spacing w:after="0"/>
        <w:ind w:firstLine="709"/>
        <w:rPr>
          <w:bCs/>
          <w:sz w:val="24"/>
          <w:szCs w:val="24"/>
        </w:rPr>
      </w:pPr>
      <w:r w:rsidRPr="00867B85">
        <w:rPr>
          <w:sz w:val="24"/>
          <w:szCs w:val="24"/>
        </w:rPr>
        <w:t xml:space="preserve">Хотя этиология остеонекроза является многофакторной (появление остеонекроза может быть </w:t>
      </w:r>
      <w:r w:rsidR="0071509B" w:rsidRPr="00867B85">
        <w:rPr>
          <w:sz w:val="24"/>
          <w:szCs w:val="24"/>
        </w:rPr>
        <w:t>вызвано,</w:t>
      </w:r>
      <w:r w:rsidRPr="00867B85">
        <w:rPr>
          <w:sz w:val="24"/>
          <w:szCs w:val="24"/>
        </w:rPr>
        <w:t xml:space="preserve"> в том числе</w:t>
      </w:r>
      <w:r w:rsidR="0071509B">
        <w:rPr>
          <w:sz w:val="24"/>
          <w:szCs w:val="24"/>
        </w:rPr>
        <w:t>,</w:t>
      </w:r>
      <w:r w:rsidRPr="00867B85">
        <w:rPr>
          <w:sz w:val="24"/>
          <w:szCs w:val="24"/>
        </w:rPr>
        <w:t xml:space="preserve"> применением глюкокортикостероидов, употреблением алкоголя, сильной иммуносупрессией, высоким индексом массы тела), имеются сообщения о случаях остеонекроза</w:t>
      </w:r>
      <w:r w:rsidR="0071509B">
        <w:rPr>
          <w:sz w:val="24"/>
          <w:szCs w:val="24"/>
        </w:rPr>
        <w:t>,</w:t>
      </w:r>
      <w:r w:rsidRPr="00867B85">
        <w:rPr>
          <w:sz w:val="24"/>
          <w:szCs w:val="24"/>
        </w:rPr>
        <w:t xml:space="preserve"> особенно у пациентов с продвинутой стадией ВИЧ-инфекции и/или больных, находящихся на длительной комбинированной антиретровирусной терапии. Пациентам следует рекомендовать обратиться к врачу, если они испытывают боли в суставах или болевое ограничение в движениях.</w:t>
      </w:r>
    </w:p>
    <w:p w14:paraId="6A9D8C2A" w14:textId="2E43ED2B" w:rsidR="0025168A" w:rsidRDefault="0025168A" w:rsidP="00867B85">
      <w:pPr>
        <w:pStyle w:val="3"/>
        <w:spacing w:after="240"/>
        <w:rPr>
          <w:rFonts w:ascii="Times New Roman" w:hAnsi="Times New Roman"/>
          <w:color w:val="000000" w:themeColor="text1"/>
        </w:rPr>
      </w:pPr>
      <w:bookmarkStart w:id="228" w:name="_Toc117179254"/>
      <w:r>
        <w:rPr>
          <w:rFonts w:ascii="Times New Roman" w:hAnsi="Times New Roman"/>
          <w:color w:val="000000" w:themeColor="text1"/>
        </w:rPr>
        <w:t>5.3.9 Влияние на способность управлять транспортными средствами и механизмами</w:t>
      </w:r>
      <w:bookmarkEnd w:id="227"/>
      <w:bookmarkEnd w:id="228"/>
    </w:p>
    <w:p w14:paraId="61B88B19" w14:textId="7F6BA109" w:rsidR="0025168A" w:rsidRPr="0025168A" w:rsidRDefault="00203B8B" w:rsidP="00BA2D96">
      <w:pPr>
        <w:tabs>
          <w:tab w:val="left" w:pos="8647"/>
        </w:tabs>
        <w:ind w:firstLine="709"/>
      </w:pPr>
      <w:r w:rsidRPr="00203B8B">
        <w:t xml:space="preserve">Препарат </w:t>
      </w:r>
      <w:r>
        <w:t>э</w:t>
      </w:r>
      <w:r w:rsidRPr="000B3E26">
        <w:t>травирин</w:t>
      </w:r>
      <w:r w:rsidRPr="00203B8B">
        <w:t xml:space="preserve"> оказывает минимальное влияние на способность управлять транспортными средствами и работать с механизмами. Исследований влияния препарата </w:t>
      </w:r>
      <w:r>
        <w:t>э</w:t>
      </w:r>
      <w:r w:rsidRPr="000B3E26">
        <w:t>травирин</w:t>
      </w:r>
      <w:r w:rsidRPr="00203B8B">
        <w:t xml:space="preserve"> на способность управлять транспортными средствами и работать с механизмами не проводилось. Нежелательные реакции, такие как сонливость и головокружение, о которых сообщалось у пациентов, применявших этравирин, должны быть приняты во внимание при оценке способности пациента управлять транспортными средствами и работать с механизмами</w:t>
      </w:r>
      <w:r w:rsidR="0025168A">
        <w:t>.</w:t>
      </w:r>
    </w:p>
    <w:p w14:paraId="3A23AB23" w14:textId="77777777" w:rsidR="00BC7E97" w:rsidRDefault="00BC7E97" w:rsidP="008B7FBF">
      <w:pPr>
        <w:pStyle w:val="12"/>
        <w:spacing w:line="240" w:lineRule="auto"/>
        <w:rPr>
          <w:rStyle w:val="src"/>
          <w:rFonts w:cs="Times New Roman"/>
          <w:color w:val="000000" w:themeColor="text1"/>
          <w:szCs w:val="24"/>
        </w:rPr>
        <w:sectPr w:rsidR="00BC7E97" w:rsidSect="00AB01E2">
          <w:pgSz w:w="11906" w:h="16838"/>
          <w:pgMar w:top="1134" w:right="849" w:bottom="1134" w:left="1701" w:header="708" w:footer="709" w:gutter="0"/>
          <w:cols w:space="708"/>
          <w:docGrid w:linePitch="360"/>
        </w:sectPr>
      </w:pPr>
    </w:p>
    <w:p w14:paraId="3C9C425A" w14:textId="40A5F7E4" w:rsidR="008B7FBF" w:rsidRPr="005E6358" w:rsidRDefault="008B7FBF" w:rsidP="003C307A">
      <w:pPr>
        <w:pStyle w:val="12"/>
        <w:spacing w:before="120" w:after="120" w:line="240" w:lineRule="auto"/>
        <w:rPr>
          <w:rStyle w:val="src"/>
          <w:rFonts w:cs="Times New Roman"/>
          <w:color w:val="000000" w:themeColor="text1"/>
          <w:szCs w:val="24"/>
        </w:rPr>
      </w:pPr>
      <w:bookmarkStart w:id="229" w:name="_Toc117179255"/>
      <w:r w:rsidRPr="005E6358">
        <w:rPr>
          <w:rStyle w:val="src"/>
          <w:rFonts w:cs="Times New Roman"/>
          <w:color w:val="000000" w:themeColor="text1"/>
          <w:szCs w:val="24"/>
        </w:rPr>
        <w:t>6. ЗАКЛЮЧЕНИЕ</w:t>
      </w:r>
      <w:bookmarkEnd w:id="229"/>
    </w:p>
    <w:p w14:paraId="6C228252" w14:textId="2D43771C" w:rsidR="000B3E26" w:rsidRPr="000B3E26" w:rsidRDefault="000B3E26" w:rsidP="00876EAE">
      <w:pPr>
        <w:pStyle w:val="OT"/>
        <w:spacing w:after="0"/>
        <w:ind w:firstLine="709"/>
        <w:rPr>
          <w:sz w:val="24"/>
          <w:szCs w:val="24"/>
        </w:rPr>
      </w:pPr>
      <w:r w:rsidRPr="000B3E26">
        <w:rPr>
          <w:sz w:val="24"/>
          <w:szCs w:val="24"/>
        </w:rPr>
        <w:t>Этравирин является ННИОТ вируса иммунодефицита человека – ВИЧ-1. Этравирин непосредственно связывается с обратной транскриптазой и блокирует РНК зависимую и ДНК</w:t>
      </w:r>
      <w:r w:rsidR="00771A37">
        <w:rPr>
          <w:sz w:val="24"/>
          <w:szCs w:val="24"/>
        </w:rPr>
        <w:t>-</w:t>
      </w:r>
      <w:r w:rsidRPr="000B3E26">
        <w:rPr>
          <w:sz w:val="24"/>
          <w:szCs w:val="24"/>
        </w:rPr>
        <w:t xml:space="preserve">зависимую активность ДНК-полимеразы, вызывая разрушение каталитических участков этого фермента. </w:t>
      </w:r>
    </w:p>
    <w:p w14:paraId="02EE79CE" w14:textId="3E089A91" w:rsidR="000B3E26" w:rsidRPr="000B3E26" w:rsidRDefault="000B3E26" w:rsidP="00876EAE">
      <w:pPr>
        <w:pStyle w:val="OT"/>
        <w:spacing w:after="0"/>
        <w:ind w:firstLine="709"/>
        <w:rPr>
          <w:sz w:val="24"/>
          <w:szCs w:val="24"/>
        </w:rPr>
      </w:pPr>
      <w:r w:rsidRPr="000B3E26">
        <w:rPr>
          <w:sz w:val="24"/>
          <w:szCs w:val="24"/>
        </w:rPr>
        <w:t xml:space="preserve">Этравирин в сочетании с другими антиретровирусными препаратами эффективен при </w:t>
      </w:r>
      <w:r w:rsidR="00FD59A0" w:rsidRPr="000B3E26">
        <w:rPr>
          <w:sz w:val="24"/>
          <w:szCs w:val="24"/>
        </w:rPr>
        <w:t>лечени</w:t>
      </w:r>
      <w:r w:rsidR="00FD59A0">
        <w:rPr>
          <w:sz w:val="24"/>
          <w:szCs w:val="24"/>
        </w:rPr>
        <w:t>и</w:t>
      </w:r>
      <w:r w:rsidR="00FD59A0" w:rsidRPr="000B3E26">
        <w:rPr>
          <w:sz w:val="24"/>
          <w:szCs w:val="24"/>
        </w:rPr>
        <w:t xml:space="preserve"> </w:t>
      </w:r>
      <w:r w:rsidRPr="000B3E26">
        <w:rPr>
          <w:sz w:val="24"/>
          <w:szCs w:val="24"/>
        </w:rPr>
        <w:t>инфекции, вызванной вирусом иммунодефицита человека ВИЧ-1 у ранее не лечившихся пациентов и у пациентов, у которых предыдущая терапия оказалась неэффективной. Препарат эффективен при устойчивости штаммов ВИЧ-1 ко многим антиретровирусным препаратам, включая ННИОТ</w:t>
      </w:r>
      <w:r w:rsidR="00086C50">
        <w:rPr>
          <w:sz w:val="24"/>
          <w:szCs w:val="24"/>
        </w:rPr>
        <w:t>.</w:t>
      </w:r>
      <w:r w:rsidRPr="000B3E26">
        <w:rPr>
          <w:sz w:val="24"/>
          <w:szCs w:val="24"/>
        </w:rPr>
        <w:t xml:space="preserve"> </w:t>
      </w:r>
    </w:p>
    <w:p w14:paraId="11C38A9D" w14:textId="77777777" w:rsidR="000B3E26" w:rsidRPr="00B72067" w:rsidRDefault="000B3E26" w:rsidP="00876EAE">
      <w:pPr>
        <w:pStyle w:val="OT"/>
        <w:spacing w:after="0"/>
        <w:ind w:firstLine="709"/>
        <w:rPr>
          <w:sz w:val="24"/>
          <w:szCs w:val="24"/>
        </w:rPr>
      </w:pPr>
      <w:r w:rsidRPr="0060517B">
        <w:rPr>
          <w:sz w:val="24"/>
          <w:szCs w:val="24"/>
        </w:rPr>
        <w:t xml:space="preserve">Для изучения </w:t>
      </w:r>
      <w:r>
        <w:rPr>
          <w:color w:val="000000"/>
          <w:sz w:val="24"/>
          <w:szCs w:val="24"/>
        </w:rPr>
        <w:t>э</w:t>
      </w:r>
      <w:r w:rsidRPr="00B72067">
        <w:rPr>
          <w:color w:val="000000"/>
          <w:sz w:val="24"/>
          <w:szCs w:val="24"/>
        </w:rPr>
        <w:t>травирин</w:t>
      </w:r>
      <w:r>
        <w:rPr>
          <w:color w:val="000000"/>
          <w:sz w:val="24"/>
          <w:szCs w:val="24"/>
        </w:rPr>
        <w:t>а</w:t>
      </w:r>
      <w:r w:rsidRPr="00B72067">
        <w:rPr>
          <w:sz w:val="24"/>
          <w:szCs w:val="24"/>
        </w:rPr>
        <w:t xml:space="preserve"> </w:t>
      </w:r>
      <w:r w:rsidRPr="0060517B">
        <w:rPr>
          <w:sz w:val="24"/>
          <w:szCs w:val="24"/>
        </w:rPr>
        <w:t xml:space="preserve">было проведено большое количество доклинических исследований. Эти исследования включали серию исследований как </w:t>
      </w:r>
      <w:r w:rsidRPr="00295007">
        <w:rPr>
          <w:i/>
          <w:iCs/>
          <w:sz w:val="24"/>
          <w:szCs w:val="24"/>
        </w:rPr>
        <w:t>in vitro</w:t>
      </w:r>
      <w:r w:rsidRPr="0060517B">
        <w:rPr>
          <w:sz w:val="24"/>
          <w:szCs w:val="24"/>
        </w:rPr>
        <w:t xml:space="preserve">, так и </w:t>
      </w:r>
      <w:r w:rsidRPr="00295007">
        <w:rPr>
          <w:i/>
          <w:iCs/>
          <w:sz w:val="24"/>
          <w:szCs w:val="24"/>
        </w:rPr>
        <w:t>in vivo</w:t>
      </w:r>
      <w:r w:rsidRPr="0060517B">
        <w:rPr>
          <w:sz w:val="24"/>
          <w:szCs w:val="24"/>
        </w:rPr>
        <w:t xml:space="preserve">, в результате которых были хорошо изучены фармакодинамические, фармакокинетические и токсикологические свойства </w:t>
      </w:r>
      <w:r>
        <w:rPr>
          <w:color w:val="000000"/>
          <w:sz w:val="24"/>
          <w:szCs w:val="24"/>
        </w:rPr>
        <w:t>э</w:t>
      </w:r>
      <w:r w:rsidRPr="00B72067">
        <w:rPr>
          <w:color w:val="000000"/>
          <w:sz w:val="24"/>
          <w:szCs w:val="24"/>
        </w:rPr>
        <w:t>травирин</w:t>
      </w:r>
      <w:r>
        <w:rPr>
          <w:color w:val="000000"/>
          <w:sz w:val="24"/>
          <w:szCs w:val="24"/>
        </w:rPr>
        <w:t>а</w:t>
      </w:r>
      <w:r w:rsidRPr="0060517B">
        <w:rPr>
          <w:sz w:val="24"/>
          <w:szCs w:val="24"/>
        </w:rPr>
        <w:t>.</w:t>
      </w:r>
    </w:p>
    <w:p w14:paraId="486DFF94" w14:textId="2D50CD0A" w:rsidR="00411D83" w:rsidRDefault="00411D83" w:rsidP="00876EAE">
      <w:pPr>
        <w:pStyle w:val="affb"/>
        <w:spacing w:before="0" w:after="0" w:line="240" w:lineRule="auto"/>
        <w:ind w:firstLine="709"/>
      </w:pPr>
      <w:r w:rsidRPr="00411D83">
        <w:t>Токсикологические исследования этравирина проводились на мышах, крысах, кроликах и собаках</w:t>
      </w:r>
      <w:r>
        <w:t xml:space="preserve">. </w:t>
      </w:r>
      <w:r w:rsidRPr="00411D83">
        <w:t>При однократном пероральном применении этравирина в диапазоне доз до 1000 мг/кг у мышей и крыс не наблюдалось побочных действий. У собак в остром эксперименте с постепенной эскалацией дозы до 350 мг/кг/сутки также отсутствовали токсические эффекты этравирина</w:t>
      </w:r>
      <w:r>
        <w:t xml:space="preserve">. </w:t>
      </w:r>
      <w:r w:rsidRPr="00411D83">
        <w:t>В хронических экспериментах у мышей, крыс, кроликов и собак этравирин не оказывал значимого влияния на сердечно-сосудистую, дыхательную системы, ЦНС. Однако этравирин проявлял дозозависимое гепатотоксическое действие, которое носило более выраженный характер у грызунов. У собак гепатотоксичность этравирина проявлялась при более высоких дозах. Следует обратить внимание, что при применении этравирин</w:t>
      </w:r>
      <w:r>
        <w:t>а</w:t>
      </w:r>
      <w:r w:rsidRPr="00411D83">
        <w:t xml:space="preserve"> у пациентов возможны нежелательные реакции со стороны печени</w:t>
      </w:r>
      <w:r>
        <w:t>.</w:t>
      </w:r>
    </w:p>
    <w:p w14:paraId="1BA78BCD" w14:textId="77777777" w:rsidR="00FD59A0" w:rsidRDefault="00FD59A0" w:rsidP="00FD59A0">
      <w:pPr>
        <w:ind w:firstLine="709"/>
      </w:pPr>
      <w:r>
        <w:t>Эффективность лекарственных препаратов, содержащих этравирин, в качестве средства для лечения ВИЧ-1 взрослых и детей с опытом предшествующей терапии была доказана в многочисленных клинических исследованиях, в том числе, в двойных-слепых плацебо контролируемых исследованиях, в сравнении с известными стандартами лечения. Кроме того, эффективность эбравирина в составе комбинированной высокоэффективной АРТ подтверждена в систематических обзорах, мета-анализах и ретроспективных клинических исследованиях, а также данными реальной клинической практики.</w:t>
      </w:r>
    </w:p>
    <w:p w14:paraId="05AAEF2D" w14:textId="77777777" w:rsidR="00FD59A0" w:rsidRPr="004865CA" w:rsidRDefault="00FD59A0" w:rsidP="00FD59A0">
      <w:pPr>
        <w:ind w:firstLine="709"/>
      </w:pPr>
      <w:r>
        <w:t>Ежедневный пероральный прием этравирина в составе схем АРТ, был эффективен в отношении снижения вирусной нагрузки у ВИЧ-инфицированных пациентов с опытом предшествующей терапии при использовании в составе комбинированной АРТ. Польза от применения этравирина продемонстрирована результатами двух основных регистрационных исследований – DUET 1 и DUET 2 (TMC125-C206 и TMC125-C216), в которых этравирин эффективно снижал вирусную нагрузку у ВИЧ-инфицированных пациентов с опытом предшествующей терапии и вирусологической неудачей в анамнезе (≥ 1 мутации резистентности ННИОТ; анализ на 48, 96 неделе терапии). Вирусологическая супрессия (РНК ВИЧ &lt; 50 копий/мл) на 48 неделе достигнута у 60% пациентов, получавших этравирин, и 38%, получавших плацебо, на фоне базовой АРТ; у 71% и 46% пациентов, соответственно, вирусная нагрузка была менее 400 копий /мл; средний прирост CD4+ лимфоцитов по сравнению с исходным уровнем – 96 клеток/мкл и 68 клеток/мкл, соответственно. По данным 96-недельного объединенного анализа, доля участников, поддерживающих вирусологическую супрессию (РНК ВИЧ &lt;50 копий/мл), была значительно выше в группе этравирина по сравнению с плацебо (57% vs. 36%; p &lt;0,0001), независимо от исходных характеристик включенных в исследование пациентов. В педиатрическом исследовании PIANO при включении в схему терапии этравирина на 48 неделе 57 из 101 (56%) участников достигли вирусологической супрессии (РНК ВИЧ &lt;50 копий/мл, ITT-популяция). Вновь возникшая резистентность к ННИОТ была обнаружена у 18 из 30 (60%) детей без вирусологической супрессии в прошлом, среди выявленных мутаций наиболее часто обнаруживалась мутация Y181C (n = 8).</w:t>
      </w:r>
    </w:p>
    <w:p w14:paraId="078C892F" w14:textId="3B3B2554" w:rsidR="000B3E26" w:rsidRDefault="000B3E26" w:rsidP="00876EAE">
      <w:pPr>
        <w:pStyle w:val="affb"/>
        <w:spacing w:before="0" w:after="0" w:line="240" w:lineRule="auto"/>
        <w:ind w:firstLine="709"/>
      </w:pPr>
      <w:r w:rsidRPr="000B3E26">
        <w:t>Оригинальный препарат Интеленс</w:t>
      </w:r>
      <w:r w:rsidRPr="00A76175">
        <w:rPr>
          <w:vertAlign w:val="superscript"/>
        </w:rPr>
        <w:t>®</w:t>
      </w:r>
      <w:r w:rsidR="00FD59A0">
        <w:t xml:space="preserve"> </w:t>
      </w:r>
      <w:r w:rsidRPr="000B3E26">
        <w:t>(</w:t>
      </w:r>
      <w:r w:rsidR="00FD59A0">
        <w:rPr>
          <w:rFonts w:eastAsia="MS Mincho"/>
        </w:rPr>
        <w:t xml:space="preserve">ООО «Джонсон </w:t>
      </w:r>
      <w:r w:rsidR="00FD59A0" w:rsidRPr="009B427E">
        <w:rPr>
          <w:rFonts w:eastAsia="MS Mincho"/>
        </w:rPr>
        <w:t xml:space="preserve">&amp; </w:t>
      </w:r>
      <w:r w:rsidR="00FD59A0">
        <w:rPr>
          <w:rFonts w:eastAsia="MS Mincho"/>
        </w:rPr>
        <w:t>Джонсон», Россия</w:t>
      </w:r>
      <w:r w:rsidRPr="000B3E26">
        <w:t>) характеризуется благоприятным профилем безопасности при применении у здоровых добровольцев (в фармакокинетических клинических исследованиях), а также в составе комбинированной АРТ у ВИЧ-инфицированных взрослых и детей с 2 лет с опытом предшествующей терапии</w:t>
      </w:r>
      <w:r w:rsidR="00411D83">
        <w:t xml:space="preserve">. </w:t>
      </w:r>
      <w:r w:rsidRPr="000B3E26">
        <w:t>Препарат Интеленс®, таблетки 25 мг, 100 мг, 200 мг (</w:t>
      </w:r>
      <w:r w:rsidR="00FD59A0">
        <w:rPr>
          <w:rFonts w:eastAsia="MS Mincho"/>
        </w:rPr>
        <w:t xml:space="preserve">ООО «Джонсон </w:t>
      </w:r>
      <w:r w:rsidR="00FD59A0" w:rsidRPr="009B427E">
        <w:rPr>
          <w:rFonts w:eastAsia="MS Mincho"/>
        </w:rPr>
        <w:t xml:space="preserve">&amp; </w:t>
      </w:r>
      <w:r w:rsidR="00FD59A0">
        <w:rPr>
          <w:rFonts w:eastAsia="MS Mincho"/>
        </w:rPr>
        <w:t>Джонсон», Россия</w:t>
      </w:r>
      <w:r w:rsidRPr="000B3E26">
        <w:t>), в целом, хорошо переносится. Наиболее частыми побочными эффектами препарата (показано в ключевых исследованиях DUET и на постмаркетинговом этапе) являются: головная боль, диарея, тошнота и сыпь (встречаются очень часто (≥1/10)); часто встречаются (≥1/100 – &lt;1/10): тромбоцитопения, анемия, снижение числа нейтрофилов, гиперчувствительность к препарату, сахарный диабет, гипергликемия, гиперхолестеринемия, увеличение концентрации ЛПНП, гипертриглицеридемия, гиперлипидемия, дислипидемия, анорексия, тревожность, бессонница, нарушения сна, периферическая нейропатия, парестезии, гипестезии, амнезия, сонливость, нечёткость зрения, инфаркт миокарда, гипертензия, одышка при нагрузке, гастроэзофагеальная рефлюксная болезнь, рвота, боль в животе, вздутие живота, метеоризм, гастрит, запор, сухость во рту, стоматит, повышение активности липазы, повышение активности амилазы в крови, повышение активности АЛТ/АСТ, ночная потливость, сухость кожи, пруриго, почечная недостаточность, повышение концентрации креатинина в крови, утомляемость. СНЯ наблюдались редко (в 2,8% vs. 2,0% плацебо)</w:t>
      </w:r>
      <w:r>
        <w:t>.</w:t>
      </w:r>
    </w:p>
    <w:p w14:paraId="3BF2F135" w14:textId="3D69565D" w:rsidR="00147F06" w:rsidRPr="00CA1EF6" w:rsidRDefault="00147F06" w:rsidP="00147F06">
      <w:pPr>
        <w:pStyle w:val="affb"/>
        <w:spacing w:before="0" w:after="0" w:line="240" w:lineRule="auto"/>
        <w:ind w:firstLine="709"/>
      </w:pPr>
      <w:r>
        <w:t>Частота, тип и тяжесть нежелательных реакций на лекарственные препараты у детей были сравнимы с таковыми у взрослых, за исключением сыпи, которая чаще наблюдалась у детей. Наиболее частыми побочными реакциями на лекарственные средства, по крайней мере у 2% детей, были сыпь и диарея. Сыпь (2 и более степени тяжести) наблюдалось у 15% детей. В большинстве случаев сыпь была легкой или умеренной, макулярно-папулезного типа, возникала на второй неделе терапии. Сыпь была ограниченной и обычно разрешалась в течение 1 недели при продолжении терапии. Частота прекращения лечения из-за сыпи составила 4%. Сыпь, в том числе значительная (3 или 4</w:t>
      </w:r>
      <w:r w:rsidRPr="00147F06">
        <w:t xml:space="preserve"> </w:t>
      </w:r>
      <w:r>
        <w:t>степени тяжести), и прекращение терапии чаще наблюдались у пациентов женского пола.</w:t>
      </w:r>
    </w:p>
    <w:p w14:paraId="4BA04448" w14:textId="25B30F08" w:rsidR="00FD59A0" w:rsidRDefault="000B3E26" w:rsidP="006826DC">
      <w:pPr>
        <w:ind w:firstLine="709"/>
        <w:rPr>
          <w:lang w:eastAsia="ru-RU"/>
        </w:rPr>
      </w:pPr>
      <w:r>
        <w:rPr>
          <w:lang w:eastAsia="ru-RU"/>
        </w:rPr>
        <w:t>За время, прошедшее с момента регистрации препарата Интеленс</w:t>
      </w:r>
      <w:r w:rsidRPr="00A76175">
        <w:rPr>
          <w:vertAlign w:val="superscript"/>
          <w:lang w:eastAsia="ru-RU"/>
        </w:rPr>
        <w:t>®</w:t>
      </w:r>
      <w:r w:rsidR="00FD59A0">
        <w:rPr>
          <w:lang w:eastAsia="ru-RU"/>
        </w:rPr>
        <w:t xml:space="preserve"> </w:t>
      </w:r>
      <w:r>
        <w:rPr>
          <w:lang w:eastAsia="ru-RU"/>
        </w:rPr>
        <w:t>(</w:t>
      </w:r>
      <w:r w:rsidR="00FD59A0">
        <w:t xml:space="preserve">ООО «Джонсон </w:t>
      </w:r>
      <w:r w:rsidR="00FD59A0" w:rsidRPr="009B427E">
        <w:t xml:space="preserve">&amp; </w:t>
      </w:r>
      <w:r w:rsidR="00FD59A0">
        <w:t>Джонсон», Россия</w:t>
      </w:r>
      <w:r>
        <w:rPr>
          <w:lang w:eastAsia="ru-RU"/>
        </w:rPr>
        <w:t>), в открытых источниках не появилось новых данных, изменивших представление о профиле его безопасности, в том числе, не было выявлено каких-либо непредвиденных нежелательных явлений, а полученные данные о частоте и характере нежелательных явлений хорошо согласуются с ранее оп</w:t>
      </w:r>
      <w:r w:rsidR="00EF3FBF">
        <w:rPr>
          <w:lang w:eastAsia="ru-RU"/>
        </w:rPr>
        <w:t>убликованными работами.</w:t>
      </w:r>
    </w:p>
    <w:p w14:paraId="5B0ECDEC" w14:textId="2514F8CD" w:rsidR="00FD59A0" w:rsidRDefault="00FD59A0" w:rsidP="00FD59A0">
      <w:pPr>
        <w:ind w:firstLine="709"/>
        <w:rPr>
          <w:color w:val="000000" w:themeColor="text1"/>
        </w:rPr>
      </w:pPr>
      <w:r w:rsidRPr="00284823">
        <w:rPr>
          <w:color w:val="000000" w:themeColor="text1"/>
        </w:rPr>
        <w:t xml:space="preserve">Имеющаяся информация свидетельствует, о том, что </w:t>
      </w:r>
      <w:r>
        <w:rPr>
          <w:color w:val="000000" w:themeColor="text1"/>
        </w:rPr>
        <w:t xml:space="preserve">оригинальный препарат </w:t>
      </w:r>
      <w:r w:rsidR="009C450D">
        <w:rPr>
          <w:color w:val="000000" w:themeColor="text1"/>
        </w:rPr>
        <w:t>этравирина</w:t>
      </w:r>
      <w:r w:rsidR="009C450D" w:rsidRPr="00284823">
        <w:rPr>
          <w:color w:val="000000" w:themeColor="text1"/>
        </w:rPr>
        <w:t xml:space="preserve"> </w:t>
      </w:r>
      <w:r w:rsidRPr="00284823">
        <w:rPr>
          <w:color w:val="000000" w:themeColor="text1"/>
        </w:rPr>
        <w:t xml:space="preserve">(препарат </w:t>
      </w:r>
      <w:r>
        <w:rPr>
          <w:color w:val="000000" w:themeColor="text1"/>
        </w:rPr>
        <w:t>Интеленс</w:t>
      </w:r>
      <w:r w:rsidRPr="00284823">
        <w:rPr>
          <w:color w:val="000000" w:themeColor="text1"/>
          <w:vertAlign w:val="superscript"/>
        </w:rPr>
        <w:t>®</w:t>
      </w:r>
      <w:r w:rsidRPr="00284823">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1D9EC7C5" w14:textId="751AF1BB" w:rsidR="006826DC" w:rsidRPr="005B3C21" w:rsidRDefault="006826DC" w:rsidP="006826DC">
      <w:pPr>
        <w:ind w:firstLine="709"/>
        <w:rPr>
          <w:color w:val="000000"/>
        </w:rPr>
      </w:pPr>
      <w:r w:rsidRPr="0075401B">
        <w:rPr>
          <w:lang w:val="en-US"/>
        </w:rPr>
        <w:t>DT</w:t>
      </w:r>
      <w:r w:rsidRPr="0075401B">
        <w:t>-</w:t>
      </w:r>
      <w:r w:rsidRPr="0075401B">
        <w:rPr>
          <w:lang w:val="en-US"/>
        </w:rPr>
        <w:t>ETR</w:t>
      </w:r>
      <w:r w:rsidRPr="0075401B">
        <w:rPr>
          <w:bCs/>
          <w:lang w:eastAsia="ru-RU"/>
        </w:rPr>
        <w:t xml:space="preserve">, таблетки, 100 мг и 200 мг, - воспроизведенный препарат этравирина, разработанный дочерним подразделением ГК «Р-Фарм», Россия – ООО «Технология лекарств», по заказу АО «Р-Фарм». </w:t>
      </w:r>
      <w:r w:rsidR="00FD59A0">
        <w:rPr>
          <w:color w:val="000000"/>
        </w:rPr>
        <w:t xml:space="preserve">Он полностью соответствует по качественному и количественному составу действующего вещества и качественному составу основных вспомагательных веществ, лекарственной форме и дозировке референтному препарату </w:t>
      </w:r>
      <w:r w:rsidR="00E729EF">
        <w:rPr>
          <w:color w:val="000000"/>
        </w:rPr>
        <w:t xml:space="preserve">этравирина </w:t>
      </w:r>
      <w:r w:rsidR="00FD59A0">
        <w:rPr>
          <w:color w:val="000000"/>
        </w:rPr>
        <w:t>Интеленс</w:t>
      </w:r>
      <w:r w:rsidR="00FD59A0" w:rsidRPr="00DA75AA">
        <w:rPr>
          <w:color w:val="000000"/>
          <w:vertAlign w:val="superscript"/>
        </w:rPr>
        <w:t>®</w:t>
      </w:r>
      <w:r w:rsidR="00FD59A0" w:rsidRPr="00DA75AA">
        <w:rPr>
          <w:color w:val="000000"/>
        </w:rPr>
        <w:t xml:space="preserve"> </w:t>
      </w:r>
      <w:r w:rsidR="00FD59A0" w:rsidRPr="00DA75AA">
        <w:rPr>
          <w:lang w:eastAsia="ru-RU"/>
        </w:rPr>
        <w:t xml:space="preserve">(владелец РУ </w:t>
      </w:r>
      <w:r w:rsidR="00FD59A0">
        <w:rPr>
          <w:lang w:eastAsia="ru-RU"/>
        </w:rPr>
        <w:t xml:space="preserve">– ООО «Джонсон </w:t>
      </w:r>
      <w:r w:rsidR="00FD59A0" w:rsidRPr="009B427E">
        <w:rPr>
          <w:lang w:eastAsia="ru-RU"/>
        </w:rPr>
        <w:t xml:space="preserve">&amp; </w:t>
      </w:r>
      <w:r w:rsidR="00FD59A0">
        <w:rPr>
          <w:lang w:eastAsia="ru-RU"/>
        </w:rPr>
        <w:t>Джонсон», Россия</w:t>
      </w:r>
      <w:r w:rsidR="00FD59A0" w:rsidRPr="00DA75AA">
        <w:rPr>
          <w:lang w:eastAsia="ru-RU"/>
        </w:rPr>
        <w:t xml:space="preserve">), </w:t>
      </w:r>
      <w:r w:rsidR="00FD59A0">
        <w:rPr>
          <w:lang w:eastAsia="ru-RU"/>
        </w:rPr>
        <w:t>имея отличия в качественном и количественном составе некоторых вспомогательных веществ.</w:t>
      </w:r>
      <w:r w:rsidR="00FD59A0">
        <w:rPr>
          <w:color w:val="000000"/>
        </w:rPr>
        <w:t xml:space="preserve"> </w:t>
      </w:r>
      <w:r w:rsidRPr="0075401B">
        <w:rPr>
          <w:color w:val="000000"/>
        </w:rPr>
        <w:t xml:space="preserve">Для доказательства эквивалентности препарата </w:t>
      </w:r>
      <w:r w:rsidRPr="0075401B">
        <w:rPr>
          <w:color w:val="000000"/>
          <w:lang w:val="en-US"/>
        </w:rPr>
        <w:t>DT</w:t>
      </w:r>
      <w:r w:rsidRPr="0075401B">
        <w:rPr>
          <w:color w:val="000000"/>
        </w:rPr>
        <w:t>-</w:t>
      </w:r>
      <w:r w:rsidRPr="0075401B">
        <w:rPr>
          <w:color w:val="000000"/>
          <w:lang w:val="en-US"/>
        </w:rPr>
        <w:t>ETR</w:t>
      </w:r>
      <w:r w:rsidRPr="0075401B">
        <w:rPr>
          <w:color w:val="000000"/>
        </w:rPr>
        <w:t xml:space="preserve"> были проведены исследования сравнительной кинетики растворения в сравнении с референтным препаратом Интеленс</w:t>
      </w:r>
      <w:r w:rsidRPr="0075401B">
        <w:rPr>
          <w:color w:val="000000"/>
          <w:vertAlign w:val="superscript"/>
        </w:rPr>
        <w:t>®</w:t>
      </w:r>
      <w:r w:rsidRPr="0075401B">
        <w:rPr>
          <w:color w:val="000000"/>
        </w:rPr>
        <w:t xml:space="preserve"> </w:t>
      </w:r>
      <w:r w:rsidRPr="0075401B">
        <w:rPr>
          <w:lang w:eastAsia="ru-RU"/>
        </w:rPr>
        <w:t>(</w:t>
      </w:r>
      <w:r w:rsidR="00124A6B">
        <w:t xml:space="preserve">ООО «Джонсон </w:t>
      </w:r>
      <w:r w:rsidR="00124A6B" w:rsidRPr="009B427E">
        <w:t xml:space="preserve">&amp; </w:t>
      </w:r>
      <w:r w:rsidR="00124A6B">
        <w:t>Джонсон», Россия</w:t>
      </w:r>
      <w:r w:rsidRPr="005B3C21">
        <w:rPr>
          <w:lang w:eastAsia="ru-RU"/>
        </w:rPr>
        <w:t xml:space="preserve">) </w:t>
      </w:r>
      <w:r w:rsidRPr="005B3C21">
        <w:rPr>
          <w:rFonts w:eastAsia="Calibri"/>
          <w:color w:val="000000"/>
        </w:rPr>
        <w:t xml:space="preserve">в дозировке 200 мг </w:t>
      </w:r>
      <w:r w:rsidRPr="005B3C21">
        <w:rPr>
          <w:color w:val="000000"/>
        </w:rPr>
        <w:t>(в трех модельных средах с рН 1,2; 4,5, 6,8, а также в среде по НД (</w:t>
      </w:r>
      <w:r w:rsidRPr="005B3C21">
        <w:t>0,01 М растворе хлороводородной кислоты и 2,25 % раствор натрия лаурилсульфата в 0,01 М растворе хлороводородной кислоты в соотношении 10:8</w:t>
      </w:r>
      <w:r w:rsidRPr="005B3C21">
        <w:rPr>
          <w:color w:val="000000"/>
        </w:rPr>
        <w:t xml:space="preserve">). Согласно полученным данным, кинетика растворения </w:t>
      </w:r>
      <w:r w:rsidRPr="005B3C21">
        <w:rPr>
          <w:color w:val="000000"/>
          <w:lang w:val="en-US"/>
        </w:rPr>
        <w:t>DT</w:t>
      </w:r>
      <w:r w:rsidRPr="005B3C21">
        <w:rPr>
          <w:color w:val="000000"/>
        </w:rPr>
        <w:t>-</w:t>
      </w:r>
      <w:r w:rsidRPr="005B3C21">
        <w:rPr>
          <w:color w:val="000000"/>
          <w:lang w:val="en-US"/>
        </w:rPr>
        <w:t>ETR</w:t>
      </w:r>
      <w:r w:rsidRPr="005B3C21">
        <w:rPr>
          <w:color w:val="000000"/>
        </w:rPr>
        <w:t xml:space="preserve"> эквивалентна кинетике растворения референтного препарата Интеленс</w:t>
      </w:r>
      <w:r w:rsidRPr="005B3C21">
        <w:rPr>
          <w:color w:val="000000"/>
          <w:vertAlign w:val="superscript"/>
        </w:rPr>
        <w:t>®</w:t>
      </w:r>
      <w:r w:rsidRPr="005B3C21">
        <w:rPr>
          <w:color w:val="000000"/>
        </w:rPr>
        <w:t>, что позволяет предполагать также эквивалентность фармакологических свойств обоих препаратов.</w:t>
      </w:r>
    </w:p>
    <w:p w14:paraId="6F62938D" w14:textId="77777777" w:rsidR="006826DC" w:rsidRPr="005B3C21" w:rsidRDefault="006826DC" w:rsidP="006826DC">
      <w:pPr>
        <w:ind w:firstLine="709"/>
        <w:rPr>
          <w:color w:val="000000"/>
        </w:rPr>
      </w:pPr>
      <w:r w:rsidRPr="005B3C21">
        <w:rPr>
          <w:bCs/>
          <w:lang w:eastAsia="ru-RU"/>
        </w:rPr>
        <w:t xml:space="preserve">Внедрение в клиническую практику нового воспроизведенного препарата </w:t>
      </w:r>
      <w:r>
        <w:rPr>
          <w:rFonts w:eastAsia="Calibri"/>
          <w:lang w:eastAsia="ar-SA"/>
        </w:rPr>
        <w:t>этравирина</w:t>
      </w:r>
      <w:r w:rsidRPr="005B3C21">
        <w:rPr>
          <w:bCs/>
          <w:lang w:eastAsia="ru-RU"/>
        </w:rPr>
        <w:t xml:space="preserve"> позволит снизить цену современной терапии </w:t>
      </w:r>
      <w:r>
        <w:rPr>
          <w:bCs/>
          <w:lang w:eastAsia="ru-RU"/>
        </w:rPr>
        <w:t xml:space="preserve">ВИЧ-инфекции </w:t>
      </w:r>
      <w:r w:rsidRPr="005B3C21">
        <w:rPr>
          <w:bCs/>
          <w:lang w:eastAsia="ru-RU"/>
        </w:rPr>
        <w:t>и повысить её доступность.</w:t>
      </w:r>
    </w:p>
    <w:p w14:paraId="4C20B3CE" w14:textId="77777777" w:rsidR="006826DC" w:rsidRPr="00EF3FBF" w:rsidRDefault="006826DC" w:rsidP="006826DC">
      <w:pPr>
        <w:rPr>
          <w:lang w:eastAsia="ru-RU"/>
        </w:rPr>
      </w:pPr>
    </w:p>
    <w:sectPr w:rsidR="006826DC" w:rsidRPr="00EF3FBF" w:rsidSect="00AB01E2">
      <w:pgSz w:w="11906" w:h="16838"/>
      <w:pgMar w:top="1134" w:right="849" w:bottom="1134"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88DA2" w14:textId="77777777" w:rsidR="00E163D9" w:rsidRDefault="00E163D9" w:rsidP="00E30437">
      <w:r>
        <w:separator/>
      </w:r>
    </w:p>
  </w:endnote>
  <w:endnote w:type="continuationSeparator" w:id="0">
    <w:p w14:paraId="6F8B4DC0" w14:textId="77777777" w:rsidR="00E163D9" w:rsidRDefault="00E163D9" w:rsidP="00E3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MT">
    <w:altName w:val="MS Gothic"/>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MS Mincho"/>
    <w:panose1 w:val="00000000000000000000"/>
    <w:charset w:val="81"/>
    <w:family w:val="auto"/>
    <w:notTrueType/>
    <w:pitch w:val="default"/>
    <w:sig w:usb0="00000000" w:usb1="09060000" w:usb2="00000010" w:usb3="00000000" w:csb0="00080000" w:csb1="00000000"/>
  </w:font>
  <w:font w:name="Corbel">
    <w:panose1 w:val="020B0503020204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imesNewRoman,Bold">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EF16" w14:textId="77777777" w:rsidR="008A0F27" w:rsidRPr="00AB01E2" w:rsidRDefault="008A0F27" w:rsidP="00BF01A9">
    <w:pPr>
      <w:rPr>
        <w:sz w:val="20"/>
      </w:rPr>
    </w:pPr>
  </w:p>
  <w:tbl>
    <w:tblPr>
      <w:tblW w:w="9602" w:type="dxa"/>
      <w:tblInd w:w="-142" w:type="dxa"/>
      <w:tblLook w:val="04A0" w:firstRow="1" w:lastRow="0" w:firstColumn="1" w:lastColumn="0" w:noHBand="0" w:noVBand="1"/>
    </w:tblPr>
    <w:tblGrid>
      <w:gridCol w:w="3297"/>
      <w:gridCol w:w="3583"/>
      <w:gridCol w:w="2722"/>
    </w:tblGrid>
    <w:tr w:rsidR="008A0F27" w:rsidRPr="00A624A0" w14:paraId="48E32660" w14:textId="77777777" w:rsidTr="00A76175">
      <w:trPr>
        <w:trHeight w:val="284"/>
      </w:trPr>
      <w:tc>
        <w:tcPr>
          <w:tcW w:w="3297" w:type="dxa"/>
          <w:hideMark/>
        </w:tcPr>
        <w:p w14:paraId="6463542A" w14:textId="77777777" w:rsidR="008A0F27" w:rsidRPr="006A403D" w:rsidRDefault="008A0F27" w:rsidP="006A403D">
          <w:pPr>
            <w:tabs>
              <w:tab w:val="center" w:pos="4395"/>
              <w:tab w:val="right" w:pos="9355"/>
            </w:tabs>
            <w:jc w:val="left"/>
            <w:rPr>
              <w:rFonts w:eastAsia="Times New Roman"/>
              <w:szCs w:val="22"/>
              <w:lang w:eastAsia="en-US"/>
            </w:rPr>
          </w:pPr>
          <w:r w:rsidRPr="00E34EAC">
            <w:rPr>
              <w:rFonts w:eastAsia="Times New Roman"/>
              <w:szCs w:val="22"/>
              <w:lang w:eastAsia="en-US"/>
            </w:rPr>
            <w:t>КОНФИДЕНЦИАЛЬНО</w:t>
          </w:r>
        </w:p>
      </w:tc>
      <w:tc>
        <w:tcPr>
          <w:tcW w:w="3583" w:type="dxa"/>
          <w:hideMark/>
        </w:tcPr>
        <w:p w14:paraId="51A0CE56" w14:textId="06C2BB0C" w:rsidR="008A0F27" w:rsidRPr="00E34EAC" w:rsidRDefault="008A0F27" w:rsidP="008B0D58">
          <w:pPr>
            <w:tabs>
              <w:tab w:val="center" w:pos="4395"/>
              <w:tab w:val="right" w:pos="9355"/>
            </w:tabs>
            <w:ind w:left="34"/>
            <w:jc w:val="center"/>
            <w:rPr>
              <w:rFonts w:eastAsia="Times New Roman"/>
              <w:lang w:eastAsia="en-US"/>
            </w:rPr>
          </w:pPr>
          <w:r>
            <w:rPr>
              <w:rFonts w:eastAsia="Times New Roman"/>
              <w:lang w:eastAsia="en-US"/>
            </w:rPr>
            <w:t xml:space="preserve">Версия 1.0 от </w:t>
          </w:r>
          <w:r w:rsidR="00181DF4">
            <w:rPr>
              <w:rFonts w:eastAsia="Times New Roman"/>
              <w:lang w:eastAsia="en-US"/>
            </w:rPr>
            <w:t>25</w:t>
          </w:r>
          <w:r w:rsidRPr="008B0B82">
            <w:rPr>
              <w:rFonts w:eastAsia="Times New Roman"/>
              <w:lang w:eastAsia="en-US"/>
            </w:rPr>
            <w:t>-окт-2022 г.</w:t>
          </w:r>
        </w:p>
      </w:tc>
      <w:tc>
        <w:tcPr>
          <w:tcW w:w="2722" w:type="dxa"/>
          <w:hideMark/>
        </w:tcPr>
        <w:p w14:paraId="2118A0F2" w14:textId="5E73EE40" w:rsidR="008A0F27" w:rsidRPr="00A624A0" w:rsidRDefault="008A0F27" w:rsidP="006A403D">
          <w:pPr>
            <w:tabs>
              <w:tab w:val="center" w:pos="4395"/>
              <w:tab w:val="right" w:pos="9355"/>
            </w:tabs>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DB42CD">
            <w:rPr>
              <w:rFonts w:eastAsia="Times New Roman"/>
              <w:noProof/>
              <w:lang w:eastAsia="en-US"/>
            </w:rPr>
            <w:t>1</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DB42CD">
            <w:rPr>
              <w:rFonts w:eastAsia="Times New Roman"/>
              <w:noProof/>
              <w:lang w:eastAsia="en-US"/>
            </w:rPr>
            <w:t>119</w:t>
          </w:r>
          <w:r>
            <w:rPr>
              <w:rFonts w:eastAsia="Times New Roman"/>
              <w:lang w:eastAsia="en-US"/>
            </w:rPr>
            <w:fldChar w:fldCharType="end"/>
          </w:r>
        </w:p>
      </w:tc>
    </w:tr>
  </w:tbl>
  <w:p w14:paraId="09E6F73C" w14:textId="77777777" w:rsidR="008A0F27" w:rsidRPr="008C1807" w:rsidRDefault="008A0F27" w:rsidP="00AB01E2">
    <w:pPr>
      <w:pStyle w:val="a6"/>
      <w:tabs>
        <w:tab w:val="left" w:pos="2268"/>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EEEF5" w14:textId="77777777" w:rsidR="00E163D9" w:rsidRDefault="00E163D9" w:rsidP="00E30437">
      <w:r>
        <w:separator/>
      </w:r>
    </w:p>
  </w:footnote>
  <w:footnote w:type="continuationSeparator" w:id="0">
    <w:p w14:paraId="3DFD940E" w14:textId="77777777" w:rsidR="00E163D9" w:rsidRDefault="00E163D9" w:rsidP="00E30437">
      <w:r>
        <w:continuationSeparator/>
      </w:r>
    </w:p>
  </w:footnote>
  <w:footnote w:id="1">
    <w:p w14:paraId="41641047" w14:textId="77777777" w:rsidR="008A0F27" w:rsidRDefault="008A0F27" w:rsidP="008B0B82">
      <w:pPr>
        <w:pStyle w:val="ad"/>
        <w:jc w:val="both"/>
      </w:pPr>
      <w:r>
        <w:rPr>
          <w:rStyle w:val="af"/>
        </w:rPr>
        <w:footnoteRef/>
      </w:r>
      <w:r>
        <w:t xml:space="preserve"> </w:t>
      </w:r>
      <w:r w:rsidRPr="000C28B2">
        <w:t>BCRP/ABCG2</w:t>
      </w:r>
      <w:r w:rsidRPr="00A13126">
        <w:t xml:space="preserve"> (ATP-binding cassette sub-family G member 2)</w:t>
      </w:r>
      <w:r>
        <w:t xml:space="preserve"> – </w:t>
      </w:r>
      <w:r w:rsidRPr="00A13126">
        <w:t>мембранный белок, АТФ-связывающий кассетный транспортёр</w:t>
      </w:r>
      <w:r>
        <w:t>;</w:t>
      </w:r>
      <w:r w:rsidRPr="00A13126">
        <w:t xml:space="preserve"> </w:t>
      </w:r>
      <w:r>
        <w:t>п</w:t>
      </w:r>
      <w:r w:rsidRPr="00A13126">
        <w:t>родукт гена человека ABCG2</w:t>
      </w:r>
      <w:r>
        <w:t xml:space="preserve"> </w:t>
      </w:r>
    </w:p>
  </w:footnote>
  <w:footnote w:id="2">
    <w:p w14:paraId="60B8600C" w14:textId="77777777" w:rsidR="008A0F27" w:rsidRPr="00EB618F" w:rsidRDefault="008A0F27" w:rsidP="00612400">
      <w:pPr>
        <w:pStyle w:val="ad"/>
        <w:jc w:val="both"/>
        <w:rPr>
          <w:color w:val="000000"/>
          <w:shd w:val="clear" w:color="auto" w:fill="FFFFFF"/>
          <w:lang w:val="en-US"/>
        </w:rPr>
      </w:pPr>
      <w:r>
        <w:rPr>
          <w:rStyle w:val="af"/>
        </w:rPr>
        <w:footnoteRef/>
      </w:r>
      <w:r w:rsidRPr="00EB618F">
        <w:rPr>
          <w:color w:val="000000"/>
          <w:shd w:val="clear" w:color="auto" w:fill="FFFFFF"/>
          <w:lang w:val="en-US"/>
        </w:rPr>
        <w:t>Hammond KP, Wolfe P, Burton JR Jr, Predhomme JA, Ellis CM, Ray ML, Bushman LR, Kiser JJ. Pharmacokinetic interaction between boceprevir and etravirine in HIV/HCV seronegative volunteers. J Acquir Immune Defic Syndr. 2013 Jan 1;62(1):67-73. doi: 10.1097/QAI.0b013e318275da93. PMID: 23075915.</w:t>
      </w:r>
    </w:p>
    <w:p w14:paraId="1C499496" w14:textId="77777777" w:rsidR="008A0F27" w:rsidRPr="00EB618F" w:rsidRDefault="008A0F27" w:rsidP="00612400">
      <w:pPr>
        <w:pStyle w:val="ad"/>
        <w:jc w:val="both"/>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06" w:type="dxa"/>
      <w:tblInd w:w="-142" w:type="dxa"/>
      <w:tblLook w:val="04A0" w:firstRow="1" w:lastRow="0" w:firstColumn="1" w:lastColumn="0" w:noHBand="0" w:noVBand="1"/>
    </w:tblPr>
    <w:tblGrid>
      <w:gridCol w:w="4548"/>
      <w:gridCol w:w="5058"/>
    </w:tblGrid>
    <w:tr w:rsidR="008A0F27" w:rsidRPr="008C1807" w14:paraId="2042EAC4" w14:textId="77777777" w:rsidTr="00A97B7A">
      <w:trPr>
        <w:trHeight w:val="984"/>
      </w:trPr>
      <w:tc>
        <w:tcPr>
          <w:tcW w:w="4548" w:type="dxa"/>
          <w:hideMark/>
        </w:tcPr>
        <w:p w14:paraId="2C841E81" w14:textId="77777777" w:rsidR="008A0F27" w:rsidRDefault="008A0F27" w:rsidP="00F431B8">
          <w:pPr>
            <w:tabs>
              <w:tab w:val="center" w:pos="4677"/>
              <w:tab w:val="right" w:pos="9355"/>
            </w:tabs>
            <w:ind w:left="135"/>
            <w:jc w:val="left"/>
            <w:rPr>
              <w:rFonts w:eastAsia="Times New Roman"/>
              <w:lang w:eastAsia="en-US"/>
            </w:rPr>
          </w:pPr>
        </w:p>
        <w:p w14:paraId="7C3DA670" w14:textId="77777777" w:rsidR="008A0F27" w:rsidRPr="008C1807" w:rsidRDefault="008A0F27" w:rsidP="00C81AA5">
          <w:pPr>
            <w:tabs>
              <w:tab w:val="center" w:pos="4677"/>
              <w:tab w:val="right" w:pos="9355"/>
            </w:tabs>
            <w:jc w:val="left"/>
            <w:rPr>
              <w:rFonts w:eastAsia="Times New Roman"/>
              <w:lang w:eastAsia="en-US"/>
            </w:rPr>
          </w:pPr>
          <w:r w:rsidRPr="008C1807">
            <w:rPr>
              <w:rFonts w:eastAsia="Times New Roman"/>
              <w:szCs w:val="22"/>
              <w:lang w:eastAsia="en-US"/>
            </w:rPr>
            <w:t>Брошюра исследователя</w:t>
          </w:r>
        </w:p>
        <w:p w14:paraId="69469BFF" w14:textId="2C16FAC6" w:rsidR="008A0F27" w:rsidRPr="008B0B82" w:rsidRDefault="008A0F27" w:rsidP="00A1710A">
          <w:pPr>
            <w:tabs>
              <w:tab w:val="center" w:pos="4677"/>
              <w:tab w:val="right" w:pos="9355"/>
            </w:tabs>
            <w:jc w:val="left"/>
            <w:rPr>
              <w:rFonts w:eastAsia="Times New Roman"/>
              <w:lang w:eastAsia="en-US"/>
            </w:rPr>
          </w:pPr>
          <w:r w:rsidRPr="00876EAE">
            <w:rPr>
              <w:rFonts w:eastAsia="Times New Roman"/>
              <w:lang w:eastAsia="en-US"/>
            </w:rPr>
            <w:t xml:space="preserve">Номер </w:t>
          </w:r>
          <w:r w:rsidRPr="00152BB2">
            <w:rPr>
              <w:rFonts w:eastAsia="Times New Roman"/>
              <w:lang w:eastAsia="en-US"/>
            </w:rPr>
            <w:t xml:space="preserve">протокола: </w:t>
          </w:r>
          <w:r>
            <w:rPr>
              <w:rFonts w:eastAsia="Times New Roman"/>
              <w:lang w:eastAsia="en-US"/>
            </w:rPr>
            <w:t xml:space="preserve">№ </w:t>
          </w:r>
          <w:r w:rsidRPr="008B0B82">
            <w:rPr>
              <w:rFonts w:eastAsia="Times New Roman"/>
              <w:lang w:eastAsia="en-US"/>
            </w:rPr>
            <w:t>CJ05630128</w:t>
          </w:r>
        </w:p>
        <w:p w14:paraId="1A5208CD" w14:textId="5DDD5631" w:rsidR="008A0F27" w:rsidRPr="00986AA3" w:rsidRDefault="008A0F27" w:rsidP="00A1710A">
          <w:pPr>
            <w:tabs>
              <w:tab w:val="center" w:pos="4677"/>
              <w:tab w:val="right" w:pos="9355"/>
            </w:tabs>
            <w:jc w:val="left"/>
            <w:rPr>
              <w:rFonts w:eastAsia="Times New Roman"/>
              <w:lang w:eastAsia="en-US"/>
            </w:rPr>
          </w:pPr>
          <w:r w:rsidRPr="008B0B82">
            <w:rPr>
              <w:rFonts w:eastAsia="Times New Roman"/>
              <w:lang w:eastAsia="en-US"/>
            </w:rPr>
            <w:t>Спонсор</w:t>
          </w:r>
          <w:r>
            <w:t>: АО «Р-Фарм»</w:t>
          </w:r>
          <w:r w:rsidR="00A97B7A">
            <w:t>, Россия</w:t>
          </w:r>
        </w:p>
      </w:tc>
      <w:tc>
        <w:tcPr>
          <w:tcW w:w="5058" w:type="dxa"/>
          <w:hideMark/>
        </w:tcPr>
        <w:p w14:paraId="582861F5" w14:textId="77777777" w:rsidR="008A0F27" w:rsidRPr="008C1807" w:rsidRDefault="008A0F27" w:rsidP="00A97B7A">
          <w:pPr>
            <w:tabs>
              <w:tab w:val="center" w:pos="4677"/>
              <w:tab w:val="right" w:pos="9355"/>
            </w:tabs>
            <w:ind w:right="4"/>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8"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8A0F27" w:rsidRPr="00AB01E2" w:rsidRDefault="008A0F27" w:rsidP="00A26EEC">
    <w:pPr>
      <w:tabs>
        <w:tab w:val="center" w:pos="4677"/>
        <w:tab w:val="right" w:pos="9355"/>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F4CD" w14:textId="77777777" w:rsidR="008A0F27" w:rsidRDefault="008A0F27" w:rsidP="008A1A8F">
    <w:pPr>
      <w:pStyle w:val="a4"/>
      <w:jc w:val="left"/>
    </w:pPr>
    <w:r>
      <w:rPr>
        <w:noProof/>
        <w:lang w:eastAsia="ru-RU"/>
      </w:rPr>
      <w:drawing>
        <wp:anchor distT="0" distB="0" distL="114300" distR="114300" simplePos="0" relativeHeight="251658752"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9" name="Рисунок 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Брошюра исследователя</w:t>
    </w:r>
  </w:p>
  <w:p w14:paraId="27D1381D" w14:textId="77777777" w:rsidR="008A0F27" w:rsidRDefault="008A0F27">
    <w:pPr>
      <w:pStyle w:val="a4"/>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377"/>
    <w:multiLevelType w:val="hybridMultilevel"/>
    <w:tmpl w:val="31C82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212827"/>
    <w:multiLevelType w:val="hybridMultilevel"/>
    <w:tmpl w:val="11FC7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6C32A4"/>
    <w:multiLevelType w:val="hybridMultilevel"/>
    <w:tmpl w:val="072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E24BC0"/>
    <w:multiLevelType w:val="multilevel"/>
    <w:tmpl w:val="A14ECC90"/>
    <w:lvl w:ilvl="0">
      <w:start w:val="3"/>
      <w:numFmt w:val="decimal"/>
      <w:lvlText w:val="%1"/>
      <w:lvlJc w:val="left"/>
      <w:pPr>
        <w:ind w:left="660" w:hanging="660"/>
      </w:pPr>
      <w:rPr>
        <w:rFonts w:hint="default"/>
        <w:b w:val="0"/>
        <w:color w:val="000000" w:themeColor="text1"/>
      </w:rPr>
    </w:lvl>
    <w:lvl w:ilvl="1">
      <w:start w:val="3"/>
      <w:numFmt w:val="decimal"/>
      <w:lvlText w:val="%1.%2"/>
      <w:lvlJc w:val="left"/>
      <w:pPr>
        <w:ind w:left="849" w:hanging="660"/>
      </w:pPr>
      <w:rPr>
        <w:rFonts w:hint="default"/>
        <w:b w:val="0"/>
        <w:color w:val="000000" w:themeColor="text1"/>
      </w:rPr>
    </w:lvl>
    <w:lvl w:ilvl="2">
      <w:start w:val="8"/>
      <w:numFmt w:val="decimal"/>
      <w:lvlText w:val="%1.%2.%3"/>
      <w:lvlJc w:val="left"/>
      <w:pPr>
        <w:ind w:left="1098" w:hanging="720"/>
      </w:pPr>
      <w:rPr>
        <w:rFonts w:hint="default"/>
        <w:b w:val="0"/>
        <w:color w:val="000000" w:themeColor="text1"/>
      </w:rPr>
    </w:lvl>
    <w:lvl w:ilvl="3">
      <w:start w:val="2"/>
      <w:numFmt w:val="decimal"/>
      <w:lvlText w:val="%1.%2.%3.%4"/>
      <w:lvlJc w:val="left"/>
      <w:pPr>
        <w:ind w:left="1287" w:hanging="720"/>
      </w:pPr>
      <w:rPr>
        <w:rFonts w:hint="default"/>
        <w:b w:val="0"/>
        <w:color w:val="000000" w:themeColor="text1"/>
      </w:rPr>
    </w:lvl>
    <w:lvl w:ilvl="4">
      <w:start w:val="1"/>
      <w:numFmt w:val="decimal"/>
      <w:lvlText w:val="%1.%2.%3.%4.%5"/>
      <w:lvlJc w:val="left"/>
      <w:pPr>
        <w:ind w:left="1836" w:hanging="1080"/>
      </w:pPr>
      <w:rPr>
        <w:rFonts w:hint="default"/>
        <w:b w:val="0"/>
        <w:color w:val="000000" w:themeColor="text1"/>
      </w:rPr>
    </w:lvl>
    <w:lvl w:ilvl="5">
      <w:start w:val="1"/>
      <w:numFmt w:val="decimal"/>
      <w:lvlText w:val="%1.%2.%3.%4.%5.%6"/>
      <w:lvlJc w:val="left"/>
      <w:pPr>
        <w:ind w:left="2025" w:hanging="1080"/>
      </w:pPr>
      <w:rPr>
        <w:rFonts w:hint="default"/>
        <w:b w:val="0"/>
        <w:color w:val="000000" w:themeColor="text1"/>
      </w:rPr>
    </w:lvl>
    <w:lvl w:ilvl="6">
      <w:start w:val="1"/>
      <w:numFmt w:val="decimal"/>
      <w:lvlText w:val="%1.%2.%3.%4.%5.%6.%7"/>
      <w:lvlJc w:val="left"/>
      <w:pPr>
        <w:ind w:left="2574" w:hanging="1440"/>
      </w:pPr>
      <w:rPr>
        <w:rFonts w:hint="default"/>
        <w:b w:val="0"/>
        <w:color w:val="000000" w:themeColor="text1"/>
      </w:rPr>
    </w:lvl>
    <w:lvl w:ilvl="7">
      <w:start w:val="1"/>
      <w:numFmt w:val="decimal"/>
      <w:lvlText w:val="%1.%2.%3.%4.%5.%6.%7.%8"/>
      <w:lvlJc w:val="left"/>
      <w:pPr>
        <w:ind w:left="2763" w:hanging="1440"/>
      </w:pPr>
      <w:rPr>
        <w:rFonts w:hint="default"/>
        <w:b w:val="0"/>
        <w:color w:val="000000" w:themeColor="text1"/>
      </w:rPr>
    </w:lvl>
    <w:lvl w:ilvl="8">
      <w:start w:val="1"/>
      <w:numFmt w:val="decimal"/>
      <w:lvlText w:val="%1.%2.%3.%4.%5.%6.%7.%8.%9"/>
      <w:lvlJc w:val="left"/>
      <w:pPr>
        <w:ind w:left="3312" w:hanging="1800"/>
      </w:pPr>
      <w:rPr>
        <w:rFonts w:hint="default"/>
        <w:b w:val="0"/>
        <w:color w:val="000000" w:themeColor="text1"/>
      </w:rPr>
    </w:lvl>
  </w:abstractNum>
  <w:abstractNum w:abstractNumId="5"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6444B0"/>
    <w:multiLevelType w:val="hybridMultilevel"/>
    <w:tmpl w:val="090E9FD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3D3602"/>
    <w:multiLevelType w:val="hybridMultilevel"/>
    <w:tmpl w:val="63289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BE6BB9"/>
    <w:multiLevelType w:val="hybridMultilevel"/>
    <w:tmpl w:val="BD68E0CA"/>
    <w:lvl w:ilvl="0" w:tplc="64385196">
      <w:numFmt w:val="bullet"/>
      <w:lvlText w:val="•"/>
      <w:lvlJc w:val="left"/>
      <w:pPr>
        <w:ind w:left="1429"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0844D53"/>
    <w:multiLevelType w:val="hybridMultilevel"/>
    <w:tmpl w:val="70303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6138F3"/>
    <w:multiLevelType w:val="hybridMultilevel"/>
    <w:tmpl w:val="0E38E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D57300"/>
    <w:multiLevelType w:val="hybridMultilevel"/>
    <w:tmpl w:val="1AB4C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4FC75DF5"/>
    <w:multiLevelType w:val="hybridMultilevel"/>
    <w:tmpl w:val="BA3AB3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50F6DC0"/>
    <w:multiLevelType w:val="hybridMultilevel"/>
    <w:tmpl w:val="317002D8"/>
    <w:lvl w:ilvl="0" w:tplc="651A172C">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B143EC"/>
    <w:multiLevelType w:val="hybridMultilevel"/>
    <w:tmpl w:val="EAAE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19" w15:restartNumberingAfterBreak="0">
    <w:nsid w:val="5BE93A62"/>
    <w:multiLevelType w:val="hybridMultilevel"/>
    <w:tmpl w:val="40AC83B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E570C6D"/>
    <w:multiLevelType w:val="multilevel"/>
    <w:tmpl w:val="DC624F2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7190559"/>
    <w:multiLevelType w:val="hybridMultilevel"/>
    <w:tmpl w:val="8EDAD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684F47"/>
    <w:multiLevelType w:val="multilevel"/>
    <w:tmpl w:val="DBF49EF2"/>
    <w:lvl w:ilvl="0">
      <w:start w:val="1"/>
      <w:numFmt w:val="decimal"/>
      <w:pStyle w:val="10"/>
      <w:lvlText w:val="%1."/>
      <w:lvlJc w:val="left"/>
      <w:pPr>
        <w:ind w:left="1778" w:hanging="360"/>
      </w:pPr>
      <w:rPr>
        <w:rFonts w:hint="default"/>
      </w:rPr>
    </w:lvl>
    <w:lvl w:ilvl="1">
      <w:start w:val="1"/>
      <w:numFmt w:val="decimal"/>
      <w:pStyle w:val="11"/>
      <w:lvlText w:val="%1.%2."/>
      <w:lvlJc w:val="left"/>
      <w:pPr>
        <w:ind w:left="432" w:hanging="432"/>
      </w:pPr>
      <w:rPr>
        <w:rFonts w:hint="default"/>
      </w:rPr>
    </w:lvl>
    <w:lvl w:ilvl="2">
      <w:start w:val="4"/>
      <w:numFmt w:val="decimal"/>
      <w:pStyle w:val="111"/>
      <w:lvlText w:val="%1.%2.%3."/>
      <w:lvlJc w:val="left"/>
      <w:pPr>
        <w:ind w:left="504" w:hanging="504"/>
      </w:pPr>
      <w:rPr>
        <w:rFonts w:hint="default"/>
      </w:rPr>
    </w:lvl>
    <w:lvl w:ilvl="3">
      <w:start w:val="1"/>
      <w:numFmt w:val="decimal"/>
      <w:pStyle w:val="1111"/>
      <w:lvlText w:val="%1.%2.%3.%4."/>
      <w:lvlJc w:val="left"/>
      <w:pPr>
        <w:ind w:left="1728" w:hanging="648"/>
      </w:pPr>
      <w:rPr>
        <w:rFonts w:hint="default"/>
      </w:rPr>
    </w:lvl>
    <w:lvl w:ilvl="4">
      <w:start w:val="1"/>
      <w:numFmt w:val="decimal"/>
      <w:pStyle w:val="11111"/>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9690A40"/>
    <w:multiLevelType w:val="hybridMultilevel"/>
    <w:tmpl w:val="D780E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10"/>
  </w:num>
  <w:num w:numId="7">
    <w:abstractNumId w:val="24"/>
  </w:num>
  <w:num w:numId="8">
    <w:abstractNumId w:val="6"/>
  </w:num>
  <w:num w:numId="9">
    <w:abstractNumId w:val="1"/>
  </w:num>
  <w:num w:numId="10">
    <w:abstractNumId w:val="12"/>
  </w:num>
  <w:num w:numId="11">
    <w:abstractNumId w:val="21"/>
  </w:num>
  <w:num w:numId="12">
    <w:abstractNumId w:val="0"/>
  </w:num>
  <w:num w:numId="13">
    <w:abstractNumId w:val="3"/>
  </w:num>
  <w:num w:numId="14">
    <w:abstractNumId w:val="17"/>
  </w:num>
  <w:num w:numId="15">
    <w:abstractNumId w:val="19"/>
  </w:num>
  <w:num w:numId="16">
    <w:abstractNumId w:val="4"/>
  </w:num>
  <w:num w:numId="17">
    <w:abstractNumId w:val="2"/>
  </w:num>
  <w:num w:numId="18">
    <w:abstractNumId w:val="20"/>
  </w:num>
  <w:num w:numId="19">
    <w:abstractNumId w:val="15"/>
  </w:num>
  <w:num w:numId="20">
    <w:abstractNumId w:val="23"/>
  </w:num>
  <w:num w:numId="21">
    <w:abstractNumId w:val="13"/>
  </w:num>
  <w:num w:numId="22">
    <w:abstractNumId w:val="7"/>
  </w:num>
  <w:num w:numId="23">
    <w:abstractNumId w:val="11"/>
  </w:num>
  <w:num w:numId="24">
    <w:abstractNumId w:val="16"/>
  </w:num>
  <w:num w:numId="2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removePersonalInformation/>
  <w:removeDateAndTime/>
  <w:hideSpellingErrors/>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ru-RU" w:vendorID="64" w:dllVersion="131078" w:nlCheck="1" w:checkStyle="0"/>
  <w:defaultTabStop w:val="708"/>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1212"/>
    <w:rsid w:val="0000147D"/>
    <w:rsid w:val="00001690"/>
    <w:rsid w:val="00001B0B"/>
    <w:rsid w:val="00001BDB"/>
    <w:rsid w:val="00001C4E"/>
    <w:rsid w:val="00002443"/>
    <w:rsid w:val="000027F0"/>
    <w:rsid w:val="00002B8B"/>
    <w:rsid w:val="000033BF"/>
    <w:rsid w:val="0000471C"/>
    <w:rsid w:val="000050B9"/>
    <w:rsid w:val="000054E2"/>
    <w:rsid w:val="00005644"/>
    <w:rsid w:val="00005E88"/>
    <w:rsid w:val="00006059"/>
    <w:rsid w:val="00006DD4"/>
    <w:rsid w:val="00007879"/>
    <w:rsid w:val="000108BC"/>
    <w:rsid w:val="000125BA"/>
    <w:rsid w:val="0001273E"/>
    <w:rsid w:val="000139E5"/>
    <w:rsid w:val="00014CAE"/>
    <w:rsid w:val="00014DB5"/>
    <w:rsid w:val="00015441"/>
    <w:rsid w:val="0001594F"/>
    <w:rsid w:val="00015DE8"/>
    <w:rsid w:val="00015FB5"/>
    <w:rsid w:val="00016423"/>
    <w:rsid w:val="00016818"/>
    <w:rsid w:val="0002045C"/>
    <w:rsid w:val="000204DF"/>
    <w:rsid w:val="00021CB7"/>
    <w:rsid w:val="000222E6"/>
    <w:rsid w:val="000227F4"/>
    <w:rsid w:val="000232D1"/>
    <w:rsid w:val="0002347F"/>
    <w:rsid w:val="000236FF"/>
    <w:rsid w:val="00023835"/>
    <w:rsid w:val="00023B50"/>
    <w:rsid w:val="0002540B"/>
    <w:rsid w:val="0002546E"/>
    <w:rsid w:val="00026755"/>
    <w:rsid w:val="00026CE6"/>
    <w:rsid w:val="000275F3"/>
    <w:rsid w:val="00027CCE"/>
    <w:rsid w:val="00030E0F"/>
    <w:rsid w:val="00032826"/>
    <w:rsid w:val="0003322F"/>
    <w:rsid w:val="000335ED"/>
    <w:rsid w:val="00033D39"/>
    <w:rsid w:val="00033D6B"/>
    <w:rsid w:val="00034136"/>
    <w:rsid w:val="00034298"/>
    <w:rsid w:val="0003513C"/>
    <w:rsid w:val="0003556A"/>
    <w:rsid w:val="000356E4"/>
    <w:rsid w:val="00035FD8"/>
    <w:rsid w:val="0003611D"/>
    <w:rsid w:val="00036506"/>
    <w:rsid w:val="00036B9D"/>
    <w:rsid w:val="000371C1"/>
    <w:rsid w:val="00037364"/>
    <w:rsid w:val="000379C5"/>
    <w:rsid w:val="00040485"/>
    <w:rsid w:val="000407C8"/>
    <w:rsid w:val="0004095C"/>
    <w:rsid w:val="00040AD6"/>
    <w:rsid w:val="00040BAF"/>
    <w:rsid w:val="00040BFF"/>
    <w:rsid w:val="00040F40"/>
    <w:rsid w:val="000418CA"/>
    <w:rsid w:val="00041FBD"/>
    <w:rsid w:val="0004213E"/>
    <w:rsid w:val="0004220D"/>
    <w:rsid w:val="00042226"/>
    <w:rsid w:val="0004243C"/>
    <w:rsid w:val="0004273B"/>
    <w:rsid w:val="00042B37"/>
    <w:rsid w:val="00042E1D"/>
    <w:rsid w:val="0004378C"/>
    <w:rsid w:val="000438D5"/>
    <w:rsid w:val="00043A77"/>
    <w:rsid w:val="00043D31"/>
    <w:rsid w:val="00044D6C"/>
    <w:rsid w:val="00045CA8"/>
    <w:rsid w:val="00046160"/>
    <w:rsid w:val="00046717"/>
    <w:rsid w:val="00046FB8"/>
    <w:rsid w:val="00047FE3"/>
    <w:rsid w:val="0005124B"/>
    <w:rsid w:val="00052E18"/>
    <w:rsid w:val="00052E9A"/>
    <w:rsid w:val="00053099"/>
    <w:rsid w:val="000530A0"/>
    <w:rsid w:val="00054352"/>
    <w:rsid w:val="00054ACA"/>
    <w:rsid w:val="00054B3C"/>
    <w:rsid w:val="00054E11"/>
    <w:rsid w:val="00055713"/>
    <w:rsid w:val="00055777"/>
    <w:rsid w:val="000607F0"/>
    <w:rsid w:val="0006109A"/>
    <w:rsid w:val="0006251A"/>
    <w:rsid w:val="00062C0D"/>
    <w:rsid w:val="000635FB"/>
    <w:rsid w:val="00063E7F"/>
    <w:rsid w:val="000644D0"/>
    <w:rsid w:val="00065D44"/>
    <w:rsid w:val="00066301"/>
    <w:rsid w:val="00066B07"/>
    <w:rsid w:val="0006721D"/>
    <w:rsid w:val="00067757"/>
    <w:rsid w:val="00067F4E"/>
    <w:rsid w:val="00067FE5"/>
    <w:rsid w:val="000712C9"/>
    <w:rsid w:val="0007201B"/>
    <w:rsid w:val="00074723"/>
    <w:rsid w:val="000750AC"/>
    <w:rsid w:val="00075C1F"/>
    <w:rsid w:val="00075D7F"/>
    <w:rsid w:val="00076B6B"/>
    <w:rsid w:val="000774CA"/>
    <w:rsid w:val="00077C10"/>
    <w:rsid w:val="00077C26"/>
    <w:rsid w:val="00077E57"/>
    <w:rsid w:val="00080229"/>
    <w:rsid w:val="000804A1"/>
    <w:rsid w:val="000814C6"/>
    <w:rsid w:val="00081D65"/>
    <w:rsid w:val="00082DE6"/>
    <w:rsid w:val="0008318B"/>
    <w:rsid w:val="00083EB7"/>
    <w:rsid w:val="00083F9D"/>
    <w:rsid w:val="0008437E"/>
    <w:rsid w:val="00085301"/>
    <w:rsid w:val="00085629"/>
    <w:rsid w:val="00086C50"/>
    <w:rsid w:val="00086DF0"/>
    <w:rsid w:val="00087425"/>
    <w:rsid w:val="000875C9"/>
    <w:rsid w:val="00087856"/>
    <w:rsid w:val="00087ADC"/>
    <w:rsid w:val="00087AE6"/>
    <w:rsid w:val="00087BDF"/>
    <w:rsid w:val="00087E16"/>
    <w:rsid w:val="000901F1"/>
    <w:rsid w:val="00090FF9"/>
    <w:rsid w:val="00091E18"/>
    <w:rsid w:val="00092835"/>
    <w:rsid w:val="0009294A"/>
    <w:rsid w:val="00093197"/>
    <w:rsid w:val="00094508"/>
    <w:rsid w:val="0009455B"/>
    <w:rsid w:val="00094BA7"/>
    <w:rsid w:val="0009565A"/>
    <w:rsid w:val="000958E0"/>
    <w:rsid w:val="000958ED"/>
    <w:rsid w:val="00095D49"/>
    <w:rsid w:val="0009648F"/>
    <w:rsid w:val="00096CCC"/>
    <w:rsid w:val="00097512"/>
    <w:rsid w:val="000977B3"/>
    <w:rsid w:val="00097A53"/>
    <w:rsid w:val="00097F8A"/>
    <w:rsid w:val="00097F8F"/>
    <w:rsid w:val="000A2222"/>
    <w:rsid w:val="000A3943"/>
    <w:rsid w:val="000A4403"/>
    <w:rsid w:val="000A51A1"/>
    <w:rsid w:val="000A52C5"/>
    <w:rsid w:val="000A57C9"/>
    <w:rsid w:val="000A5C9A"/>
    <w:rsid w:val="000A71FC"/>
    <w:rsid w:val="000A74C0"/>
    <w:rsid w:val="000B009B"/>
    <w:rsid w:val="000B065F"/>
    <w:rsid w:val="000B2916"/>
    <w:rsid w:val="000B2DDC"/>
    <w:rsid w:val="000B2FFC"/>
    <w:rsid w:val="000B3228"/>
    <w:rsid w:val="000B35B6"/>
    <w:rsid w:val="000B39E1"/>
    <w:rsid w:val="000B3E26"/>
    <w:rsid w:val="000B4C37"/>
    <w:rsid w:val="000B51C7"/>
    <w:rsid w:val="000B565E"/>
    <w:rsid w:val="000B60DF"/>
    <w:rsid w:val="000B67D2"/>
    <w:rsid w:val="000B696F"/>
    <w:rsid w:val="000B6B06"/>
    <w:rsid w:val="000B78D3"/>
    <w:rsid w:val="000B7983"/>
    <w:rsid w:val="000C06A0"/>
    <w:rsid w:val="000C117E"/>
    <w:rsid w:val="000C12C8"/>
    <w:rsid w:val="000C17B7"/>
    <w:rsid w:val="000C2C6B"/>
    <w:rsid w:val="000C2C7C"/>
    <w:rsid w:val="000C2FE7"/>
    <w:rsid w:val="000C3608"/>
    <w:rsid w:val="000C37CF"/>
    <w:rsid w:val="000C43B5"/>
    <w:rsid w:val="000C4D7F"/>
    <w:rsid w:val="000C576B"/>
    <w:rsid w:val="000C6594"/>
    <w:rsid w:val="000C68EA"/>
    <w:rsid w:val="000C6E1B"/>
    <w:rsid w:val="000C700F"/>
    <w:rsid w:val="000C71CB"/>
    <w:rsid w:val="000C732A"/>
    <w:rsid w:val="000D022D"/>
    <w:rsid w:val="000D02D2"/>
    <w:rsid w:val="000D031D"/>
    <w:rsid w:val="000D0844"/>
    <w:rsid w:val="000D0F05"/>
    <w:rsid w:val="000D30DC"/>
    <w:rsid w:val="000D3537"/>
    <w:rsid w:val="000D3866"/>
    <w:rsid w:val="000D40C1"/>
    <w:rsid w:val="000D493D"/>
    <w:rsid w:val="000D4DA2"/>
    <w:rsid w:val="000D54F4"/>
    <w:rsid w:val="000D5549"/>
    <w:rsid w:val="000D5AF2"/>
    <w:rsid w:val="000D5EC2"/>
    <w:rsid w:val="000D665B"/>
    <w:rsid w:val="000D721D"/>
    <w:rsid w:val="000D72AF"/>
    <w:rsid w:val="000D7DEA"/>
    <w:rsid w:val="000E05C3"/>
    <w:rsid w:val="000E07C1"/>
    <w:rsid w:val="000E2159"/>
    <w:rsid w:val="000E2263"/>
    <w:rsid w:val="000E2517"/>
    <w:rsid w:val="000E26AA"/>
    <w:rsid w:val="000E281C"/>
    <w:rsid w:val="000E284F"/>
    <w:rsid w:val="000E2C49"/>
    <w:rsid w:val="000E30EF"/>
    <w:rsid w:val="000E3911"/>
    <w:rsid w:val="000E44D0"/>
    <w:rsid w:val="000E4F46"/>
    <w:rsid w:val="000E5281"/>
    <w:rsid w:val="000E53F8"/>
    <w:rsid w:val="000E5C4F"/>
    <w:rsid w:val="000E60F3"/>
    <w:rsid w:val="000E64BF"/>
    <w:rsid w:val="000E65D2"/>
    <w:rsid w:val="000E66E5"/>
    <w:rsid w:val="000E68DC"/>
    <w:rsid w:val="000E7174"/>
    <w:rsid w:val="000F033D"/>
    <w:rsid w:val="000F0D35"/>
    <w:rsid w:val="000F298A"/>
    <w:rsid w:val="000F29E4"/>
    <w:rsid w:val="000F378C"/>
    <w:rsid w:val="000F43D2"/>
    <w:rsid w:val="000F4FE4"/>
    <w:rsid w:val="000F5295"/>
    <w:rsid w:val="000F5D3C"/>
    <w:rsid w:val="000F6B1E"/>
    <w:rsid w:val="000F6F6E"/>
    <w:rsid w:val="000F74BE"/>
    <w:rsid w:val="000F77B8"/>
    <w:rsid w:val="000F7C2F"/>
    <w:rsid w:val="001007C4"/>
    <w:rsid w:val="00101165"/>
    <w:rsid w:val="0010167D"/>
    <w:rsid w:val="0010366C"/>
    <w:rsid w:val="001037AB"/>
    <w:rsid w:val="00103805"/>
    <w:rsid w:val="00103A50"/>
    <w:rsid w:val="001047B1"/>
    <w:rsid w:val="001054EA"/>
    <w:rsid w:val="0010578D"/>
    <w:rsid w:val="0010671C"/>
    <w:rsid w:val="00106A54"/>
    <w:rsid w:val="00106D33"/>
    <w:rsid w:val="00110422"/>
    <w:rsid w:val="00110C51"/>
    <w:rsid w:val="001114E0"/>
    <w:rsid w:val="001117FB"/>
    <w:rsid w:val="00111F7B"/>
    <w:rsid w:val="00112BAF"/>
    <w:rsid w:val="00112FA0"/>
    <w:rsid w:val="00113100"/>
    <w:rsid w:val="00113B7E"/>
    <w:rsid w:val="00113CFD"/>
    <w:rsid w:val="00114F2D"/>
    <w:rsid w:val="001162DD"/>
    <w:rsid w:val="0011678E"/>
    <w:rsid w:val="00116DE4"/>
    <w:rsid w:val="00116E77"/>
    <w:rsid w:val="0011725B"/>
    <w:rsid w:val="00117BF8"/>
    <w:rsid w:val="00117CD5"/>
    <w:rsid w:val="001207BE"/>
    <w:rsid w:val="001207DC"/>
    <w:rsid w:val="00120C1C"/>
    <w:rsid w:val="0012125D"/>
    <w:rsid w:val="001217CC"/>
    <w:rsid w:val="0012234E"/>
    <w:rsid w:val="00122975"/>
    <w:rsid w:val="00123BF7"/>
    <w:rsid w:val="00124A6B"/>
    <w:rsid w:val="00124BB6"/>
    <w:rsid w:val="00124E5A"/>
    <w:rsid w:val="00125DA9"/>
    <w:rsid w:val="00126037"/>
    <w:rsid w:val="00126547"/>
    <w:rsid w:val="00126A9F"/>
    <w:rsid w:val="00126AC7"/>
    <w:rsid w:val="00126C54"/>
    <w:rsid w:val="00126DFF"/>
    <w:rsid w:val="001272F9"/>
    <w:rsid w:val="00127D69"/>
    <w:rsid w:val="00130274"/>
    <w:rsid w:val="00130DF6"/>
    <w:rsid w:val="0013111B"/>
    <w:rsid w:val="00131704"/>
    <w:rsid w:val="00131FB7"/>
    <w:rsid w:val="00132613"/>
    <w:rsid w:val="00133217"/>
    <w:rsid w:val="00133483"/>
    <w:rsid w:val="0013413F"/>
    <w:rsid w:val="001341EB"/>
    <w:rsid w:val="00134469"/>
    <w:rsid w:val="001353FC"/>
    <w:rsid w:val="00135736"/>
    <w:rsid w:val="001357E1"/>
    <w:rsid w:val="001357FF"/>
    <w:rsid w:val="0013590D"/>
    <w:rsid w:val="00135B64"/>
    <w:rsid w:val="00135B70"/>
    <w:rsid w:val="00136DA7"/>
    <w:rsid w:val="001376BC"/>
    <w:rsid w:val="0013788B"/>
    <w:rsid w:val="0013791D"/>
    <w:rsid w:val="00140FF0"/>
    <w:rsid w:val="00141358"/>
    <w:rsid w:val="00141548"/>
    <w:rsid w:val="00141F58"/>
    <w:rsid w:val="00142421"/>
    <w:rsid w:val="00142DDD"/>
    <w:rsid w:val="00143E65"/>
    <w:rsid w:val="0014478B"/>
    <w:rsid w:val="00144D33"/>
    <w:rsid w:val="00144DAC"/>
    <w:rsid w:val="00144E1D"/>
    <w:rsid w:val="00145A1E"/>
    <w:rsid w:val="0014661D"/>
    <w:rsid w:val="0014689C"/>
    <w:rsid w:val="00147327"/>
    <w:rsid w:val="001474E8"/>
    <w:rsid w:val="00147F06"/>
    <w:rsid w:val="00150014"/>
    <w:rsid w:val="0015044F"/>
    <w:rsid w:val="00150890"/>
    <w:rsid w:val="00150DF0"/>
    <w:rsid w:val="001514E9"/>
    <w:rsid w:val="00152BB2"/>
    <w:rsid w:val="00152EA4"/>
    <w:rsid w:val="00153177"/>
    <w:rsid w:val="0015381A"/>
    <w:rsid w:val="00153C05"/>
    <w:rsid w:val="00154240"/>
    <w:rsid w:val="001546CC"/>
    <w:rsid w:val="001547B1"/>
    <w:rsid w:val="00156011"/>
    <w:rsid w:val="00156465"/>
    <w:rsid w:val="001564A1"/>
    <w:rsid w:val="00156725"/>
    <w:rsid w:val="001569DB"/>
    <w:rsid w:val="001579FF"/>
    <w:rsid w:val="00157A17"/>
    <w:rsid w:val="00157B2D"/>
    <w:rsid w:val="00160C0C"/>
    <w:rsid w:val="00161966"/>
    <w:rsid w:val="00161F13"/>
    <w:rsid w:val="00162B68"/>
    <w:rsid w:val="0016322C"/>
    <w:rsid w:val="00163389"/>
    <w:rsid w:val="00165908"/>
    <w:rsid w:val="001669F8"/>
    <w:rsid w:val="00166AE1"/>
    <w:rsid w:val="00166B20"/>
    <w:rsid w:val="0016723E"/>
    <w:rsid w:val="00167477"/>
    <w:rsid w:val="00167CBD"/>
    <w:rsid w:val="00167CD8"/>
    <w:rsid w:val="00170901"/>
    <w:rsid w:val="00170A5D"/>
    <w:rsid w:val="00171052"/>
    <w:rsid w:val="0017123D"/>
    <w:rsid w:val="001715A0"/>
    <w:rsid w:val="00171708"/>
    <w:rsid w:val="00171D98"/>
    <w:rsid w:val="0017244F"/>
    <w:rsid w:val="00174B01"/>
    <w:rsid w:val="00175414"/>
    <w:rsid w:val="00175830"/>
    <w:rsid w:val="0017715E"/>
    <w:rsid w:val="00177357"/>
    <w:rsid w:val="001809F2"/>
    <w:rsid w:val="00181305"/>
    <w:rsid w:val="001818A3"/>
    <w:rsid w:val="00181DF4"/>
    <w:rsid w:val="001830CB"/>
    <w:rsid w:val="0018352B"/>
    <w:rsid w:val="00183C16"/>
    <w:rsid w:val="00184102"/>
    <w:rsid w:val="00184815"/>
    <w:rsid w:val="00184A7E"/>
    <w:rsid w:val="00184AA4"/>
    <w:rsid w:val="00184AE7"/>
    <w:rsid w:val="00184D29"/>
    <w:rsid w:val="001858BB"/>
    <w:rsid w:val="00185F94"/>
    <w:rsid w:val="00186632"/>
    <w:rsid w:val="00186D08"/>
    <w:rsid w:val="001874D4"/>
    <w:rsid w:val="00190C78"/>
    <w:rsid w:val="001913E6"/>
    <w:rsid w:val="00192528"/>
    <w:rsid w:val="0019273B"/>
    <w:rsid w:val="001927FB"/>
    <w:rsid w:val="0019362C"/>
    <w:rsid w:val="00193A32"/>
    <w:rsid w:val="00194739"/>
    <w:rsid w:val="00194962"/>
    <w:rsid w:val="00195552"/>
    <w:rsid w:val="00195B2F"/>
    <w:rsid w:val="00195D1F"/>
    <w:rsid w:val="00195DD1"/>
    <w:rsid w:val="00196420"/>
    <w:rsid w:val="001A04D3"/>
    <w:rsid w:val="001A0CC2"/>
    <w:rsid w:val="001A1116"/>
    <w:rsid w:val="001A133E"/>
    <w:rsid w:val="001A17B2"/>
    <w:rsid w:val="001A1B3F"/>
    <w:rsid w:val="001A254C"/>
    <w:rsid w:val="001A255F"/>
    <w:rsid w:val="001A3FB8"/>
    <w:rsid w:val="001A4539"/>
    <w:rsid w:val="001A48B1"/>
    <w:rsid w:val="001A4BFD"/>
    <w:rsid w:val="001A4CF3"/>
    <w:rsid w:val="001A4DB7"/>
    <w:rsid w:val="001A4E91"/>
    <w:rsid w:val="001A5136"/>
    <w:rsid w:val="001A63E9"/>
    <w:rsid w:val="001A64A3"/>
    <w:rsid w:val="001A694A"/>
    <w:rsid w:val="001A6C47"/>
    <w:rsid w:val="001A7035"/>
    <w:rsid w:val="001A7516"/>
    <w:rsid w:val="001A7A1A"/>
    <w:rsid w:val="001B05F8"/>
    <w:rsid w:val="001B069B"/>
    <w:rsid w:val="001B087B"/>
    <w:rsid w:val="001B0936"/>
    <w:rsid w:val="001B0C1F"/>
    <w:rsid w:val="001B0DCC"/>
    <w:rsid w:val="001B0EDF"/>
    <w:rsid w:val="001B13AE"/>
    <w:rsid w:val="001B1959"/>
    <w:rsid w:val="001B1AB7"/>
    <w:rsid w:val="001B1D49"/>
    <w:rsid w:val="001B2117"/>
    <w:rsid w:val="001B3989"/>
    <w:rsid w:val="001B39D1"/>
    <w:rsid w:val="001B457A"/>
    <w:rsid w:val="001B4661"/>
    <w:rsid w:val="001B4EAC"/>
    <w:rsid w:val="001B5BFC"/>
    <w:rsid w:val="001B5F59"/>
    <w:rsid w:val="001B6133"/>
    <w:rsid w:val="001B63C5"/>
    <w:rsid w:val="001B7474"/>
    <w:rsid w:val="001B747B"/>
    <w:rsid w:val="001B7A03"/>
    <w:rsid w:val="001C0A37"/>
    <w:rsid w:val="001C1092"/>
    <w:rsid w:val="001C1333"/>
    <w:rsid w:val="001C2147"/>
    <w:rsid w:val="001C2804"/>
    <w:rsid w:val="001C303E"/>
    <w:rsid w:val="001C39B8"/>
    <w:rsid w:val="001C3CB5"/>
    <w:rsid w:val="001C3F73"/>
    <w:rsid w:val="001C3F8C"/>
    <w:rsid w:val="001C413F"/>
    <w:rsid w:val="001C414F"/>
    <w:rsid w:val="001C6008"/>
    <w:rsid w:val="001C749C"/>
    <w:rsid w:val="001C7C81"/>
    <w:rsid w:val="001D01DC"/>
    <w:rsid w:val="001D0852"/>
    <w:rsid w:val="001D0E8D"/>
    <w:rsid w:val="001D1A0F"/>
    <w:rsid w:val="001D1B28"/>
    <w:rsid w:val="001D2DA4"/>
    <w:rsid w:val="001D368D"/>
    <w:rsid w:val="001D508E"/>
    <w:rsid w:val="001D5730"/>
    <w:rsid w:val="001D5F1D"/>
    <w:rsid w:val="001D680F"/>
    <w:rsid w:val="001D6A8F"/>
    <w:rsid w:val="001D77AD"/>
    <w:rsid w:val="001E180D"/>
    <w:rsid w:val="001E238B"/>
    <w:rsid w:val="001E24BF"/>
    <w:rsid w:val="001E3712"/>
    <w:rsid w:val="001E3E70"/>
    <w:rsid w:val="001E3FE1"/>
    <w:rsid w:val="001E4F6E"/>
    <w:rsid w:val="001E5678"/>
    <w:rsid w:val="001E5C52"/>
    <w:rsid w:val="001E6191"/>
    <w:rsid w:val="001E7928"/>
    <w:rsid w:val="001E7B10"/>
    <w:rsid w:val="001E7BA6"/>
    <w:rsid w:val="001F00C7"/>
    <w:rsid w:val="001F0743"/>
    <w:rsid w:val="001F11A9"/>
    <w:rsid w:val="001F12C9"/>
    <w:rsid w:val="001F2019"/>
    <w:rsid w:val="001F226C"/>
    <w:rsid w:val="001F2C91"/>
    <w:rsid w:val="001F320E"/>
    <w:rsid w:val="001F36E9"/>
    <w:rsid w:val="001F3AAE"/>
    <w:rsid w:val="001F5135"/>
    <w:rsid w:val="001F5170"/>
    <w:rsid w:val="001F7441"/>
    <w:rsid w:val="001F74FE"/>
    <w:rsid w:val="001F7A3C"/>
    <w:rsid w:val="002002E8"/>
    <w:rsid w:val="0020194A"/>
    <w:rsid w:val="00201AC9"/>
    <w:rsid w:val="00201DAC"/>
    <w:rsid w:val="002023C0"/>
    <w:rsid w:val="00202EF1"/>
    <w:rsid w:val="0020316C"/>
    <w:rsid w:val="002033C5"/>
    <w:rsid w:val="002033D4"/>
    <w:rsid w:val="002036F0"/>
    <w:rsid w:val="00203B8B"/>
    <w:rsid w:val="00203FF9"/>
    <w:rsid w:val="0020411B"/>
    <w:rsid w:val="0020468E"/>
    <w:rsid w:val="00204926"/>
    <w:rsid w:val="00205406"/>
    <w:rsid w:val="00205515"/>
    <w:rsid w:val="00207789"/>
    <w:rsid w:val="00210081"/>
    <w:rsid w:val="00210CF5"/>
    <w:rsid w:val="00211456"/>
    <w:rsid w:val="002116C0"/>
    <w:rsid w:val="0021251A"/>
    <w:rsid w:val="00213FEC"/>
    <w:rsid w:val="00214324"/>
    <w:rsid w:val="00214581"/>
    <w:rsid w:val="00214957"/>
    <w:rsid w:val="00214C68"/>
    <w:rsid w:val="00215186"/>
    <w:rsid w:val="0021533A"/>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98E"/>
    <w:rsid w:val="002239A7"/>
    <w:rsid w:val="00223D14"/>
    <w:rsid w:val="0022428A"/>
    <w:rsid w:val="002251E0"/>
    <w:rsid w:val="00225497"/>
    <w:rsid w:val="00225ABA"/>
    <w:rsid w:val="0022743F"/>
    <w:rsid w:val="0022745F"/>
    <w:rsid w:val="00227CA6"/>
    <w:rsid w:val="00230027"/>
    <w:rsid w:val="0023024D"/>
    <w:rsid w:val="00231F5C"/>
    <w:rsid w:val="00232045"/>
    <w:rsid w:val="0023211B"/>
    <w:rsid w:val="00233C70"/>
    <w:rsid w:val="00233EAA"/>
    <w:rsid w:val="00234D97"/>
    <w:rsid w:val="00235A12"/>
    <w:rsid w:val="00235E54"/>
    <w:rsid w:val="00236167"/>
    <w:rsid w:val="00236E13"/>
    <w:rsid w:val="00237D1D"/>
    <w:rsid w:val="00241247"/>
    <w:rsid w:val="00241A58"/>
    <w:rsid w:val="00241C63"/>
    <w:rsid w:val="00242206"/>
    <w:rsid w:val="00242209"/>
    <w:rsid w:val="002424DB"/>
    <w:rsid w:val="002424FC"/>
    <w:rsid w:val="00243623"/>
    <w:rsid w:val="00243FCC"/>
    <w:rsid w:val="00244713"/>
    <w:rsid w:val="00244EE7"/>
    <w:rsid w:val="00245D40"/>
    <w:rsid w:val="002466F9"/>
    <w:rsid w:val="00246AA3"/>
    <w:rsid w:val="002473ED"/>
    <w:rsid w:val="00247B35"/>
    <w:rsid w:val="0025028F"/>
    <w:rsid w:val="00250418"/>
    <w:rsid w:val="00251504"/>
    <w:rsid w:val="0025168A"/>
    <w:rsid w:val="00251BD4"/>
    <w:rsid w:val="00254256"/>
    <w:rsid w:val="002544AA"/>
    <w:rsid w:val="002544F0"/>
    <w:rsid w:val="00254F56"/>
    <w:rsid w:val="002550E3"/>
    <w:rsid w:val="00255C3D"/>
    <w:rsid w:val="00255DBF"/>
    <w:rsid w:val="002562A3"/>
    <w:rsid w:val="002568C3"/>
    <w:rsid w:val="002570EC"/>
    <w:rsid w:val="00257196"/>
    <w:rsid w:val="00257761"/>
    <w:rsid w:val="002609F2"/>
    <w:rsid w:val="002612DF"/>
    <w:rsid w:val="002621AB"/>
    <w:rsid w:val="00262592"/>
    <w:rsid w:val="002639C3"/>
    <w:rsid w:val="00263A86"/>
    <w:rsid w:val="0026424E"/>
    <w:rsid w:val="00264AD8"/>
    <w:rsid w:val="00264C07"/>
    <w:rsid w:val="002659E2"/>
    <w:rsid w:val="00265D41"/>
    <w:rsid w:val="002665D3"/>
    <w:rsid w:val="00266931"/>
    <w:rsid w:val="00271FF1"/>
    <w:rsid w:val="002720AE"/>
    <w:rsid w:val="002721D4"/>
    <w:rsid w:val="00272640"/>
    <w:rsid w:val="00272958"/>
    <w:rsid w:val="002731E8"/>
    <w:rsid w:val="00273F38"/>
    <w:rsid w:val="002745F6"/>
    <w:rsid w:val="002747DE"/>
    <w:rsid w:val="00275519"/>
    <w:rsid w:val="00275956"/>
    <w:rsid w:val="002761A3"/>
    <w:rsid w:val="00276F8E"/>
    <w:rsid w:val="00277934"/>
    <w:rsid w:val="00281D6A"/>
    <w:rsid w:val="00281DBF"/>
    <w:rsid w:val="002821C2"/>
    <w:rsid w:val="002824E2"/>
    <w:rsid w:val="00282BBC"/>
    <w:rsid w:val="00282F0E"/>
    <w:rsid w:val="00283233"/>
    <w:rsid w:val="002836E7"/>
    <w:rsid w:val="002842C1"/>
    <w:rsid w:val="00284466"/>
    <w:rsid w:val="002847AC"/>
    <w:rsid w:val="00284823"/>
    <w:rsid w:val="00284BA8"/>
    <w:rsid w:val="00285A41"/>
    <w:rsid w:val="0028623B"/>
    <w:rsid w:val="00287251"/>
    <w:rsid w:val="00287596"/>
    <w:rsid w:val="00287669"/>
    <w:rsid w:val="0028773E"/>
    <w:rsid w:val="00287B93"/>
    <w:rsid w:val="00287E33"/>
    <w:rsid w:val="002903B7"/>
    <w:rsid w:val="00290BA1"/>
    <w:rsid w:val="0029180E"/>
    <w:rsid w:val="00291A15"/>
    <w:rsid w:val="00292F12"/>
    <w:rsid w:val="002932B6"/>
    <w:rsid w:val="00294554"/>
    <w:rsid w:val="002947DD"/>
    <w:rsid w:val="00294F5B"/>
    <w:rsid w:val="00295007"/>
    <w:rsid w:val="0029516E"/>
    <w:rsid w:val="00295A1A"/>
    <w:rsid w:val="0029697E"/>
    <w:rsid w:val="00296E16"/>
    <w:rsid w:val="00297C67"/>
    <w:rsid w:val="002A04AC"/>
    <w:rsid w:val="002A0C42"/>
    <w:rsid w:val="002A1826"/>
    <w:rsid w:val="002A1AAB"/>
    <w:rsid w:val="002A29F7"/>
    <w:rsid w:val="002A43A3"/>
    <w:rsid w:val="002A4BA6"/>
    <w:rsid w:val="002A50E5"/>
    <w:rsid w:val="002A5D54"/>
    <w:rsid w:val="002A6456"/>
    <w:rsid w:val="002A67C5"/>
    <w:rsid w:val="002A6D00"/>
    <w:rsid w:val="002A76E3"/>
    <w:rsid w:val="002A7722"/>
    <w:rsid w:val="002A797F"/>
    <w:rsid w:val="002A7B4A"/>
    <w:rsid w:val="002B0109"/>
    <w:rsid w:val="002B1106"/>
    <w:rsid w:val="002B1A87"/>
    <w:rsid w:val="002B1FBA"/>
    <w:rsid w:val="002B216E"/>
    <w:rsid w:val="002B336C"/>
    <w:rsid w:val="002B358F"/>
    <w:rsid w:val="002B4201"/>
    <w:rsid w:val="002B453E"/>
    <w:rsid w:val="002B47A2"/>
    <w:rsid w:val="002B4B03"/>
    <w:rsid w:val="002B51C6"/>
    <w:rsid w:val="002B5BC3"/>
    <w:rsid w:val="002B6137"/>
    <w:rsid w:val="002B73D3"/>
    <w:rsid w:val="002B7BF8"/>
    <w:rsid w:val="002B7E2C"/>
    <w:rsid w:val="002C1289"/>
    <w:rsid w:val="002C15ED"/>
    <w:rsid w:val="002C1C48"/>
    <w:rsid w:val="002C2154"/>
    <w:rsid w:val="002C2939"/>
    <w:rsid w:val="002C366F"/>
    <w:rsid w:val="002C5F97"/>
    <w:rsid w:val="002C6617"/>
    <w:rsid w:val="002C7107"/>
    <w:rsid w:val="002C74D1"/>
    <w:rsid w:val="002C7939"/>
    <w:rsid w:val="002D0419"/>
    <w:rsid w:val="002D06D7"/>
    <w:rsid w:val="002D124C"/>
    <w:rsid w:val="002D12DC"/>
    <w:rsid w:val="002D186E"/>
    <w:rsid w:val="002D194B"/>
    <w:rsid w:val="002D1F04"/>
    <w:rsid w:val="002D3BD1"/>
    <w:rsid w:val="002D3EBD"/>
    <w:rsid w:val="002D4087"/>
    <w:rsid w:val="002D54CE"/>
    <w:rsid w:val="002D55BC"/>
    <w:rsid w:val="002D5965"/>
    <w:rsid w:val="002D6490"/>
    <w:rsid w:val="002E0885"/>
    <w:rsid w:val="002E24BD"/>
    <w:rsid w:val="002E25C3"/>
    <w:rsid w:val="002E2E87"/>
    <w:rsid w:val="002E32AF"/>
    <w:rsid w:val="002E35D0"/>
    <w:rsid w:val="002E38F3"/>
    <w:rsid w:val="002E392D"/>
    <w:rsid w:val="002E3E2F"/>
    <w:rsid w:val="002E4DFA"/>
    <w:rsid w:val="002E4EB8"/>
    <w:rsid w:val="002E4EC2"/>
    <w:rsid w:val="002E4F02"/>
    <w:rsid w:val="002E5151"/>
    <w:rsid w:val="002E52FB"/>
    <w:rsid w:val="002E60D0"/>
    <w:rsid w:val="002E6C14"/>
    <w:rsid w:val="002E6D71"/>
    <w:rsid w:val="002E7015"/>
    <w:rsid w:val="002E7351"/>
    <w:rsid w:val="002E7A13"/>
    <w:rsid w:val="002E7B18"/>
    <w:rsid w:val="002F0EC7"/>
    <w:rsid w:val="002F152D"/>
    <w:rsid w:val="002F18CF"/>
    <w:rsid w:val="002F1D05"/>
    <w:rsid w:val="002F21D3"/>
    <w:rsid w:val="002F25DA"/>
    <w:rsid w:val="002F2C48"/>
    <w:rsid w:val="002F31F0"/>
    <w:rsid w:val="002F38F1"/>
    <w:rsid w:val="002F4A02"/>
    <w:rsid w:val="002F5256"/>
    <w:rsid w:val="002F60BB"/>
    <w:rsid w:val="002F64C9"/>
    <w:rsid w:val="002F65D5"/>
    <w:rsid w:val="002F6F27"/>
    <w:rsid w:val="002F71EE"/>
    <w:rsid w:val="00300928"/>
    <w:rsid w:val="0030118B"/>
    <w:rsid w:val="00301725"/>
    <w:rsid w:val="00301E3F"/>
    <w:rsid w:val="003020BB"/>
    <w:rsid w:val="00302A80"/>
    <w:rsid w:val="0030301C"/>
    <w:rsid w:val="003031D3"/>
    <w:rsid w:val="00303247"/>
    <w:rsid w:val="00303670"/>
    <w:rsid w:val="003037FD"/>
    <w:rsid w:val="00304221"/>
    <w:rsid w:val="0030583F"/>
    <w:rsid w:val="00305A76"/>
    <w:rsid w:val="0030688C"/>
    <w:rsid w:val="00306A17"/>
    <w:rsid w:val="00306A4A"/>
    <w:rsid w:val="00306A51"/>
    <w:rsid w:val="00307408"/>
    <w:rsid w:val="003079EC"/>
    <w:rsid w:val="00307ADB"/>
    <w:rsid w:val="00307EF7"/>
    <w:rsid w:val="0031013E"/>
    <w:rsid w:val="00310F23"/>
    <w:rsid w:val="00311206"/>
    <w:rsid w:val="0031139D"/>
    <w:rsid w:val="003120A3"/>
    <w:rsid w:val="003137D4"/>
    <w:rsid w:val="00314A91"/>
    <w:rsid w:val="00314AA1"/>
    <w:rsid w:val="00316D9B"/>
    <w:rsid w:val="003173F7"/>
    <w:rsid w:val="00317538"/>
    <w:rsid w:val="00317AD3"/>
    <w:rsid w:val="00317DB5"/>
    <w:rsid w:val="0032024D"/>
    <w:rsid w:val="00320FA5"/>
    <w:rsid w:val="0032180C"/>
    <w:rsid w:val="00321C7B"/>
    <w:rsid w:val="00322353"/>
    <w:rsid w:val="0032251E"/>
    <w:rsid w:val="00322B00"/>
    <w:rsid w:val="00323394"/>
    <w:rsid w:val="003241A3"/>
    <w:rsid w:val="0032423C"/>
    <w:rsid w:val="00324492"/>
    <w:rsid w:val="003244D7"/>
    <w:rsid w:val="00326A2B"/>
    <w:rsid w:val="00327205"/>
    <w:rsid w:val="00327603"/>
    <w:rsid w:val="0033012E"/>
    <w:rsid w:val="003305B7"/>
    <w:rsid w:val="00330DDB"/>
    <w:rsid w:val="003317B3"/>
    <w:rsid w:val="00331967"/>
    <w:rsid w:val="00331A02"/>
    <w:rsid w:val="00331ACC"/>
    <w:rsid w:val="00331D76"/>
    <w:rsid w:val="00332DCB"/>
    <w:rsid w:val="0033300C"/>
    <w:rsid w:val="003346BB"/>
    <w:rsid w:val="00334964"/>
    <w:rsid w:val="003349FA"/>
    <w:rsid w:val="003356BB"/>
    <w:rsid w:val="0033576A"/>
    <w:rsid w:val="00335D5B"/>
    <w:rsid w:val="00336187"/>
    <w:rsid w:val="0033628C"/>
    <w:rsid w:val="00336ACE"/>
    <w:rsid w:val="0033742B"/>
    <w:rsid w:val="00337987"/>
    <w:rsid w:val="003426D8"/>
    <w:rsid w:val="00342EFD"/>
    <w:rsid w:val="00344F7D"/>
    <w:rsid w:val="00344F87"/>
    <w:rsid w:val="003462CE"/>
    <w:rsid w:val="00346858"/>
    <w:rsid w:val="00346B04"/>
    <w:rsid w:val="00346ED4"/>
    <w:rsid w:val="0035201A"/>
    <w:rsid w:val="003527AF"/>
    <w:rsid w:val="00353A5C"/>
    <w:rsid w:val="00355601"/>
    <w:rsid w:val="003557E4"/>
    <w:rsid w:val="00355A93"/>
    <w:rsid w:val="00355D1C"/>
    <w:rsid w:val="003564C5"/>
    <w:rsid w:val="00356948"/>
    <w:rsid w:val="00356AB0"/>
    <w:rsid w:val="00356D0F"/>
    <w:rsid w:val="00357799"/>
    <w:rsid w:val="00357885"/>
    <w:rsid w:val="00357F06"/>
    <w:rsid w:val="0036085D"/>
    <w:rsid w:val="0036133B"/>
    <w:rsid w:val="00361B55"/>
    <w:rsid w:val="003623E5"/>
    <w:rsid w:val="00362664"/>
    <w:rsid w:val="00363443"/>
    <w:rsid w:val="00363A85"/>
    <w:rsid w:val="00363AB8"/>
    <w:rsid w:val="00363B12"/>
    <w:rsid w:val="003640C5"/>
    <w:rsid w:val="00364319"/>
    <w:rsid w:val="003660DB"/>
    <w:rsid w:val="003663BD"/>
    <w:rsid w:val="00366EED"/>
    <w:rsid w:val="003670E9"/>
    <w:rsid w:val="0036759F"/>
    <w:rsid w:val="00367DE5"/>
    <w:rsid w:val="00367E90"/>
    <w:rsid w:val="00372AC1"/>
    <w:rsid w:val="00372B61"/>
    <w:rsid w:val="00372FFC"/>
    <w:rsid w:val="00373A54"/>
    <w:rsid w:val="00374019"/>
    <w:rsid w:val="00374F32"/>
    <w:rsid w:val="003751DD"/>
    <w:rsid w:val="0037611F"/>
    <w:rsid w:val="00376B06"/>
    <w:rsid w:val="00376E87"/>
    <w:rsid w:val="00377F41"/>
    <w:rsid w:val="003807CD"/>
    <w:rsid w:val="00380EFF"/>
    <w:rsid w:val="003811D5"/>
    <w:rsid w:val="003813AF"/>
    <w:rsid w:val="00381AF9"/>
    <w:rsid w:val="003822AB"/>
    <w:rsid w:val="00382401"/>
    <w:rsid w:val="003836A7"/>
    <w:rsid w:val="003838F1"/>
    <w:rsid w:val="00383B2F"/>
    <w:rsid w:val="00383F50"/>
    <w:rsid w:val="0038491F"/>
    <w:rsid w:val="00385277"/>
    <w:rsid w:val="00385B84"/>
    <w:rsid w:val="0038621E"/>
    <w:rsid w:val="00386316"/>
    <w:rsid w:val="00386564"/>
    <w:rsid w:val="00390353"/>
    <w:rsid w:val="003904D6"/>
    <w:rsid w:val="00390613"/>
    <w:rsid w:val="00390F4B"/>
    <w:rsid w:val="00391738"/>
    <w:rsid w:val="00392ABC"/>
    <w:rsid w:val="0039330B"/>
    <w:rsid w:val="0039361D"/>
    <w:rsid w:val="0039394A"/>
    <w:rsid w:val="00393D66"/>
    <w:rsid w:val="00394A85"/>
    <w:rsid w:val="00394EEC"/>
    <w:rsid w:val="00395C9D"/>
    <w:rsid w:val="003961D8"/>
    <w:rsid w:val="00396C9E"/>
    <w:rsid w:val="00396DC8"/>
    <w:rsid w:val="00396F89"/>
    <w:rsid w:val="00397F26"/>
    <w:rsid w:val="00397FA5"/>
    <w:rsid w:val="003A0C4A"/>
    <w:rsid w:val="003A1981"/>
    <w:rsid w:val="003A1BA3"/>
    <w:rsid w:val="003A2336"/>
    <w:rsid w:val="003A23B8"/>
    <w:rsid w:val="003A2424"/>
    <w:rsid w:val="003A244C"/>
    <w:rsid w:val="003A2DB8"/>
    <w:rsid w:val="003A37D2"/>
    <w:rsid w:val="003A389F"/>
    <w:rsid w:val="003A3A27"/>
    <w:rsid w:val="003A41D1"/>
    <w:rsid w:val="003A42F8"/>
    <w:rsid w:val="003A42FD"/>
    <w:rsid w:val="003A4F5D"/>
    <w:rsid w:val="003A5CCE"/>
    <w:rsid w:val="003A6379"/>
    <w:rsid w:val="003A6916"/>
    <w:rsid w:val="003A70C4"/>
    <w:rsid w:val="003A72A3"/>
    <w:rsid w:val="003A7FCA"/>
    <w:rsid w:val="003B03F7"/>
    <w:rsid w:val="003B05A3"/>
    <w:rsid w:val="003B0A33"/>
    <w:rsid w:val="003B0B14"/>
    <w:rsid w:val="003B10B9"/>
    <w:rsid w:val="003B15F3"/>
    <w:rsid w:val="003B1C02"/>
    <w:rsid w:val="003B1F86"/>
    <w:rsid w:val="003B3841"/>
    <w:rsid w:val="003B42A6"/>
    <w:rsid w:val="003B43A1"/>
    <w:rsid w:val="003B4E96"/>
    <w:rsid w:val="003B59FF"/>
    <w:rsid w:val="003B60E0"/>
    <w:rsid w:val="003B6194"/>
    <w:rsid w:val="003B6481"/>
    <w:rsid w:val="003B6930"/>
    <w:rsid w:val="003B79A7"/>
    <w:rsid w:val="003B7DED"/>
    <w:rsid w:val="003B7E5F"/>
    <w:rsid w:val="003C02BD"/>
    <w:rsid w:val="003C09CD"/>
    <w:rsid w:val="003C170E"/>
    <w:rsid w:val="003C1ECE"/>
    <w:rsid w:val="003C2034"/>
    <w:rsid w:val="003C251F"/>
    <w:rsid w:val="003C26E9"/>
    <w:rsid w:val="003C273A"/>
    <w:rsid w:val="003C2A26"/>
    <w:rsid w:val="003C2B93"/>
    <w:rsid w:val="003C2C65"/>
    <w:rsid w:val="003C307A"/>
    <w:rsid w:val="003C3091"/>
    <w:rsid w:val="003C45BA"/>
    <w:rsid w:val="003C5CA4"/>
    <w:rsid w:val="003C6251"/>
    <w:rsid w:val="003C63A1"/>
    <w:rsid w:val="003C7690"/>
    <w:rsid w:val="003C7B04"/>
    <w:rsid w:val="003D0C91"/>
    <w:rsid w:val="003D0E6E"/>
    <w:rsid w:val="003D1BF7"/>
    <w:rsid w:val="003D1D85"/>
    <w:rsid w:val="003D1DC6"/>
    <w:rsid w:val="003D258B"/>
    <w:rsid w:val="003D259F"/>
    <w:rsid w:val="003D28E4"/>
    <w:rsid w:val="003D2A24"/>
    <w:rsid w:val="003D2D21"/>
    <w:rsid w:val="003D2F77"/>
    <w:rsid w:val="003D3434"/>
    <w:rsid w:val="003D371C"/>
    <w:rsid w:val="003D39A8"/>
    <w:rsid w:val="003D3B73"/>
    <w:rsid w:val="003D3CEA"/>
    <w:rsid w:val="003D4269"/>
    <w:rsid w:val="003D428D"/>
    <w:rsid w:val="003D492A"/>
    <w:rsid w:val="003D5FC1"/>
    <w:rsid w:val="003D6809"/>
    <w:rsid w:val="003D771E"/>
    <w:rsid w:val="003E020B"/>
    <w:rsid w:val="003E0B1C"/>
    <w:rsid w:val="003E1A0F"/>
    <w:rsid w:val="003E1B22"/>
    <w:rsid w:val="003E2C2E"/>
    <w:rsid w:val="003E341D"/>
    <w:rsid w:val="003E3427"/>
    <w:rsid w:val="003E3484"/>
    <w:rsid w:val="003E35A0"/>
    <w:rsid w:val="003E369C"/>
    <w:rsid w:val="003E3743"/>
    <w:rsid w:val="003E45A9"/>
    <w:rsid w:val="003E4A3E"/>
    <w:rsid w:val="003E5B74"/>
    <w:rsid w:val="003E6794"/>
    <w:rsid w:val="003E7134"/>
    <w:rsid w:val="003E774F"/>
    <w:rsid w:val="003E7850"/>
    <w:rsid w:val="003E7883"/>
    <w:rsid w:val="003E7BD9"/>
    <w:rsid w:val="003E7D20"/>
    <w:rsid w:val="003F00D3"/>
    <w:rsid w:val="003F1060"/>
    <w:rsid w:val="003F1480"/>
    <w:rsid w:val="003F1CA1"/>
    <w:rsid w:val="003F2C1E"/>
    <w:rsid w:val="003F36E1"/>
    <w:rsid w:val="003F39AE"/>
    <w:rsid w:val="003F4668"/>
    <w:rsid w:val="003F4FD2"/>
    <w:rsid w:val="003F50EE"/>
    <w:rsid w:val="003F5887"/>
    <w:rsid w:val="003F732B"/>
    <w:rsid w:val="003F7488"/>
    <w:rsid w:val="003F7BC9"/>
    <w:rsid w:val="004000F3"/>
    <w:rsid w:val="004007EA"/>
    <w:rsid w:val="004008D1"/>
    <w:rsid w:val="004017DE"/>
    <w:rsid w:val="00401CBC"/>
    <w:rsid w:val="00402CF4"/>
    <w:rsid w:val="0040308A"/>
    <w:rsid w:val="0040330E"/>
    <w:rsid w:val="00403969"/>
    <w:rsid w:val="00403D2A"/>
    <w:rsid w:val="004046BC"/>
    <w:rsid w:val="00404D1A"/>
    <w:rsid w:val="00405414"/>
    <w:rsid w:val="00405DF7"/>
    <w:rsid w:val="00406AA6"/>
    <w:rsid w:val="00406B2B"/>
    <w:rsid w:val="00407A74"/>
    <w:rsid w:val="00407B05"/>
    <w:rsid w:val="00411D83"/>
    <w:rsid w:val="00412E0D"/>
    <w:rsid w:val="00413391"/>
    <w:rsid w:val="004133BB"/>
    <w:rsid w:val="004135EB"/>
    <w:rsid w:val="004143E3"/>
    <w:rsid w:val="00415E5A"/>
    <w:rsid w:val="004160EA"/>
    <w:rsid w:val="0041650B"/>
    <w:rsid w:val="00416A44"/>
    <w:rsid w:val="00417394"/>
    <w:rsid w:val="00421212"/>
    <w:rsid w:val="00421929"/>
    <w:rsid w:val="0042198A"/>
    <w:rsid w:val="00421AF0"/>
    <w:rsid w:val="00421CA0"/>
    <w:rsid w:val="004224E9"/>
    <w:rsid w:val="004226CA"/>
    <w:rsid w:val="00422B92"/>
    <w:rsid w:val="00422EB4"/>
    <w:rsid w:val="0042322F"/>
    <w:rsid w:val="0042371E"/>
    <w:rsid w:val="00423CB9"/>
    <w:rsid w:val="0042400F"/>
    <w:rsid w:val="004245A8"/>
    <w:rsid w:val="00424F6E"/>
    <w:rsid w:val="0042557E"/>
    <w:rsid w:val="00425726"/>
    <w:rsid w:val="0042579C"/>
    <w:rsid w:val="00425C04"/>
    <w:rsid w:val="0042656B"/>
    <w:rsid w:val="00426744"/>
    <w:rsid w:val="004268F9"/>
    <w:rsid w:val="004272B5"/>
    <w:rsid w:val="00427429"/>
    <w:rsid w:val="004277BF"/>
    <w:rsid w:val="00430098"/>
    <w:rsid w:val="00430812"/>
    <w:rsid w:val="004309C1"/>
    <w:rsid w:val="00431451"/>
    <w:rsid w:val="00431A97"/>
    <w:rsid w:val="00432160"/>
    <w:rsid w:val="00433124"/>
    <w:rsid w:val="004332D5"/>
    <w:rsid w:val="00433983"/>
    <w:rsid w:val="00434528"/>
    <w:rsid w:val="004348FD"/>
    <w:rsid w:val="00434AF0"/>
    <w:rsid w:val="00434B3A"/>
    <w:rsid w:val="004353DB"/>
    <w:rsid w:val="00435A2B"/>
    <w:rsid w:val="00435C81"/>
    <w:rsid w:val="00435D7E"/>
    <w:rsid w:val="00436132"/>
    <w:rsid w:val="00436781"/>
    <w:rsid w:val="00436B9B"/>
    <w:rsid w:val="00436FB5"/>
    <w:rsid w:val="0043700A"/>
    <w:rsid w:val="00437F84"/>
    <w:rsid w:val="004400FE"/>
    <w:rsid w:val="004401CE"/>
    <w:rsid w:val="00440795"/>
    <w:rsid w:val="0044120A"/>
    <w:rsid w:val="004416B6"/>
    <w:rsid w:val="00441D85"/>
    <w:rsid w:val="00442F7F"/>
    <w:rsid w:val="00443D4D"/>
    <w:rsid w:val="004440D2"/>
    <w:rsid w:val="00444238"/>
    <w:rsid w:val="004443B4"/>
    <w:rsid w:val="00444517"/>
    <w:rsid w:val="0044453A"/>
    <w:rsid w:val="00444A6B"/>
    <w:rsid w:val="00444D0D"/>
    <w:rsid w:val="004458A4"/>
    <w:rsid w:val="00445F5A"/>
    <w:rsid w:val="00445FC3"/>
    <w:rsid w:val="004463F9"/>
    <w:rsid w:val="00446457"/>
    <w:rsid w:val="004467FF"/>
    <w:rsid w:val="004471C9"/>
    <w:rsid w:val="004475E1"/>
    <w:rsid w:val="00447B3C"/>
    <w:rsid w:val="00447C82"/>
    <w:rsid w:val="00447EA3"/>
    <w:rsid w:val="00447F84"/>
    <w:rsid w:val="0045072F"/>
    <w:rsid w:val="00450815"/>
    <w:rsid w:val="004509CB"/>
    <w:rsid w:val="004514A7"/>
    <w:rsid w:val="004517E4"/>
    <w:rsid w:val="00451B3F"/>
    <w:rsid w:val="004523CE"/>
    <w:rsid w:val="00453479"/>
    <w:rsid w:val="0045364D"/>
    <w:rsid w:val="004541CE"/>
    <w:rsid w:val="0045466C"/>
    <w:rsid w:val="004548F9"/>
    <w:rsid w:val="00454E44"/>
    <w:rsid w:val="00455FD1"/>
    <w:rsid w:val="0045707F"/>
    <w:rsid w:val="004579CA"/>
    <w:rsid w:val="004579E5"/>
    <w:rsid w:val="004579EB"/>
    <w:rsid w:val="00457EED"/>
    <w:rsid w:val="00457FDF"/>
    <w:rsid w:val="00461A01"/>
    <w:rsid w:val="00461EEB"/>
    <w:rsid w:val="004627FF"/>
    <w:rsid w:val="00462A0D"/>
    <w:rsid w:val="00463151"/>
    <w:rsid w:val="004634EA"/>
    <w:rsid w:val="00463565"/>
    <w:rsid w:val="004636A1"/>
    <w:rsid w:val="004658A7"/>
    <w:rsid w:val="00465B00"/>
    <w:rsid w:val="00466B14"/>
    <w:rsid w:val="00466C46"/>
    <w:rsid w:val="004671B6"/>
    <w:rsid w:val="004708F5"/>
    <w:rsid w:val="0047136D"/>
    <w:rsid w:val="0047172D"/>
    <w:rsid w:val="0047185A"/>
    <w:rsid w:val="004727A0"/>
    <w:rsid w:val="00474F0F"/>
    <w:rsid w:val="00475246"/>
    <w:rsid w:val="00475562"/>
    <w:rsid w:val="00475F2C"/>
    <w:rsid w:val="00476A48"/>
    <w:rsid w:val="00476CB9"/>
    <w:rsid w:val="00476F1C"/>
    <w:rsid w:val="00477AD4"/>
    <w:rsid w:val="00477C57"/>
    <w:rsid w:val="00481C1C"/>
    <w:rsid w:val="004821AD"/>
    <w:rsid w:val="004827A1"/>
    <w:rsid w:val="00483092"/>
    <w:rsid w:val="00483631"/>
    <w:rsid w:val="0048403A"/>
    <w:rsid w:val="00484259"/>
    <w:rsid w:val="00484630"/>
    <w:rsid w:val="00484CB7"/>
    <w:rsid w:val="00485190"/>
    <w:rsid w:val="0048520D"/>
    <w:rsid w:val="00485BEB"/>
    <w:rsid w:val="004860E8"/>
    <w:rsid w:val="004865CA"/>
    <w:rsid w:val="00490376"/>
    <w:rsid w:val="004903D2"/>
    <w:rsid w:val="004904AA"/>
    <w:rsid w:val="0049092B"/>
    <w:rsid w:val="00491384"/>
    <w:rsid w:val="00491837"/>
    <w:rsid w:val="00491CBF"/>
    <w:rsid w:val="00491E17"/>
    <w:rsid w:val="004920DD"/>
    <w:rsid w:val="004927FF"/>
    <w:rsid w:val="00492FFE"/>
    <w:rsid w:val="004949F1"/>
    <w:rsid w:val="00495DC8"/>
    <w:rsid w:val="004963C4"/>
    <w:rsid w:val="004A053D"/>
    <w:rsid w:val="004A064E"/>
    <w:rsid w:val="004A0D4F"/>
    <w:rsid w:val="004A1E90"/>
    <w:rsid w:val="004A2007"/>
    <w:rsid w:val="004A20AF"/>
    <w:rsid w:val="004A294B"/>
    <w:rsid w:val="004A2E64"/>
    <w:rsid w:val="004A3902"/>
    <w:rsid w:val="004A4493"/>
    <w:rsid w:val="004A4930"/>
    <w:rsid w:val="004A5641"/>
    <w:rsid w:val="004A5A08"/>
    <w:rsid w:val="004A5A69"/>
    <w:rsid w:val="004A6EAE"/>
    <w:rsid w:val="004A76D5"/>
    <w:rsid w:val="004A7D05"/>
    <w:rsid w:val="004B01C7"/>
    <w:rsid w:val="004B06F2"/>
    <w:rsid w:val="004B0D5C"/>
    <w:rsid w:val="004B0DF7"/>
    <w:rsid w:val="004B11BF"/>
    <w:rsid w:val="004B14CA"/>
    <w:rsid w:val="004B1843"/>
    <w:rsid w:val="004B1F9F"/>
    <w:rsid w:val="004B3068"/>
    <w:rsid w:val="004B36EA"/>
    <w:rsid w:val="004B4890"/>
    <w:rsid w:val="004B48BD"/>
    <w:rsid w:val="004B509D"/>
    <w:rsid w:val="004B6AAA"/>
    <w:rsid w:val="004B78A1"/>
    <w:rsid w:val="004B7922"/>
    <w:rsid w:val="004C011A"/>
    <w:rsid w:val="004C0B23"/>
    <w:rsid w:val="004C18E9"/>
    <w:rsid w:val="004C26C2"/>
    <w:rsid w:val="004C29BD"/>
    <w:rsid w:val="004C3440"/>
    <w:rsid w:val="004C3A17"/>
    <w:rsid w:val="004C4120"/>
    <w:rsid w:val="004C4313"/>
    <w:rsid w:val="004C489F"/>
    <w:rsid w:val="004C4CAD"/>
    <w:rsid w:val="004C4CCF"/>
    <w:rsid w:val="004C505D"/>
    <w:rsid w:val="004C52D6"/>
    <w:rsid w:val="004C5682"/>
    <w:rsid w:val="004C5A6A"/>
    <w:rsid w:val="004C6797"/>
    <w:rsid w:val="004C7B4C"/>
    <w:rsid w:val="004D05C1"/>
    <w:rsid w:val="004D1235"/>
    <w:rsid w:val="004D1236"/>
    <w:rsid w:val="004D1426"/>
    <w:rsid w:val="004D193D"/>
    <w:rsid w:val="004D200D"/>
    <w:rsid w:val="004D22F4"/>
    <w:rsid w:val="004D2ADE"/>
    <w:rsid w:val="004D2CEC"/>
    <w:rsid w:val="004D30AE"/>
    <w:rsid w:val="004D39AB"/>
    <w:rsid w:val="004D3AC5"/>
    <w:rsid w:val="004D4837"/>
    <w:rsid w:val="004D4A96"/>
    <w:rsid w:val="004D4CEB"/>
    <w:rsid w:val="004D52F2"/>
    <w:rsid w:val="004D540F"/>
    <w:rsid w:val="004D6CB2"/>
    <w:rsid w:val="004D6FB7"/>
    <w:rsid w:val="004D7C17"/>
    <w:rsid w:val="004E01CC"/>
    <w:rsid w:val="004E2465"/>
    <w:rsid w:val="004E29AC"/>
    <w:rsid w:val="004E3F79"/>
    <w:rsid w:val="004E47BF"/>
    <w:rsid w:val="004E47F7"/>
    <w:rsid w:val="004E5169"/>
    <w:rsid w:val="004E5822"/>
    <w:rsid w:val="004E5A3A"/>
    <w:rsid w:val="004E5BC0"/>
    <w:rsid w:val="004E684B"/>
    <w:rsid w:val="004E6D99"/>
    <w:rsid w:val="004E7453"/>
    <w:rsid w:val="004E78AE"/>
    <w:rsid w:val="004F0D23"/>
    <w:rsid w:val="004F0DE7"/>
    <w:rsid w:val="004F2104"/>
    <w:rsid w:val="004F328C"/>
    <w:rsid w:val="004F4616"/>
    <w:rsid w:val="004F4BA7"/>
    <w:rsid w:val="004F56FD"/>
    <w:rsid w:val="004F6634"/>
    <w:rsid w:val="004F714F"/>
    <w:rsid w:val="005005E4"/>
    <w:rsid w:val="00500617"/>
    <w:rsid w:val="00501438"/>
    <w:rsid w:val="00501826"/>
    <w:rsid w:val="0050307F"/>
    <w:rsid w:val="005042F2"/>
    <w:rsid w:val="00504419"/>
    <w:rsid w:val="0050615D"/>
    <w:rsid w:val="0050623D"/>
    <w:rsid w:val="005100ED"/>
    <w:rsid w:val="00511DA9"/>
    <w:rsid w:val="00512E56"/>
    <w:rsid w:val="00512FE1"/>
    <w:rsid w:val="005134FA"/>
    <w:rsid w:val="00516063"/>
    <w:rsid w:val="00516DC5"/>
    <w:rsid w:val="00516F5F"/>
    <w:rsid w:val="00520493"/>
    <w:rsid w:val="00520C09"/>
    <w:rsid w:val="00520E23"/>
    <w:rsid w:val="0052103F"/>
    <w:rsid w:val="00521618"/>
    <w:rsid w:val="005216C7"/>
    <w:rsid w:val="00521C21"/>
    <w:rsid w:val="00521CBF"/>
    <w:rsid w:val="00522391"/>
    <w:rsid w:val="0052291B"/>
    <w:rsid w:val="00522A10"/>
    <w:rsid w:val="00523074"/>
    <w:rsid w:val="005237CB"/>
    <w:rsid w:val="00523B3B"/>
    <w:rsid w:val="005245A9"/>
    <w:rsid w:val="005249A1"/>
    <w:rsid w:val="00524D90"/>
    <w:rsid w:val="00526104"/>
    <w:rsid w:val="0052678D"/>
    <w:rsid w:val="00526C80"/>
    <w:rsid w:val="00527306"/>
    <w:rsid w:val="0052747C"/>
    <w:rsid w:val="005307EF"/>
    <w:rsid w:val="00530DFC"/>
    <w:rsid w:val="0053191A"/>
    <w:rsid w:val="00531FD4"/>
    <w:rsid w:val="00532AA2"/>
    <w:rsid w:val="00532DF4"/>
    <w:rsid w:val="0053393E"/>
    <w:rsid w:val="0053515C"/>
    <w:rsid w:val="00536372"/>
    <w:rsid w:val="005369E8"/>
    <w:rsid w:val="00536B42"/>
    <w:rsid w:val="00536EB6"/>
    <w:rsid w:val="005370D7"/>
    <w:rsid w:val="005375BA"/>
    <w:rsid w:val="0054064C"/>
    <w:rsid w:val="00542E5D"/>
    <w:rsid w:val="00543258"/>
    <w:rsid w:val="005433B9"/>
    <w:rsid w:val="005436BA"/>
    <w:rsid w:val="00543794"/>
    <w:rsid w:val="005439B5"/>
    <w:rsid w:val="00544131"/>
    <w:rsid w:val="00544CC6"/>
    <w:rsid w:val="00544FFA"/>
    <w:rsid w:val="005456D4"/>
    <w:rsid w:val="005459C8"/>
    <w:rsid w:val="00546983"/>
    <w:rsid w:val="00546C23"/>
    <w:rsid w:val="00547284"/>
    <w:rsid w:val="005474EA"/>
    <w:rsid w:val="005477C6"/>
    <w:rsid w:val="005477D0"/>
    <w:rsid w:val="005478F8"/>
    <w:rsid w:val="005503D3"/>
    <w:rsid w:val="00550895"/>
    <w:rsid w:val="00551205"/>
    <w:rsid w:val="005512A9"/>
    <w:rsid w:val="00551E2F"/>
    <w:rsid w:val="00551FE9"/>
    <w:rsid w:val="00552632"/>
    <w:rsid w:val="00552641"/>
    <w:rsid w:val="00552A9D"/>
    <w:rsid w:val="00553821"/>
    <w:rsid w:val="00554DE0"/>
    <w:rsid w:val="005564AD"/>
    <w:rsid w:val="00556E28"/>
    <w:rsid w:val="00556EE7"/>
    <w:rsid w:val="00557093"/>
    <w:rsid w:val="00557432"/>
    <w:rsid w:val="00557435"/>
    <w:rsid w:val="00557E38"/>
    <w:rsid w:val="00557F15"/>
    <w:rsid w:val="00560339"/>
    <w:rsid w:val="005606FB"/>
    <w:rsid w:val="00560946"/>
    <w:rsid w:val="005616B3"/>
    <w:rsid w:val="00561C80"/>
    <w:rsid w:val="00561FF9"/>
    <w:rsid w:val="00562401"/>
    <w:rsid w:val="005629D0"/>
    <w:rsid w:val="005647BC"/>
    <w:rsid w:val="0056524D"/>
    <w:rsid w:val="00565B09"/>
    <w:rsid w:val="00565CB1"/>
    <w:rsid w:val="00566832"/>
    <w:rsid w:val="00566E56"/>
    <w:rsid w:val="00567406"/>
    <w:rsid w:val="00567F30"/>
    <w:rsid w:val="00570153"/>
    <w:rsid w:val="0057148A"/>
    <w:rsid w:val="00571C0C"/>
    <w:rsid w:val="005724DF"/>
    <w:rsid w:val="00572DC4"/>
    <w:rsid w:val="00573166"/>
    <w:rsid w:val="005731FC"/>
    <w:rsid w:val="00573AA4"/>
    <w:rsid w:val="00574324"/>
    <w:rsid w:val="005746DE"/>
    <w:rsid w:val="0057488E"/>
    <w:rsid w:val="0057499E"/>
    <w:rsid w:val="0057556B"/>
    <w:rsid w:val="0057627A"/>
    <w:rsid w:val="00576561"/>
    <w:rsid w:val="00576C5E"/>
    <w:rsid w:val="00577643"/>
    <w:rsid w:val="00577C2F"/>
    <w:rsid w:val="005810D3"/>
    <w:rsid w:val="00581D1D"/>
    <w:rsid w:val="00581D5E"/>
    <w:rsid w:val="0058201D"/>
    <w:rsid w:val="00582578"/>
    <w:rsid w:val="0058329E"/>
    <w:rsid w:val="00583D9C"/>
    <w:rsid w:val="00584662"/>
    <w:rsid w:val="00584AF1"/>
    <w:rsid w:val="00584C90"/>
    <w:rsid w:val="005854FF"/>
    <w:rsid w:val="0058556C"/>
    <w:rsid w:val="005858CA"/>
    <w:rsid w:val="00585A93"/>
    <w:rsid w:val="00585D63"/>
    <w:rsid w:val="00586422"/>
    <w:rsid w:val="00586710"/>
    <w:rsid w:val="00587A8B"/>
    <w:rsid w:val="00587D21"/>
    <w:rsid w:val="00591060"/>
    <w:rsid w:val="005913FF"/>
    <w:rsid w:val="00592564"/>
    <w:rsid w:val="00592A29"/>
    <w:rsid w:val="00594A9F"/>
    <w:rsid w:val="00595887"/>
    <w:rsid w:val="00595B64"/>
    <w:rsid w:val="00595D69"/>
    <w:rsid w:val="00596C21"/>
    <w:rsid w:val="00597351"/>
    <w:rsid w:val="0059785C"/>
    <w:rsid w:val="005A0049"/>
    <w:rsid w:val="005A0455"/>
    <w:rsid w:val="005A0FFC"/>
    <w:rsid w:val="005A11F4"/>
    <w:rsid w:val="005A1C03"/>
    <w:rsid w:val="005A1C51"/>
    <w:rsid w:val="005A2239"/>
    <w:rsid w:val="005A25D8"/>
    <w:rsid w:val="005A346B"/>
    <w:rsid w:val="005A49C3"/>
    <w:rsid w:val="005A4A7E"/>
    <w:rsid w:val="005A52D8"/>
    <w:rsid w:val="005A54DD"/>
    <w:rsid w:val="005A5928"/>
    <w:rsid w:val="005A5981"/>
    <w:rsid w:val="005A65BF"/>
    <w:rsid w:val="005A6649"/>
    <w:rsid w:val="005A6763"/>
    <w:rsid w:val="005A6C7C"/>
    <w:rsid w:val="005A6CCE"/>
    <w:rsid w:val="005A7481"/>
    <w:rsid w:val="005A74C2"/>
    <w:rsid w:val="005A7A9E"/>
    <w:rsid w:val="005B1025"/>
    <w:rsid w:val="005B10DF"/>
    <w:rsid w:val="005B2243"/>
    <w:rsid w:val="005B44EB"/>
    <w:rsid w:val="005B474E"/>
    <w:rsid w:val="005B4E49"/>
    <w:rsid w:val="005B4F19"/>
    <w:rsid w:val="005B62D1"/>
    <w:rsid w:val="005B718E"/>
    <w:rsid w:val="005C0FA0"/>
    <w:rsid w:val="005C11EC"/>
    <w:rsid w:val="005C1B8A"/>
    <w:rsid w:val="005C33EE"/>
    <w:rsid w:val="005C3B17"/>
    <w:rsid w:val="005C3F89"/>
    <w:rsid w:val="005C478B"/>
    <w:rsid w:val="005C51C2"/>
    <w:rsid w:val="005C5E71"/>
    <w:rsid w:val="005C605E"/>
    <w:rsid w:val="005C64E2"/>
    <w:rsid w:val="005C678A"/>
    <w:rsid w:val="005C6F87"/>
    <w:rsid w:val="005C7B44"/>
    <w:rsid w:val="005D02FB"/>
    <w:rsid w:val="005D0373"/>
    <w:rsid w:val="005D0A8D"/>
    <w:rsid w:val="005D0F1C"/>
    <w:rsid w:val="005D0FAC"/>
    <w:rsid w:val="005D11AF"/>
    <w:rsid w:val="005D1BA1"/>
    <w:rsid w:val="005D206E"/>
    <w:rsid w:val="005D2E5B"/>
    <w:rsid w:val="005D38A6"/>
    <w:rsid w:val="005D6130"/>
    <w:rsid w:val="005D6292"/>
    <w:rsid w:val="005D6E8A"/>
    <w:rsid w:val="005D746C"/>
    <w:rsid w:val="005D7758"/>
    <w:rsid w:val="005E0914"/>
    <w:rsid w:val="005E15BB"/>
    <w:rsid w:val="005E1B68"/>
    <w:rsid w:val="005E24BB"/>
    <w:rsid w:val="005E2B83"/>
    <w:rsid w:val="005E2C67"/>
    <w:rsid w:val="005E3D03"/>
    <w:rsid w:val="005E44BE"/>
    <w:rsid w:val="005E48B7"/>
    <w:rsid w:val="005E56D8"/>
    <w:rsid w:val="005E5C45"/>
    <w:rsid w:val="005E6358"/>
    <w:rsid w:val="005E63C4"/>
    <w:rsid w:val="005E64A2"/>
    <w:rsid w:val="005E69A0"/>
    <w:rsid w:val="005E6D98"/>
    <w:rsid w:val="005E7410"/>
    <w:rsid w:val="005E7D42"/>
    <w:rsid w:val="005F0115"/>
    <w:rsid w:val="005F0A39"/>
    <w:rsid w:val="005F2208"/>
    <w:rsid w:val="005F297D"/>
    <w:rsid w:val="005F29F7"/>
    <w:rsid w:val="005F38EF"/>
    <w:rsid w:val="005F3A6D"/>
    <w:rsid w:val="005F4584"/>
    <w:rsid w:val="005F6618"/>
    <w:rsid w:val="005F7263"/>
    <w:rsid w:val="005F7831"/>
    <w:rsid w:val="006007D4"/>
    <w:rsid w:val="006012DA"/>
    <w:rsid w:val="00601696"/>
    <w:rsid w:val="00601A8C"/>
    <w:rsid w:val="00602318"/>
    <w:rsid w:val="006024AF"/>
    <w:rsid w:val="00602EA6"/>
    <w:rsid w:val="00602EF0"/>
    <w:rsid w:val="0060466A"/>
    <w:rsid w:val="00604D7D"/>
    <w:rsid w:val="0060517B"/>
    <w:rsid w:val="006056EF"/>
    <w:rsid w:val="00606548"/>
    <w:rsid w:val="00606765"/>
    <w:rsid w:val="0060678D"/>
    <w:rsid w:val="0060723A"/>
    <w:rsid w:val="00607C2D"/>
    <w:rsid w:val="00610A2C"/>
    <w:rsid w:val="00610DAD"/>
    <w:rsid w:val="00610E65"/>
    <w:rsid w:val="00611A59"/>
    <w:rsid w:val="00612400"/>
    <w:rsid w:val="006125D2"/>
    <w:rsid w:val="00612816"/>
    <w:rsid w:val="00612C05"/>
    <w:rsid w:val="00612FCC"/>
    <w:rsid w:val="00613DA1"/>
    <w:rsid w:val="006148AF"/>
    <w:rsid w:val="006153B0"/>
    <w:rsid w:val="00615BB3"/>
    <w:rsid w:val="00615DAD"/>
    <w:rsid w:val="006161F9"/>
    <w:rsid w:val="00616A00"/>
    <w:rsid w:val="0061741C"/>
    <w:rsid w:val="006205C6"/>
    <w:rsid w:val="00620732"/>
    <w:rsid w:val="00620A2F"/>
    <w:rsid w:val="00620C59"/>
    <w:rsid w:val="00622E64"/>
    <w:rsid w:val="00624024"/>
    <w:rsid w:val="00624279"/>
    <w:rsid w:val="0062457C"/>
    <w:rsid w:val="00624885"/>
    <w:rsid w:val="00624A46"/>
    <w:rsid w:val="00624BF1"/>
    <w:rsid w:val="00624CE2"/>
    <w:rsid w:val="0062572B"/>
    <w:rsid w:val="006311B1"/>
    <w:rsid w:val="00631764"/>
    <w:rsid w:val="0063226D"/>
    <w:rsid w:val="006326B5"/>
    <w:rsid w:val="0063296B"/>
    <w:rsid w:val="00632971"/>
    <w:rsid w:val="00632E1F"/>
    <w:rsid w:val="00632E2F"/>
    <w:rsid w:val="00634D43"/>
    <w:rsid w:val="006359CF"/>
    <w:rsid w:val="00636158"/>
    <w:rsid w:val="0063645A"/>
    <w:rsid w:val="006365A3"/>
    <w:rsid w:val="006366BA"/>
    <w:rsid w:val="00636B9A"/>
    <w:rsid w:val="00636F03"/>
    <w:rsid w:val="006374D0"/>
    <w:rsid w:val="006403AD"/>
    <w:rsid w:val="00640A9F"/>
    <w:rsid w:val="00641163"/>
    <w:rsid w:val="00641454"/>
    <w:rsid w:val="00641765"/>
    <w:rsid w:val="0064227D"/>
    <w:rsid w:val="006425E2"/>
    <w:rsid w:val="006437EF"/>
    <w:rsid w:val="00643887"/>
    <w:rsid w:val="00643961"/>
    <w:rsid w:val="00644707"/>
    <w:rsid w:val="00644839"/>
    <w:rsid w:val="00644904"/>
    <w:rsid w:val="00644A3F"/>
    <w:rsid w:val="00644BAE"/>
    <w:rsid w:val="00644F4B"/>
    <w:rsid w:val="006452E8"/>
    <w:rsid w:val="00645442"/>
    <w:rsid w:val="0064570B"/>
    <w:rsid w:val="00646862"/>
    <w:rsid w:val="006476A8"/>
    <w:rsid w:val="006477C1"/>
    <w:rsid w:val="006478F6"/>
    <w:rsid w:val="00650255"/>
    <w:rsid w:val="00650374"/>
    <w:rsid w:val="006505DE"/>
    <w:rsid w:val="0065091C"/>
    <w:rsid w:val="0065140E"/>
    <w:rsid w:val="00651440"/>
    <w:rsid w:val="0065231D"/>
    <w:rsid w:val="00652395"/>
    <w:rsid w:val="006525B2"/>
    <w:rsid w:val="0065272C"/>
    <w:rsid w:val="006527AF"/>
    <w:rsid w:val="00652B48"/>
    <w:rsid w:val="00652C24"/>
    <w:rsid w:val="0065548C"/>
    <w:rsid w:val="00656001"/>
    <w:rsid w:val="0065607E"/>
    <w:rsid w:val="0065629B"/>
    <w:rsid w:val="0065673F"/>
    <w:rsid w:val="006574DB"/>
    <w:rsid w:val="00657AB1"/>
    <w:rsid w:val="00657D7A"/>
    <w:rsid w:val="00657D99"/>
    <w:rsid w:val="006608D5"/>
    <w:rsid w:val="00660F86"/>
    <w:rsid w:val="00661BE8"/>
    <w:rsid w:val="006625D8"/>
    <w:rsid w:val="00662D2E"/>
    <w:rsid w:val="00662EFA"/>
    <w:rsid w:val="00663E7F"/>
    <w:rsid w:val="006647BB"/>
    <w:rsid w:val="006655C5"/>
    <w:rsid w:val="0066562E"/>
    <w:rsid w:val="00666F7A"/>
    <w:rsid w:val="006679BD"/>
    <w:rsid w:val="00667B27"/>
    <w:rsid w:val="00667D19"/>
    <w:rsid w:val="00670F65"/>
    <w:rsid w:val="006711C5"/>
    <w:rsid w:val="00672C8A"/>
    <w:rsid w:val="00672F10"/>
    <w:rsid w:val="0067300F"/>
    <w:rsid w:val="0067317B"/>
    <w:rsid w:val="00673786"/>
    <w:rsid w:val="00673AEF"/>
    <w:rsid w:val="006743F8"/>
    <w:rsid w:val="0067533F"/>
    <w:rsid w:val="00675583"/>
    <w:rsid w:val="00675693"/>
    <w:rsid w:val="00676029"/>
    <w:rsid w:val="0067623B"/>
    <w:rsid w:val="00676320"/>
    <w:rsid w:val="00676705"/>
    <w:rsid w:val="00680B41"/>
    <w:rsid w:val="00681224"/>
    <w:rsid w:val="006819A5"/>
    <w:rsid w:val="00681AC1"/>
    <w:rsid w:val="006826A6"/>
    <w:rsid w:val="006826DC"/>
    <w:rsid w:val="006827FD"/>
    <w:rsid w:val="00682CE6"/>
    <w:rsid w:val="0068301B"/>
    <w:rsid w:val="0068393C"/>
    <w:rsid w:val="00683ED7"/>
    <w:rsid w:val="006845D8"/>
    <w:rsid w:val="00684DE5"/>
    <w:rsid w:val="006852C4"/>
    <w:rsid w:val="0068533B"/>
    <w:rsid w:val="006856BF"/>
    <w:rsid w:val="00686B31"/>
    <w:rsid w:val="00686C6D"/>
    <w:rsid w:val="0069026A"/>
    <w:rsid w:val="00690BDC"/>
    <w:rsid w:val="00691450"/>
    <w:rsid w:val="006915F6"/>
    <w:rsid w:val="006916ED"/>
    <w:rsid w:val="00691918"/>
    <w:rsid w:val="00691B55"/>
    <w:rsid w:val="00691F22"/>
    <w:rsid w:val="0069279B"/>
    <w:rsid w:val="00692BB8"/>
    <w:rsid w:val="0069477A"/>
    <w:rsid w:val="00695F0D"/>
    <w:rsid w:val="00696205"/>
    <w:rsid w:val="006967C7"/>
    <w:rsid w:val="00696F8F"/>
    <w:rsid w:val="00697158"/>
    <w:rsid w:val="00697E49"/>
    <w:rsid w:val="006A0EE7"/>
    <w:rsid w:val="006A1A39"/>
    <w:rsid w:val="006A1C00"/>
    <w:rsid w:val="006A21BF"/>
    <w:rsid w:val="006A2224"/>
    <w:rsid w:val="006A2678"/>
    <w:rsid w:val="006A2C76"/>
    <w:rsid w:val="006A2EBE"/>
    <w:rsid w:val="006A3734"/>
    <w:rsid w:val="006A3992"/>
    <w:rsid w:val="006A3AAE"/>
    <w:rsid w:val="006A3F1A"/>
    <w:rsid w:val="006A403D"/>
    <w:rsid w:val="006A60C5"/>
    <w:rsid w:val="006A6241"/>
    <w:rsid w:val="006A687C"/>
    <w:rsid w:val="006A6C4C"/>
    <w:rsid w:val="006A7924"/>
    <w:rsid w:val="006A7FF9"/>
    <w:rsid w:val="006B01CB"/>
    <w:rsid w:val="006B0460"/>
    <w:rsid w:val="006B0657"/>
    <w:rsid w:val="006B0E62"/>
    <w:rsid w:val="006B1772"/>
    <w:rsid w:val="006B1DC9"/>
    <w:rsid w:val="006B300B"/>
    <w:rsid w:val="006B37AB"/>
    <w:rsid w:val="006B4153"/>
    <w:rsid w:val="006B41FA"/>
    <w:rsid w:val="006B4777"/>
    <w:rsid w:val="006B4FE9"/>
    <w:rsid w:val="006B6517"/>
    <w:rsid w:val="006B68D7"/>
    <w:rsid w:val="006B69DD"/>
    <w:rsid w:val="006B6A0F"/>
    <w:rsid w:val="006C08B9"/>
    <w:rsid w:val="006C1121"/>
    <w:rsid w:val="006C1A23"/>
    <w:rsid w:val="006C1D21"/>
    <w:rsid w:val="006C20D3"/>
    <w:rsid w:val="006C3544"/>
    <w:rsid w:val="006C3A12"/>
    <w:rsid w:val="006C3D03"/>
    <w:rsid w:val="006C53DA"/>
    <w:rsid w:val="006C56ED"/>
    <w:rsid w:val="006C66CF"/>
    <w:rsid w:val="006C6FF1"/>
    <w:rsid w:val="006C7287"/>
    <w:rsid w:val="006C78E5"/>
    <w:rsid w:val="006C7A44"/>
    <w:rsid w:val="006C7B84"/>
    <w:rsid w:val="006C7E6A"/>
    <w:rsid w:val="006C7EEC"/>
    <w:rsid w:val="006D142C"/>
    <w:rsid w:val="006D1668"/>
    <w:rsid w:val="006D1708"/>
    <w:rsid w:val="006D2414"/>
    <w:rsid w:val="006D2782"/>
    <w:rsid w:val="006D2D86"/>
    <w:rsid w:val="006D308A"/>
    <w:rsid w:val="006D3570"/>
    <w:rsid w:val="006D35DB"/>
    <w:rsid w:val="006D382A"/>
    <w:rsid w:val="006D3CAE"/>
    <w:rsid w:val="006D49DE"/>
    <w:rsid w:val="006D576B"/>
    <w:rsid w:val="006D608F"/>
    <w:rsid w:val="006D618A"/>
    <w:rsid w:val="006D6500"/>
    <w:rsid w:val="006D7040"/>
    <w:rsid w:val="006D7B08"/>
    <w:rsid w:val="006E0BB9"/>
    <w:rsid w:val="006E0CB0"/>
    <w:rsid w:val="006E1F31"/>
    <w:rsid w:val="006E2D95"/>
    <w:rsid w:val="006E3463"/>
    <w:rsid w:val="006E4946"/>
    <w:rsid w:val="006E4F40"/>
    <w:rsid w:val="006E5315"/>
    <w:rsid w:val="006E6080"/>
    <w:rsid w:val="006E62C3"/>
    <w:rsid w:val="006E63EA"/>
    <w:rsid w:val="006E6FFB"/>
    <w:rsid w:val="006E7872"/>
    <w:rsid w:val="006F04E2"/>
    <w:rsid w:val="006F0ABA"/>
    <w:rsid w:val="006F0CFC"/>
    <w:rsid w:val="006F12E9"/>
    <w:rsid w:val="006F1840"/>
    <w:rsid w:val="006F19CA"/>
    <w:rsid w:val="006F1B09"/>
    <w:rsid w:val="006F29A9"/>
    <w:rsid w:val="006F332D"/>
    <w:rsid w:val="006F3D4D"/>
    <w:rsid w:val="006F42FA"/>
    <w:rsid w:val="006F4577"/>
    <w:rsid w:val="006F53EF"/>
    <w:rsid w:val="006F5583"/>
    <w:rsid w:val="006F62F9"/>
    <w:rsid w:val="006F7380"/>
    <w:rsid w:val="006F794F"/>
    <w:rsid w:val="006F7971"/>
    <w:rsid w:val="006F7ED3"/>
    <w:rsid w:val="00700B85"/>
    <w:rsid w:val="00700CCF"/>
    <w:rsid w:val="00700EC2"/>
    <w:rsid w:val="0070125A"/>
    <w:rsid w:val="00701CBA"/>
    <w:rsid w:val="00702112"/>
    <w:rsid w:val="00702491"/>
    <w:rsid w:val="00702F49"/>
    <w:rsid w:val="0070362E"/>
    <w:rsid w:val="00703A17"/>
    <w:rsid w:val="00703CB8"/>
    <w:rsid w:val="00705026"/>
    <w:rsid w:val="00705C2F"/>
    <w:rsid w:val="00705E41"/>
    <w:rsid w:val="007070A2"/>
    <w:rsid w:val="00707512"/>
    <w:rsid w:val="00707745"/>
    <w:rsid w:val="00707857"/>
    <w:rsid w:val="00707900"/>
    <w:rsid w:val="007107D4"/>
    <w:rsid w:val="007121F2"/>
    <w:rsid w:val="00713C42"/>
    <w:rsid w:val="007142D7"/>
    <w:rsid w:val="00714493"/>
    <w:rsid w:val="007148DA"/>
    <w:rsid w:val="00714E2E"/>
    <w:rsid w:val="0071509B"/>
    <w:rsid w:val="007160F5"/>
    <w:rsid w:val="0071614B"/>
    <w:rsid w:val="00716CDC"/>
    <w:rsid w:val="0071721E"/>
    <w:rsid w:val="00717FA5"/>
    <w:rsid w:val="007209C1"/>
    <w:rsid w:val="0072149F"/>
    <w:rsid w:val="00721633"/>
    <w:rsid w:val="00722AF0"/>
    <w:rsid w:val="00723379"/>
    <w:rsid w:val="0072339E"/>
    <w:rsid w:val="00723791"/>
    <w:rsid w:val="00724344"/>
    <w:rsid w:val="007247D7"/>
    <w:rsid w:val="007249D3"/>
    <w:rsid w:val="0072582C"/>
    <w:rsid w:val="00725936"/>
    <w:rsid w:val="00726671"/>
    <w:rsid w:val="0072741F"/>
    <w:rsid w:val="00727BCA"/>
    <w:rsid w:val="00727F41"/>
    <w:rsid w:val="007304D0"/>
    <w:rsid w:val="00730590"/>
    <w:rsid w:val="00730C57"/>
    <w:rsid w:val="00730D3F"/>
    <w:rsid w:val="00730FFD"/>
    <w:rsid w:val="00731096"/>
    <w:rsid w:val="00732404"/>
    <w:rsid w:val="0073267F"/>
    <w:rsid w:val="00733160"/>
    <w:rsid w:val="007331DA"/>
    <w:rsid w:val="00733614"/>
    <w:rsid w:val="0073366F"/>
    <w:rsid w:val="00733D8E"/>
    <w:rsid w:val="00734395"/>
    <w:rsid w:val="00734A34"/>
    <w:rsid w:val="00735585"/>
    <w:rsid w:val="007359C9"/>
    <w:rsid w:val="007367D8"/>
    <w:rsid w:val="00736FC2"/>
    <w:rsid w:val="00737481"/>
    <w:rsid w:val="00737A56"/>
    <w:rsid w:val="00737D0A"/>
    <w:rsid w:val="00740289"/>
    <w:rsid w:val="007408A4"/>
    <w:rsid w:val="00740EE9"/>
    <w:rsid w:val="00740F58"/>
    <w:rsid w:val="00742058"/>
    <w:rsid w:val="0074280D"/>
    <w:rsid w:val="0074337F"/>
    <w:rsid w:val="007436D4"/>
    <w:rsid w:val="0074421F"/>
    <w:rsid w:val="00745063"/>
    <w:rsid w:val="00745600"/>
    <w:rsid w:val="007456F5"/>
    <w:rsid w:val="007465FB"/>
    <w:rsid w:val="00746ADE"/>
    <w:rsid w:val="00746E6A"/>
    <w:rsid w:val="007475A4"/>
    <w:rsid w:val="007477FE"/>
    <w:rsid w:val="00747F03"/>
    <w:rsid w:val="007502CA"/>
    <w:rsid w:val="007511B9"/>
    <w:rsid w:val="00751600"/>
    <w:rsid w:val="00751B5A"/>
    <w:rsid w:val="0075204E"/>
    <w:rsid w:val="0075344B"/>
    <w:rsid w:val="007537FD"/>
    <w:rsid w:val="007541A7"/>
    <w:rsid w:val="00754591"/>
    <w:rsid w:val="00755022"/>
    <w:rsid w:val="007552E8"/>
    <w:rsid w:val="00755B29"/>
    <w:rsid w:val="00755D53"/>
    <w:rsid w:val="007562E3"/>
    <w:rsid w:val="007566D6"/>
    <w:rsid w:val="007569EC"/>
    <w:rsid w:val="00756BC6"/>
    <w:rsid w:val="007571F7"/>
    <w:rsid w:val="00757C1B"/>
    <w:rsid w:val="00757CE0"/>
    <w:rsid w:val="0076004E"/>
    <w:rsid w:val="00760981"/>
    <w:rsid w:val="00760ADA"/>
    <w:rsid w:val="00761113"/>
    <w:rsid w:val="007616E1"/>
    <w:rsid w:val="00762766"/>
    <w:rsid w:val="00763A80"/>
    <w:rsid w:val="007642FE"/>
    <w:rsid w:val="00764905"/>
    <w:rsid w:val="00764BE0"/>
    <w:rsid w:val="00765298"/>
    <w:rsid w:val="00765DD8"/>
    <w:rsid w:val="007661C5"/>
    <w:rsid w:val="00766542"/>
    <w:rsid w:val="00767A82"/>
    <w:rsid w:val="00767F4A"/>
    <w:rsid w:val="00770B85"/>
    <w:rsid w:val="00770FA0"/>
    <w:rsid w:val="00771A37"/>
    <w:rsid w:val="00771BCC"/>
    <w:rsid w:val="00772165"/>
    <w:rsid w:val="00772627"/>
    <w:rsid w:val="00772651"/>
    <w:rsid w:val="00772CB8"/>
    <w:rsid w:val="007736B0"/>
    <w:rsid w:val="00774631"/>
    <w:rsid w:val="007747CF"/>
    <w:rsid w:val="0077567F"/>
    <w:rsid w:val="00775AAF"/>
    <w:rsid w:val="00776C38"/>
    <w:rsid w:val="00776F3F"/>
    <w:rsid w:val="007801BA"/>
    <w:rsid w:val="00780E12"/>
    <w:rsid w:val="00780E5A"/>
    <w:rsid w:val="00781215"/>
    <w:rsid w:val="0078186A"/>
    <w:rsid w:val="00781AE0"/>
    <w:rsid w:val="0078213E"/>
    <w:rsid w:val="00782D2B"/>
    <w:rsid w:val="00783A7F"/>
    <w:rsid w:val="00783C29"/>
    <w:rsid w:val="007840E5"/>
    <w:rsid w:val="007841EE"/>
    <w:rsid w:val="00784F35"/>
    <w:rsid w:val="0078793B"/>
    <w:rsid w:val="00787C4B"/>
    <w:rsid w:val="0079018A"/>
    <w:rsid w:val="00791722"/>
    <w:rsid w:val="00791D2B"/>
    <w:rsid w:val="00791FE7"/>
    <w:rsid w:val="0079295E"/>
    <w:rsid w:val="0079385E"/>
    <w:rsid w:val="0079414A"/>
    <w:rsid w:val="007944E6"/>
    <w:rsid w:val="00794641"/>
    <w:rsid w:val="0079497E"/>
    <w:rsid w:val="0079526F"/>
    <w:rsid w:val="007952CD"/>
    <w:rsid w:val="00795D03"/>
    <w:rsid w:val="00796623"/>
    <w:rsid w:val="00797D34"/>
    <w:rsid w:val="007A08A9"/>
    <w:rsid w:val="007A1E7C"/>
    <w:rsid w:val="007A2314"/>
    <w:rsid w:val="007A4295"/>
    <w:rsid w:val="007A5A2E"/>
    <w:rsid w:val="007A5D34"/>
    <w:rsid w:val="007A7920"/>
    <w:rsid w:val="007A7B58"/>
    <w:rsid w:val="007B0174"/>
    <w:rsid w:val="007B093B"/>
    <w:rsid w:val="007B0940"/>
    <w:rsid w:val="007B0DC9"/>
    <w:rsid w:val="007B1E38"/>
    <w:rsid w:val="007B209B"/>
    <w:rsid w:val="007B218F"/>
    <w:rsid w:val="007B25ED"/>
    <w:rsid w:val="007B3515"/>
    <w:rsid w:val="007B3F9F"/>
    <w:rsid w:val="007B41F6"/>
    <w:rsid w:val="007B4627"/>
    <w:rsid w:val="007B4CEC"/>
    <w:rsid w:val="007B56FD"/>
    <w:rsid w:val="007B5BB5"/>
    <w:rsid w:val="007B61BF"/>
    <w:rsid w:val="007B7074"/>
    <w:rsid w:val="007B735B"/>
    <w:rsid w:val="007C0CE4"/>
    <w:rsid w:val="007C148A"/>
    <w:rsid w:val="007C297E"/>
    <w:rsid w:val="007C2D80"/>
    <w:rsid w:val="007C3B84"/>
    <w:rsid w:val="007C4DE0"/>
    <w:rsid w:val="007C50C9"/>
    <w:rsid w:val="007C52DA"/>
    <w:rsid w:val="007C628D"/>
    <w:rsid w:val="007C7D21"/>
    <w:rsid w:val="007D0077"/>
    <w:rsid w:val="007D01D4"/>
    <w:rsid w:val="007D0873"/>
    <w:rsid w:val="007D1D0C"/>
    <w:rsid w:val="007D243C"/>
    <w:rsid w:val="007D2D25"/>
    <w:rsid w:val="007D3428"/>
    <w:rsid w:val="007D3ABA"/>
    <w:rsid w:val="007D3CA1"/>
    <w:rsid w:val="007D3F37"/>
    <w:rsid w:val="007D5006"/>
    <w:rsid w:val="007D5132"/>
    <w:rsid w:val="007D5382"/>
    <w:rsid w:val="007D6476"/>
    <w:rsid w:val="007E00CC"/>
    <w:rsid w:val="007E02DC"/>
    <w:rsid w:val="007E0401"/>
    <w:rsid w:val="007E10A6"/>
    <w:rsid w:val="007E1474"/>
    <w:rsid w:val="007E168C"/>
    <w:rsid w:val="007E1B43"/>
    <w:rsid w:val="007E29FC"/>
    <w:rsid w:val="007E2FB9"/>
    <w:rsid w:val="007E30E7"/>
    <w:rsid w:val="007E3757"/>
    <w:rsid w:val="007E39A2"/>
    <w:rsid w:val="007E4440"/>
    <w:rsid w:val="007E5C23"/>
    <w:rsid w:val="007E5CF6"/>
    <w:rsid w:val="007E77E9"/>
    <w:rsid w:val="007E7E03"/>
    <w:rsid w:val="007E7E52"/>
    <w:rsid w:val="007F0446"/>
    <w:rsid w:val="007F0496"/>
    <w:rsid w:val="007F07A9"/>
    <w:rsid w:val="007F1535"/>
    <w:rsid w:val="007F2320"/>
    <w:rsid w:val="007F266D"/>
    <w:rsid w:val="007F2782"/>
    <w:rsid w:val="007F3829"/>
    <w:rsid w:val="007F401B"/>
    <w:rsid w:val="007F4978"/>
    <w:rsid w:val="007F4C2A"/>
    <w:rsid w:val="007F5109"/>
    <w:rsid w:val="007F54D4"/>
    <w:rsid w:val="007F5597"/>
    <w:rsid w:val="007F68B9"/>
    <w:rsid w:val="007F6BCB"/>
    <w:rsid w:val="007F7191"/>
    <w:rsid w:val="007F7749"/>
    <w:rsid w:val="00800040"/>
    <w:rsid w:val="008000F1"/>
    <w:rsid w:val="008008C5"/>
    <w:rsid w:val="00801DA7"/>
    <w:rsid w:val="00802FFD"/>
    <w:rsid w:val="00804274"/>
    <w:rsid w:val="008046A7"/>
    <w:rsid w:val="0080567D"/>
    <w:rsid w:val="00806D52"/>
    <w:rsid w:val="00806F9B"/>
    <w:rsid w:val="00807738"/>
    <w:rsid w:val="00807A58"/>
    <w:rsid w:val="0081007B"/>
    <w:rsid w:val="008100D3"/>
    <w:rsid w:val="0081221B"/>
    <w:rsid w:val="00812417"/>
    <w:rsid w:val="00812F5A"/>
    <w:rsid w:val="008131C7"/>
    <w:rsid w:val="008132EB"/>
    <w:rsid w:val="0081541C"/>
    <w:rsid w:val="00815D52"/>
    <w:rsid w:val="00816200"/>
    <w:rsid w:val="0081670A"/>
    <w:rsid w:val="00816C03"/>
    <w:rsid w:val="00817C86"/>
    <w:rsid w:val="00817D08"/>
    <w:rsid w:val="00817E85"/>
    <w:rsid w:val="008202ED"/>
    <w:rsid w:val="008213A3"/>
    <w:rsid w:val="0082224D"/>
    <w:rsid w:val="00822793"/>
    <w:rsid w:val="00823426"/>
    <w:rsid w:val="00823ABB"/>
    <w:rsid w:val="00824DA4"/>
    <w:rsid w:val="00825BBF"/>
    <w:rsid w:val="00825C65"/>
    <w:rsid w:val="00826400"/>
    <w:rsid w:val="00826798"/>
    <w:rsid w:val="00826BCB"/>
    <w:rsid w:val="00826CA7"/>
    <w:rsid w:val="00830775"/>
    <w:rsid w:val="00831B25"/>
    <w:rsid w:val="00831D39"/>
    <w:rsid w:val="008333AD"/>
    <w:rsid w:val="0083363A"/>
    <w:rsid w:val="00833719"/>
    <w:rsid w:val="008337DF"/>
    <w:rsid w:val="00833C18"/>
    <w:rsid w:val="0083419A"/>
    <w:rsid w:val="0083478B"/>
    <w:rsid w:val="008359D8"/>
    <w:rsid w:val="008367F0"/>
    <w:rsid w:val="00836ED5"/>
    <w:rsid w:val="008374C9"/>
    <w:rsid w:val="0083760E"/>
    <w:rsid w:val="00837623"/>
    <w:rsid w:val="008401FF"/>
    <w:rsid w:val="008411FE"/>
    <w:rsid w:val="00841EF8"/>
    <w:rsid w:val="00841FCA"/>
    <w:rsid w:val="00842F8A"/>
    <w:rsid w:val="008430A7"/>
    <w:rsid w:val="0084338E"/>
    <w:rsid w:val="00843A17"/>
    <w:rsid w:val="00844145"/>
    <w:rsid w:val="00845214"/>
    <w:rsid w:val="00845859"/>
    <w:rsid w:val="008458CD"/>
    <w:rsid w:val="008464A2"/>
    <w:rsid w:val="008464E7"/>
    <w:rsid w:val="00847137"/>
    <w:rsid w:val="00847311"/>
    <w:rsid w:val="00847988"/>
    <w:rsid w:val="00850053"/>
    <w:rsid w:val="00850514"/>
    <w:rsid w:val="008509F4"/>
    <w:rsid w:val="00850E0E"/>
    <w:rsid w:val="00850FC1"/>
    <w:rsid w:val="00851D8A"/>
    <w:rsid w:val="00852024"/>
    <w:rsid w:val="0085288D"/>
    <w:rsid w:val="00853ED4"/>
    <w:rsid w:val="00854A13"/>
    <w:rsid w:val="00855165"/>
    <w:rsid w:val="008551F2"/>
    <w:rsid w:val="0085541F"/>
    <w:rsid w:val="008557FE"/>
    <w:rsid w:val="00856172"/>
    <w:rsid w:val="00856409"/>
    <w:rsid w:val="00856CA4"/>
    <w:rsid w:val="00857290"/>
    <w:rsid w:val="008572E1"/>
    <w:rsid w:val="00857C8F"/>
    <w:rsid w:val="0086098E"/>
    <w:rsid w:val="0086134D"/>
    <w:rsid w:val="00862640"/>
    <w:rsid w:val="008628A1"/>
    <w:rsid w:val="00862A3D"/>
    <w:rsid w:val="00863362"/>
    <w:rsid w:val="00863507"/>
    <w:rsid w:val="008653ED"/>
    <w:rsid w:val="008660D6"/>
    <w:rsid w:val="00867177"/>
    <w:rsid w:val="00867876"/>
    <w:rsid w:val="00867B85"/>
    <w:rsid w:val="00867CB3"/>
    <w:rsid w:val="00867E24"/>
    <w:rsid w:val="00867E51"/>
    <w:rsid w:val="00867F41"/>
    <w:rsid w:val="00870E6B"/>
    <w:rsid w:val="0087161A"/>
    <w:rsid w:val="0087208F"/>
    <w:rsid w:val="008735F8"/>
    <w:rsid w:val="008738CC"/>
    <w:rsid w:val="00873DAA"/>
    <w:rsid w:val="00874190"/>
    <w:rsid w:val="008749F9"/>
    <w:rsid w:val="00875113"/>
    <w:rsid w:val="00875187"/>
    <w:rsid w:val="00875CAB"/>
    <w:rsid w:val="00876695"/>
    <w:rsid w:val="00876EAD"/>
    <w:rsid w:val="00876EAE"/>
    <w:rsid w:val="008778E6"/>
    <w:rsid w:val="008812B3"/>
    <w:rsid w:val="008824F2"/>
    <w:rsid w:val="008826BB"/>
    <w:rsid w:val="008828C2"/>
    <w:rsid w:val="0088406B"/>
    <w:rsid w:val="0088457F"/>
    <w:rsid w:val="00884B05"/>
    <w:rsid w:val="00884B4D"/>
    <w:rsid w:val="00884C56"/>
    <w:rsid w:val="008852C2"/>
    <w:rsid w:val="00885843"/>
    <w:rsid w:val="00886280"/>
    <w:rsid w:val="00886341"/>
    <w:rsid w:val="008863C9"/>
    <w:rsid w:val="00886D14"/>
    <w:rsid w:val="008871D5"/>
    <w:rsid w:val="008878AB"/>
    <w:rsid w:val="00887B4E"/>
    <w:rsid w:val="00887B9C"/>
    <w:rsid w:val="00887C05"/>
    <w:rsid w:val="00887C99"/>
    <w:rsid w:val="00887D27"/>
    <w:rsid w:val="008900DC"/>
    <w:rsid w:val="008905AD"/>
    <w:rsid w:val="00890671"/>
    <w:rsid w:val="008918BE"/>
    <w:rsid w:val="00892622"/>
    <w:rsid w:val="008932AA"/>
    <w:rsid w:val="008941C7"/>
    <w:rsid w:val="00894928"/>
    <w:rsid w:val="008954F4"/>
    <w:rsid w:val="00895541"/>
    <w:rsid w:val="00895A70"/>
    <w:rsid w:val="00895AFA"/>
    <w:rsid w:val="00895E20"/>
    <w:rsid w:val="00896D86"/>
    <w:rsid w:val="00897D29"/>
    <w:rsid w:val="00897F80"/>
    <w:rsid w:val="008A0209"/>
    <w:rsid w:val="008A0F15"/>
    <w:rsid w:val="008A0F27"/>
    <w:rsid w:val="008A1A8F"/>
    <w:rsid w:val="008A297D"/>
    <w:rsid w:val="008A360D"/>
    <w:rsid w:val="008A3B5C"/>
    <w:rsid w:val="008A53D0"/>
    <w:rsid w:val="008A659A"/>
    <w:rsid w:val="008A78EE"/>
    <w:rsid w:val="008B0B82"/>
    <w:rsid w:val="008B0C7A"/>
    <w:rsid w:val="008B0D58"/>
    <w:rsid w:val="008B0F96"/>
    <w:rsid w:val="008B17E4"/>
    <w:rsid w:val="008B23EE"/>
    <w:rsid w:val="008B29A7"/>
    <w:rsid w:val="008B46E2"/>
    <w:rsid w:val="008B4F00"/>
    <w:rsid w:val="008B5C68"/>
    <w:rsid w:val="008B5D58"/>
    <w:rsid w:val="008B63C1"/>
    <w:rsid w:val="008B6A80"/>
    <w:rsid w:val="008B6BE3"/>
    <w:rsid w:val="008B7227"/>
    <w:rsid w:val="008B7237"/>
    <w:rsid w:val="008B7A24"/>
    <w:rsid w:val="008B7EEB"/>
    <w:rsid w:val="008B7EF8"/>
    <w:rsid w:val="008B7FBF"/>
    <w:rsid w:val="008C0590"/>
    <w:rsid w:val="008C1121"/>
    <w:rsid w:val="008C153E"/>
    <w:rsid w:val="008C1807"/>
    <w:rsid w:val="008C22B0"/>
    <w:rsid w:val="008C39C9"/>
    <w:rsid w:val="008C39CE"/>
    <w:rsid w:val="008C3A58"/>
    <w:rsid w:val="008C4014"/>
    <w:rsid w:val="008C5ACD"/>
    <w:rsid w:val="008C6714"/>
    <w:rsid w:val="008C6808"/>
    <w:rsid w:val="008C7A05"/>
    <w:rsid w:val="008D0430"/>
    <w:rsid w:val="008D0BB1"/>
    <w:rsid w:val="008D16DA"/>
    <w:rsid w:val="008D2961"/>
    <w:rsid w:val="008D38E0"/>
    <w:rsid w:val="008D40EE"/>
    <w:rsid w:val="008D5166"/>
    <w:rsid w:val="008D5235"/>
    <w:rsid w:val="008D773F"/>
    <w:rsid w:val="008E1290"/>
    <w:rsid w:val="008E375E"/>
    <w:rsid w:val="008E39B8"/>
    <w:rsid w:val="008E3D65"/>
    <w:rsid w:val="008E4BAE"/>
    <w:rsid w:val="008E4F82"/>
    <w:rsid w:val="008E5EAF"/>
    <w:rsid w:val="008E6BBD"/>
    <w:rsid w:val="008E6C1C"/>
    <w:rsid w:val="008E6CB9"/>
    <w:rsid w:val="008F0B67"/>
    <w:rsid w:val="008F0CEC"/>
    <w:rsid w:val="008F2D80"/>
    <w:rsid w:val="008F2E45"/>
    <w:rsid w:val="008F3E9C"/>
    <w:rsid w:val="008F42EE"/>
    <w:rsid w:val="008F501F"/>
    <w:rsid w:val="008F50CC"/>
    <w:rsid w:val="008F510F"/>
    <w:rsid w:val="008F59AF"/>
    <w:rsid w:val="008F59DD"/>
    <w:rsid w:val="008F5D6B"/>
    <w:rsid w:val="008F5F27"/>
    <w:rsid w:val="008F62B6"/>
    <w:rsid w:val="008F674C"/>
    <w:rsid w:val="008F76DB"/>
    <w:rsid w:val="008F7AF4"/>
    <w:rsid w:val="0090047C"/>
    <w:rsid w:val="0090050C"/>
    <w:rsid w:val="009008B3"/>
    <w:rsid w:val="00900CBF"/>
    <w:rsid w:val="00900F1F"/>
    <w:rsid w:val="00901289"/>
    <w:rsid w:val="00902755"/>
    <w:rsid w:val="00902DE4"/>
    <w:rsid w:val="00902E69"/>
    <w:rsid w:val="00903E44"/>
    <w:rsid w:val="00904478"/>
    <w:rsid w:val="00904DC6"/>
    <w:rsid w:val="00905581"/>
    <w:rsid w:val="0090602D"/>
    <w:rsid w:val="00906AF6"/>
    <w:rsid w:val="009074FE"/>
    <w:rsid w:val="00907C42"/>
    <w:rsid w:val="00910271"/>
    <w:rsid w:val="00910D14"/>
    <w:rsid w:val="009118AC"/>
    <w:rsid w:val="0091200D"/>
    <w:rsid w:val="0091224F"/>
    <w:rsid w:val="009126C6"/>
    <w:rsid w:val="00912F19"/>
    <w:rsid w:val="009133DC"/>
    <w:rsid w:val="0091347B"/>
    <w:rsid w:val="00913733"/>
    <w:rsid w:val="00913CC8"/>
    <w:rsid w:val="00913FDD"/>
    <w:rsid w:val="0091458C"/>
    <w:rsid w:val="00914635"/>
    <w:rsid w:val="00915556"/>
    <w:rsid w:val="00915DE5"/>
    <w:rsid w:val="009164F0"/>
    <w:rsid w:val="0091664F"/>
    <w:rsid w:val="00916D84"/>
    <w:rsid w:val="00916D90"/>
    <w:rsid w:val="00920850"/>
    <w:rsid w:val="00920973"/>
    <w:rsid w:val="00920BB0"/>
    <w:rsid w:val="00921282"/>
    <w:rsid w:val="00921B04"/>
    <w:rsid w:val="00922D0B"/>
    <w:rsid w:val="00922F2D"/>
    <w:rsid w:val="00923520"/>
    <w:rsid w:val="00923964"/>
    <w:rsid w:val="00924B31"/>
    <w:rsid w:val="00924B4C"/>
    <w:rsid w:val="009251DB"/>
    <w:rsid w:val="0092572B"/>
    <w:rsid w:val="00925FFE"/>
    <w:rsid w:val="009262D5"/>
    <w:rsid w:val="00926F96"/>
    <w:rsid w:val="00927F61"/>
    <w:rsid w:val="0093084F"/>
    <w:rsid w:val="00930C99"/>
    <w:rsid w:val="0093167F"/>
    <w:rsid w:val="00931C17"/>
    <w:rsid w:val="009323CF"/>
    <w:rsid w:val="009338E2"/>
    <w:rsid w:val="00934072"/>
    <w:rsid w:val="0093434C"/>
    <w:rsid w:val="0093489B"/>
    <w:rsid w:val="009348A6"/>
    <w:rsid w:val="009350D0"/>
    <w:rsid w:val="00935389"/>
    <w:rsid w:val="00935FAA"/>
    <w:rsid w:val="00936090"/>
    <w:rsid w:val="0093635F"/>
    <w:rsid w:val="0093690F"/>
    <w:rsid w:val="00936CF1"/>
    <w:rsid w:val="009378D0"/>
    <w:rsid w:val="00937D35"/>
    <w:rsid w:val="0094042B"/>
    <w:rsid w:val="009404D1"/>
    <w:rsid w:val="00941770"/>
    <w:rsid w:val="009417CA"/>
    <w:rsid w:val="00941872"/>
    <w:rsid w:val="009435FB"/>
    <w:rsid w:val="009439BB"/>
    <w:rsid w:val="00943A7C"/>
    <w:rsid w:val="00943B3D"/>
    <w:rsid w:val="009441C2"/>
    <w:rsid w:val="009443EF"/>
    <w:rsid w:val="00944BB9"/>
    <w:rsid w:val="00944DD5"/>
    <w:rsid w:val="00945010"/>
    <w:rsid w:val="00945343"/>
    <w:rsid w:val="0094572F"/>
    <w:rsid w:val="00945DB8"/>
    <w:rsid w:val="009461E8"/>
    <w:rsid w:val="009464D5"/>
    <w:rsid w:val="009466B6"/>
    <w:rsid w:val="009468F6"/>
    <w:rsid w:val="0094785D"/>
    <w:rsid w:val="0094787A"/>
    <w:rsid w:val="00947C0D"/>
    <w:rsid w:val="00947C4F"/>
    <w:rsid w:val="009508A6"/>
    <w:rsid w:val="00950E3B"/>
    <w:rsid w:val="009510AF"/>
    <w:rsid w:val="00951868"/>
    <w:rsid w:val="009531B9"/>
    <w:rsid w:val="00953B42"/>
    <w:rsid w:val="00954791"/>
    <w:rsid w:val="00955A79"/>
    <w:rsid w:val="00955AAA"/>
    <w:rsid w:val="0095625F"/>
    <w:rsid w:val="00957B97"/>
    <w:rsid w:val="0096083F"/>
    <w:rsid w:val="00960B93"/>
    <w:rsid w:val="00960CA8"/>
    <w:rsid w:val="00960CEB"/>
    <w:rsid w:val="0096103F"/>
    <w:rsid w:val="00961F93"/>
    <w:rsid w:val="0096233F"/>
    <w:rsid w:val="00962BF4"/>
    <w:rsid w:val="00964695"/>
    <w:rsid w:val="00965653"/>
    <w:rsid w:val="00966C60"/>
    <w:rsid w:val="00970D98"/>
    <w:rsid w:val="0097158A"/>
    <w:rsid w:val="0097167E"/>
    <w:rsid w:val="009719CA"/>
    <w:rsid w:val="00971D85"/>
    <w:rsid w:val="009720A9"/>
    <w:rsid w:val="009728E5"/>
    <w:rsid w:val="00973C41"/>
    <w:rsid w:val="00975089"/>
    <w:rsid w:val="00975360"/>
    <w:rsid w:val="00975CCC"/>
    <w:rsid w:val="009761CA"/>
    <w:rsid w:val="00976F71"/>
    <w:rsid w:val="0098072A"/>
    <w:rsid w:val="00980826"/>
    <w:rsid w:val="00980908"/>
    <w:rsid w:val="009813F2"/>
    <w:rsid w:val="00982034"/>
    <w:rsid w:val="0098226F"/>
    <w:rsid w:val="0098334C"/>
    <w:rsid w:val="00983B1B"/>
    <w:rsid w:val="00984745"/>
    <w:rsid w:val="00984A87"/>
    <w:rsid w:val="00984E51"/>
    <w:rsid w:val="0098627B"/>
    <w:rsid w:val="0098668F"/>
    <w:rsid w:val="00986AA3"/>
    <w:rsid w:val="00987061"/>
    <w:rsid w:val="00987755"/>
    <w:rsid w:val="00987925"/>
    <w:rsid w:val="00987937"/>
    <w:rsid w:val="009907A9"/>
    <w:rsid w:val="00990A91"/>
    <w:rsid w:val="00991A3E"/>
    <w:rsid w:val="00991D3B"/>
    <w:rsid w:val="00992D0A"/>
    <w:rsid w:val="00993AAF"/>
    <w:rsid w:val="00994679"/>
    <w:rsid w:val="00995849"/>
    <w:rsid w:val="009959D9"/>
    <w:rsid w:val="00995CDD"/>
    <w:rsid w:val="0099638F"/>
    <w:rsid w:val="009969DD"/>
    <w:rsid w:val="00996A95"/>
    <w:rsid w:val="00997A0D"/>
    <w:rsid w:val="009A0C91"/>
    <w:rsid w:val="009A1359"/>
    <w:rsid w:val="009A244D"/>
    <w:rsid w:val="009A2D49"/>
    <w:rsid w:val="009A33E3"/>
    <w:rsid w:val="009A3B31"/>
    <w:rsid w:val="009A4CA0"/>
    <w:rsid w:val="009A51FF"/>
    <w:rsid w:val="009A55BF"/>
    <w:rsid w:val="009A5D03"/>
    <w:rsid w:val="009A5E69"/>
    <w:rsid w:val="009A67ED"/>
    <w:rsid w:val="009A6CF5"/>
    <w:rsid w:val="009A7F0C"/>
    <w:rsid w:val="009B0091"/>
    <w:rsid w:val="009B012B"/>
    <w:rsid w:val="009B0335"/>
    <w:rsid w:val="009B1F7D"/>
    <w:rsid w:val="009B32BB"/>
    <w:rsid w:val="009B344E"/>
    <w:rsid w:val="009B3CE1"/>
    <w:rsid w:val="009B4E71"/>
    <w:rsid w:val="009B4EC7"/>
    <w:rsid w:val="009B5A4C"/>
    <w:rsid w:val="009B64EA"/>
    <w:rsid w:val="009B6949"/>
    <w:rsid w:val="009B6D32"/>
    <w:rsid w:val="009B7482"/>
    <w:rsid w:val="009C0506"/>
    <w:rsid w:val="009C0BC6"/>
    <w:rsid w:val="009C0E40"/>
    <w:rsid w:val="009C11AC"/>
    <w:rsid w:val="009C1835"/>
    <w:rsid w:val="009C2102"/>
    <w:rsid w:val="009C2A5D"/>
    <w:rsid w:val="009C354A"/>
    <w:rsid w:val="009C3C3E"/>
    <w:rsid w:val="009C3F3F"/>
    <w:rsid w:val="009C4174"/>
    <w:rsid w:val="009C4192"/>
    <w:rsid w:val="009C450D"/>
    <w:rsid w:val="009C50A2"/>
    <w:rsid w:val="009C6846"/>
    <w:rsid w:val="009C7F53"/>
    <w:rsid w:val="009D0516"/>
    <w:rsid w:val="009D187A"/>
    <w:rsid w:val="009D1C29"/>
    <w:rsid w:val="009D1CA1"/>
    <w:rsid w:val="009D2912"/>
    <w:rsid w:val="009D3DC0"/>
    <w:rsid w:val="009D42C6"/>
    <w:rsid w:val="009D44C6"/>
    <w:rsid w:val="009D4D07"/>
    <w:rsid w:val="009D59E3"/>
    <w:rsid w:val="009D5CBC"/>
    <w:rsid w:val="009D5FDA"/>
    <w:rsid w:val="009D61D3"/>
    <w:rsid w:val="009D6320"/>
    <w:rsid w:val="009D6BB4"/>
    <w:rsid w:val="009D6BFF"/>
    <w:rsid w:val="009D7034"/>
    <w:rsid w:val="009D7106"/>
    <w:rsid w:val="009D7472"/>
    <w:rsid w:val="009D7F42"/>
    <w:rsid w:val="009E09CE"/>
    <w:rsid w:val="009E1483"/>
    <w:rsid w:val="009E1AB8"/>
    <w:rsid w:val="009E1BD0"/>
    <w:rsid w:val="009E2288"/>
    <w:rsid w:val="009E26B1"/>
    <w:rsid w:val="009E2AAD"/>
    <w:rsid w:val="009E2FC1"/>
    <w:rsid w:val="009E35AD"/>
    <w:rsid w:val="009E4030"/>
    <w:rsid w:val="009E4458"/>
    <w:rsid w:val="009E4727"/>
    <w:rsid w:val="009E4825"/>
    <w:rsid w:val="009E49FF"/>
    <w:rsid w:val="009E54F2"/>
    <w:rsid w:val="009E62E0"/>
    <w:rsid w:val="009E68EB"/>
    <w:rsid w:val="009E6D84"/>
    <w:rsid w:val="009E700E"/>
    <w:rsid w:val="009E7D0F"/>
    <w:rsid w:val="009F1169"/>
    <w:rsid w:val="009F1178"/>
    <w:rsid w:val="009F146D"/>
    <w:rsid w:val="009F1F04"/>
    <w:rsid w:val="009F1FB5"/>
    <w:rsid w:val="009F20FD"/>
    <w:rsid w:val="009F35DE"/>
    <w:rsid w:val="009F520F"/>
    <w:rsid w:val="009F530D"/>
    <w:rsid w:val="009F5646"/>
    <w:rsid w:val="009F5A9E"/>
    <w:rsid w:val="009F602D"/>
    <w:rsid w:val="009F6377"/>
    <w:rsid w:val="009F6808"/>
    <w:rsid w:val="009F68D5"/>
    <w:rsid w:val="009F6B98"/>
    <w:rsid w:val="009F701B"/>
    <w:rsid w:val="009F7255"/>
    <w:rsid w:val="009F7F2C"/>
    <w:rsid w:val="00A002F4"/>
    <w:rsid w:val="00A003A8"/>
    <w:rsid w:val="00A01528"/>
    <w:rsid w:val="00A019F9"/>
    <w:rsid w:val="00A02D7E"/>
    <w:rsid w:val="00A03280"/>
    <w:rsid w:val="00A032E6"/>
    <w:rsid w:val="00A03655"/>
    <w:rsid w:val="00A03954"/>
    <w:rsid w:val="00A03AC8"/>
    <w:rsid w:val="00A03B83"/>
    <w:rsid w:val="00A04022"/>
    <w:rsid w:val="00A051D7"/>
    <w:rsid w:val="00A05343"/>
    <w:rsid w:val="00A0574E"/>
    <w:rsid w:val="00A06854"/>
    <w:rsid w:val="00A06BDB"/>
    <w:rsid w:val="00A07668"/>
    <w:rsid w:val="00A10480"/>
    <w:rsid w:val="00A105C7"/>
    <w:rsid w:val="00A1083A"/>
    <w:rsid w:val="00A10B41"/>
    <w:rsid w:val="00A10D80"/>
    <w:rsid w:val="00A111AA"/>
    <w:rsid w:val="00A11664"/>
    <w:rsid w:val="00A1233C"/>
    <w:rsid w:val="00A124BB"/>
    <w:rsid w:val="00A12637"/>
    <w:rsid w:val="00A12C48"/>
    <w:rsid w:val="00A132E2"/>
    <w:rsid w:val="00A13694"/>
    <w:rsid w:val="00A13D87"/>
    <w:rsid w:val="00A14237"/>
    <w:rsid w:val="00A14800"/>
    <w:rsid w:val="00A14B42"/>
    <w:rsid w:val="00A1699B"/>
    <w:rsid w:val="00A16FFE"/>
    <w:rsid w:val="00A1710A"/>
    <w:rsid w:val="00A1727B"/>
    <w:rsid w:val="00A1732C"/>
    <w:rsid w:val="00A17362"/>
    <w:rsid w:val="00A17479"/>
    <w:rsid w:val="00A1748C"/>
    <w:rsid w:val="00A17925"/>
    <w:rsid w:val="00A2026E"/>
    <w:rsid w:val="00A210BC"/>
    <w:rsid w:val="00A210C2"/>
    <w:rsid w:val="00A21605"/>
    <w:rsid w:val="00A219C5"/>
    <w:rsid w:val="00A22C40"/>
    <w:rsid w:val="00A2306E"/>
    <w:rsid w:val="00A23D89"/>
    <w:rsid w:val="00A23FF6"/>
    <w:rsid w:val="00A24E94"/>
    <w:rsid w:val="00A259CE"/>
    <w:rsid w:val="00A25EC6"/>
    <w:rsid w:val="00A25FF5"/>
    <w:rsid w:val="00A26EEC"/>
    <w:rsid w:val="00A274B9"/>
    <w:rsid w:val="00A306FF"/>
    <w:rsid w:val="00A31748"/>
    <w:rsid w:val="00A32CDF"/>
    <w:rsid w:val="00A32ED7"/>
    <w:rsid w:val="00A333AA"/>
    <w:rsid w:val="00A344C9"/>
    <w:rsid w:val="00A35577"/>
    <w:rsid w:val="00A36786"/>
    <w:rsid w:val="00A36D56"/>
    <w:rsid w:val="00A36F81"/>
    <w:rsid w:val="00A37342"/>
    <w:rsid w:val="00A40902"/>
    <w:rsid w:val="00A41EEA"/>
    <w:rsid w:val="00A42DE3"/>
    <w:rsid w:val="00A43A9A"/>
    <w:rsid w:val="00A448AD"/>
    <w:rsid w:val="00A44935"/>
    <w:rsid w:val="00A44E96"/>
    <w:rsid w:val="00A46444"/>
    <w:rsid w:val="00A46607"/>
    <w:rsid w:val="00A468D9"/>
    <w:rsid w:val="00A503D4"/>
    <w:rsid w:val="00A50C40"/>
    <w:rsid w:val="00A50D34"/>
    <w:rsid w:val="00A5124B"/>
    <w:rsid w:val="00A516B8"/>
    <w:rsid w:val="00A52758"/>
    <w:rsid w:val="00A532ED"/>
    <w:rsid w:val="00A53959"/>
    <w:rsid w:val="00A5444D"/>
    <w:rsid w:val="00A54C14"/>
    <w:rsid w:val="00A54C75"/>
    <w:rsid w:val="00A54DDC"/>
    <w:rsid w:val="00A54F2A"/>
    <w:rsid w:val="00A55198"/>
    <w:rsid w:val="00A552BE"/>
    <w:rsid w:val="00A556CC"/>
    <w:rsid w:val="00A56167"/>
    <w:rsid w:val="00A56BAA"/>
    <w:rsid w:val="00A56D59"/>
    <w:rsid w:val="00A57A3D"/>
    <w:rsid w:val="00A6013F"/>
    <w:rsid w:val="00A61518"/>
    <w:rsid w:val="00A6151D"/>
    <w:rsid w:val="00A616F0"/>
    <w:rsid w:val="00A61B23"/>
    <w:rsid w:val="00A624A0"/>
    <w:rsid w:val="00A62CA5"/>
    <w:rsid w:val="00A63639"/>
    <w:rsid w:val="00A63966"/>
    <w:rsid w:val="00A6400A"/>
    <w:rsid w:val="00A644A5"/>
    <w:rsid w:val="00A644F7"/>
    <w:rsid w:val="00A647D7"/>
    <w:rsid w:val="00A6487B"/>
    <w:rsid w:val="00A64A4F"/>
    <w:rsid w:val="00A65001"/>
    <w:rsid w:val="00A6529B"/>
    <w:rsid w:val="00A659BF"/>
    <w:rsid w:val="00A65B71"/>
    <w:rsid w:val="00A66721"/>
    <w:rsid w:val="00A669D1"/>
    <w:rsid w:val="00A66A77"/>
    <w:rsid w:val="00A66A9C"/>
    <w:rsid w:val="00A67638"/>
    <w:rsid w:val="00A67700"/>
    <w:rsid w:val="00A67A52"/>
    <w:rsid w:val="00A67EEB"/>
    <w:rsid w:val="00A700D7"/>
    <w:rsid w:val="00A7098B"/>
    <w:rsid w:val="00A71EF8"/>
    <w:rsid w:val="00A726FF"/>
    <w:rsid w:val="00A72A3A"/>
    <w:rsid w:val="00A72CBF"/>
    <w:rsid w:val="00A72D8A"/>
    <w:rsid w:val="00A72FFD"/>
    <w:rsid w:val="00A73213"/>
    <w:rsid w:val="00A73AB9"/>
    <w:rsid w:val="00A74203"/>
    <w:rsid w:val="00A74292"/>
    <w:rsid w:val="00A74456"/>
    <w:rsid w:val="00A74D69"/>
    <w:rsid w:val="00A74EB3"/>
    <w:rsid w:val="00A75234"/>
    <w:rsid w:val="00A75DCA"/>
    <w:rsid w:val="00A76175"/>
    <w:rsid w:val="00A7619F"/>
    <w:rsid w:val="00A762D1"/>
    <w:rsid w:val="00A76728"/>
    <w:rsid w:val="00A76761"/>
    <w:rsid w:val="00A76E1D"/>
    <w:rsid w:val="00A7712B"/>
    <w:rsid w:val="00A77173"/>
    <w:rsid w:val="00A80784"/>
    <w:rsid w:val="00A80974"/>
    <w:rsid w:val="00A81881"/>
    <w:rsid w:val="00A820B6"/>
    <w:rsid w:val="00A82A58"/>
    <w:rsid w:val="00A82ED8"/>
    <w:rsid w:val="00A83172"/>
    <w:rsid w:val="00A83359"/>
    <w:rsid w:val="00A8487D"/>
    <w:rsid w:val="00A84C85"/>
    <w:rsid w:val="00A84FA4"/>
    <w:rsid w:val="00A868A0"/>
    <w:rsid w:val="00A86F14"/>
    <w:rsid w:val="00A873F3"/>
    <w:rsid w:val="00A8757F"/>
    <w:rsid w:val="00A877C1"/>
    <w:rsid w:val="00A87FDC"/>
    <w:rsid w:val="00A902F8"/>
    <w:rsid w:val="00A90377"/>
    <w:rsid w:val="00A903F0"/>
    <w:rsid w:val="00A9063F"/>
    <w:rsid w:val="00A908F2"/>
    <w:rsid w:val="00A91058"/>
    <w:rsid w:val="00A9131A"/>
    <w:rsid w:val="00A91591"/>
    <w:rsid w:val="00A91613"/>
    <w:rsid w:val="00A9176B"/>
    <w:rsid w:val="00A9259A"/>
    <w:rsid w:val="00A93C60"/>
    <w:rsid w:val="00A94D9A"/>
    <w:rsid w:val="00A96578"/>
    <w:rsid w:val="00A96900"/>
    <w:rsid w:val="00A96B38"/>
    <w:rsid w:val="00A9714F"/>
    <w:rsid w:val="00A97397"/>
    <w:rsid w:val="00A97B7A"/>
    <w:rsid w:val="00AA0F91"/>
    <w:rsid w:val="00AA1784"/>
    <w:rsid w:val="00AA2187"/>
    <w:rsid w:val="00AA22BB"/>
    <w:rsid w:val="00AA2477"/>
    <w:rsid w:val="00AA322F"/>
    <w:rsid w:val="00AA3FB2"/>
    <w:rsid w:val="00AA6CC3"/>
    <w:rsid w:val="00AA6F20"/>
    <w:rsid w:val="00AA710E"/>
    <w:rsid w:val="00AA72DF"/>
    <w:rsid w:val="00AA7419"/>
    <w:rsid w:val="00AB01E2"/>
    <w:rsid w:val="00AB0779"/>
    <w:rsid w:val="00AB20DF"/>
    <w:rsid w:val="00AB21F4"/>
    <w:rsid w:val="00AB23F2"/>
    <w:rsid w:val="00AB23F9"/>
    <w:rsid w:val="00AB4C17"/>
    <w:rsid w:val="00AB4C3C"/>
    <w:rsid w:val="00AB58D7"/>
    <w:rsid w:val="00AB70C5"/>
    <w:rsid w:val="00AB753D"/>
    <w:rsid w:val="00AB75BD"/>
    <w:rsid w:val="00AB7904"/>
    <w:rsid w:val="00AB7A4E"/>
    <w:rsid w:val="00AB7EC0"/>
    <w:rsid w:val="00AC0309"/>
    <w:rsid w:val="00AC0C4A"/>
    <w:rsid w:val="00AC1170"/>
    <w:rsid w:val="00AC1669"/>
    <w:rsid w:val="00AC2F55"/>
    <w:rsid w:val="00AC42D4"/>
    <w:rsid w:val="00AC4FE7"/>
    <w:rsid w:val="00AC533D"/>
    <w:rsid w:val="00AC5B9F"/>
    <w:rsid w:val="00AC609D"/>
    <w:rsid w:val="00AC60DE"/>
    <w:rsid w:val="00AC611F"/>
    <w:rsid w:val="00AC7537"/>
    <w:rsid w:val="00AC756B"/>
    <w:rsid w:val="00AC7A9F"/>
    <w:rsid w:val="00AC7EDB"/>
    <w:rsid w:val="00AD058D"/>
    <w:rsid w:val="00AD074A"/>
    <w:rsid w:val="00AD07CF"/>
    <w:rsid w:val="00AD0E57"/>
    <w:rsid w:val="00AD0ED8"/>
    <w:rsid w:val="00AD1BB9"/>
    <w:rsid w:val="00AD301D"/>
    <w:rsid w:val="00AD3C2C"/>
    <w:rsid w:val="00AD3FC6"/>
    <w:rsid w:val="00AD50B8"/>
    <w:rsid w:val="00AD5BFA"/>
    <w:rsid w:val="00AD5D5B"/>
    <w:rsid w:val="00AD62F6"/>
    <w:rsid w:val="00AD6BBA"/>
    <w:rsid w:val="00AD78CD"/>
    <w:rsid w:val="00AD7C97"/>
    <w:rsid w:val="00AD7E59"/>
    <w:rsid w:val="00AE08A8"/>
    <w:rsid w:val="00AE141E"/>
    <w:rsid w:val="00AE214C"/>
    <w:rsid w:val="00AE234E"/>
    <w:rsid w:val="00AE3660"/>
    <w:rsid w:val="00AE396A"/>
    <w:rsid w:val="00AE42C4"/>
    <w:rsid w:val="00AE4621"/>
    <w:rsid w:val="00AE4C90"/>
    <w:rsid w:val="00AE6488"/>
    <w:rsid w:val="00AE6917"/>
    <w:rsid w:val="00AE6ED4"/>
    <w:rsid w:val="00AE6FE4"/>
    <w:rsid w:val="00AE725F"/>
    <w:rsid w:val="00AE7DD1"/>
    <w:rsid w:val="00AE7E1A"/>
    <w:rsid w:val="00AF0B24"/>
    <w:rsid w:val="00AF1568"/>
    <w:rsid w:val="00AF1AFD"/>
    <w:rsid w:val="00AF1F6B"/>
    <w:rsid w:val="00AF2F4F"/>
    <w:rsid w:val="00AF347E"/>
    <w:rsid w:val="00AF3CE3"/>
    <w:rsid w:val="00AF3CF3"/>
    <w:rsid w:val="00AF443C"/>
    <w:rsid w:val="00AF4630"/>
    <w:rsid w:val="00AF50AD"/>
    <w:rsid w:val="00AF5822"/>
    <w:rsid w:val="00AF582F"/>
    <w:rsid w:val="00AF602C"/>
    <w:rsid w:val="00AF66C9"/>
    <w:rsid w:val="00AF71E1"/>
    <w:rsid w:val="00AF71EE"/>
    <w:rsid w:val="00AF7FC7"/>
    <w:rsid w:val="00B00690"/>
    <w:rsid w:val="00B006C1"/>
    <w:rsid w:val="00B00902"/>
    <w:rsid w:val="00B011FB"/>
    <w:rsid w:val="00B01E5E"/>
    <w:rsid w:val="00B02672"/>
    <w:rsid w:val="00B026EE"/>
    <w:rsid w:val="00B042F3"/>
    <w:rsid w:val="00B04F05"/>
    <w:rsid w:val="00B07303"/>
    <w:rsid w:val="00B07826"/>
    <w:rsid w:val="00B078BB"/>
    <w:rsid w:val="00B07A60"/>
    <w:rsid w:val="00B07BB4"/>
    <w:rsid w:val="00B10E43"/>
    <w:rsid w:val="00B10FD1"/>
    <w:rsid w:val="00B1110B"/>
    <w:rsid w:val="00B112EB"/>
    <w:rsid w:val="00B11D9B"/>
    <w:rsid w:val="00B12301"/>
    <w:rsid w:val="00B125F0"/>
    <w:rsid w:val="00B126F8"/>
    <w:rsid w:val="00B13949"/>
    <w:rsid w:val="00B13EDE"/>
    <w:rsid w:val="00B14743"/>
    <w:rsid w:val="00B15747"/>
    <w:rsid w:val="00B162BE"/>
    <w:rsid w:val="00B165F7"/>
    <w:rsid w:val="00B1699C"/>
    <w:rsid w:val="00B16F11"/>
    <w:rsid w:val="00B174C1"/>
    <w:rsid w:val="00B20A81"/>
    <w:rsid w:val="00B2107C"/>
    <w:rsid w:val="00B212B6"/>
    <w:rsid w:val="00B231E3"/>
    <w:rsid w:val="00B232F3"/>
    <w:rsid w:val="00B23646"/>
    <w:rsid w:val="00B23B07"/>
    <w:rsid w:val="00B23B4F"/>
    <w:rsid w:val="00B244C2"/>
    <w:rsid w:val="00B25142"/>
    <w:rsid w:val="00B25CE2"/>
    <w:rsid w:val="00B25F19"/>
    <w:rsid w:val="00B271FD"/>
    <w:rsid w:val="00B274B2"/>
    <w:rsid w:val="00B27E3F"/>
    <w:rsid w:val="00B30D48"/>
    <w:rsid w:val="00B30DD4"/>
    <w:rsid w:val="00B30F15"/>
    <w:rsid w:val="00B312AE"/>
    <w:rsid w:val="00B32654"/>
    <w:rsid w:val="00B333DC"/>
    <w:rsid w:val="00B336AB"/>
    <w:rsid w:val="00B33D96"/>
    <w:rsid w:val="00B34419"/>
    <w:rsid w:val="00B34904"/>
    <w:rsid w:val="00B34A1C"/>
    <w:rsid w:val="00B35869"/>
    <w:rsid w:val="00B35E86"/>
    <w:rsid w:val="00B35EB5"/>
    <w:rsid w:val="00B3600E"/>
    <w:rsid w:val="00B361FB"/>
    <w:rsid w:val="00B362B3"/>
    <w:rsid w:val="00B36E71"/>
    <w:rsid w:val="00B372A3"/>
    <w:rsid w:val="00B37535"/>
    <w:rsid w:val="00B40174"/>
    <w:rsid w:val="00B401D5"/>
    <w:rsid w:val="00B40701"/>
    <w:rsid w:val="00B4088D"/>
    <w:rsid w:val="00B40CA6"/>
    <w:rsid w:val="00B41365"/>
    <w:rsid w:val="00B41933"/>
    <w:rsid w:val="00B41AAA"/>
    <w:rsid w:val="00B42A51"/>
    <w:rsid w:val="00B431F4"/>
    <w:rsid w:val="00B4342D"/>
    <w:rsid w:val="00B4388E"/>
    <w:rsid w:val="00B43952"/>
    <w:rsid w:val="00B44164"/>
    <w:rsid w:val="00B444A1"/>
    <w:rsid w:val="00B4472D"/>
    <w:rsid w:val="00B454D2"/>
    <w:rsid w:val="00B45D4D"/>
    <w:rsid w:val="00B468B9"/>
    <w:rsid w:val="00B46BBC"/>
    <w:rsid w:val="00B4701A"/>
    <w:rsid w:val="00B47726"/>
    <w:rsid w:val="00B47781"/>
    <w:rsid w:val="00B479A2"/>
    <w:rsid w:val="00B50985"/>
    <w:rsid w:val="00B51340"/>
    <w:rsid w:val="00B51D47"/>
    <w:rsid w:val="00B52F73"/>
    <w:rsid w:val="00B5358F"/>
    <w:rsid w:val="00B54118"/>
    <w:rsid w:val="00B54A28"/>
    <w:rsid w:val="00B56DD2"/>
    <w:rsid w:val="00B57D7A"/>
    <w:rsid w:val="00B57DC3"/>
    <w:rsid w:val="00B60205"/>
    <w:rsid w:val="00B6103A"/>
    <w:rsid w:val="00B61840"/>
    <w:rsid w:val="00B62B39"/>
    <w:rsid w:val="00B63440"/>
    <w:rsid w:val="00B634CF"/>
    <w:rsid w:val="00B63F88"/>
    <w:rsid w:val="00B63FDD"/>
    <w:rsid w:val="00B640FD"/>
    <w:rsid w:val="00B647D2"/>
    <w:rsid w:val="00B64936"/>
    <w:rsid w:val="00B653E4"/>
    <w:rsid w:val="00B65DF5"/>
    <w:rsid w:val="00B66676"/>
    <w:rsid w:val="00B66C76"/>
    <w:rsid w:val="00B6769A"/>
    <w:rsid w:val="00B678C1"/>
    <w:rsid w:val="00B67962"/>
    <w:rsid w:val="00B7092C"/>
    <w:rsid w:val="00B70DA3"/>
    <w:rsid w:val="00B7118B"/>
    <w:rsid w:val="00B71378"/>
    <w:rsid w:val="00B72067"/>
    <w:rsid w:val="00B72D93"/>
    <w:rsid w:val="00B72DAB"/>
    <w:rsid w:val="00B7395B"/>
    <w:rsid w:val="00B744B0"/>
    <w:rsid w:val="00B748A0"/>
    <w:rsid w:val="00B74914"/>
    <w:rsid w:val="00B75645"/>
    <w:rsid w:val="00B75B20"/>
    <w:rsid w:val="00B75E13"/>
    <w:rsid w:val="00B75F4E"/>
    <w:rsid w:val="00B7656C"/>
    <w:rsid w:val="00B76B17"/>
    <w:rsid w:val="00B76CBA"/>
    <w:rsid w:val="00B76F77"/>
    <w:rsid w:val="00B76FAC"/>
    <w:rsid w:val="00B77B96"/>
    <w:rsid w:val="00B804A9"/>
    <w:rsid w:val="00B80524"/>
    <w:rsid w:val="00B80894"/>
    <w:rsid w:val="00B80F9D"/>
    <w:rsid w:val="00B817BC"/>
    <w:rsid w:val="00B83720"/>
    <w:rsid w:val="00B8484E"/>
    <w:rsid w:val="00B85084"/>
    <w:rsid w:val="00B85C2E"/>
    <w:rsid w:val="00B90A62"/>
    <w:rsid w:val="00B90E58"/>
    <w:rsid w:val="00B91072"/>
    <w:rsid w:val="00B92032"/>
    <w:rsid w:val="00B921EF"/>
    <w:rsid w:val="00B92C15"/>
    <w:rsid w:val="00B936E6"/>
    <w:rsid w:val="00B94388"/>
    <w:rsid w:val="00B94AF4"/>
    <w:rsid w:val="00B94DD0"/>
    <w:rsid w:val="00B95870"/>
    <w:rsid w:val="00B96012"/>
    <w:rsid w:val="00B96067"/>
    <w:rsid w:val="00B960FE"/>
    <w:rsid w:val="00B962E5"/>
    <w:rsid w:val="00BA0418"/>
    <w:rsid w:val="00BA0B63"/>
    <w:rsid w:val="00BA13CC"/>
    <w:rsid w:val="00BA1E06"/>
    <w:rsid w:val="00BA1F0E"/>
    <w:rsid w:val="00BA2057"/>
    <w:rsid w:val="00BA2D96"/>
    <w:rsid w:val="00BA396C"/>
    <w:rsid w:val="00BA40C8"/>
    <w:rsid w:val="00BA44CE"/>
    <w:rsid w:val="00BA4563"/>
    <w:rsid w:val="00BA4793"/>
    <w:rsid w:val="00BA483F"/>
    <w:rsid w:val="00BA4C1A"/>
    <w:rsid w:val="00BA4F97"/>
    <w:rsid w:val="00BA542F"/>
    <w:rsid w:val="00BA54DE"/>
    <w:rsid w:val="00BA5D70"/>
    <w:rsid w:val="00BA6243"/>
    <w:rsid w:val="00BA6CA6"/>
    <w:rsid w:val="00BA6F50"/>
    <w:rsid w:val="00BA7296"/>
    <w:rsid w:val="00BA765A"/>
    <w:rsid w:val="00BA7B38"/>
    <w:rsid w:val="00BA7E93"/>
    <w:rsid w:val="00BB0662"/>
    <w:rsid w:val="00BB0D52"/>
    <w:rsid w:val="00BB0F90"/>
    <w:rsid w:val="00BB0FAF"/>
    <w:rsid w:val="00BB2E80"/>
    <w:rsid w:val="00BB3A14"/>
    <w:rsid w:val="00BB3B2A"/>
    <w:rsid w:val="00BB5104"/>
    <w:rsid w:val="00BB634D"/>
    <w:rsid w:val="00BB7194"/>
    <w:rsid w:val="00BB7858"/>
    <w:rsid w:val="00BB7EFD"/>
    <w:rsid w:val="00BC0151"/>
    <w:rsid w:val="00BC07B0"/>
    <w:rsid w:val="00BC09BB"/>
    <w:rsid w:val="00BC1305"/>
    <w:rsid w:val="00BC1647"/>
    <w:rsid w:val="00BC1CB6"/>
    <w:rsid w:val="00BC3642"/>
    <w:rsid w:val="00BC373B"/>
    <w:rsid w:val="00BC39DD"/>
    <w:rsid w:val="00BC3D2F"/>
    <w:rsid w:val="00BC4288"/>
    <w:rsid w:val="00BC4AE9"/>
    <w:rsid w:val="00BC589C"/>
    <w:rsid w:val="00BC59D1"/>
    <w:rsid w:val="00BC5FDB"/>
    <w:rsid w:val="00BC6448"/>
    <w:rsid w:val="00BC792B"/>
    <w:rsid w:val="00BC7E97"/>
    <w:rsid w:val="00BD07AE"/>
    <w:rsid w:val="00BD0DB1"/>
    <w:rsid w:val="00BD21B7"/>
    <w:rsid w:val="00BD2E3F"/>
    <w:rsid w:val="00BD2ECE"/>
    <w:rsid w:val="00BD2FD9"/>
    <w:rsid w:val="00BD353A"/>
    <w:rsid w:val="00BD3DBA"/>
    <w:rsid w:val="00BD4279"/>
    <w:rsid w:val="00BD493B"/>
    <w:rsid w:val="00BD4C8F"/>
    <w:rsid w:val="00BD64BE"/>
    <w:rsid w:val="00BD64DE"/>
    <w:rsid w:val="00BD719A"/>
    <w:rsid w:val="00BD72B4"/>
    <w:rsid w:val="00BD733F"/>
    <w:rsid w:val="00BD7388"/>
    <w:rsid w:val="00BE07A4"/>
    <w:rsid w:val="00BE0D80"/>
    <w:rsid w:val="00BE0F06"/>
    <w:rsid w:val="00BE1FF3"/>
    <w:rsid w:val="00BE27CF"/>
    <w:rsid w:val="00BE2CB8"/>
    <w:rsid w:val="00BE3881"/>
    <w:rsid w:val="00BE3C32"/>
    <w:rsid w:val="00BE4F25"/>
    <w:rsid w:val="00BE4F31"/>
    <w:rsid w:val="00BE5794"/>
    <w:rsid w:val="00BE5905"/>
    <w:rsid w:val="00BE764A"/>
    <w:rsid w:val="00BE7DE1"/>
    <w:rsid w:val="00BF01A9"/>
    <w:rsid w:val="00BF1649"/>
    <w:rsid w:val="00BF1880"/>
    <w:rsid w:val="00BF23C3"/>
    <w:rsid w:val="00BF2565"/>
    <w:rsid w:val="00BF29B1"/>
    <w:rsid w:val="00BF3450"/>
    <w:rsid w:val="00BF3966"/>
    <w:rsid w:val="00BF407C"/>
    <w:rsid w:val="00BF5790"/>
    <w:rsid w:val="00BF61D8"/>
    <w:rsid w:val="00BF6A49"/>
    <w:rsid w:val="00BF7E7E"/>
    <w:rsid w:val="00BF7F4A"/>
    <w:rsid w:val="00C0012D"/>
    <w:rsid w:val="00C00E9D"/>
    <w:rsid w:val="00C01A2B"/>
    <w:rsid w:val="00C01DEE"/>
    <w:rsid w:val="00C024ED"/>
    <w:rsid w:val="00C026DA"/>
    <w:rsid w:val="00C02AFB"/>
    <w:rsid w:val="00C02F93"/>
    <w:rsid w:val="00C0440F"/>
    <w:rsid w:val="00C04A7A"/>
    <w:rsid w:val="00C0510B"/>
    <w:rsid w:val="00C055E4"/>
    <w:rsid w:val="00C0584F"/>
    <w:rsid w:val="00C05C73"/>
    <w:rsid w:val="00C05FB9"/>
    <w:rsid w:val="00C06500"/>
    <w:rsid w:val="00C06847"/>
    <w:rsid w:val="00C0737B"/>
    <w:rsid w:val="00C0798B"/>
    <w:rsid w:val="00C07B18"/>
    <w:rsid w:val="00C101FC"/>
    <w:rsid w:val="00C10388"/>
    <w:rsid w:val="00C10641"/>
    <w:rsid w:val="00C10E04"/>
    <w:rsid w:val="00C11A74"/>
    <w:rsid w:val="00C12C91"/>
    <w:rsid w:val="00C12DE5"/>
    <w:rsid w:val="00C139C9"/>
    <w:rsid w:val="00C14AB2"/>
    <w:rsid w:val="00C14C46"/>
    <w:rsid w:val="00C14FBA"/>
    <w:rsid w:val="00C1503A"/>
    <w:rsid w:val="00C153B8"/>
    <w:rsid w:val="00C16708"/>
    <w:rsid w:val="00C16B1D"/>
    <w:rsid w:val="00C16B7A"/>
    <w:rsid w:val="00C16F21"/>
    <w:rsid w:val="00C17AE6"/>
    <w:rsid w:val="00C20FD3"/>
    <w:rsid w:val="00C21413"/>
    <w:rsid w:val="00C2158C"/>
    <w:rsid w:val="00C21DE8"/>
    <w:rsid w:val="00C22627"/>
    <w:rsid w:val="00C23B01"/>
    <w:rsid w:val="00C24817"/>
    <w:rsid w:val="00C25BA6"/>
    <w:rsid w:val="00C25ECB"/>
    <w:rsid w:val="00C26801"/>
    <w:rsid w:val="00C26D66"/>
    <w:rsid w:val="00C27A43"/>
    <w:rsid w:val="00C305C0"/>
    <w:rsid w:val="00C309D1"/>
    <w:rsid w:val="00C30BE4"/>
    <w:rsid w:val="00C310D6"/>
    <w:rsid w:val="00C31947"/>
    <w:rsid w:val="00C3200E"/>
    <w:rsid w:val="00C328A8"/>
    <w:rsid w:val="00C334A3"/>
    <w:rsid w:val="00C33B0A"/>
    <w:rsid w:val="00C33E53"/>
    <w:rsid w:val="00C3427D"/>
    <w:rsid w:val="00C343E3"/>
    <w:rsid w:val="00C351F1"/>
    <w:rsid w:val="00C351F6"/>
    <w:rsid w:val="00C354BD"/>
    <w:rsid w:val="00C35DD8"/>
    <w:rsid w:val="00C36CCC"/>
    <w:rsid w:val="00C36F21"/>
    <w:rsid w:val="00C376A8"/>
    <w:rsid w:val="00C40040"/>
    <w:rsid w:val="00C401FE"/>
    <w:rsid w:val="00C411E4"/>
    <w:rsid w:val="00C41655"/>
    <w:rsid w:val="00C41E20"/>
    <w:rsid w:val="00C42547"/>
    <w:rsid w:val="00C432C4"/>
    <w:rsid w:val="00C437E7"/>
    <w:rsid w:val="00C44690"/>
    <w:rsid w:val="00C44771"/>
    <w:rsid w:val="00C44951"/>
    <w:rsid w:val="00C4512A"/>
    <w:rsid w:val="00C45CB2"/>
    <w:rsid w:val="00C4651C"/>
    <w:rsid w:val="00C46F4A"/>
    <w:rsid w:val="00C500F3"/>
    <w:rsid w:val="00C501FC"/>
    <w:rsid w:val="00C5060B"/>
    <w:rsid w:val="00C512F4"/>
    <w:rsid w:val="00C51717"/>
    <w:rsid w:val="00C51BD8"/>
    <w:rsid w:val="00C52754"/>
    <w:rsid w:val="00C52D57"/>
    <w:rsid w:val="00C5351E"/>
    <w:rsid w:val="00C54343"/>
    <w:rsid w:val="00C54428"/>
    <w:rsid w:val="00C547DD"/>
    <w:rsid w:val="00C549E0"/>
    <w:rsid w:val="00C54A24"/>
    <w:rsid w:val="00C54FD9"/>
    <w:rsid w:val="00C556CE"/>
    <w:rsid w:val="00C568E1"/>
    <w:rsid w:val="00C57890"/>
    <w:rsid w:val="00C61148"/>
    <w:rsid w:val="00C612AB"/>
    <w:rsid w:val="00C6142C"/>
    <w:rsid w:val="00C618F0"/>
    <w:rsid w:val="00C622D5"/>
    <w:rsid w:val="00C62A22"/>
    <w:rsid w:val="00C62C2B"/>
    <w:rsid w:val="00C634BE"/>
    <w:rsid w:val="00C63CDF"/>
    <w:rsid w:val="00C63D66"/>
    <w:rsid w:val="00C64249"/>
    <w:rsid w:val="00C64C8E"/>
    <w:rsid w:val="00C65650"/>
    <w:rsid w:val="00C65A2B"/>
    <w:rsid w:val="00C65A43"/>
    <w:rsid w:val="00C660CD"/>
    <w:rsid w:val="00C66CB7"/>
    <w:rsid w:val="00C674B9"/>
    <w:rsid w:val="00C67784"/>
    <w:rsid w:val="00C67A82"/>
    <w:rsid w:val="00C67CF5"/>
    <w:rsid w:val="00C7056F"/>
    <w:rsid w:val="00C706D1"/>
    <w:rsid w:val="00C724B4"/>
    <w:rsid w:val="00C7266F"/>
    <w:rsid w:val="00C73E06"/>
    <w:rsid w:val="00C7506B"/>
    <w:rsid w:val="00C75355"/>
    <w:rsid w:val="00C75951"/>
    <w:rsid w:val="00C75B60"/>
    <w:rsid w:val="00C75F91"/>
    <w:rsid w:val="00C7613D"/>
    <w:rsid w:val="00C76632"/>
    <w:rsid w:val="00C76CE1"/>
    <w:rsid w:val="00C77055"/>
    <w:rsid w:val="00C77373"/>
    <w:rsid w:val="00C77A0F"/>
    <w:rsid w:val="00C80240"/>
    <w:rsid w:val="00C80505"/>
    <w:rsid w:val="00C81054"/>
    <w:rsid w:val="00C8139D"/>
    <w:rsid w:val="00C814A3"/>
    <w:rsid w:val="00C81AA5"/>
    <w:rsid w:val="00C81BE4"/>
    <w:rsid w:val="00C81D97"/>
    <w:rsid w:val="00C82860"/>
    <w:rsid w:val="00C829E3"/>
    <w:rsid w:val="00C8315E"/>
    <w:rsid w:val="00C83565"/>
    <w:rsid w:val="00C842FC"/>
    <w:rsid w:val="00C84E0A"/>
    <w:rsid w:val="00C8536A"/>
    <w:rsid w:val="00C8586A"/>
    <w:rsid w:val="00C86ECA"/>
    <w:rsid w:val="00C86F0C"/>
    <w:rsid w:val="00C87344"/>
    <w:rsid w:val="00C8786A"/>
    <w:rsid w:val="00C8797E"/>
    <w:rsid w:val="00C87A01"/>
    <w:rsid w:val="00C90AD7"/>
    <w:rsid w:val="00C9130C"/>
    <w:rsid w:val="00C913D9"/>
    <w:rsid w:val="00C914D0"/>
    <w:rsid w:val="00C91A3C"/>
    <w:rsid w:val="00C93721"/>
    <w:rsid w:val="00C946FE"/>
    <w:rsid w:val="00C94FEC"/>
    <w:rsid w:val="00C95081"/>
    <w:rsid w:val="00C95450"/>
    <w:rsid w:val="00C96D04"/>
    <w:rsid w:val="00C96E71"/>
    <w:rsid w:val="00C97348"/>
    <w:rsid w:val="00C9749C"/>
    <w:rsid w:val="00C977F9"/>
    <w:rsid w:val="00C97CB0"/>
    <w:rsid w:val="00CA0ACA"/>
    <w:rsid w:val="00CA1011"/>
    <w:rsid w:val="00CA2776"/>
    <w:rsid w:val="00CA36B9"/>
    <w:rsid w:val="00CA4E7A"/>
    <w:rsid w:val="00CA54F4"/>
    <w:rsid w:val="00CA59FF"/>
    <w:rsid w:val="00CA5F4F"/>
    <w:rsid w:val="00CA6569"/>
    <w:rsid w:val="00CA6941"/>
    <w:rsid w:val="00CA723A"/>
    <w:rsid w:val="00CA7404"/>
    <w:rsid w:val="00CA7E84"/>
    <w:rsid w:val="00CB0070"/>
    <w:rsid w:val="00CB0B7B"/>
    <w:rsid w:val="00CB0C2D"/>
    <w:rsid w:val="00CB1951"/>
    <w:rsid w:val="00CB2579"/>
    <w:rsid w:val="00CB2E11"/>
    <w:rsid w:val="00CB30A0"/>
    <w:rsid w:val="00CB380A"/>
    <w:rsid w:val="00CB3850"/>
    <w:rsid w:val="00CB4015"/>
    <w:rsid w:val="00CB4CC1"/>
    <w:rsid w:val="00CB6360"/>
    <w:rsid w:val="00CB6404"/>
    <w:rsid w:val="00CB6543"/>
    <w:rsid w:val="00CB743A"/>
    <w:rsid w:val="00CB77F1"/>
    <w:rsid w:val="00CB7F26"/>
    <w:rsid w:val="00CC03AB"/>
    <w:rsid w:val="00CC13D1"/>
    <w:rsid w:val="00CC15AC"/>
    <w:rsid w:val="00CC1751"/>
    <w:rsid w:val="00CC17E8"/>
    <w:rsid w:val="00CC1922"/>
    <w:rsid w:val="00CC29A8"/>
    <w:rsid w:val="00CC2B30"/>
    <w:rsid w:val="00CC2BE2"/>
    <w:rsid w:val="00CC2D09"/>
    <w:rsid w:val="00CC2E5D"/>
    <w:rsid w:val="00CC3B27"/>
    <w:rsid w:val="00CC405E"/>
    <w:rsid w:val="00CC543E"/>
    <w:rsid w:val="00CC560C"/>
    <w:rsid w:val="00CC651B"/>
    <w:rsid w:val="00CC6671"/>
    <w:rsid w:val="00CC6723"/>
    <w:rsid w:val="00CC77F8"/>
    <w:rsid w:val="00CD03E3"/>
    <w:rsid w:val="00CD060E"/>
    <w:rsid w:val="00CD10DA"/>
    <w:rsid w:val="00CD1730"/>
    <w:rsid w:val="00CD19CA"/>
    <w:rsid w:val="00CD26B3"/>
    <w:rsid w:val="00CD490C"/>
    <w:rsid w:val="00CD583A"/>
    <w:rsid w:val="00CD643C"/>
    <w:rsid w:val="00CD6DF5"/>
    <w:rsid w:val="00CE0D86"/>
    <w:rsid w:val="00CE180F"/>
    <w:rsid w:val="00CE262E"/>
    <w:rsid w:val="00CE2FCC"/>
    <w:rsid w:val="00CE31F4"/>
    <w:rsid w:val="00CE39AF"/>
    <w:rsid w:val="00CE446F"/>
    <w:rsid w:val="00CE4A3E"/>
    <w:rsid w:val="00CE57A3"/>
    <w:rsid w:val="00CE5BEC"/>
    <w:rsid w:val="00CE5E8A"/>
    <w:rsid w:val="00CE78C3"/>
    <w:rsid w:val="00CF182D"/>
    <w:rsid w:val="00CF1DDF"/>
    <w:rsid w:val="00CF2256"/>
    <w:rsid w:val="00CF3542"/>
    <w:rsid w:val="00CF3C6C"/>
    <w:rsid w:val="00CF4ACA"/>
    <w:rsid w:val="00CF54CC"/>
    <w:rsid w:val="00CF67FE"/>
    <w:rsid w:val="00CF6A7F"/>
    <w:rsid w:val="00CF6EBF"/>
    <w:rsid w:val="00CF712A"/>
    <w:rsid w:val="00CF7F1F"/>
    <w:rsid w:val="00D00BD3"/>
    <w:rsid w:val="00D00C6E"/>
    <w:rsid w:val="00D011EC"/>
    <w:rsid w:val="00D0120A"/>
    <w:rsid w:val="00D021DC"/>
    <w:rsid w:val="00D02274"/>
    <w:rsid w:val="00D02598"/>
    <w:rsid w:val="00D0349B"/>
    <w:rsid w:val="00D03847"/>
    <w:rsid w:val="00D03EC3"/>
    <w:rsid w:val="00D0418F"/>
    <w:rsid w:val="00D041D2"/>
    <w:rsid w:val="00D049AD"/>
    <w:rsid w:val="00D05C97"/>
    <w:rsid w:val="00D07073"/>
    <w:rsid w:val="00D077E1"/>
    <w:rsid w:val="00D07A87"/>
    <w:rsid w:val="00D10294"/>
    <w:rsid w:val="00D104E5"/>
    <w:rsid w:val="00D10A30"/>
    <w:rsid w:val="00D11B37"/>
    <w:rsid w:val="00D11E47"/>
    <w:rsid w:val="00D1202C"/>
    <w:rsid w:val="00D14DDE"/>
    <w:rsid w:val="00D15102"/>
    <w:rsid w:val="00D152BC"/>
    <w:rsid w:val="00D165BF"/>
    <w:rsid w:val="00D17F25"/>
    <w:rsid w:val="00D201D0"/>
    <w:rsid w:val="00D20844"/>
    <w:rsid w:val="00D21406"/>
    <w:rsid w:val="00D21850"/>
    <w:rsid w:val="00D21DDE"/>
    <w:rsid w:val="00D22BE3"/>
    <w:rsid w:val="00D231CF"/>
    <w:rsid w:val="00D236D7"/>
    <w:rsid w:val="00D241EE"/>
    <w:rsid w:val="00D2472B"/>
    <w:rsid w:val="00D2480E"/>
    <w:rsid w:val="00D24C55"/>
    <w:rsid w:val="00D256B3"/>
    <w:rsid w:val="00D25CA4"/>
    <w:rsid w:val="00D260AE"/>
    <w:rsid w:val="00D264A5"/>
    <w:rsid w:val="00D27156"/>
    <w:rsid w:val="00D30341"/>
    <w:rsid w:val="00D30D3F"/>
    <w:rsid w:val="00D314BC"/>
    <w:rsid w:val="00D322B0"/>
    <w:rsid w:val="00D32883"/>
    <w:rsid w:val="00D32FF7"/>
    <w:rsid w:val="00D3338C"/>
    <w:rsid w:val="00D34478"/>
    <w:rsid w:val="00D35B00"/>
    <w:rsid w:val="00D35D87"/>
    <w:rsid w:val="00D36F2F"/>
    <w:rsid w:val="00D373CD"/>
    <w:rsid w:val="00D3768E"/>
    <w:rsid w:val="00D40BD9"/>
    <w:rsid w:val="00D41167"/>
    <w:rsid w:val="00D41B8E"/>
    <w:rsid w:val="00D41BC2"/>
    <w:rsid w:val="00D4286A"/>
    <w:rsid w:val="00D42E66"/>
    <w:rsid w:val="00D43DA7"/>
    <w:rsid w:val="00D4415B"/>
    <w:rsid w:val="00D45868"/>
    <w:rsid w:val="00D45CA4"/>
    <w:rsid w:val="00D45F45"/>
    <w:rsid w:val="00D4654A"/>
    <w:rsid w:val="00D50852"/>
    <w:rsid w:val="00D50938"/>
    <w:rsid w:val="00D50B6D"/>
    <w:rsid w:val="00D51953"/>
    <w:rsid w:val="00D51A55"/>
    <w:rsid w:val="00D51F28"/>
    <w:rsid w:val="00D52120"/>
    <w:rsid w:val="00D54FAF"/>
    <w:rsid w:val="00D559A0"/>
    <w:rsid w:val="00D560EB"/>
    <w:rsid w:val="00D563F7"/>
    <w:rsid w:val="00D56C45"/>
    <w:rsid w:val="00D56E48"/>
    <w:rsid w:val="00D56EDF"/>
    <w:rsid w:val="00D60096"/>
    <w:rsid w:val="00D605D3"/>
    <w:rsid w:val="00D62142"/>
    <w:rsid w:val="00D63333"/>
    <w:rsid w:val="00D63442"/>
    <w:rsid w:val="00D63B78"/>
    <w:rsid w:val="00D64805"/>
    <w:rsid w:val="00D64B2E"/>
    <w:rsid w:val="00D6554D"/>
    <w:rsid w:val="00D665EA"/>
    <w:rsid w:val="00D66E22"/>
    <w:rsid w:val="00D66EF1"/>
    <w:rsid w:val="00D678A0"/>
    <w:rsid w:val="00D702E8"/>
    <w:rsid w:val="00D7091E"/>
    <w:rsid w:val="00D70D82"/>
    <w:rsid w:val="00D70E63"/>
    <w:rsid w:val="00D72791"/>
    <w:rsid w:val="00D73033"/>
    <w:rsid w:val="00D731D8"/>
    <w:rsid w:val="00D73EF4"/>
    <w:rsid w:val="00D74F7D"/>
    <w:rsid w:val="00D75512"/>
    <w:rsid w:val="00D7666E"/>
    <w:rsid w:val="00D76932"/>
    <w:rsid w:val="00D800C2"/>
    <w:rsid w:val="00D8050B"/>
    <w:rsid w:val="00D80F15"/>
    <w:rsid w:val="00D80F77"/>
    <w:rsid w:val="00D81BE5"/>
    <w:rsid w:val="00D82FD6"/>
    <w:rsid w:val="00D8457A"/>
    <w:rsid w:val="00D84661"/>
    <w:rsid w:val="00D84713"/>
    <w:rsid w:val="00D84D5A"/>
    <w:rsid w:val="00D84DC4"/>
    <w:rsid w:val="00D8576B"/>
    <w:rsid w:val="00D85FD0"/>
    <w:rsid w:val="00D86359"/>
    <w:rsid w:val="00D86507"/>
    <w:rsid w:val="00D86CE7"/>
    <w:rsid w:val="00D91750"/>
    <w:rsid w:val="00D91961"/>
    <w:rsid w:val="00D91C60"/>
    <w:rsid w:val="00D927FE"/>
    <w:rsid w:val="00D93756"/>
    <w:rsid w:val="00D93A3D"/>
    <w:rsid w:val="00D93BE9"/>
    <w:rsid w:val="00D95C53"/>
    <w:rsid w:val="00D968EB"/>
    <w:rsid w:val="00D96A35"/>
    <w:rsid w:val="00DA01B0"/>
    <w:rsid w:val="00DA02D4"/>
    <w:rsid w:val="00DA10CF"/>
    <w:rsid w:val="00DA2296"/>
    <w:rsid w:val="00DA2947"/>
    <w:rsid w:val="00DA2CD8"/>
    <w:rsid w:val="00DA3729"/>
    <w:rsid w:val="00DA4061"/>
    <w:rsid w:val="00DA452D"/>
    <w:rsid w:val="00DA4865"/>
    <w:rsid w:val="00DA4E43"/>
    <w:rsid w:val="00DA53CA"/>
    <w:rsid w:val="00DA5660"/>
    <w:rsid w:val="00DA5FF8"/>
    <w:rsid w:val="00DA71ED"/>
    <w:rsid w:val="00DA7C43"/>
    <w:rsid w:val="00DB0172"/>
    <w:rsid w:val="00DB044B"/>
    <w:rsid w:val="00DB0548"/>
    <w:rsid w:val="00DB25F1"/>
    <w:rsid w:val="00DB29F0"/>
    <w:rsid w:val="00DB3554"/>
    <w:rsid w:val="00DB3E42"/>
    <w:rsid w:val="00DB3E60"/>
    <w:rsid w:val="00DB42CD"/>
    <w:rsid w:val="00DB436D"/>
    <w:rsid w:val="00DB587F"/>
    <w:rsid w:val="00DB5B78"/>
    <w:rsid w:val="00DB5DF6"/>
    <w:rsid w:val="00DB6076"/>
    <w:rsid w:val="00DB6C3B"/>
    <w:rsid w:val="00DB7AEF"/>
    <w:rsid w:val="00DB7D06"/>
    <w:rsid w:val="00DB7E91"/>
    <w:rsid w:val="00DC05FC"/>
    <w:rsid w:val="00DC0C91"/>
    <w:rsid w:val="00DC0EBA"/>
    <w:rsid w:val="00DC1C80"/>
    <w:rsid w:val="00DC201B"/>
    <w:rsid w:val="00DC4AFF"/>
    <w:rsid w:val="00DC57AA"/>
    <w:rsid w:val="00DC5C68"/>
    <w:rsid w:val="00DC5E11"/>
    <w:rsid w:val="00DC61D1"/>
    <w:rsid w:val="00DC6B79"/>
    <w:rsid w:val="00DD18D0"/>
    <w:rsid w:val="00DD1EB7"/>
    <w:rsid w:val="00DD32C7"/>
    <w:rsid w:val="00DD3600"/>
    <w:rsid w:val="00DD3C5E"/>
    <w:rsid w:val="00DD566E"/>
    <w:rsid w:val="00DD678C"/>
    <w:rsid w:val="00DD6E57"/>
    <w:rsid w:val="00DD6F71"/>
    <w:rsid w:val="00DD7260"/>
    <w:rsid w:val="00DD77C0"/>
    <w:rsid w:val="00DD78AF"/>
    <w:rsid w:val="00DD7A41"/>
    <w:rsid w:val="00DE0133"/>
    <w:rsid w:val="00DE02C0"/>
    <w:rsid w:val="00DE05F6"/>
    <w:rsid w:val="00DE0812"/>
    <w:rsid w:val="00DE087D"/>
    <w:rsid w:val="00DE0CB7"/>
    <w:rsid w:val="00DE0D9E"/>
    <w:rsid w:val="00DE1ED9"/>
    <w:rsid w:val="00DE3850"/>
    <w:rsid w:val="00DE4544"/>
    <w:rsid w:val="00DE45A3"/>
    <w:rsid w:val="00DE4DE1"/>
    <w:rsid w:val="00DE5067"/>
    <w:rsid w:val="00DE53D8"/>
    <w:rsid w:val="00DE57E8"/>
    <w:rsid w:val="00DE5959"/>
    <w:rsid w:val="00DE5A2A"/>
    <w:rsid w:val="00DE6BE8"/>
    <w:rsid w:val="00DE76FC"/>
    <w:rsid w:val="00DE7A4C"/>
    <w:rsid w:val="00DF0806"/>
    <w:rsid w:val="00DF08DC"/>
    <w:rsid w:val="00DF0A45"/>
    <w:rsid w:val="00DF0D53"/>
    <w:rsid w:val="00DF0F18"/>
    <w:rsid w:val="00DF1D27"/>
    <w:rsid w:val="00DF1DE7"/>
    <w:rsid w:val="00DF269D"/>
    <w:rsid w:val="00DF26B6"/>
    <w:rsid w:val="00DF3337"/>
    <w:rsid w:val="00DF34DD"/>
    <w:rsid w:val="00DF3CDD"/>
    <w:rsid w:val="00DF4F0A"/>
    <w:rsid w:val="00DF5647"/>
    <w:rsid w:val="00DF5B23"/>
    <w:rsid w:val="00DF66A8"/>
    <w:rsid w:val="00DF6932"/>
    <w:rsid w:val="00DF6BAF"/>
    <w:rsid w:val="00DF6D1C"/>
    <w:rsid w:val="00DF737A"/>
    <w:rsid w:val="00DF7406"/>
    <w:rsid w:val="00DF7451"/>
    <w:rsid w:val="00E00636"/>
    <w:rsid w:val="00E00B80"/>
    <w:rsid w:val="00E00EDC"/>
    <w:rsid w:val="00E0160B"/>
    <w:rsid w:val="00E01C50"/>
    <w:rsid w:val="00E02330"/>
    <w:rsid w:val="00E024AC"/>
    <w:rsid w:val="00E02553"/>
    <w:rsid w:val="00E03121"/>
    <w:rsid w:val="00E03130"/>
    <w:rsid w:val="00E0339C"/>
    <w:rsid w:val="00E03C6D"/>
    <w:rsid w:val="00E03C95"/>
    <w:rsid w:val="00E04D07"/>
    <w:rsid w:val="00E04FBA"/>
    <w:rsid w:val="00E05A80"/>
    <w:rsid w:val="00E06345"/>
    <w:rsid w:val="00E07616"/>
    <w:rsid w:val="00E10AF0"/>
    <w:rsid w:val="00E11517"/>
    <w:rsid w:val="00E1183F"/>
    <w:rsid w:val="00E11A66"/>
    <w:rsid w:val="00E12041"/>
    <w:rsid w:val="00E12CB4"/>
    <w:rsid w:val="00E12D25"/>
    <w:rsid w:val="00E13ECB"/>
    <w:rsid w:val="00E1407B"/>
    <w:rsid w:val="00E14097"/>
    <w:rsid w:val="00E1515C"/>
    <w:rsid w:val="00E15762"/>
    <w:rsid w:val="00E15855"/>
    <w:rsid w:val="00E163D9"/>
    <w:rsid w:val="00E16C0D"/>
    <w:rsid w:val="00E176F4"/>
    <w:rsid w:val="00E2007F"/>
    <w:rsid w:val="00E20388"/>
    <w:rsid w:val="00E2055A"/>
    <w:rsid w:val="00E20641"/>
    <w:rsid w:val="00E21E9B"/>
    <w:rsid w:val="00E22231"/>
    <w:rsid w:val="00E222C8"/>
    <w:rsid w:val="00E22D84"/>
    <w:rsid w:val="00E22EED"/>
    <w:rsid w:val="00E232E2"/>
    <w:rsid w:val="00E23A4D"/>
    <w:rsid w:val="00E23F78"/>
    <w:rsid w:val="00E244EA"/>
    <w:rsid w:val="00E24A1B"/>
    <w:rsid w:val="00E25E3F"/>
    <w:rsid w:val="00E260BB"/>
    <w:rsid w:val="00E27591"/>
    <w:rsid w:val="00E275FB"/>
    <w:rsid w:val="00E27F4D"/>
    <w:rsid w:val="00E303F3"/>
    <w:rsid w:val="00E30437"/>
    <w:rsid w:val="00E306CD"/>
    <w:rsid w:val="00E30A15"/>
    <w:rsid w:val="00E32B6E"/>
    <w:rsid w:val="00E335CC"/>
    <w:rsid w:val="00E33A1A"/>
    <w:rsid w:val="00E34B2F"/>
    <w:rsid w:val="00E34EAC"/>
    <w:rsid w:val="00E34F04"/>
    <w:rsid w:val="00E35882"/>
    <w:rsid w:val="00E358BF"/>
    <w:rsid w:val="00E35D53"/>
    <w:rsid w:val="00E36028"/>
    <w:rsid w:val="00E363E3"/>
    <w:rsid w:val="00E368D3"/>
    <w:rsid w:val="00E3692B"/>
    <w:rsid w:val="00E4083E"/>
    <w:rsid w:val="00E40F23"/>
    <w:rsid w:val="00E41097"/>
    <w:rsid w:val="00E4254A"/>
    <w:rsid w:val="00E43008"/>
    <w:rsid w:val="00E435F2"/>
    <w:rsid w:val="00E4382A"/>
    <w:rsid w:val="00E43B9B"/>
    <w:rsid w:val="00E43F4C"/>
    <w:rsid w:val="00E44445"/>
    <w:rsid w:val="00E44764"/>
    <w:rsid w:val="00E44F27"/>
    <w:rsid w:val="00E4647C"/>
    <w:rsid w:val="00E47090"/>
    <w:rsid w:val="00E47397"/>
    <w:rsid w:val="00E47CB9"/>
    <w:rsid w:val="00E504B3"/>
    <w:rsid w:val="00E50DBF"/>
    <w:rsid w:val="00E50E99"/>
    <w:rsid w:val="00E513F1"/>
    <w:rsid w:val="00E5153A"/>
    <w:rsid w:val="00E52B32"/>
    <w:rsid w:val="00E52CDB"/>
    <w:rsid w:val="00E53909"/>
    <w:rsid w:val="00E53A69"/>
    <w:rsid w:val="00E53B41"/>
    <w:rsid w:val="00E53B6F"/>
    <w:rsid w:val="00E53DB5"/>
    <w:rsid w:val="00E53F81"/>
    <w:rsid w:val="00E55C7B"/>
    <w:rsid w:val="00E56361"/>
    <w:rsid w:val="00E57432"/>
    <w:rsid w:val="00E576CB"/>
    <w:rsid w:val="00E60D21"/>
    <w:rsid w:val="00E610E9"/>
    <w:rsid w:val="00E61E8C"/>
    <w:rsid w:val="00E62C75"/>
    <w:rsid w:val="00E62EB2"/>
    <w:rsid w:val="00E63493"/>
    <w:rsid w:val="00E64CE8"/>
    <w:rsid w:val="00E65813"/>
    <w:rsid w:val="00E66370"/>
    <w:rsid w:val="00E66716"/>
    <w:rsid w:val="00E66B40"/>
    <w:rsid w:val="00E66F41"/>
    <w:rsid w:val="00E6735F"/>
    <w:rsid w:val="00E67C64"/>
    <w:rsid w:val="00E7049F"/>
    <w:rsid w:val="00E71965"/>
    <w:rsid w:val="00E727CE"/>
    <w:rsid w:val="00E729EF"/>
    <w:rsid w:val="00E72CB8"/>
    <w:rsid w:val="00E72D5A"/>
    <w:rsid w:val="00E731B5"/>
    <w:rsid w:val="00E73756"/>
    <w:rsid w:val="00E73881"/>
    <w:rsid w:val="00E73BEE"/>
    <w:rsid w:val="00E74BD1"/>
    <w:rsid w:val="00E755E6"/>
    <w:rsid w:val="00E75618"/>
    <w:rsid w:val="00E76364"/>
    <w:rsid w:val="00E7696B"/>
    <w:rsid w:val="00E76FEC"/>
    <w:rsid w:val="00E77F48"/>
    <w:rsid w:val="00E80941"/>
    <w:rsid w:val="00E80C51"/>
    <w:rsid w:val="00E80CDF"/>
    <w:rsid w:val="00E80FD2"/>
    <w:rsid w:val="00E810EB"/>
    <w:rsid w:val="00E8162F"/>
    <w:rsid w:val="00E816BA"/>
    <w:rsid w:val="00E81C6F"/>
    <w:rsid w:val="00E8210D"/>
    <w:rsid w:val="00E82F18"/>
    <w:rsid w:val="00E832A1"/>
    <w:rsid w:val="00E83AD0"/>
    <w:rsid w:val="00E84234"/>
    <w:rsid w:val="00E848F1"/>
    <w:rsid w:val="00E84C1C"/>
    <w:rsid w:val="00E85287"/>
    <w:rsid w:val="00E855AC"/>
    <w:rsid w:val="00E85C37"/>
    <w:rsid w:val="00E85C54"/>
    <w:rsid w:val="00E8689A"/>
    <w:rsid w:val="00E86B6F"/>
    <w:rsid w:val="00E87F22"/>
    <w:rsid w:val="00E90351"/>
    <w:rsid w:val="00E91385"/>
    <w:rsid w:val="00E91449"/>
    <w:rsid w:val="00E91613"/>
    <w:rsid w:val="00E9194F"/>
    <w:rsid w:val="00E92097"/>
    <w:rsid w:val="00E924A9"/>
    <w:rsid w:val="00E92AF5"/>
    <w:rsid w:val="00E93874"/>
    <w:rsid w:val="00E93D13"/>
    <w:rsid w:val="00E93EA4"/>
    <w:rsid w:val="00E95327"/>
    <w:rsid w:val="00E95EC3"/>
    <w:rsid w:val="00E97B62"/>
    <w:rsid w:val="00EA0341"/>
    <w:rsid w:val="00EA16D2"/>
    <w:rsid w:val="00EA179F"/>
    <w:rsid w:val="00EA1880"/>
    <w:rsid w:val="00EA18F0"/>
    <w:rsid w:val="00EA20CD"/>
    <w:rsid w:val="00EA22BB"/>
    <w:rsid w:val="00EA285F"/>
    <w:rsid w:val="00EA2CB6"/>
    <w:rsid w:val="00EA34B0"/>
    <w:rsid w:val="00EA4288"/>
    <w:rsid w:val="00EA491F"/>
    <w:rsid w:val="00EA5197"/>
    <w:rsid w:val="00EA5D20"/>
    <w:rsid w:val="00EA6359"/>
    <w:rsid w:val="00EA7353"/>
    <w:rsid w:val="00EA7926"/>
    <w:rsid w:val="00EB0167"/>
    <w:rsid w:val="00EB0650"/>
    <w:rsid w:val="00EB145C"/>
    <w:rsid w:val="00EB1841"/>
    <w:rsid w:val="00EB189A"/>
    <w:rsid w:val="00EB1BD4"/>
    <w:rsid w:val="00EB3923"/>
    <w:rsid w:val="00EB399B"/>
    <w:rsid w:val="00EB3EEF"/>
    <w:rsid w:val="00EB42CF"/>
    <w:rsid w:val="00EB51D9"/>
    <w:rsid w:val="00EB5415"/>
    <w:rsid w:val="00EB5E93"/>
    <w:rsid w:val="00EB71F4"/>
    <w:rsid w:val="00EB7227"/>
    <w:rsid w:val="00EB72B0"/>
    <w:rsid w:val="00EB73C7"/>
    <w:rsid w:val="00EB753D"/>
    <w:rsid w:val="00EB7A8C"/>
    <w:rsid w:val="00EC039D"/>
    <w:rsid w:val="00EC0826"/>
    <w:rsid w:val="00EC0D10"/>
    <w:rsid w:val="00EC20DD"/>
    <w:rsid w:val="00EC2235"/>
    <w:rsid w:val="00EC2DB0"/>
    <w:rsid w:val="00EC34FD"/>
    <w:rsid w:val="00EC3F1C"/>
    <w:rsid w:val="00EC58C6"/>
    <w:rsid w:val="00EC5E03"/>
    <w:rsid w:val="00EC7281"/>
    <w:rsid w:val="00EC7898"/>
    <w:rsid w:val="00EC7F2A"/>
    <w:rsid w:val="00ED0533"/>
    <w:rsid w:val="00ED11EE"/>
    <w:rsid w:val="00ED1A8E"/>
    <w:rsid w:val="00ED26F3"/>
    <w:rsid w:val="00ED31D2"/>
    <w:rsid w:val="00ED3BE9"/>
    <w:rsid w:val="00ED4DC4"/>
    <w:rsid w:val="00ED5657"/>
    <w:rsid w:val="00ED6509"/>
    <w:rsid w:val="00ED7268"/>
    <w:rsid w:val="00ED7B50"/>
    <w:rsid w:val="00EE0E5D"/>
    <w:rsid w:val="00EE1170"/>
    <w:rsid w:val="00EE1D8E"/>
    <w:rsid w:val="00EE23C5"/>
    <w:rsid w:val="00EE294E"/>
    <w:rsid w:val="00EE2A52"/>
    <w:rsid w:val="00EE377C"/>
    <w:rsid w:val="00EE38AE"/>
    <w:rsid w:val="00EE3EC0"/>
    <w:rsid w:val="00EE4001"/>
    <w:rsid w:val="00EE485C"/>
    <w:rsid w:val="00EE4A89"/>
    <w:rsid w:val="00EE514F"/>
    <w:rsid w:val="00EE5932"/>
    <w:rsid w:val="00EE5F05"/>
    <w:rsid w:val="00EE64FC"/>
    <w:rsid w:val="00EF12F8"/>
    <w:rsid w:val="00EF1A2B"/>
    <w:rsid w:val="00EF1D38"/>
    <w:rsid w:val="00EF2349"/>
    <w:rsid w:val="00EF2E67"/>
    <w:rsid w:val="00EF3FBF"/>
    <w:rsid w:val="00EF4063"/>
    <w:rsid w:val="00EF5984"/>
    <w:rsid w:val="00EF5BE7"/>
    <w:rsid w:val="00EF69D0"/>
    <w:rsid w:val="00EF6F78"/>
    <w:rsid w:val="00EF78FE"/>
    <w:rsid w:val="00EF7983"/>
    <w:rsid w:val="00F003D2"/>
    <w:rsid w:val="00F01357"/>
    <w:rsid w:val="00F0147A"/>
    <w:rsid w:val="00F01B37"/>
    <w:rsid w:val="00F02CC4"/>
    <w:rsid w:val="00F02CF8"/>
    <w:rsid w:val="00F03D33"/>
    <w:rsid w:val="00F04037"/>
    <w:rsid w:val="00F04FF3"/>
    <w:rsid w:val="00F051A1"/>
    <w:rsid w:val="00F0558B"/>
    <w:rsid w:val="00F059BD"/>
    <w:rsid w:val="00F06EE0"/>
    <w:rsid w:val="00F071E4"/>
    <w:rsid w:val="00F0789B"/>
    <w:rsid w:val="00F10DC1"/>
    <w:rsid w:val="00F11051"/>
    <w:rsid w:val="00F11157"/>
    <w:rsid w:val="00F113C9"/>
    <w:rsid w:val="00F114CE"/>
    <w:rsid w:val="00F1184E"/>
    <w:rsid w:val="00F11FA9"/>
    <w:rsid w:val="00F13C5A"/>
    <w:rsid w:val="00F13E13"/>
    <w:rsid w:val="00F13E25"/>
    <w:rsid w:val="00F13FF4"/>
    <w:rsid w:val="00F14696"/>
    <w:rsid w:val="00F16C5A"/>
    <w:rsid w:val="00F1711C"/>
    <w:rsid w:val="00F1783B"/>
    <w:rsid w:val="00F17A5B"/>
    <w:rsid w:val="00F200EB"/>
    <w:rsid w:val="00F20A73"/>
    <w:rsid w:val="00F222D9"/>
    <w:rsid w:val="00F23E58"/>
    <w:rsid w:val="00F2447F"/>
    <w:rsid w:val="00F24765"/>
    <w:rsid w:val="00F2478F"/>
    <w:rsid w:val="00F2483E"/>
    <w:rsid w:val="00F24964"/>
    <w:rsid w:val="00F24D8D"/>
    <w:rsid w:val="00F25A75"/>
    <w:rsid w:val="00F25BBB"/>
    <w:rsid w:val="00F2628E"/>
    <w:rsid w:val="00F26440"/>
    <w:rsid w:val="00F26504"/>
    <w:rsid w:val="00F27802"/>
    <w:rsid w:val="00F27AD3"/>
    <w:rsid w:val="00F27CF2"/>
    <w:rsid w:val="00F302A3"/>
    <w:rsid w:val="00F30342"/>
    <w:rsid w:val="00F3038E"/>
    <w:rsid w:val="00F312A8"/>
    <w:rsid w:val="00F31380"/>
    <w:rsid w:val="00F319BA"/>
    <w:rsid w:val="00F322AB"/>
    <w:rsid w:val="00F323CF"/>
    <w:rsid w:val="00F33033"/>
    <w:rsid w:val="00F338E7"/>
    <w:rsid w:val="00F33AA4"/>
    <w:rsid w:val="00F349C1"/>
    <w:rsid w:val="00F3566A"/>
    <w:rsid w:val="00F35B24"/>
    <w:rsid w:val="00F35CC7"/>
    <w:rsid w:val="00F35E64"/>
    <w:rsid w:val="00F365B5"/>
    <w:rsid w:val="00F3706B"/>
    <w:rsid w:val="00F37EE0"/>
    <w:rsid w:val="00F41238"/>
    <w:rsid w:val="00F41430"/>
    <w:rsid w:val="00F42215"/>
    <w:rsid w:val="00F42555"/>
    <w:rsid w:val="00F431B8"/>
    <w:rsid w:val="00F445B5"/>
    <w:rsid w:val="00F445FE"/>
    <w:rsid w:val="00F446EA"/>
    <w:rsid w:val="00F44728"/>
    <w:rsid w:val="00F450DA"/>
    <w:rsid w:val="00F45102"/>
    <w:rsid w:val="00F459DE"/>
    <w:rsid w:val="00F45B74"/>
    <w:rsid w:val="00F46C57"/>
    <w:rsid w:val="00F471FA"/>
    <w:rsid w:val="00F479EF"/>
    <w:rsid w:val="00F47F45"/>
    <w:rsid w:val="00F509B3"/>
    <w:rsid w:val="00F5118A"/>
    <w:rsid w:val="00F51B74"/>
    <w:rsid w:val="00F5214E"/>
    <w:rsid w:val="00F52213"/>
    <w:rsid w:val="00F52C23"/>
    <w:rsid w:val="00F531CA"/>
    <w:rsid w:val="00F531ED"/>
    <w:rsid w:val="00F538AE"/>
    <w:rsid w:val="00F5476F"/>
    <w:rsid w:val="00F54C09"/>
    <w:rsid w:val="00F54F75"/>
    <w:rsid w:val="00F55444"/>
    <w:rsid w:val="00F56A6C"/>
    <w:rsid w:val="00F56C97"/>
    <w:rsid w:val="00F5707A"/>
    <w:rsid w:val="00F57550"/>
    <w:rsid w:val="00F57B6B"/>
    <w:rsid w:val="00F614A9"/>
    <w:rsid w:val="00F615F7"/>
    <w:rsid w:val="00F61FFB"/>
    <w:rsid w:val="00F633A3"/>
    <w:rsid w:val="00F6406E"/>
    <w:rsid w:val="00F640B0"/>
    <w:rsid w:val="00F64282"/>
    <w:rsid w:val="00F64961"/>
    <w:rsid w:val="00F64999"/>
    <w:rsid w:val="00F651CD"/>
    <w:rsid w:val="00F65DC9"/>
    <w:rsid w:val="00F6639A"/>
    <w:rsid w:val="00F668F6"/>
    <w:rsid w:val="00F708F8"/>
    <w:rsid w:val="00F71303"/>
    <w:rsid w:val="00F7184B"/>
    <w:rsid w:val="00F726D3"/>
    <w:rsid w:val="00F73F8B"/>
    <w:rsid w:val="00F74AC7"/>
    <w:rsid w:val="00F74D10"/>
    <w:rsid w:val="00F7520E"/>
    <w:rsid w:val="00F7545F"/>
    <w:rsid w:val="00F76C55"/>
    <w:rsid w:val="00F76EAC"/>
    <w:rsid w:val="00F82781"/>
    <w:rsid w:val="00F82883"/>
    <w:rsid w:val="00F832D6"/>
    <w:rsid w:val="00F8378E"/>
    <w:rsid w:val="00F83E7F"/>
    <w:rsid w:val="00F84437"/>
    <w:rsid w:val="00F8554A"/>
    <w:rsid w:val="00F85A72"/>
    <w:rsid w:val="00F861E0"/>
    <w:rsid w:val="00F87370"/>
    <w:rsid w:val="00F879DF"/>
    <w:rsid w:val="00F903B7"/>
    <w:rsid w:val="00F91047"/>
    <w:rsid w:val="00F91BC6"/>
    <w:rsid w:val="00F92815"/>
    <w:rsid w:val="00F937D2"/>
    <w:rsid w:val="00F9381A"/>
    <w:rsid w:val="00F93D34"/>
    <w:rsid w:val="00F93EF5"/>
    <w:rsid w:val="00F9403B"/>
    <w:rsid w:val="00F9408D"/>
    <w:rsid w:val="00F941B2"/>
    <w:rsid w:val="00F94230"/>
    <w:rsid w:val="00F9478A"/>
    <w:rsid w:val="00F95B63"/>
    <w:rsid w:val="00F95F29"/>
    <w:rsid w:val="00F96A0A"/>
    <w:rsid w:val="00F96EB6"/>
    <w:rsid w:val="00F96F44"/>
    <w:rsid w:val="00F971FD"/>
    <w:rsid w:val="00F97531"/>
    <w:rsid w:val="00FA038F"/>
    <w:rsid w:val="00FA0539"/>
    <w:rsid w:val="00FA066F"/>
    <w:rsid w:val="00FA0927"/>
    <w:rsid w:val="00FA10B0"/>
    <w:rsid w:val="00FA2DBA"/>
    <w:rsid w:val="00FA2E86"/>
    <w:rsid w:val="00FA3699"/>
    <w:rsid w:val="00FA454E"/>
    <w:rsid w:val="00FA4839"/>
    <w:rsid w:val="00FA5276"/>
    <w:rsid w:val="00FA5608"/>
    <w:rsid w:val="00FA568B"/>
    <w:rsid w:val="00FA5A3B"/>
    <w:rsid w:val="00FA75AA"/>
    <w:rsid w:val="00FA7F41"/>
    <w:rsid w:val="00FB1045"/>
    <w:rsid w:val="00FB10EE"/>
    <w:rsid w:val="00FB1211"/>
    <w:rsid w:val="00FB167E"/>
    <w:rsid w:val="00FB1F87"/>
    <w:rsid w:val="00FB23DC"/>
    <w:rsid w:val="00FB271E"/>
    <w:rsid w:val="00FB2AA0"/>
    <w:rsid w:val="00FB2DAB"/>
    <w:rsid w:val="00FB2FF3"/>
    <w:rsid w:val="00FB3043"/>
    <w:rsid w:val="00FB36D5"/>
    <w:rsid w:val="00FB37C4"/>
    <w:rsid w:val="00FB39B8"/>
    <w:rsid w:val="00FB4494"/>
    <w:rsid w:val="00FB4CE5"/>
    <w:rsid w:val="00FB50E9"/>
    <w:rsid w:val="00FB67FF"/>
    <w:rsid w:val="00FB6A01"/>
    <w:rsid w:val="00FB7B26"/>
    <w:rsid w:val="00FC0992"/>
    <w:rsid w:val="00FC0BA6"/>
    <w:rsid w:val="00FC0C4D"/>
    <w:rsid w:val="00FC0F48"/>
    <w:rsid w:val="00FC212D"/>
    <w:rsid w:val="00FC30B0"/>
    <w:rsid w:val="00FC3968"/>
    <w:rsid w:val="00FC4322"/>
    <w:rsid w:val="00FC4673"/>
    <w:rsid w:val="00FC4EDE"/>
    <w:rsid w:val="00FC4FA1"/>
    <w:rsid w:val="00FC593E"/>
    <w:rsid w:val="00FC6539"/>
    <w:rsid w:val="00FC67DA"/>
    <w:rsid w:val="00FC7326"/>
    <w:rsid w:val="00FC737F"/>
    <w:rsid w:val="00FC76D9"/>
    <w:rsid w:val="00FC7ACE"/>
    <w:rsid w:val="00FC7D02"/>
    <w:rsid w:val="00FC7E5B"/>
    <w:rsid w:val="00FD05EF"/>
    <w:rsid w:val="00FD07BF"/>
    <w:rsid w:val="00FD0B41"/>
    <w:rsid w:val="00FD0FCB"/>
    <w:rsid w:val="00FD1007"/>
    <w:rsid w:val="00FD1D16"/>
    <w:rsid w:val="00FD2ADA"/>
    <w:rsid w:val="00FD38A3"/>
    <w:rsid w:val="00FD3EF8"/>
    <w:rsid w:val="00FD494D"/>
    <w:rsid w:val="00FD4E78"/>
    <w:rsid w:val="00FD5935"/>
    <w:rsid w:val="00FD59A0"/>
    <w:rsid w:val="00FD65E7"/>
    <w:rsid w:val="00FD73FF"/>
    <w:rsid w:val="00FD7F27"/>
    <w:rsid w:val="00FD7F42"/>
    <w:rsid w:val="00FE0313"/>
    <w:rsid w:val="00FE0381"/>
    <w:rsid w:val="00FE097C"/>
    <w:rsid w:val="00FE28B3"/>
    <w:rsid w:val="00FE3033"/>
    <w:rsid w:val="00FE49AC"/>
    <w:rsid w:val="00FE4AA3"/>
    <w:rsid w:val="00FE52AD"/>
    <w:rsid w:val="00FE5CFA"/>
    <w:rsid w:val="00FE6689"/>
    <w:rsid w:val="00FE6B0A"/>
    <w:rsid w:val="00FE7B35"/>
    <w:rsid w:val="00FF18B7"/>
    <w:rsid w:val="00FF2210"/>
    <w:rsid w:val="00FF23D3"/>
    <w:rsid w:val="00FF23E2"/>
    <w:rsid w:val="00FF2776"/>
    <w:rsid w:val="00FF441E"/>
    <w:rsid w:val="00FF491C"/>
    <w:rsid w:val="00FF4F61"/>
    <w:rsid w:val="00FF4FD8"/>
    <w:rsid w:val="00FF54A8"/>
    <w:rsid w:val="00FF6006"/>
    <w:rsid w:val="00FF6BAE"/>
    <w:rsid w:val="00FF6C98"/>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C0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B3E26"/>
    <w:rPr>
      <w:rFonts w:ascii="Times New Roman" w:hAnsi="Times New Roman" w:cs="Times New Roman"/>
      <w:sz w:val="24"/>
      <w:szCs w:val="24"/>
      <w:lang w:eastAsia="ja-JP"/>
    </w:rPr>
  </w:style>
  <w:style w:type="paragraph" w:styleId="12">
    <w:name w:val="heading 1"/>
    <w:basedOn w:val="a0"/>
    <w:next w:val="a0"/>
    <w:link w:val="13"/>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uiPriority w:val="9"/>
    <w:qFormat/>
    <w:rsid w:val="00E30437"/>
    <w:pPr>
      <w:keepNext/>
      <w:spacing w:before="240" w:after="60"/>
      <w:outlineLvl w:val="2"/>
    </w:pPr>
    <w:rPr>
      <w:rFonts w:ascii="Arial" w:hAnsi="Arial"/>
      <w:b/>
      <w:bCs/>
      <w:szCs w:val="26"/>
    </w:rPr>
  </w:style>
  <w:style w:type="paragraph" w:styleId="4">
    <w:name w:val="heading 4"/>
    <w:basedOn w:val="a0"/>
    <w:next w:val="a0"/>
    <w:link w:val="40"/>
    <w:uiPriority w:val="9"/>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rsid w:val="00E30437"/>
    <w:rPr>
      <w:rFonts w:ascii="Arial" w:eastAsia="MS Mincho" w:hAnsi="Arial" w:cs="Times New Roman"/>
      <w:b/>
      <w:bCs/>
      <w:sz w:val="24"/>
      <w:szCs w:val="26"/>
      <w:lang w:eastAsia="ja-JP"/>
    </w:rPr>
  </w:style>
  <w:style w:type="character" w:customStyle="1" w:styleId="40">
    <w:name w:val="Заголовок 4 Знак"/>
    <w:basedOn w:val="a1"/>
    <w:link w:val="4"/>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7C0CE4"/>
    <w:pPr>
      <w:tabs>
        <w:tab w:val="right" w:leader="dot" w:pos="9356"/>
      </w:tabs>
    </w:p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pPr>
  </w:style>
  <w:style w:type="paragraph" w:styleId="ab">
    <w:name w:val="Normal (Web)"/>
    <w:basedOn w:val="a0"/>
    <w:uiPriority w:val="99"/>
    <w:rsid w:val="00E30437"/>
    <w:pPr>
      <w:spacing w:before="100" w:beforeAutospacing="1" w:after="100" w:afterAutospacing="1"/>
      <w:jc w:val="left"/>
    </w:pPr>
    <w:rPr>
      <w:rFonts w:eastAsia="Times New Roman"/>
      <w:lang w:eastAsia="ru-RU"/>
    </w:rPr>
  </w:style>
  <w:style w:type="paragraph" w:styleId="31">
    <w:name w:val="toc 3"/>
    <w:basedOn w:val="a0"/>
    <w:next w:val="a0"/>
    <w:autoRedefine/>
    <w:uiPriority w:val="39"/>
    <w:rsid w:val="001546CC"/>
    <w:pPr>
      <w:tabs>
        <w:tab w:val="left" w:pos="1100"/>
        <w:tab w:val="right" w:leader="dot" w:pos="9345"/>
      </w:tabs>
      <w:ind w:firstLine="284"/>
    </w:pPr>
    <w:rPr>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rsid w:val="00E30437"/>
    <w:pPr>
      <w:jc w:val="left"/>
    </w:pPr>
    <w:rPr>
      <w:rFonts w:eastAsia="Times New Roman"/>
      <w:sz w:val="20"/>
      <w:szCs w:val="20"/>
      <w:lang w:eastAsia="ru-RU"/>
    </w:rPr>
  </w:style>
  <w:style w:type="character" w:customStyle="1" w:styleId="ae">
    <w:name w:val="Текст сноски Знак"/>
    <w:basedOn w:val="a1"/>
    <w:link w:val="ad"/>
    <w:uiPriority w:val="99"/>
    <w:rsid w:val="00E30437"/>
    <w:rPr>
      <w:rFonts w:ascii="Times New Roman" w:eastAsia="Times New Roman" w:hAnsi="Times New Roman" w:cs="Times New Roman"/>
      <w:sz w:val="20"/>
      <w:szCs w:val="20"/>
      <w:lang w:eastAsia="ru-RU"/>
    </w:rPr>
  </w:style>
  <w:style w:type="character" w:styleId="af">
    <w:name w:val="footnote reference"/>
    <w:qFormat/>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rsid w:val="00E30437"/>
    <w:rPr>
      <w:rFonts w:ascii="Tahoma" w:hAnsi="Tahoma"/>
      <w:sz w:val="16"/>
      <w:szCs w:val="16"/>
    </w:rPr>
  </w:style>
  <w:style w:type="character" w:customStyle="1" w:styleId="af2">
    <w:name w:val="Текст выноски Знак"/>
    <w:basedOn w:val="a1"/>
    <w:link w:val="af1"/>
    <w:rsid w:val="00E30437"/>
    <w:rPr>
      <w:rFonts w:ascii="Tahoma" w:eastAsia="MS Mincho" w:hAnsi="Tahoma" w:cs="Times New Roman"/>
      <w:sz w:val="16"/>
      <w:szCs w:val="16"/>
      <w:lang w:eastAsia="ja-JP"/>
    </w:rPr>
  </w:style>
  <w:style w:type="paragraph" w:styleId="af3">
    <w:name w:val="List Paragraph"/>
    <w:aliases w:val="ТАБЛИЦА1,Список простой нумер"/>
    <w:basedOn w:val="a0"/>
    <w:link w:val="af4"/>
    <w:uiPriority w:val="34"/>
    <w:qFormat/>
    <w:rsid w:val="00E30437"/>
    <w:pPr>
      <w:ind w:left="720"/>
      <w:contextualSpacing/>
    </w:pPr>
  </w:style>
  <w:style w:type="character" w:styleId="af5">
    <w:name w:val="annotation reference"/>
    <w:uiPriority w:val="99"/>
    <w:qFormat/>
    <w:rsid w:val="00E30437"/>
    <w:rPr>
      <w:sz w:val="16"/>
      <w:szCs w:val="16"/>
    </w:rPr>
  </w:style>
  <w:style w:type="paragraph" w:styleId="af6">
    <w:name w:val="annotation text"/>
    <w:aliases w:val="Char1,Char2,Annotationtext,Comment Text Char Char Char,Comment Text Char1 Char,Kommentartext Char"/>
    <w:basedOn w:val="a0"/>
    <w:link w:val="af7"/>
    <w:uiPriority w:val="99"/>
    <w:qFormat/>
    <w:rsid w:val="00E30437"/>
    <w:rPr>
      <w:sz w:val="20"/>
      <w:szCs w:val="20"/>
    </w:rPr>
  </w:style>
  <w:style w:type="character" w:customStyle="1" w:styleId="af7">
    <w:name w:val="Текст примечания Знак"/>
    <w:aliases w:val="Char1 Знак,Char2 Знак,Annotationtext Знак,Comment Text Char Char Char Знак,Comment Text Char1 Char Знак,Kommentartext Char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rsid w:val="00E30437"/>
    <w:rPr>
      <w:b/>
      <w:bCs/>
    </w:rPr>
  </w:style>
  <w:style w:type="character" w:customStyle="1" w:styleId="af9">
    <w:name w:val="Тема примечания Знак"/>
    <w:basedOn w:val="af7"/>
    <w:link w:val="af8"/>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rPr>
      <w:rFonts w:ascii="Times New Roman"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uiPriority w:val="99"/>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nhideWhenUsed/>
    <w:rsid w:val="00E30437"/>
    <w:pPr>
      <w:spacing w:after="120"/>
    </w:pPr>
  </w:style>
  <w:style w:type="character" w:customStyle="1" w:styleId="aff0">
    <w:name w:val="Основной текст Знак"/>
    <w:basedOn w:val="a1"/>
    <w:link w:val="aff"/>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rsid w:val="00E30437"/>
    <w:pPr>
      <w:spacing w:after="120"/>
    </w:pPr>
    <w:rPr>
      <w:sz w:val="16"/>
      <w:szCs w:val="16"/>
    </w:rPr>
  </w:style>
  <w:style w:type="character" w:customStyle="1" w:styleId="33">
    <w:name w:val="Основной текст 3 Знак"/>
    <w:basedOn w:val="a1"/>
    <w:link w:val="32"/>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spacing w:before="0" w:after="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rPr>
      <w:rFonts w:eastAsia="Times New Roman"/>
      <w:lang w:eastAsia="ru-RU"/>
    </w:rPr>
    <w:tblPr>
      <w:tblCellMar>
        <w:top w:w="0" w:type="dxa"/>
        <w:left w:w="0" w:type="dxa"/>
        <w:bottom w:w="0" w:type="dxa"/>
        <w:right w:w="0" w:type="dxa"/>
      </w:tblCellMar>
    </w:tblPr>
  </w:style>
  <w:style w:type="table" w:customStyle="1" w:styleId="TableGrid1">
    <w:name w:val="TableGrid1"/>
    <w:rsid w:val="00291A15"/>
    <w:rPr>
      <w:rFonts w:eastAsia="Times New Roman"/>
      <w:lang w:eastAsia="ru-RU"/>
    </w:rPr>
    <w:tblPr>
      <w:tblCellMar>
        <w:top w:w="0" w:type="dxa"/>
        <w:left w:w="0" w:type="dxa"/>
        <w:bottom w:w="0" w:type="dxa"/>
        <w:right w:w="0" w:type="dxa"/>
      </w:tblCellMar>
    </w:tblPr>
  </w:style>
  <w:style w:type="table" w:customStyle="1" w:styleId="TableGrid2">
    <w:name w:val="TableGrid2"/>
    <w:rsid w:val="00291A15"/>
    <w:rPr>
      <w:rFonts w:eastAsia="Times New Roman"/>
      <w:lang w:eastAsia="ru-RU"/>
    </w:rPr>
    <w:tblPr>
      <w:tblCellMar>
        <w:top w:w="0" w:type="dxa"/>
        <w:left w:w="0" w:type="dxa"/>
        <w:bottom w:w="0" w:type="dxa"/>
        <w:right w:w="0" w:type="dxa"/>
      </w:tblCellMar>
    </w:tblPr>
  </w:style>
  <w:style w:type="table" w:customStyle="1" w:styleId="TableGrid3">
    <w:name w:val="TableGrid3"/>
    <w:rsid w:val="00291A15"/>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
    <w:basedOn w:val="a1"/>
    <w:link w:val="af3"/>
    <w:uiPriority w:val="34"/>
    <w:locked/>
    <w:rsid w:val="0081221B"/>
    <w:rPr>
      <w:rFonts w:ascii="Times New Roman" w:eastAsia="MS Mincho" w:hAnsi="Times New Roman" w:cs="Times New Roman"/>
      <w:sz w:val="24"/>
      <w:szCs w:val="24"/>
      <w:lang w:eastAsia="ja-JP"/>
    </w:rPr>
  </w:style>
  <w:style w:type="character" w:customStyle="1" w:styleId="18">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9">
    <w:name w:val="Заголовок1"/>
    <w:basedOn w:val="a0"/>
    <w:link w:val="affd"/>
    <w:qFormat/>
    <w:rsid w:val="009E62E0"/>
    <w:pPr>
      <w:spacing w:before="120" w:line="360" w:lineRule="auto"/>
      <w:jc w:val="center"/>
    </w:pPr>
    <w:rPr>
      <w:rFonts w:eastAsiaTheme="minorHAnsi"/>
      <w:b/>
      <w:caps/>
      <w:color w:val="000000"/>
      <w:lang w:eastAsia="en-US"/>
    </w:rPr>
  </w:style>
  <w:style w:type="character" w:customStyle="1" w:styleId="affd">
    <w:name w:val="Заголовок Знак"/>
    <w:basedOn w:val="a1"/>
    <w:link w:val="19"/>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pPr>
    <w:rPr>
      <w:rFonts w:eastAsia="Times New Roman"/>
      <w:lang w:eastAsia="ru-RU"/>
    </w:rPr>
  </w:style>
  <w:style w:type="paragraph" w:styleId="2a">
    <w:name w:val="List 2"/>
    <w:basedOn w:val="a0"/>
    <w:rsid w:val="009E62E0"/>
    <w:pPr>
      <w:ind w:left="566" w:hanging="283"/>
      <w:jc w:val="left"/>
    </w:pPr>
    <w:rPr>
      <w:rFonts w:ascii="Calibri" w:eastAsia="Calibri" w:hAnsi="Calibri"/>
      <w:lang w:eastAsia="en-US"/>
    </w:rPr>
  </w:style>
  <w:style w:type="paragraph" w:customStyle="1" w:styleId="afff">
    <w:name w:val="Таб. осн."/>
    <w:basedOn w:val="a0"/>
    <w:rsid w:val="009E62E0"/>
    <w:pPr>
      <w:spacing w:before="60" w:after="60"/>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pPr>
    <w:rPr>
      <w:rFonts w:ascii="Times New Roman" w:hAnsi="Times New Roman" w:cs="Times New Roman"/>
      <w:sz w:val="20"/>
      <w:szCs w:val="20"/>
      <w:lang w:val="en-US"/>
    </w:rPr>
  </w:style>
  <w:style w:type="character" w:customStyle="1" w:styleId="jrnl">
    <w:name w:val="jrnl"/>
    <w:basedOn w:val="a1"/>
    <w:rsid w:val="009E62E0"/>
  </w:style>
  <w:style w:type="paragraph" w:customStyle="1" w:styleId="1a">
    <w:name w:val="Название1"/>
    <w:basedOn w:val="a0"/>
    <w:rsid w:val="009E62E0"/>
    <w:pPr>
      <w:spacing w:before="100" w:beforeAutospacing="1" w:after="100" w:afterAutospacing="1"/>
      <w:jc w:val="left"/>
    </w:pPr>
    <w:rPr>
      <w:rFonts w:eastAsia="Times New Roman"/>
      <w:lang w:eastAsia="ru-RU"/>
    </w:rPr>
  </w:style>
  <w:style w:type="paragraph" w:customStyle="1" w:styleId="1b">
    <w:name w:val="Таблица1"/>
    <w:basedOn w:val="aff1"/>
    <w:link w:val="1c"/>
    <w:qFormat/>
    <w:rsid w:val="009E62E0"/>
    <w:pPr>
      <w:keepNext/>
      <w:spacing w:after="120"/>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c">
    <w:name w:val="Таблица1 Знак"/>
    <w:basedOn w:val="aff2"/>
    <w:link w:val="1b"/>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rPr>
      <w:rFonts w:eastAsia="Times New Roman"/>
      <w:lang w:eastAsia="ru-RU"/>
    </w:rPr>
    <w:tblPr>
      <w:tblCellMar>
        <w:top w:w="0" w:type="dxa"/>
        <w:left w:w="0" w:type="dxa"/>
        <w:bottom w:w="0" w:type="dxa"/>
        <w:right w:w="0" w:type="dxa"/>
      </w:tblCellMar>
    </w:tblPr>
  </w:style>
  <w:style w:type="table" w:customStyle="1" w:styleId="TableGrid6">
    <w:name w:val="TableGrid6"/>
    <w:rsid w:val="00705C2F"/>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39"/>
    <w:rsid w:val="00F20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rPr>
      <w:rFonts w:eastAsia="Times New Roman"/>
      <w:lang w:eastAsia="ru-RU"/>
    </w:rPr>
    <w:tblPr>
      <w:tblCellMar>
        <w:top w:w="0" w:type="dxa"/>
        <w:left w:w="0" w:type="dxa"/>
        <w:bottom w:w="0" w:type="dxa"/>
        <w:right w:w="0" w:type="dxa"/>
      </w:tblCellMar>
    </w:tblPr>
  </w:style>
  <w:style w:type="table" w:customStyle="1" w:styleId="TableGrid8">
    <w:name w:val="TableGrid8"/>
    <w:rsid w:val="00444517"/>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1"/>
    <w:rsid w:val="006161F9"/>
    <w:rPr>
      <w:rFonts w:ascii="TimesNewRomanPSMT" w:hAnsi="TimesNewRomanPSMT" w:hint="default"/>
      <w:b w:val="0"/>
      <w:bCs w:val="0"/>
      <w:i w:val="0"/>
      <w:iCs w:val="0"/>
      <w:color w:val="000000"/>
      <w:sz w:val="18"/>
      <w:szCs w:val="18"/>
    </w:rPr>
  </w:style>
  <w:style w:type="character" w:customStyle="1" w:styleId="fontstyle31">
    <w:name w:val="fontstyle31"/>
    <w:basedOn w:val="a1"/>
    <w:rsid w:val="00113100"/>
    <w:rPr>
      <w:rFonts w:ascii="TimesNewRomanPS-BoldItalicMT" w:hAnsi="TimesNewRomanPS-BoldItalicMT" w:hint="default"/>
      <w:b/>
      <w:bCs/>
      <w:i/>
      <w:iCs/>
      <w:color w:val="000000"/>
      <w:sz w:val="24"/>
      <w:szCs w:val="24"/>
    </w:rPr>
  </w:style>
  <w:style w:type="character" w:customStyle="1" w:styleId="fontstyle41">
    <w:name w:val="fontstyle41"/>
    <w:basedOn w:val="a1"/>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a1"/>
    <w:rsid w:val="00113100"/>
  </w:style>
  <w:style w:type="character" w:customStyle="1" w:styleId="fontstyle51">
    <w:name w:val="fontstyle51"/>
    <w:basedOn w:val="a1"/>
    <w:rsid w:val="00113100"/>
    <w:rPr>
      <w:rFonts w:ascii="SymbolMT" w:hAnsi="SymbolMT" w:hint="default"/>
      <w:b w:val="0"/>
      <w:bCs w:val="0"/>
      <w:i w:val="0"/>
      <w:iCs w:val="0"/>
      <w:color w:val="000000"/>
      <w:sz w:val="22"/>
      <w:szCs w:val="22"/>
    </w:rPr>
  </w:style>
  <w:style w:type="character" w:customStyle="1" w:styleId="nowrap">
    <w:name w:val="nowrap"/>
    <w:basedOn w:val="a1"/>
    <w:rsid w:val="00CB4CC1"/>
  </w:style>
  <w:style w:type="character" w:customStyle="1" w:styleId="author">
    <w:name w:val="author"/>
    <w:basedOn w:val="a1"/>
    <w:rsid w:val="003822AB"/>
  </w:style>
  <w:style w:type="character" w:customStyle="1" w:styleId="articletitle">
    <w:name w:val="articletitle"/>
    <w:basedOn w:val="a1"/>
    <w:rsid w:val="003822AB"/>
  </w:style>
  <w:style w:type="character" w:customStyle="1" w:styleId="journaltitle">
    <w:name w:val="journaltitle"/>
    <w:basedOn w:val="a1"/>
    <w:rsid w:val="003822AB"/>
  </w:style>
  <w:style w:type="character" w:customStyle="1" w:styleId="vol">
    <w:name w:val="vol"/>
    <w:basedOn w:val="a1"/>
    <w:rsid w:val="003822AB"/>
  </w:style>
  <w:style w:type="character" w:customStyle="1" w:styleId="pubyear">
    <w:name w:val="pubyear"/>
    <w:basedOn w:val="a1"/>
    <w:rsid w:val="003822AB"/>
  </w:style>
  <w:style w:type="character" w:customStyle="1" w:styleId="pagefirst">
    <w:name w:val="pagefirst"/>
    <w:basedOn w:val="a1"/>
    <w:rsid w:val="00D35D87"/>
  </w:style>
  <w:style w:type="character" w:customStyle="1" w:styleId="pagelast">
    <w:name w:val="pagelast"/>
    <w:basedOn w:val="a1"/>
    <w:rsid w:val="00D35D87"/>
  </w:style>
  <w:style w:type="paragraph" w:styleId="afff2">
    <w:name w:val="Bibliography"/>
    <w:basedOn w:val="a0"/>
    <w:next w:val="a0"/>
    <w:uiPriority w:val="37"/>
    <w:unhideWhenUsed/>
    <w:rsid w:val="00BC59D1"/>
  </w:style>
  <w:style w:type="character" w:customStyle="1" w:styleId="2Corbel">
    <w:name w:val="Основной текст (2) + Corbel"/>
    <w:aliases w:val="9,5 pt,Основной текст (2) + 9"/>
    <w:basedOn w:val="a1"/>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b">
    <w:name w:val="Основной текст (2) + Полужирный"/>
    <w:basedOn w:val="a1"/>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fff3">
    <w:name w:val="Подпись к таблице_"/>
    <w:basedOn w:val="a1"/>
    <w:link w:val="afff4"/>
    <w:locked/>
    <w:rsid w:val="00491CBF"/>
    <w:rPr>
      <w:rFonts w:ascii="Times New Roman" w:eastAsia="Times New Roman" w:hAnsi="Times New Roman" w:cs="Times New Roman"/>
      <w:b/>
      <w:bCs/>
      <w:shd w:val="clear" w:color="auto" w:fill="FFFFFF"/>
    </w:rPr>
  </w:style>
  <w:style w:type="paragraph" w:customStyle="1" w:styleId="afff4">
    <w:name w:val="Подпись к таблице"/>
    <w:basedOn w:val="a0"/>
    <w:link w:val="afff3"/>
    <w:rsid w:val="00491CBF"/>
    <w:pPr>
      <w:widowControl w:val="0"/>
      <w:shd w:val="clear" w:color="auto" w:fill="FFFFFF"/>
      <w:spacing w:line="254" w:lineRule="exact"/>
      <w:ind w:firstLine="360"/>
    </w:pPr>
    <w:rPr>
      <w:rFonts w:eastAsia="Times New Roman"/>
      <w:b/>
      <w:bCs/>
      <w:sz w:val="22"/>
      <w:szCs w:val="22"/>
      <w:lang w:eastAsia="en-US"/>
    </w:rPr>
  </w:style>
  <w:style w:type="character" w:customStyle="1" w:styleId="210pt">
    <w:name w:val="Основной текст (2) + 10 pt"/>
    <w:basedOn w:val="28"/>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8"/>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7">
    <w:name w:val="Основной текст (3)_"/>
    <w:basedOn w:val="a1"/>
    <w:link w:val="38"/>
    <w:locked/>
    <w:rsid w:val="008863C9"/>
    <w:rPr>
      <w:rFonts w:ascii="Times New Roman" w:eastAsia="Times New Roman" w:hAnsi="Times New Roman" w:cs="Times New Roman"/>
      <w:b/>
      <w:bCs/>
      <w:shd w:val="clear" w:color="auto" w:fill="FFFFFF"/>
    </w:rPr>
  </w:style>
  <w:style w:type="paragraph" w:customStyle="1" w:styleId="38">
    <w:name w:val="Основной текст (3)"/>
    <w:basedOn w:val="a0"/>
    <w:link w:val="37"/>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a1"/>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a1"/>
    <w:uiPriority w:val="99"/>
    <w:semiHidden/>
    <w:unhideWhenUsed/>
    <w:rsid w:val="00AB20DF"/>
    <w:rPr>
      <w:color w:val="605E5C"/>
      <w:shd w:val="clear" w:color="auto" w:fill="E1DFDD"/>
    </w:rPr>
  </w:style>
  <w:style w:type="character" w:customStyle="1" w:styleId="afff5">
    <w:name w:val="_"/>
    <w:basedOn w:val="a1"/>
    <w:rsid w:val="00AB20DF"/>
  </w:style>
  <w:style w:type="character" w:customStyle="1" w:styleId="hitinf">
    <w:name w:val="hit_inf"/>
    <w:basedOn w:val="a1"/>
    <w:rsid w:val="00AB20DF"/>
  </w:style>
  <w:style w:type="character" w:customStyle="1" w:styleId="hitsyn">
    <w:name w:val="hit_syn"/>
    <w:basedOn w:val="a1"/>
    <w:rsid w:val="00AB20DF"/>
  </w:style>
  <w:style w:type="character" w:customStyle="1" w:styleId="blk">
    <w:name w:val="blk"/>
    <w:rsid w:val="00AB20DF"/>
  </w:style>
  <w:style w:type="character" w:customStyle="1" w:styleId="1d">
    <w:name w:val="Основной текст1"/>
    <w:basedOn w:val="a1"/>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pPr>
    <w:rPr>
      <w:rFonts w:ascii="Arial" w:eastAsiaTheme="minorEastAsia" w:hAnsi="Arial" w:cs="Arial"/>
      <w:sz w:val="20"/>
      <w:szCs w:val="20"/>
      <w:lang w:eastAsia="ru-RU"/>
    </w:rPr>
  </w:style>
  <w:style w:type="character" w:customStyle="1" w:styleId="afff6">
    <w:name w:val="Основной текст_"/>
    <w:basedOn w:val="a1"/>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a1"/>
    <w:rsid w:val="003D0C91"/>
  </w:style>
  <w:style w:type="paragraph" w:customStyle="1" w:styleId="opispole">
    <w:name w:val="opis_pole"/>
    <w:basedOn w:val="a0"/>
    <w:rsid w:val="00184AA4"/>
    <w:pPr>
      <w:spacing w:before="100" w:beforeAutospacing="1" w:after="100" w:afterAutospacing="1"/>
      <w:jc w:val="left"/>
    </w:pPr>
    <w:rPr>
      <w:rFonts w:eastAsia="Times New Roman"/>
      <w:lang w:eastAsia="ru-RU"/>
    </w:rPr>
  </w:style>
  <w:style w:type="paragraph" w:customStyle="1" w:styleId="tablesubscr">
    <w:name w:val="tablesubscr"/>
    <w:basedOn w:val="a0"/>
    <w:rsid w:val="00184AA4"/>
    <w:pPr>
      <w:spacing w:before="100" w:beforeAutospacing="1" w:after="100" w:afterAutospacing="1"/>
      <w:jc w:val="left"/>
    </w:pPr>
    <w:rPr>
      <w:rFonts w:eastAsia="Times New Roman"/>
      <w:lang w:eastAsia="ru-RU"/>
    </w:rPr>
  </w:style>
  <w:style w:type="character" w:customStyle="1" w:styleId="w">
    <w:name w:val="w"/>
    <w:basedOn w:val="a1"/>
    <w:rsid w:val="005B1025"/>
  </w:style>
  <w:style w:type="character" w:customStyle="1" w:styleId="med1">
    <w:name w:val="med1"/>
    <w:basedOn w:val="a1"/>
    <w:rsid w:val="00557F15"/>
  </w:style>
  <w:style w:type="character" w:customStyle="1" w:styleId="UnresolvedMention">
    <w:name w:val="Unresolved Mention"/>
    <w:basedOn w:val="a1"/>
    <w:uiPriority w:val="99"/>
    <w:semiHidden/>
    <w:unhideWhenUsed/>
    <w:rsid w:val="00357799"/>
    <w:rPr>
      <w:color w:val="605E5C"/>
      <w:shd w:val="clear" w:color="auto" w:fill="E1DFDD"/>
    </w:rPr>
  </w:style>
  <w:style w:type="paragraph" w:customStyle="1" w:styleId="afff7">
    <w:name w:val="СФ_Примечание"/>
    <w:basedOn w:val="affb"/>
    <w:uiPriority w:val="11"/>
    <w:qFormat/>
    <w:rsid w:val="00306A4A"/>
    <w:pPr>
      <w:spacing w:line="240" w:lineRule="auto"/>
      <w:jc w:val="left"/>
    </w:pPr>
    <w:rPr>
      <w:sz w:val="20"/>
    </w:rPr>
  </w:style>
  <w:style w:type="paragraph" w:customStyle="1" w:styleId="afff8">
    <w:name w:val="СФ_Таблица"/>
    <w:basedOn w:val="affb"/>
    <w:uiPriority w:val="11"/>
    <w:qFormat/>
    <w:rsid w:val="00F7545F"/>
    <w:pPr>
      <w:spacing w:before="0" w:after="0" w:line="240" w:lineRule="auto"/>
    </w:pPr>
    <w:rPr>
      <w:sz w:val="20"/>
    </w:rPr>
  </w:style>
  <w:style w:type="character" w:customStyle="1" w:styleId="1e">
    <w:name w:val="Текст сноски Знак1"/>
    <w:uiPriority w:val="99"/>
    <w:locked/>
    <w:rsid w:val="0061240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102036">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481426">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2292140">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6811388">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3457417">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1849101828">
                  <w:marLeft w:val="0"/>
                  <w:marRight w:val="0"/>
                  <w:marTop w:val="0"/>
                  <w:marBottom w:val="0"/>
                  <w:divBdr>
                    <w:top w:val="none" w:sz="0" w:space="0" w:color="auto"/>
                    <w:left w:val="none" w:sz="0" w:space="0" w:color="auto"/>
                    <w:bottom w:val="none" w:sz="0" w:space="0" w:color="auto"/>
                    <w:right w:val="none" w:sz="0" w:space="0" w:color="auto"/>
                  </w:divBdr>
                </w:div>
                <w:div w:id="828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61210639">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015783">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16</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17</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18</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19</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20</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13</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15</b:RefOrder>
  </b:Source>
  <b:Source>
    <b:Tag>htt</b:Tag>
    <b:SourceType>JournalArticle</b:SourceType>
    <b:Guid>{B46C63C8-B5E4-4D5B-9E18-1765B9BAB921}</b:Guid>
    <b:Author>
      <b:Author>
        <b:NameList>
          <b:Person>
            <b:Last>росинфостат</b:Last>
          </b:Person>
        </b:NameList>
      </b:Author>
    </b:Author>
    <b:Pages>https://rosinfostat.ru/smertnost-ot-grippa/#i-8</b:Pages>
    <b:RefOrder>7</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4</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5</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6</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8</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9</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11</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12</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10</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14</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21</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22</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23</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24</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3</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27</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29</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30</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25</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28</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6</b:RefOrder>
  </b:Source>
  <b:Source>
    <b:Tag>Vel20</b:Tag>
    <b:SourceType>JournalArticle</b:SourceType>
    <b:Guid>{AAC5DBCF-3A10-444E-91DE-7A06AA480B95}</b:Guid>
    <b:Author>
      <b:Author>
        <b:NameList>
          <b:Person>
            <b:Last>Velkuri</b:Last>
          </b:Person>
        </b:NameList>
      </b:Author>
    </b:Author>
    <b:Title>EMA assesment report</b:Title>
    <b:Year>2020</b:Year>
    <b:RefOrder>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10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11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12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13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14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15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47</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1</b:RefOrder>
  </b:Source>
</b:Sources>
</file>

<file path=customXml/itemProps1.xml><?xml version="1.0" encoding="utf-8"?>
<ds:datastoreItem xmlns:ds="http://schemas.openxmlformats.org/officeDocument/2006/customXml" ds:itemID="{843C94D0-6FF7-402F-9304-04632CBE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119</Pages>
  <Words>115592</Words>
  <Characters>658875</Characters>
  <Application>Microsoft Office Word</Application>
  <DocSecurity>4</DocSecurity>
  <Lines>5490</Lines>
  <Paragraphs>1545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772922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2022-10-25T10:06:00Z</dcterms:created>
  <dcterms:modified xsi:type="dcterms:W3CDTF">2022-10-25T10:06:00Z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id="iY4E1EKJ"/&gt;&lt;style id="http://www.zotero.org/styles/vancouver" locale="ru-RU" hasBibliography="1" bibliographyStyleHasBeenSet="1"/&gt;&lt;prefs&gt;&lt;pref name="fieldType" value="Field"/&gt;&lt;/prefs&gt;&lt;/data&gt;</vt:lpwstr>
  </property>
</Properties>
</file>