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28"/>
        <w:gridCol w:w="5670"/>
      </w:tblGrid>
      <w:tr w:rsidR="00C8586A" w:rsidRPr="00707D60" w14:paraId="1D8F963B" w14:textId="77777777" w:rsidTr="00D3026A">
        <w:trPr>
          <w:trHeight w:val="834"/>
        </w:trPr>
        <w:tc>
          <w:tcPr>
            <w:tcW w:w="9498"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707D60" w:rsidRDefault="00C8586A" w:rsidP="00707D60">
            <w:pPr>
              <w:spacing w:after="0" w:line="240" w:lineRule="auto"/>
              <w:jc w:val="center"/>
              <w:rPr>
                <w:b/>
                <w:color w:val="000000" w:themeColor="text1"/>
                <w:sz w:val="28"/>
                <w:szCs w:val="28"/>
              </w:rPr>
            </w:pPr>
            <w:bookmarkStart w:id="0" w:name="_GoBack"/>
            <w:bookmarkEnd w:id="0"/>
          </w:p>
          <w:p w14:paraId="141B904D" w14:textId="77777777" w:rsidR="00C8586A" w:rsidRPr="00707D60" w:rsidRDefault="00C8586A" w:rsidP="00707D60">
            <w:pPr>
              <w:spacing w:after="0" w:line="240" w:lineRule="auto"/>
              <w:jc w:val="center"/>
              <w:rPr>
                <w:b/>
                <w:color w:val="000000" w:themeColor="text1"/>
                <w:sz w:val="32"/>
                <w:szCs w:val="28"/>
              </w:rPr>
            </w:pPr>
            <w:r w:rsidRPr="00707D60">
              <w:rPr>
                <w:b/>
                <w:color w:val="000000" w:themeColor="text1"/>
                <w:sz w:val="32"/>
                <w:szCs w:val="28"/>
              </w:rPr>
              <w:t>БРОШЮРА ИССЛЕДОВАТЕЛЯ</w:t>
            </w:r>
          </w:p>
          <w:p w14:paraId="007B8450" w14:textId="77777777" w:rsidR="00C8586A" w:rsidRPr="00707D60" w:rsidRDefault="00C8586A" w:rsidP="00707D60">
            <w:pPr>
              <w:spacing w:after="0" w:line="240" w:lineRule="auto"/>
              <w:jc w:val="center"/>
              <w:rPr>
                <w:b/>
                <w:color w:val="000000" w:themeColor="text1"/>
                <w:sz w:val="28"/>
                <w:szCs w:val="28"/>
                <w:highlight w:val="yellow"/>
                <w:lang w:eastAsia="en-US"/>
              </w:rPr>
            </w:pPr>
          </w:p>
        </w:tc>
      </w:tr>
      <w:tr w:rsidR="00C8586A" w:rsidRPr="00707D60" w14:paraId="440EA7B7" w14:textId="77777777" w:rsidTr="00D3026A">
        <w:trPr>
          <w:trHeight w:val="305"/>
        </w:trPr>
        <w:tc>
          <w:tcPr>
            <w:tcW w:w="3828" w:type="dxa"/>
            <w:tcBorders>
              <w:top w:val="thinThickSmallGap" w:sz="24" w:space="0" w:color="auto"/>
              <w:left w:val="thinThickSmallGap" w:sz="24" w:space="0" w:color="auto"/>
              <w:bottom w:val="nil"/>
              <w:right w:val="nil"/>
            </w:tcBorders>
          </w:tcPr>
          <w:p w14:paraId="28830C82" w14:textId="77777777" w:rsidR="00C8586A" w:rsidRPr="00707D60" w:rsidRDefault="00C8586A" w:rsidP="00707D60">
            <w:pPr>
              <w:spacing w:after="0" w:line="240" w:lineRule="auto"/>
              <w:jc w:val="left"/>
              <w:rPr>
                <w:b/>
                <w:color w:val="000000" w:themeColor="text1"/>
                <w:sz w:val="14"/>
                <w:highlight w:val="yellow"/>
                <w:lang w:val="en-US"/>
              </w:rPr>
            </w:pPr>
          </w:p>
        </w:tc>
        <w:tc>
          <w:tcPr>
            <w:tcW w:w="5670" w:type="dxa"/>
            <w:tcBorders>
              <w:top w:val="thinThickSmallGap" w:sz="24" w:space="0" w:color="auto"/>
              <w:left w:val="nil"/>
              <w:bottom w:val="nil"/>
              <w:right w:val="thickThinSmallGap" w:sz="24" w:space="0" w:color="auto"/>
            </w:tcBorders>
          </w:tcPr>
          <w:p w14:paraId="4683A99C" w14:textId="77777777" w:rsidR="00C8586A" w:rsidRPr="00707D60" w:rsidRDefault="00C8586A" w:rsidP="00707D60">
            <w:pPr>
              <w:spacing w:after="0" w:line="240" w:lineRule="auto"/>
              <w:jc w:val="left"/>
              <w:rPr>
                <w:b/>
                <w:color w:val="000000" w:themeColor="text1"/>
                <w:sz w:val="14"/>
                <w:highlight w:val="yellow"/>
                <w:lang w:val="en-US"/>
              </w:rPr>
            </w:pPr>
          </w:p>
        </w:tc>
      </w:tr>
      <w:tr w:rsidR="00C8586A" w:rsidRPr="00707D60" w14:paraId="14553450" w14:textId="77777777" w:rsidTr="00D3026A">
        <w:trPr>
          <w:trHeight w:val="416"/>
        </w:trPr>
        <w:tc>
          <w:tcPr>
            <w:tcW w:w="3828" w:type="dxa"/>
            <w:tcBorders>
              <w:top w:val="nil"/>
              <w:left w:val="thinThickSmallGap" w:sz="24" w:space="0" w:color="auto"/>
              <w:bottom w:val="nil"/>
              <w:right w:val="nil"/>
            </w:tcBorders>
          </w:tcPr>
          <w:p w14:paraId="0144F824" w14:textId="77777777" w:rsidR="00C8586A" w:rsidRPr="004A3748" w:rsidRDefault="00BF01A9" w:rsidP="00707D60">
            <w:pPr>
              <w:spacing w:after="0" w:line="240" w:lineRule="auto"/>
              <w:jc w:val="left"/>
              <w:rPr>
                <w:color w:val="000000" w:themeColor="text1"/>
                <w:lang w:eastAsia="en-US"/>
              </w:rPr>
            </w:pPr>
            <w:r w:rsidRPr="004A3748">
              <w:rPr>
                <w:b/>
                <w:color w:val="000000" w:themeColor="text1"/>
              </w:rPr>
              <w:t>Код п</w:t>
            </w:r>
            <w:r w:rsidR="00C8586A" w:rsidRPr="004A3748">
              <w:rPr>
                <w:b/>
                <w:color w:val="000000" w:themeColor="text1"/>
              </w:rPr>
              <w:t>родукт</w:t>
            </w:r>
            <w:r w:rsidRPr="004A3748">
              <w:rPr>
                <w:b/>
                <w:color w:val="000000" w:themeColor="text1"/>
              </w:rPr>
              <w:t>а</w:t>
            </w:r>
            <w:r w:rsidR="00C8586A" w:rsidRPr="004A3748">
              <w:rPr>
                <w:b/>
                <w:color w:val="000000" w:themeColor="text1"/>
              </w:rPr>
              <w:t>:</w:t>
            </w:r>
          </w:p>
        </w:tc>
        <w:tc>
          <w:tcPr>
            <w:tcW w:w="5670" w:type="dxa"/>
            <w:tcBorders>
              <w:top w:val="nil"/>
              <w:left w:val="nil"/>
              <w:bottom w:val="nil"/>
              <w:right w:val="thickThinSmallGap" w:sz="24" w:space="0" w:color="auto"/>
            </w:tcBorders>
          </w:tcPr>
          <w:p w14:paraId="4DF03CB1" w14:textId="092BE849" w:rsidR="00C8586A" w:rsidRPr="004A3748" w:rsidRDefault="00170502" w:rsidP="00707D60">
            <w:pPr>
              <w:spacing w:after="0" w:line="240" w:lineRule="auto"/>
              <w:jc w:val="left"/>
              <w:rPr>
                <w:color w:val="000000" w:themeColor="text1"/>
                <w:lang w:val="en-US" w:eastAsia="en-US"/>
              </w:rPr>
            </w:pPr>
            <w:r w:rsidRPr="004A3748">
              <w:rPr>
                <w:color w:val="000000" w:themeColor="text1"/>
                <w:lang w:val="en-US" w:eastAsia="en-US"/>
              </w:rPr>
              <w:t>DT-EVR (</w:t>
            </w:r>
            <w:r w:rsidRPr="004A3748">
              <w:t>L04629</w:t>
            </w:r>
            <w:r w:rsidRPr="004A3748">
              <w:rPr>
                <w:lang w:val="en-US"/>
              </w:rPr>
              <w:t>)</w:t>
            </w:r>
          </w:p>
        </w:tc>
      </w:tr>
      <w:tr w:rsidR="00C8586A" w:rsidRPr="00707D60" w14:paraId="2792A7AE" w14:textId="77777777" w:rsidTr="00D3026A">
        <w:trPr>
          <w:trHeight w:val="388"/>
        </w:trPr>
        <w:tc>
          <w:tcPr>
            <w:tcW w:w="3828" w:type="dxa"/>
            <w:tcBorders>
              <w:top w:val="nil"/>
              <w:left w:val="thinThickSmallGap" w:sz="24" w:space="0" w:color="auto"/>
              <w:bottom w:val="nil"/>
              <w:right w:val="nil"/>
            </w:tcBorders>
          </w:tcPr>
          <w:p w14:paraId="23C4901F" w14:textId="77777777" w:rsidR="00C8586A" w:rsidRPr="004A3748" w:rsidRDefault="00C8586A" w:rsidP="00707D60">
            <w:pPr>
              <w:spacing w:after="0" w:line="240" w:lineRule="auto"/>
              <w:jc w:val="left"/>
              <w:rPr>
                <w:b/>
                <w:color w:val="000000" w:themeColor="text1"/>
              </w:rPr>
            </w:pPr>
            <w:r w:rsidRPr="004A3748">
              <w:rPr>
                <w:b/>
                <w:color w:val="000000" w:themeColor="text1"/>
              </w:rPr>
              <w:t>МНН:</w:t>
            </w:r>
          </w:p>
        </w:tc>
        <w:tc>
          <w:tcPr>
            <w:tcW w:w="5670" w:type="dxa"/>
            <w:tcBorders>
              <w:top w:val="nil"/>
              <w:left w:val="nil"/>
              <w:bottom w:val="nil"/>
              <w:right w:val="thickThinSmallGap" w:sz="24" w:space="0" w:color="auto"/>
            </w:tcBorders>
          </w:tcPr>
          <w:p w14:paraId="46D9AB6F" w14:textId="25D1109B" w:rsidR="00C8586A" w:rsidRPr="004A3748" w:rsidRDefault="00170502" w:rsidP="00707D60">
            <w:pPr>
              <w:spacing w:after="0" w:line="240" w:lineRule="auto"/>
              <w:jc w:val="left"/>
              <w:rPr>
                <w:bCs/>
                <w:color w:val="000000" w:themeColor="text1"/>
              </w:rPr>
            </w:pPr>
            <w:r w:rsidRPr="004A3748">
              <w:rPr>
                <w:rFonts w:eastAsia="Times New Roman"/>
                <w:iCs/>
                <w:szCs w:val="28"/>
                <w:lang w:eastAsia="ru-RU"/>
              </w:rPr>
              <w:t>э</w:t>
            </w:r>
            <w:r w:rsidR="00BE3D66" w:rsidRPr="004A3748">
              <w:rPr>
                <w:rFonts w:eastAsia="Times New Roman"/>
                <w:iCs/>
                <w:szCs w:val="28"/>
                <w:lang w:eastAsia="ru-RU"/>
              </w:rPr>
              <w:t>веролимус</w:t>
            </w:r>
          </w:p>
        </w:tc>
      </w:tr>
      <w:tr w:rsidR="00C8586A" w:rsidRPr="00707D60" w14:paraId="27A96549" w14:textId="77777777" w:rsidTr="00D3026A">
        <w:trPr>
          <w:trHeight w:val="394"/>
        </w:trPr>
        <w:tc>
          <w:tcPr>
            <w:tcW w:w="3828" w:type="dxa"/>
            <w:tcBorders>
              <w:top w:val="nil"/>
              <w:left w:val="thinThickSmallGap" w:sz="24" w:space="0" w:color="auto"/>
              <w:bottom w:val="nil"/>
              <w:right w:val="nil"/>
            </w:tcBorders>
          </w:tcPr>
          <w:p w14:paraId="40377655" w14:textId="77777777" w:rsidR="00C8586A" w:rsidRPr="004A3748" w:rsidRDefault="00C8586A" w:rsidP="00707D60">
            <w:pPr>
              <w:spacing w:after="0" w:line="240" w:lineRule="auto"/>
              <w:jc w:val="left"/>
              <w:rPr>
                <w:b/>
                <w:color w:val="000000" w:themeColor="text1"/>
              </w:rPr>
            </w:pPr>
            <w:r w:rsidRPr="004A3748">
              <w:rPr>
                <w:b/>
                <w:color w:val="000000" w:themeColor="text1"/>
              </w:rPr>
              <w:t>Торговое название</w:t>
            </w:r>
          </w:p>
        </w:tc>
        <w:tc>
          <w:tcPr>
            <w:tcW w:w="5670" w:type="dxa"/>
            <w:tcBorders>
              <w:top w:val="nil"/>
              <w:left w:val="nil"/>
              <w:bottom w:val="nil"/>
              <w:right w:val="thickThinSmallGap" w:sz="24" w:space="0" w:color="auto"/>
            </w:tcBorders>
          </w:tcPr>
          <w:p w14:paraId="2AC37698" w14:textId="6525A64C" w:rsidR="00C8586A" w:rsidRPr="004A3748" w:rsidRDefault="00E22061" w:rsidP="00707D60">
            <w:pPr>
              <w:spacing w:after="0" w:line="240" w:lineRule="auto"/>
              <w:rPr>
                <w:rFonts w:eastAsia="Calibri"/>
                <w:color w:val="000000" w:themeColor="text1"/>
              </w:rPr>
            </w:pPr>
            <w:r w:rsidRPr="00E22061">
              <w:rPr>
                <w:szCs w:val="28"/>
              </w:rPr>
              <w:t>ТРАНСАКСЕПТ</w:t>
            </w:r>
          </w:p>
        </w:tc>
      </w:tr>
      <w:tr w:rsidR="00284823" w:rsidRPr="00707D60" w14:paraId="0691A925" w14:textId="77777777" w:rsidTr="00D3026A">
        <w:trPr>
          <w:trHeight w:val="489"/>
        </w:trPr>
        <w:tc>
          <w:tcPr>
            <w:tcW w:w="3828" w:type="dxa"/>
            <w:tcBorders>
              <w:top w:val="nil"/>
              <w:left w:val="thinThickSmallGap" w:sz="24" w:space="0" w:color="auto"/>
              <w:bottom w:val="nil"/>
              <w:right w:val="nil"/>
            </w:tcBorders>
            <w:hideMark/>
          </w:tcPr>
          <w:p w14:paraId="289F609C" w14:textId="77777777" w:rsidR="00C8586A" w:rsidRPr="004A3748" w:rsidRDefault="00C8586A" w:rsidP="00707D60">
            <w:pPr>
              <w:spacing w:after="0" w:line="240" w:lineRule="auto"/>
              <w:jc w:val="left"/>
              <w:rPr>
                <w:b/>
                <w:color w:val="000000" w:themeColor="text1"/>
              </w:rPr>
            </w:pPr>
            <w:r w:rsidRPr="004A3748">
              <w:rPr>
                <w:b/>
                <w:color w:val="000000" w:themeColor="text1"/>
              </w:rPr>
              <w:t>Лекарственная форма:</w:t>
            </w:r>
          </w:p>
        </w:tc>
        <w:tc>
          <w:tcPr>
            <w:tcW w:w="5670" w:type="dxa"/>
            <w:tcBorders>
              <w:top w:val="nil"/>
              <w:left w:val="nil"/>
              <w:bottom w:val="nil"/>
              <w:right w:val="thickThinSmallGap" w:sz="24" w:space="0" w:color="auto"/>
            </w:tcBorders>
            <w:hideMark/>
          </w:tcPr>
          <w:p w14:paraId="054A1844" w14:textId="5EF86EF0" w:rsidR="004541CE" w:rsidRPr="004A3748" w:rsidRDefault="00FE28B3" w:rsidP="00707D60">
            <w:pPr>
              <w:spacing w:after="0" w:line="240" w:lineRule="auto"/>
              <w:rPr>
                <w:bCs/>
              </w:rPr>
            </w:pPr>
            <w:r w:rsidRPr="004A3748">
              <w:t>Т</w:t>
            </w:r>
            <w:r w:rsidR="006F1840" w:rsidRPr="004A3748">
              <w:t>аблетки</w:t>
            </w:r>
          </w:p>
        </w:tc>
      </w:tr>
      <w:tr w:rsidR="00284823" w:rsidRPr="00707D60" w14:paraId="7A7CDD29" w14:textId="77777777" w:rsidTr="00D3026A">
        <w:trPr>
          <w:trHeight w:val="1683"/>
        </w:trPr>
        <w:tc>
          <w:tcPr>
            <w:tcW w:w="3828" w:type="dxa"/>
            <w:tcBorders>
              <w:top w:val="nil"/>
              <w:left w:val="thinThickSmallGap" w:sz="24" w:space="0" w:color="auto"/>
              <w:bottom w:val="nil"/>
              <w:right w:val="nil"/>
            </w:tcBorders>
          </w:tcPr>
          <w:p w14:paraId="1D12AC03" w14:textId="77777777" w:rsidR="00C8586A" w:rsidRPr="004A3748" w:rsidRDefault="00C8586A" w:rsidP="00707D60">
            <w:pPr>
              <w:spacing w:after="0" w:line="240" w:lineRule="auto"/>
              <w:jc w:val="left"/>
              <w:rPr>
                <w:rFonts w:eastAsia="Times New Roman"/>
                <w:b/>
                <w:color w:val="000000" w:themeColor="text1"/>
                <w:lang w:eastAsia="en-US"/>
              </w:rPr>
            </w:pPr>
            <w:r w:rsidRPr="004A3748">
              <w:rPr>
                <w:b/>
                <w:color w:val="000000" w:themeColor="text1"/>
              </w:rPr>
              <w:t>Показание:</w:t>
            </w:r>
          </w:p>
          <w:p w14:paraId="705DB213" w14:textId="77777777" w:rsidR="00C8586A" w:rsidRPr="004A3748" w:rsidRDefault="00C8586A" w:rsidP="00707D60">
            <w:pPr>
              <w:spacing w:after="0" w:line="240" w:lineRule="auto"/>
              <w:jc w:val="left"/>
              <w:rPr>
                <w:color w:val="000000" w:themeColor="text1"/>
                <w:lang w:eastAsia="en-US"/>
              </w:rPr>
            </w:pPr>
          </w:p>
        </w:tc>
        <w:tc>
          <w:tcPr>
            <w:tcW w:w="5670" w:type="dxa"/>
            <w:tcBorders>
              <w:top w:val="nil"/>
              <w:left w:val="nil"/>
              <w:bottom w:val="nil"/>
              <w:right w:val="thickThinSmallGap" w:sz="24" w:space="0" w:color="auto"/>
            </w:tcBorders>
          </w:tcPr>
          <w:p w14:paraId="55856B94" w14:textId="6697A557" w:rsidR="00C8586A" w:rsidRPr="004A3748" w:rsidRDefault="00693820" w:rsidP="00693820">
            <w:pPr>
              <w:spacing w:after="0" w:line="240" w:lineRule="auto"/>
              <w:rPr>
                <w:sz w:val="20"/>
                <w:szCs w:val="20"/>
                <w:lang w:eastAsia="ru-RU"/>
              </w:rPr>
            </w:pPr>
            <w:bookmarkStart w:id="1" w:name="_Hlk112918913"/>
            <w:r w:rsidRPr="0071249E">
              <w:rPr>
                <w:sz w:val="20"/>
                <w:szCs w:val="20"/>
                <w:lang w:eastAsia="ru-RU"/>
              </w:rPr>
              <w:t xml:space="preserve">Профилактика отторжения трансплантата у взрослых реципиентов почки и сердца с низким и средним иммунологическим риском, </w:t>
            </w:r>
            <w:r w:rsidR="0071249E" w:rsidRPr="0071249E">
              <w:rPr>
                <w:sz w:val="20"/>
                <w:szCs w:val="20"/>
                <w:lang w:eastAsia="ru-RU"/>
              </w:rPr>
              <w:t>получающих базовую</w:t>
            </w:r>
            <w:r w:rsidRPr="0071249E">
              <w:rPr>
                <w:sz w:val="20"/>
                <w:szCs w:val="20"/>
                <w:lang w:eastAsia="ru-RU"/>
              </w:rPr>
              <w:t xml:space="preserve"> иммуносупрессивную </w:t>
            </w:r>
            <w:r w:rsidR="0071249E" w:rsidRPr="0071249E">
              <w:rPr>
                <w:sz w:val="20"/>
                <w:szCs w:val="20"/>
                <w:lang w:eastAsia="ru-RU"/>
              </w:rPr>
              <w:t>терапию; Профилактика</w:t>
            </w:r>
            <w:r w:rsidRPr="0071249E">
              <w:rPr>
                <w:sz w:val="20"/>
                <w:szCs w:val="20"/>
                <w:lang w:eastAsia="ru-RU"/>
              </w:rPr>
              <w:t xml:space="preserve"> отторжения трансплантата у реципиентов печени с низким и средним иммунологическим риском, </w:t>
            </w:r>
            <w:r w:rsidR="0071249E" w:rsidRPr="0071249E">
              <w:rPr>
                <w:sz w:val="20"/>
                <w:szCs w:val="20"/>
                <w:lang w:eastAsia="ru-RU"/>
              </w:rPr>
              <w:t>получающих базовую</w:t>
            </w:r>
            <w:r w:rsidRPr="0071249E">
              <w:rPr>
                <w:sz w:val="20"/>
                <w:szCs w:val="20"/>
                <w:lang w:eastAsia="ru-RU"/>
              </w:rPr>
              <w:t xml:space="preserve"> иммуносупрессивную терапию</w:t>
            </w:r>
            <w:r w:rsidR="00E22061" w:rsidRPr="0071249E">
              <w:rPr>
                <w:sz w:val="20"/>
                <w:szCs w:val="20"/>
                <w:lang w:eastAsia="ru-RU"/>
              </w:rPr>
              <w:t>.</w:t>
            </w:r>
            <w:r w:rsidR="00512F40" w:rsidRPr="004A3748">
              <w:rPr>
                <w:sz w:val="20"/>
                <w:szCs w:val="20"/>
                <w:lang w:eastAsia="ru-RU"/>
              </w:rPr>
              <w:t xml:space="preserve"> </w:t>
            </w:r>
            <w:bookmarkEnd w:id="1"/>
          </w:p>
        </w:tc>
      </w:tr>
      <w:tr w:rsidR="00C8586A" w:rsidRPr="00707D60" w14:paraId="04F85B15" w14:textId="77777777" w:rsidTr="00D3026A">
        <w:trPr>
          <w:trHeight w:val="720"/>
        </w:trPr>
        <w:tc>
          <w:tcPr>
            <w:tcW w:w="3828" w:type="dxa"/>
            <w:tcBorders>
              <w:top w:val="nil"/>
              <w:left w:val="thinThickSmallGap" w:sz="24" w:space="0" w:color="auto"/>
              <w:bottom w:val="nil"/>
              <w:right w:val="nil"/>
            </w:tcBorders>
          </w:tcPr>
          <w:p w14:paraId="233D6A47" w14:textId="77777777" w:rsidR="00C8586A" w:rsidRPr="004A3748" w:rsidRDefault="00C8586A" w:rsidP="00707D60">
            <w:pPr>
              <w:spacing w:after="0" w:line="240" w:lineRule="auto"/>
              <w:jc w:val="left"/>
              <w:rPr>
                <w:rFonts w:eastAsia="Calibri"/>
                <w:b/>
                <w:color w:val="000000" w:themeColor="text1"/>
                <w:lang w:eastAsia="en-US"/>
              </w:rPr>
            </w:pPr>
            <w:r w:rsidRPr="004A3748">
              <w:rPr>
                <w:rFonts w:eastAsia="Calibri"/>
                <w:b/>
                <w:color w:val="000000" w:themeColor="text1"/>
              </w:rPr>
              <w:t>Идентификационный номер протокола клинического исследования:</w:t>
            </w:r>
          </w:p>
        </w:tc>
        <w:tc>
          <w:tcPr>
            <w:tcW w:w="5670" w:type="dxa"/>
            <w:tcBorders>
              <w:top w:val="nil"/>
              <w:left w:val="nil"/>
              <w:bottom w:val="nil"/>
              <w:right w:val="thickThinSmallGap" w:sz="24" w:space="0" w:color="auto"/>
            </w:tcBorders>
            <w:hideMark/>
          </w:tcPr>
          <w:p w14:paraId="0622ED5A" w14:textId="4A23FF19" w:rsidR="00C8586A" w:rsidRPr="004A3748" w:rsidRDefault="001D2376" w:rsidP="00707D60">
            <w:pPr>
              <w:spacing w:after="0" w:line="240" w:lineRule="auto"/>
              <w:rPr>
                <w:rFonts w:eastAsia="Calibri"/>
                <w:color w:val="000000" w:themeColor="text1"/>
                <w:lang w:eastAsia="en-US"/>
              </w:rPr>
            </w:pPr>
            <w:r w:rsidRPr="00E22061">
              <w:t>CL04629119</w:t>
            </w:r>
          </w:p>
        </w:tc>
      </w:tr>
      <w:tr w:rsidR="00C8586A" w:rsidRPr="00707D60" w14:paraId="5BB3E9EB" w14:textId="77777777" w:rsidTr="00D3026A">
        <w:trPr>
          <w:trHeight w:val="461"/>
        </w:trPr>
        <w:tc>
          <w:tcPr>
            <w:tcW w:w="3828" w:type="dxa"/>
            <w:tcBorders>
              <w:top w:val="nil"/>
              <w:left w:val="thinThickSmallGap" w:sz="24" w:space="0" w:color="auto"/>
              <w:bottom w:val="nil"/>
              <w:right w:val="nil"/>
            </w:tcBorders>
          </w:tcPr>
          <w:p w14:paraId="46CAEFBF" w14:textId="77777777" w:rsidR="00C8586A" w:rsidRPr="004A3748" w:rsidRDefault="00C8586A" w:rsidP="00707D60">
            <w:pPr>
              <w:spacing w:after="0" w:line="240" w:lineRule="auto"/>
              <w:jc w:val="left"/>
              <w:rPr>
                <w:rFonts w:eastAsia="Times New Roman"/>
                <w:b/>
                <w:bCs/>
                <w:iCs/>
                <w:color w:val="000000" w:themeColor="text1"/>
                <w:lang w:eastAsia="en-US"/>
              </w:rPr>
            </w:pPr>
            <w:r w:rsidRPr="004A3748">
              <w:rPr>
                <w:b/>
                <w:color w:val="000000" w:themeColor="text1"/>
              </w:rPr>
              <w:t>Номер версии:</w:t>
            </w:r>
          </w:p>
        </w:tc>
        <w:tc>
          <w:tcPr>
            <w:tcW w:w="5670" w:type="dxa"/>
            <w:tcBorders>
              <w:top w:val="nil"/>
              <w:left w:val="nil"/>
              <w:bottom w:val="nil"/>
              <w:right w:val="thickThinSmallGap" w:sz="24" w:space="0" w:color="auto"/>
            </w:tcBorders>
            <w:hideMark/>
          </w:tcPr>
          <w:p w14:paraId="725C5849" w14:textId="77777777" w:rsidR="00C8586A" w:rsidRPr="004A3748" w:rsidRDefault="00D927FE" w:rsidP="00707D60">
            <w:pPr>
              <w:spacing w:after="0" w:line="240" w:lineRule="auto"/>
              <w:jc w:val="left"/>
              <w:rPr>
                <w:b/>
                <w:bCs/>
                <w:iCs/>
                <w:color w:val="000000" w:themeColor="text1"/>
                <w:lang w:eastAsia="en-US"/>
              </w:rPr>
            </w:pPr>
            <w:r w:rsidRPr="004A3748">
              <w:rPr>
                <w:color w:val="000000" w:themeColor="text1"/>
              </w:rPr>
              <w:t>1.0</w:t>
            </w:r>
          </w:p>
        </w:tc>
      </w:tr>
      <w:tr w:rsidR="00D3026A" w:rsidRPr="00707D60" w14:paraId="3C5120C4" w14:textId="77777777" w:rsidTr="00D3026A">
        <w:trPr>
          <w:trHeight w:val="461"/>
        </w:trPr>
        <w:tc>
          <w:tcPr>
            <w:tcW w:w="3828" w:type="dxa"/>
            <w:tcBorders>
              <w:top w:val="nil"/>
              <w:left w:val="thinThickSmallGap" w:sz="24" w:space="0" w:color="auto"/>
              <w:bottom w:val="nil"/>
              <w:right w:val="nil"/>
            </w:tcBorders>
          </w:tcPr>
          <w:p w14:paraId="66354551" w14:textId="1DC04C35" w:rsidR="00D3026A" w:rsidRPr="004A3748" w:rsidRDefault="00D3026A" w:rsidP="00707D60">
            <w:pPr>
              <w:spacing w:after="0" w:line="240" w:lineRule="auto"/>
              <w:jc w:val="left"/>
              <w:rPr>
                <w:b/>
                <w:color w:val="000000" w:themeColor="text1"/>
              </w:rPr>
            </w:pPr>
            <w:r>
              <w:rPr>
                <w:b/>
                <w:color w:val="000000" w:themeColor="text1"/>
              </w:rPr>
              <w:t>Дата окончания сбора данных:</w:t>
            </w:r>
          </w:p>
        </w:tc>
        <w:tc>
          <w:tcPr>
            <w:tcW w:w="5670" w:type="dxa"/>
            <w:tcBorders>
              <w:top w:val="nil"/>
              <w:left w:val="nil"/>
              <w:bottom w:val="nil"/>
              <w:right w:val="thickThinSmallGap" w:sz="24" w:space="0" w:color="auto"/>
            </w:tcBorders>
          </w:tcPr>
          <w:p w14:paraId="24B12E7C" w14:textId="189CB9E2" w:rsidR="00D3026A" w:rsidRPr="00D3026A" w:rsidRDefault="00D3026A" w:rsidP="00707D60">
            <w:pPr>
              <w:spacing w:after="0" w:line="240" w:lineRule="auto"/>
              <w:jc w:val="left"/>
              <w:rPr>
                <w:color w:val="000000" w:themeColor="text1"/>
              </w:rPr>
            </w:pPr>
            <w:r w:rsidRPr="00D3026A">
              <w:rPr>
                <w:color w:val="000000" w:themeColor="text1"/>
              </w:rPr>
              <w:t>04 ноября 2022 г.</w:t>
            </w:r>
          </w:p>
        </w:tc>
      </w:tr>
      <w:tr w:rsidR="00C8586A" w:rsidRPr="00707D60" w14:paraId="4E07BC59" w14:textId="77777777" w:rsidTr="00D3026A">
        <w:trPr>
          <w:trHeight w:val="425"/>
        </w:trPr>
        <w:tc>
          <w:tcPr>
            <w:tcW w:w="3828" w:type="dxa"/>
            <w:tcBorders>
              <w:top w:val="nil"/>
              <w:left w:val="thinThickSmallGap" w:sz="24" w:space="0" w:color="auto"/>
              <w:bottom w:val="nil"/>
              <w:right w:val="nil"/>
            </w:tcBorders>
            <w:hideMark/>
          </w:tcPr>
          <w:p w14:paraId="2021D0E3" w14:textId="77777777" w:rsidR="00C8586A" w:rsidRPr="00707D60" w:rsidRDefault="00C8586A" w:rsidP="00707D60">
            <w:pPr>
              <w:spacing w:after="0" w:line="240" w:lineRule="auto"/>
              <w:rPr>
                <w:rFonts w:eastAsia="Calibri"/>
                <w:b/>
                <w:color w:val="000000" w:themeColor="text1"/>
                <w:lang w:eastAsia="en-US"/>
              </w:rPr>
            </w:pPr>
            <w:r w:rsidRPr="00707D60">
              <w:rPr>
                <w:rFonts w:eastAsia="Calibri"/>
                <w:b/>
                <w:color w:val="000000" w:themeColor="text1"/>
              </w:rPr>
              <w:t>Дата версии:</w:t>
            </w:r>
          </w:p>
        </w:tc>
        <w:tc>
          <w:tcPr>
            <w:tcW w:w="5670" w:type="dxa"/>
            <w:tcBorders>
              <w:top w:val="nil"/>
              <w:left w:val="nil"/>
              <w:bottom w:val="nil"/>
              <w:right w:val="thickThinSmallGap" w:sz="24" w:space="0" w:color="auto"/>
            </w:tcBorders>
            <w:hideMark/>
          </w:tcPr>
          <w:p w14:paraId="4C575940" w14:textId="0714C744" w:rsidR="00C8586A" w:rsidRPr="00D3026A" w:rsidRDefault="00D3026A" w:rsidP="00693820">
            <w:pPr>
              <w:spacing w:after="0" w:line="240" w:lineRule="auto"/>
              <w:rPr>
                <w:rFonts w:eastAsia="Calibri"/>
                <w:color w:val="000000" w:themeColor="text1"/>
                <w:lang w:eastAsia="en-US"/>
              </w:rPr>
            </w:pPr>
            <w:r>
              <w:rPr>
                <w:rFonts w:eastAsia="Calibri"/>
                <w:color w:val="000000" w:themeColor="text1"/>
                <w:lang w:val="en-US"/>
              </w:rPr>
              <w:t xml:space="preserve">10 </w:t>
            </w:r>
            <w:r w:rsidR="00693820" w:rsidRPr="00D3026A">
              <w:rPr>
                <w:rFonts w:eastAsia="Calibri"/>
                <w:color w:val="000000" w:themeColor="text1"/>
              </w:rPr>
              <w:t xml:space="preserve">ноября </w:t>
            </w:r>
            <w:r w:rsidR="00D927FE" w:rsidRPr="00D3026A">
              <w:rPr>
                <w:rFonts w:eastAsia="Calibri"/>
                <w:color w:val="000000" w:themeColor="text1"/>
              </w:rPr>
              <w:t>2022</w:t>
            </w:r>
            <w:r w:rsidR="00C8586A" w:rsidRPr="00D3026A">
              <w:rPr>
                <w:rFonts w:eastAsia="Calibri"/>
                <w:color w:val="000000" w:themeColor="text1"/>
              </w:rPr>
              <w:t xml:space="preserve"> г.</w:t>
            </w:r>
          </w:p>
        </w:tc>
      </w:tr>
      <w:tr w:rsidR="00C8586A" w:rsidRPr="00707D60" w14:paraId="1B4A57B1" w14:textId="77777777" w:rsidTr="00D3026A">
        <w:trPr>
          <w:trHeight w:val="455"/>
        </w:trPr>
        <w:tc>
          <w:tcPr>
            <w:tcW w:w="3828" w:type="dxa"/>
            <w:tcBorders>
              <w:top w:val="nil"/>
              <w:left w:val="thinThickSmallGap" w:sz="24" w:space="0" w:color="auto"/>
              <w:bottom w:val="nil"/>
              <w:right w:val="nil"/>
            </w:tcBorders>
            <w:hideMark/>
          </w:tcPr>
          <w:p w14:paraId="19D182D8" w14:textId="77777777" w:rsidR="00C8586A" w:rsidRPr="00707D60" w:rsidRDefault="00C8586A" w:rsidP="00707D60">
            <w:pPr>
              <w:spacing w:after="0" w:line="240" w:lineRule="auto"/>
              <w:jc w:val="left"/>
              <w:rPr>
                <w:b/>
                <w:bCs/>
                <w:iCs/>
                <w:color w:val="000000" w:themeColor="text1"/>
                <w:lang w:eastAsia="en-US"/>
              </w:rPr>
            </w:pPr>
            <w:r w:rsidRPr="00707D60">
              <w:rPr>
                <w:b/>
                <w:color w:val="000000" w:themeColor="text1"/>
              </w:rPr>
              <w:t>Заменяет предыдущую версию номер:</w:t>
            </w:r>
          </w:p>
        </w:tc>
        <w:tc>
          <w:tcPr>
            <w:tcW w:w="5670" w:type="dxa"/>
            <w:tcBorders>
              <w:top w:val="nil"/>
              <w:left w:val="nil"/>
              <w:bottom w:val="nil"/>
              <w:right w:val="thickThinSmallGap" w:sz="24" w:space="0" w:color="auto"/>
            </w:tcBorders>
            <w:hideMark/>
          </w:tcPr>
          <w:p w14:paraId="15954A26" w14:textId="687F115F" w:rsidR="00C8586A" w:rsidRPr="00707D60" w:rsidRDefault="006443FB" w:rsidP="00707D60">
            <w:pPr>
              <w:spacing w:after="0" w:line="240" w:lineRule="auto"/>
              <w:jc w:val="left"/>
              <w:rPr>
                <w:b/>
                <w:bCs/>
                <w:iCs/>
                <w:color w:val="000000" w:themeColor="text1"/>
                <w:lang w:eastAsia="en-US"/>
              </w:rPr>
            </w:pPr>
            <w:r>
              <w:rPr>
                <w:color w:val="000000" w:themeColor="text1"/>
              </w:rPr>
              <w:t>Не применимо</w:t>
            </w:r>
          </w:p>
        </w:tc>
      </w:tr>
      <w:tr w:rsidR="00C8586A" w:rsidRPr="00707D60" w14:paraId="58F17C69" w14:textId="77777777" w:rsidTr="00D3026A">
        <w:trPr>
          <w:trHeight w:val="468"/>
        </w:trPr>
        <w:tc>
          <w:tcPr>
            <w:tcW w:w="3828" w:type="dxa"/>
            <w:tcBorders>
              <w:top w:val="nil"/>
              <w:left w:val="thinThickSmallGap" w:sz="24" w:space="0" w:color="auto"/>
              <w:bottom w:val="nil"/>
              <w:right w:val="nil"/>
            </w:tcBorders>
          </w:tcPr>
          <w:p w14:paraId="0E12EA82" w14:textId="77777777" w:rsidR="00C8586A" w:rsidRPr="00707D60" w:rsidRDefault="00C8586A" w:rsidP="00707D60">
            <w:pPr>
              <w:spacing w:after="0" w:line="240" w:lineRule="auto"/>
              <w:jc w:val="left"/>
              <w:rPr>
                <w:b/>
                <w:color w:val="000000" w:themeColor="text1"/>
              </w:rPr>
            </w:pPr>
            <w:r w:rsidRPr="00707D60">
              <w:rPr>
                <w:b/>
                <w:color w:val="000000" w:themeColor="text1"/>
              </w:rPr>
              <w:t>Дата предыдущей версии:</w:t>
            </w:r>
          </w:p>
        </w:tc>
        <w:tc>
          <w:tcPr>
            <w:tcW w:w="5670" w:type="dxa"/>
            <w:tcBorders>
              <w:top w:val="nil"/>
              <w:left w:val="nil"/>
              <w:bottom w:val="nil"/>
              <w:right w:val="thickThinSmallGap" w:sz="24" w:space="0" w:color="auto"/>
            </w:tcBorders>
          </w:tcPr>
          <w:p w14:paraId="06BB4277" w14:textId="77777777" w:rsidR="00C8586A" w:rsidRPr="00707D60" w:rsidRDefault="008812B3" w:rsidP="00707D60">
            <w:pPr>
              <w:spacing w:after="0" w:line="240" w:lineRule="auto"/>
              <w:jc w:val="left"/>
              <w:rPr>
                <w:color w:val="000000" w:themeColor="text1"/>
                <w:lang w:val="en-US"/>
              </w:rPr>
            </w:pPr>
            <w:r w:rsidRPr="00707D60">
              <w:rPr>
                <w:color w:val="000000" w:themeColor="text1"/>
              </w:rPr>
              <w:t>Не применимо</w:t>
            </w:r>
          </w:p>
        </w:tc>
      </w:tr>
      <w:tr w:rsidR="004A3748" w:rsidRPr="00707D60" w14:paraId="637103B6" w14:textId="77777777" w:rsidTr="00D3026A">
        <w:trPr>
          <w:trHeight w:val="1647"/>
        </w:trPr>
        <w:tc>
          <w:tcPr>
            <w:tcW w:w="3828" w:type="dxa"/>
            <w:tcBorders>
              <w:top w:val="single" w:sz="4" w:space="0" w:color="auto"/>
              <w:left w:val="thinThickSmallGap" w:sz="24" w:space="0" w:color="auto"/>
              <w:bottom w:val="nil"/>
              <w:right w:val="nil"/>
            </w:tcBorders>
            <w:vAlign w:val="center"/>
          </w:tcPr>
          <w:p w14:paraId="433EB64A" w14:textId="77777777" w:rsidR="004A3748" w:rsidRPr="00707D60" w:rsidRDefault="004A3748" w:rsidP="004A3748">
            <w:pPr>
              <w:spacing w:after="0" w:line="240" w:lineRule="auto"/>
              <w:rPr>
                <w:rFonts w:eastAsia="Calibri"/>
                <w:b/>
                <w:color w:val="000000" w:themeColor="text1"/>
              </w:rPr>
            </w:pPr>
            <w:r w:rsidRPr="00707D60">
              <w:rPr>
                <w:rFonts w:eastAsia="Calibri"/>
                <w:b/>
                <w:color w:val="000000" w:themeColor="text1"/>
              </w:rPr>
              <w:t>Наименование/имя и адрес спонсора (монитора) клинического исследования:</w:t>
            </w:r>
          </w:p>
          <w:p w14:paraId="57E40F2C" w14:textId="77777777" w:rsidR="004A3748" w:rsidRPr="00707D60" w:rsidRDefault="004A3748" w:rsidP="004A3748">
            <w:pPr>
              <w:spacing w:after="0" w:line="240" w:lineRule="auto"/>
              <w:rPr>
                <w:rFonts w:eastAsia="Calibri"/>
                <w:color w:val="000000" w:themeColor="text1"/>
                <w:lang w:eastAsia="en-US"/>
              </w:rPr>
            </w:pPr>
          </w:p>
        </w:tc>
        <w:tc>
          <w:tcPr>
            <w:tcW w:w="5670" w:type="dxa"/>
            <w:tcBorders>
              <w:top w:val="single" w:sz="4" w:space="0" w:color="auto"/>
              <w:left w:val="nil"/>
              <w:bottom w:val="nil"/>
              <w:right w:val="thickThinSmallGap" w:sz="24" w:space="0" w:color="auto"/>
            </w:tcBorders>
            <w:vAlign w:val="center"/>
            <w:hideMark/>
          </w:tcPr>
          <w:p w14:paraId="5D230958" w14:textId="77777777" w:rsidR="004A3748" w:rsidRPr="00411150" w:rsidRDefault="004A3748" w:rsidP="004A3748">
            <w:pPr>
              <w:spacing w:after="0" w:line="240" w:lineRule="auto"/>
              <w:rPr>
                <w:rFonts w:eastAsia="Calibri"/>
              </w:rPr>
            </w:pPr>
            <w:r w:rsidRPr="00411150">
              <w:rPr>
                <w:rFonts w:eastAsia="Calibri"/>
              </w:rPr>
              <w:t xml:space="preserve">АО «Р-Фарм», Россия </w:t>
            </w:r>
          </w:p>
          <w:p w14:paraId="242A5255" w14:textId="77777777" w:rsidR="004A3748" w:rsidRPr="00411150" w:rsidRDefault="004A3748" w:rsidP="004A3748">
            <w:pPr>
              <w:spacing w:after="0" w:line="240" w:lineRule="auto"/>
              <w:rPr>
                <w:rFonts w:eastAsia="Calibri"/>
              </w:rPr>
            </w:pPr>
            <w:r w:rsidRPr="00411150">
              <w:rPr>
                <w:rFonts w:eastAsia="Calibri"/>
              </w:rPr>
              <w:t xml:space="preserve">Юридический адрес: </w:t>
            </w:r>
            <w:r w:rsidRPr="00411150">
              <w:t>123154, Москва, ул.  Берзарина, д. 19, корп. 1.</w:t>
            </w:r>
          </w:p>
          <w:p w14:paraId="06A546CC" w14:textId="77777777" w:rsidR="004A3748" w:rsidRPr="00411150" w:rsidRDefault="004A3748" w:rsidP="004A3748">
            <w:pPr>
              <w:spacing w:after="0" w:line="240" w:lineRule="auto"/>
              <w:rPr>
                <w:rFonts w:eastAsia="Calibri"/>
              </w:rPr>
            </w:pPr>
            <w:r w:rsidRPr="00411150">
              <w:rPr>
                <w:rFonts w:eastAsia="Calibri"/>
              </w:rPr>
              <w:t>Тел.: +7 (495) 956-79-37, факс: +7 (495) 956-79-38.</w:t>
            </w:r>
          </w:p>
          <w:p w14:paraId="56D5CEF2" w14:textId="0D99B144" w:rsidR="004A3748" w:rsidRPr="00707D60" w:rsidRDefault="004A3748" w:rsidP="004A3748">
            <w:pPr>
              <w:spacing w:after="0" w:line="240" w:lineRule="auto"/>
              <w:rPr>
                <w:rFonts w:eastAsia="Calibri"/>
                <w:color w:val="000000" w:themeColor="text1"/>
                <w:lang w:eastAsia="en-US"/>
              </w:rPr>
            </w:pPr>
            <w:r w:rsidRPr="00411150">
              <w:rPr>
                <w:rFonts w:eastAsia="Calibri"/>
              </w:rPr>
              <w:t xml:space="preserve">Эл. почта: </w:t>
            </w:r>
            <w:r w:rsidRPr="00411150">
              <w:rPr>
                <w:lang w:val="en-US"/>
              </w:rPr>
              <w:t>info</w:t>
            </w:r>
            <w:r w:rsidRPr="00411150">
              <w:t>@</w:t>
            </w:r>
            <w:r w:rsidRPr="00411150">
              <w:rPr>
                <w:lang w:val="en-US"/>
              </w:rPr>
              <w:t>rpharm</w:t>
            </w:r>
            <w:r w:rsidRPr="00411150">
              <w:t>.</w:t>
            </w:r>
            <w:r w:rsidRPr="00411150">
              <w:rPr>
                <w:lang w:val="en-US"/>
              </w:rPr>
              <w:t>ru</w:t>
            </w:r>
          </w:p>
        </w:tc>
      </w:tr>
      <w:tr w:rsidR="004A3748" w:rsidRPr="00707D60" w14:paraId="5FEE16C7" w14:textId="77777777" w:rsidTr="00D3026A">
        <w:trPr>
          <w:trHeight w:val="1809"/>
        </w:trPr>
        <w:tc>
          <w:tcPr>
            <w:tcW w:w="3828" w:type="dxa"/>
            <w:tcBorders>
              <w:top w:val="single" w:sz="4" w:space="0" w:color="auto"/>
              <w:left w:val="thinThickSmallGap" w:sz="24" w:space="0" w:color="auto"/>
              <w:bottom w:val="nil"/>
              <w:right w:val="nil"/>
            </w:tcBorders>
            <w:vAlign w:val="center"/>
          </w:tcPr>
          <w:p w14:paraId="01A8493E" w14:textId="77777777" w:rsidR="004A3748" w:rsidRPr="00707D60" w:rsidRDefault="004A3748" w:rsidP="004A3748">
            <w:pPr>
              <w:spacing w:after="0" w:line="240" w:lineRule="auto"/>
              <w:rPr>
                <w:rFonts w:eastAsia="Calibri"/>
                <w:color w:val="000000" w:themeColor="text1"/>
                <w:lang w:eastAsia="en-US"/>
              </w:rPr>
            </w:pPr>
            <w:r w:rsidRPr="00707D60">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670" w:type="dxa"/>
            <w:tcBorders>
              <w:top w:val="single" w:sz="4" w:space="0" w:color="auto"/>
              <w:left w:val="nil"/>
              <w:bottom w:val="nil"/>
              <w:right w:val="thickThinSmallGap" w:sz="24" w:space="0" w:color="auto"/>
            </w:tcBorders>
            <w:vAlign w:val="center"/>
          </w:tcPr>
          <w:p w14:paraId="0D7B790A" w14:textId="77777777" w:rsidR="004A3748" w:rsidRPr="00411150" w:rsidRDefault="004A3748" w:rsidP="004A3748">
            <w:pPr>
              <w:spacing w:after="0" w:line="240" w:lineRule="auto"/>
              <w:rPr>
                <w:rFonts w:eastAsia="Calibri"/>
                <w:b/>
              </w:rPr>
            </w:pPr>
            <w:r>
              <w:rPr>
                <w:rFonts w:eastAsia="Calibri"/>
                <w:b/>
              </w:rPr>
              <w:t>Никольская Мария Викторовна</w:t>
            </w:r>
          </w:p>
          <w:p w14:paraId="54DF373E" w14:textId="77777777" w:rsidR="004A3748" w:rsidRPr="00411150" w:rsidRDefault="004A3748" w:rsidP="004A3748">
            <w:pPr>
              <w:spacing w:after="0" w:line="240" w:lineRule="auto"/>
              <w:rPr>
                <w:rFonts w:eastAsia="Calibri"/>
              </w:rPr>
            </w:pPr>
            <w:r w:rsidRPr="00411150">
              <w:rPr>
                <w:rFonts w:eastAsia="Calibri"/>
              </w:rPr>
              <w:t xml:space="preserve">Руководитель отдела медицинской </w:t>
            </w:r>
            <w:r>
              <w:rPr>
                <w:rFonts w:eastAsia="Calibri"/>
              </w:rPr>
              <w:t xml:space="preserve">документации ДДКР Медицинской дирекции </w:t>
            </w:r>
            <w:r w:rsidRPr="00411150">
              <w:rPr>
                <w:rFonts w:eastAsia="Calibri"/>
              </w:rPr>
              <w:t>АО «Р-Фарм»</w:t>
            </w:r>
          </w:p>
          <w:p w14:paraId="125731B9" w14:textId="77777777" w:rsidR="004A3748" w:rsidRPr="00D17A40" w:rsidRDefault="004A3748" w:rsidP="004A3748">
            <w:pPr>
              <w:spacing w:after="0" w:line="240" w:lineRule="auto"/>
              <w:rPr>
                <w:rFonts w:eastAsia="Calibri"/>
                <w:sz w:val="20"/>
                <w:szCs w:val="20"/>
              </w:rPr>
            </w:pPr>
            <w:r w:rsidRPr="00D17A40">
              <w:rPr>
                <w:rFonts w:eastAsia="Calibri"/>
                <w:sz w:val="20"/>
                <w:szCs w:val="20"/>
              </w:rPr>
              <w:t xml:space="preserve">Адрес: Россия, 123154, Москва, Ленинский проспект, </w:t>
            </w:r>
            <w:r w:rsidRPr="00D17A40">
              <w:rPr>
                <w:rFonts w:eastAsia="Calibri"/>
                <w:sz w:val="20"/>
                <w:szCs w:val="20"/>
                <w:lang w:eastAsia="ru-RU"/>
              </w:rPr>
              <w:t>111, к1</w:t>
            </w:r>
            <w:r w:rsidRPr="00D17A40">
              <w:rPr>
                <w:rFonts w:eastAsia="Calibri"/>
                <w:sz w:val="20"/>
                <w:szCs w:val="20"/>
              </w:rPr>
              <w:t>.</w:t>
            </w:r>
          </w:p>
          <w:p w14:paraId="361B44C6" w14:textId="77777777" w:rsidR="004A3748" w:rsidRPr="00D17A40" w:rsidRDefault="004A3748" w:rsidP="004A3748">
            <w:pPr>
              <w:spacing w:after="0" w:line="240" w:lineRule="auto"/>
              <w:rPr>
                <w:rFonts w:eastAsia="Calibri"/>
                <w:sz w:val="20"/>
                <w:szCs w:val="20"/>
              </w:rPr>
            </w:pPr>
            <w:r w:rsidRPr="00D17A40">
              <w:rPr>
                <w:rFonts w:eastAsia="Calibri"/>
                <w:sz w:val="20"/>
                <w:szCs w:val="20"/>
              </w:rPr>
              <w:t>Тел.: +7 (495) 956-79-37, моб.: +7 (921) 327-35-73.</w:t>
            </w:r>
          </w:p>
          <w:p w14:paraId="1E167E0A" w14:textId="4F2A2D1B" w:rsidR="004A3748" w:rsidRPr="00707D60" w:rsidRDefault="004A3748" w:rsidP="004A3748">
            <w:pPr>
              <w:spacing w:after="0" w:line="240" w:lineRule="auto"/>
              <w:rPr>
                <w:rFonts w:eastAsia="Calibri"/>
                <w:color w:val="000000" w:themeColor="text1"/>
                <w:lang w:val="de-DE" w:eastAsia="en-US"/>
              </w:rPr>
            </w:pPr>
            <w:r w:rsidRPr="00D17A40">
              <w:rPr>
                <w:rFonts w:eastAsia="Calibri"/>
                <w:sz w:val="20"/>
                <w:szCs w:val="20"/>
              </w:rPr>
              <w:t xml:space="preserve">Эл. почта: </w:t>
            </w:r>
            <w:r w:rsidRPr="00D17A40">
              <w:rPr>
                <w:sz w:val="20"/>
                <w:szCs w:val="20"/>
              </w:rPr>
              <w:t>mv.nikolskaya@rpharm.ru</w:t>
            </w:r>
          </w:p>
        </w:tc>
      </w:tr>
      <w:tr w:rsidR="00284823" w:rsidRPr="00707D60" w14:paraId="55669C8F" w14:textId="77777777" w:rsidTr="00D3026A">
        <w:trPr>
          <w:trHeight w:val="1569"/>
        </w:trPr>
        <w:tc>
          <w:tcPr>
            <w:tcW w:w="9498"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707D60" w:rsidRDefault="00C8586A" w:rsidP="00707D60">
            <w:pPr>
              <w:spacing w:after="0" w:line="240" w:lineRule="auto"/>
              <w:jc w:val="center"/>
              <w:rPr>
                <w:rFonts w:eastAsia="Calibri"/>
                <w:color w:val="000000" w:themeColor="text1"/>
                <w:sz w:val="20"/>
                <w:szCs w:val="20"/>
              </w:rPr>
            </w:pPr>
            <w:r w:rsidRPr="00707D60">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sidRPr="00707D60">
              <w:rPr>
                <w:rFonts w:eastAsia="Calibri"/>
                <w:color w:val="000000" w:themeColor="text1"/>
                <w:sz w:val="20"/>
                <w:szCs w:val="20"/>
              </w:rPr>
              <w:t>АО «Р-Фарм»</w:t>
            </w:r>
            <w:r w:rsidRPr="00707D60">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327A80EF" w14:textId="77777777" w:rsidR="003755E3" w:rsidRDefault="00E30437" w:rsidP="006443FB">
      <w:pPr>
        <w:pStyle w:val="12"/>
        <w:spacing w:line="240" w:lineRule="auto"/>
        <w:rPr>
          <w:rFonts w:cs="Times New Roman"/>
          <w:color w:val="000000" w:themeColor="text1"/>
          <w:szCs w:val="24"/>
        </w:rPr>
      </w:pPr>
      <w:bookmarkStart w:id="2" w:name="_Hlk484253716"/>
      <w:bookmarkStart w:id="3" w:name="_Toc115217898"/>
      <w:bookmarkStart w:id="4" w:name="_Toc118124129"/>
      <w:bookmarkStart w:id="5" w:name="_Toc119313703"/>
      <w:bookmarkEnd w:id="2"/>
      <w:r w:rsidRPr="00C87266">
        <w:rPr>
          <w:rFonts w:cs="Times New Roman"/>
          <w:color w:val="000000" w:themeColor="text1"/>
          <w:szCs w:val="24"/>
        </w:rPr>
        <w:t>СОДЕРЖАНИЕ</w:t>
      </w:r>
      <w:bookmarkEnd w:id="3"/>
      <w:bookmarkEnd w:id="4"/>
      <w:bookmarkEnd w:id="5"/>
    </w:p>
    <w:sdt>
      <w:sdtPr>
        <w:rPr>
          <w:rFonts w:ascii="Times New Roman" w:eastAsia="MS Mincho" w:hAnsi="Times New Roman" w:cs="Times New Roman"/>
          <w:color w:val="auto"/>
          <w:sz w:val="24"/>
          <w:szCs w:val="24"/>
          <w:lang w:eastAsia="ja-JP"/>
        </w:rPr>
        <w:id w:val="1452662371"/>
        <w:docPartObj>
          <w:docPartGallery w:val="Table of Contents"/>
          <w:docPartUnique/>
        </w:docPartObj>
      </w:sdtPr>
      <w:sdtEndPr>
        <w:rPr>
          <w:bCs/>
        </w:rPr>
      </w:sdtEndPr>
      <w:sdtContent>
        <w:p w14:paraId="73B18AA4" w14:textId="54FC2A78" w:rsidR="00D3026A" w:rsidRPr="00D3026A" w:rsidRDefault="00D3026A" w:rsidP="00D3026A">
          <w:pPr>
            <w:pStyle w:val="afffb"/>
            <w:spacing w:before="0" w:line="240" w:lineRule="auto"/>
            <w:rPr>
              <w:sz w:val="24"/>
              <w:szCs w:val="24"/>
            </w:rPr>
          </w:pPr>
        </w:p>
        <w:p w14:paraId="63C5C574" w14:textId="5CA3130C" w:rsidR="00D05498" w:rsidRPr="00D05498" w:rsidRDefault="008A7500">
          <w:pPr>
            <w:pStyle w:val="14"/>
            <w:rPr>
              <w:rFonts w:eastAsiaTheme="minorEastAsia"/>
              <w:noProof/>
              <w:lang w:eastAsia="ru-RU"/>
            </w:rPr>
          </w:pPr>
          <w:r w:rsidRPr="00D05498">
            <w:fldChar w:fldCharType="begin"/>
          </w:r>
          <w:r w:rsidRPr="00D05498">
            <w:instrText xml:space="preserve"> TOC \o "1-5" \h \z \u </w:instrText>
          </w:r>
          <w:r w:rsidRPr="00D05498">
            <w:fldChar w:fldCharType="separate"/>
          </w:r>
          <w:hyperlink w:anchor="_Toc119313703" w:history="1">
            <w:r w:rsidR="00D05498" w:rsidRPr="00D05498">
              <w:rPr>
                <w:rStyle w:val="aa"/>
                <w:noProof/>
              </w:rPr>
              <w:t>СОДЕРЖАНИЕ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_Toc119313703 \h </w:instrText>
            </w:r>
            <w:r w:rsidR="00D05498" w:rsidRPr="00D05498">
              <w:rPr>
                <w:noProof/>
                <w:webHidden/>
              </w:rPr>
            </w:r>
            <w:r w:rsidR="00D05498" w:rsidRPr="00D05498">
              <w:rPr>
                <w:noProof/>
                <w:webHidden/>
              </w:rPr>
              <w:fldChar w:fldCharType="separate"/>
            </w:r>
            <w:r w:rsidR="00D05498" w:rsidRPr="00D05498">
              <w:rPr>
                <w:noProof/>
                <w:webHidden/>
              </w:rPr>
              <w:t>2</w:t>
            </w:r>
            <w:r w:rsidR="00D05498" w:rsidRPr="00D05498">
              <w:rPr>
                <w:noProof/>
                <w:webHidden/>
              </w:rPr>
              <w:fldChar w:fldCharType="end"/>
            </w:r>
          </w:hyperlink>
        </w:p>
        <w:p w14:paraId="3534F06C" w14:textId="3EF03D65" w:rsidR="00D05498" w:rsidRPr="00D05498" w:rsidRDefault="006650E3">
          <w:pPr>
            <w:pStyle w:val="14"/>
            <w:rPr>
              <w:rFonts w:eastAsiaTheme="minorEastAsia"/>
              <w:noProof/>
              <w:lang w:eastAsia="ru-RU"/>
            </w:rPr>
          </w:pPr>
          <w:hyperlink w:anchor="_Toc119313704" w:history="1">
            <w:r w:rsidR="00D05498" w:rsidRPr="00D05498">
              <w:rPr>
                <w:rStyle w:val="aa"/>
                <w:noProof/>
              </w:rPr>
              <w:t>ЛИСТ СОГЛАСОВАНИЯ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_Toc119313704 \h </w:instrText>
            </w:r>
            <w:r w:rsidR="00D05498" w:rsidRPr="00D05498">
              <w:rPr>
                <w:noProof/>
                <w:webHidden/>
              </w:rPr>
            </w:r>
            <w:r w:rsidR="00D05498" w:rsidRPr="00D05498">
              <w:rPr>
                <w:noProof/>
                <w:webHidden/>
              </w:rPr>
              <w:fldChar w:fldCharType="separate"/>
            </w:r>
            <w:r w:rsidR="00D05498" w:rsidRPr="00D05498">
              <w:rPr>
                <w:noProof/>
                <w:webHidden/>
              </w:rPr>
              <w:t>5</w:t>
            </w:r>
            <w:r w:rsidR="00D05498" w:rsidRPr="00D05498">
              <w:rPr>
                <w:noProof/>
                <w:webHidden/>
              </w:rPr>
              <w:fldChar w:fldCharType="end"/>
            </w:r>
          </w:hyperlink>
        </w:p>
        <w:p w14:paraId="4AF82DAF" w14:textId="626DB5F4" w:rsidR="00D05498" w:rsidRPr="00D05498" w:rsidRDefault="006650E3">
          <w:pPr>
            <w:pStyle w:val="14"/>
            <w:rPr>
              <w:rFonts w:eastAsiaTheme="minorEastAsia"/>
              <w:noProof/>
              <w:lang w:eastAsia="ru-RU"/>
            </w:rPr>
          </w:pPr>
          <w:hyperlink w:anchor="_Toc119313705" w:history="1">
            <w:r w:rsidR="00D05498" w:rsidRPr="00D05498">
              <w:rPr>
                <w:rStyle w:val="aa"/>
                <w:noProof/>
              </w:rPr>
              <w:t>СПИСОК СОКРАЩЕНИЙ</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_Toc119313705 \h </w:instrText>
            </w:r>
            <w:r w:rsidR="00D05498" w:rsidRPr="00D05498">
              <w:rPr>
                <w:noProof/>
                <w:webHidden/>
              </w:rPr>
            </w:r>
            <w:r w:rsidR="00D05498" w:rsidRPr="00D05498">
              <w:rPr>
                <w:noProof/>
                <w:webHidden/>
              </w:rPr>
              <w:fldChar w:fldCharType="separate"/>
            </w:r>
            <w:r w:rsidR="00D05498" w:rsidRPr="00D05498">
              <w:rPr>
                <w:noProof/>
                <w:webHidden/>
              </w:rPr>
              <w:t>6</w:t>
            </w:r>
            <w:r w:rsidR="00D05498" w:rsidRPr="00D05498">
              <w:rPr>
                <w:noProof/>
                <w:webHidden/>
              </w:rPr>
              <w:fldChar w:fldCharType="end"/>
            </w:r>
          </w:hyperlink>
        </w:p>
        <w:p w14:paraId="2DFD733C" w14:textId="2DCAEB22" w:rsidR="00D05498" w:rsidRPr="00D05498" w:rsidRDefault="006650E3">
          <w:pPr>
            <w:pStyle w:val="14"/>
            <w:rPr>
              <w:rFonts w:eastAsiaTheme="minorEastAsia"/>
              <w:noProof/>
              <w:lang w:eastAsia="ru-RU"/>
            </w:rPr>
          </w:pPr>
          <w:hyperlink w:anchor="_Toc119313706" w:history="1">
            <w:r w:rsidR="00D05498" w:rsidRPr="00D05498">
              <w:rPr>
                <w:rStyle w:val="aa"/>
                <w:noProof/>
              </w:rPr>
              <w:t>ИСТОРИЯ ДОКУМЕНТА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_Toc119313706 \h </w:instrText>
            </w:r>
            <w:r w:rsidR="00D05498" w:rsidRPr="00D05498">
              <w:rPr>
                <w:noProof/>
                <w:webHidden/>
              </w:rPr>
            </w:r>
            <w:r w:rsidR="00D05498" w:rsidRPr="00D05498">
              <w:rPr>
                <w:noProof/>
                <w:webHidden/>
              </w:rPr>
              <w:fldChar w:fldCharType="separate"/>
            </w:r>
            <w:r w:rsidR="00D05498" w:rsidRPr="00D05498">
              <w:rPr>
                <w:noProof/>
                <w:webHidden/>
              </w:rPr>
              <w:t>8</w:t>
            </w:r>
            <w:r w:rsidR="00D05498" w:rsidRPr="00D05498">
              <w:rPr>
                <w:noProof/>
                <w:webHidden/>
              </w:rPr>
              <w:fldChar w:fldCharType="end"/>
            </w:r>
          </w:hyperlink>
        </w:p>
        <w:p w14:paraId="6F3A8469" w14:textId="253C7E93" w:rsidR="00D05498" w:rsidRPr="00D05498" w:rsidRDefault="006650E3">
          <w:pPr>
            <w:pStyle w:val="14"/>
            <w:rPr>
              <w:rFonts w:eastAsiaTheme="minorEastAsia"/>
              <w:noProof/>
              <w:lang w:eastAsia="ru-RU"/>
            </w:rPr>
          </w:pPr>
          <w:hyperlink w:anchor="_Toc119313707" w:history="1">
            <w:r w:rsidR="00D05498" w:rsidRPr="00D05498">
              <w:rPr>
                <w:rStyle w:val="aa"/>
                <w:noProof/>
              </w:rPr>
              <w:t>РЕЗЮМЕ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_Toc119313707 \h </w:instrText>
            </w:r>
            <w:r w:rsidR="00D05498" w:rsidRPr="00D05498">
              <w:rPr>
                <w:noProof/>
                <w:webHidden/>
              </w:rPr>
            </w:r>
            <w:r w:rsidR="00D05498" w:rsidRPr="00D05498">
              <w:rPr>
                <w:noProof/>
                <w:webHidden/>
              </w:rPr>
              <w:fldChar w:fldCharType="separate"/>
            </w:r>
            <w:r w:rsidR="00D05498" w:rsidRPr="00D05498">
              <w:rPr>
                <w:noProof/>
                <w:webHidden/>
              </w:rPr>
              <w:t>9</w:t>
            </w:r>
            <w:r w:rsidR="00D05498" w:rsidRPr="00D05498">
              <w:rPr>
                <w:noProof/>
                <w:webHidden/>
              </w:rPr>
              <w:fldChar w:fldCharType="end"/>
            </w:r>
          </w:hyperlink>
        </w:p>
        <w:p w14:paraId="32F69227" w14:textId="0112F536" w:rsidR="00D05498" w:rsidRPr="00D05498" w:rsidRDefault="006650E3">
          <w:pPr>
            <w:pStyle w:val="14"/>
            <w:rPr>
              <w:rFonts w:eastAsiaTheme="minorEastAsia"/>
              <w:noProof/>
              <w:lang w:eastAsia="ru-RU"/>
            </w:rPr>
          </w:pPr>
          <w:hyperlink w:anchor="_Toc119313708" w:history="1">
            <w:r w:rsidR="00D05498" w:rsidRPr="00D05498">
              <w:rPr>
                <w:rStyle w:val="aa"/>
                <w:noProof/>
              </w:rPr>
              <w:t>1. ВВЕДЕНИЕ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_Toc119313708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3851AC1F" w14:textId="64BCE021" w:rsidR="00D05498" w:rsidRPr="00D05498" w:rsidRDefault="006650E3">
          <w:pPr>
            <w:pStyle w:val="21"/>
            <w:rPr>
              <w:rFonts w:eastAsiaTheme="minorEastAsia"/>
              <w:noProof/>
              <w:lang w:eastAsia="ru-RU"/>
            </w:rPr>
          </w:pPr>
          <w:hyperlink w:anchor="_Toc119313709" w:history="1">
            <w:r w:rsidR="00D05498" w:rsidRPr="00D05498">
              <w:rPr>
                <w:rStyle w:val="aa"/>
                <w:noProof/>
              </w:rPr>
              <w:t>1.1. Химическое название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_Toc119313709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304505D1" w14:textId="562C7C83" w:rsidR="00D05498" w:rsidRPr="00D05498" w:rsidRDefault="006650E3">
          <w:pPr>
            <w:pStyle w:val="21"/>
            <w:rPr>
              <w:rFonts w:eastAsiaTheme="minorEastAsia"/>
              <w:noProof/>
              <w:lang w:eastAsia="ru-RU"/>
            </w:rPr>
          </w:pPr>
          <w:hyperlink w:anchor="_Toc119313710" w:history="1">
            <w:r w:rsidR="00D05498" w:rsidRPr="00D05498">
              <w:rPr>
                <w:rStyle w:val="aa"/>
                <w:noProof/>
              </w:rPr>
              <w:t>1.2. Международное непатентованное название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_Toc119313710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62FCF39F" w14:textId="7C310D8E" w:rsidR="00D05498" w:rsidRPr="00D05498" w:rsidRDefault="006650E3">
          <w:pPr>
            <w:pStyle w:val="21"/>
            <w:rPr>
              <w:rFonts w:eastAsiaTheme="minorEastAsia"/>
              <w:noProof/>
              <w:lang w:eastAsia="ru-RU"/>
            </w:rPr>
          </w:pPr>
          <w:hyperlink w:anchor="_Toc119313711" w:history="1">
            <w:r w:rsidR="00D05498" w:rsidRPr="00D05498">
              <w:rPr>
                <w:rStyle w:val="aa"/>
                <w:noProof/>
              </w:rPr>
              <w:t>1.3. Торговое название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_Toc119313711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1D1B0CA8" w14:textId="1A08A2D7" w:rsidR="00D05498" w:rsidRPr="00D05498" w:rsidRDefault="006650E3">
          <w:pPr>
            <w:pStyle w:val="21"/>
            <w:rPr>
              <w:rFonts w:eastAsiaTheme="minorEastAsia"/>
              <w:noProof/>
              <w:lang w:eastAsia="ru-RU"/>
            </w:rPr>
          </w:pPr>
          <w:hyperlink w:anchor="_Toc119313712" w:history="1">
            <w:r w:rsidR="00D05498" w:rsidRPr="00D05498">
              <w:rPr>
                <w:rStyle w:val="aa"/>
                <w:noProof/>
              </w:rPr>
              <w:t>1.4. Активные ингредиенты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_Toc119313712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31C1401B" w14:textId="4DF6FEC3" w:rsidR="00D05498" w:rsidRPr="00D05498" w:rsidRDefault="006650E3">
          <w:pPr>
            <w:pStyle w:val="21"/>
            <w:rPr>
              <w:rFonts w:eastAsiaTheme="minorEastAsia"/>
              <w:noProof/>
              <w:lang w:eastAsia="ru-RU"/>
            </w:rPr>
          </w:pPr>
          <w:hyperlink w:anchor="_Toc119313713" w:history="1">
            <w:r w:rsidR="00D05498" w:rsidRPr="00D05498">
              <w:rPr>
                <w:rStyle w:val="aa"/>
                <w:noProof/>
              </w:rPr>
              <w:t>1.5. Фармакологическая группа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_Toc119313713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5DC512B0" w14:textId="60F10C00" w:rsidR="00D05498" w:rsidRPr="00D05498" w:rsidRDefault="006650E3">
          <w:pPr>
            <w:pStyle w:val="21"/>
            <w:rPr>
              <w:rFonts w:eastAsiaTheme="minorEastAsia"/>
              <w:noProof/>
              <w:lang w:eastAsia="ru-RU"/>
            </w:rPr>
          </w:pPr>
          <w:hyperlink w:anchor="_Toc119313714" w:history="1">
            <w:r w:rsidR="00D05498" w:rsidRPr="00D05498">
              <w:rPr>
                <w:rStyle w:val="aa"/>
                <w:noProof/>
              </w:rPr>
              <w:t>1.6. Код по АТХ</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_Toc119313714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6C6AE3B2" w14:textId="471B2BA7" w:rsidR="00D05498" w:rsidRPr="00D05498" w:rsidRDefault="006650E3">
          <w:pPr>
            <w:pStyle w:val="21"/>
            <w:rPr>
              <w:rFonts w:eastAsiaTheme="minorEastAsia"/>
              <w:noProof/>
              <w:lang w:eastAsia="ru-RU"/>
            </w:rPr>
          </w:pPr>
          <w:hyperlink w:anchor="_Toc119313715" w:history="1">
            <w:r w:rsidR="00D05498" w:rsidRPr="00D05498">
              <w:rPr>
                <w:rStyle w:val="aa"/>
                <w:noProof/>
              </w:rPr>
              <w:t>1.7.</w:t>
            </w:r>
            <w:r w:rsidR="00D05498" w:rsidRPr="00D05498">
              <w:rPr>
                <w:rFonts w:eastAsiaTheme="minorEastAsia"/>
                <w:noProof/>
                <w:lang w:eastAsia="ru-RU"/>
              </w:rPr>
              <w:tab/>
            </w:r>
            <w:r w:rsidR="00D05498" w:rsidRPr="00D05498">
              <w:rPr>
                <w:rStyle w:val="aa"/>
                <w:noProof/>
              </w:rPr>
              <w:t>Обоснование для изучения исследуемого препарата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_Toc119313715 \h </w:instrText>
            </w:r>
            <w:r w:rsidR="00D05498" w:rsidRPr="00D05498">
              <w:rPr>
                <w:noProof/>
                <w:webHidden/>
              </w:rPr>
            </w:r>
            <w:r w:rsidR="00D05498" w:rsidRPr="00D05498">
              <w:rPr>
                <w:noProof/>
                <w:webHidden/>
              </w:rPr>
              <w:fldChar w:fldCharType="separate"/>
            </w:r>
            <w:r w:rsidR="00D05498" w:rsidRPr="00D05498">
              <w:rPr>
                <w:noProof/>
                <w:webHidden/>
              </w:rPr>
              <w:t>12</w:t>
            </w:r>
            <w:r w:rsidR="00D05498" w:rsidRPr="00D05498">
              <w:rPr>
                <w:noProof/>
                <w:webHidden/>
              </w:rPr>
              <w:fldChar w:fldCharType="end"/>
            </w:r>
          </w:hyperlink>
        </w:p>
        <w:p w14:paraId="5BAE03DF" w14:textId="164B17FE" w:rsidR="00D05498" w:rsidRPr="00D05498" w:rsidRDefault="006650E3">
          <w:pPr>
            <w:pStyle w:val="31"/>
            <w:rPr>
              <w:rFonts w:eastAsiaTheme="minorEastAsia"/>
              <w:lang w:eastAsia="ru-RU"/>
            </w:rPr>
          </w:pPr>
          <w:hyperlink w:anchor="_Toc119313716" w:history="1">
            <w:r w:rsidR="00D05498" w:rsidRPr="00D05498">
              <w:rPr>
                <w:rStyle w:val="aa"/>
              </w:rPr>
              <w:t>1.7.1. Общие сведения о заболевании</w:t>
            </w:r>
            <w:r w:rsidR="00D05498" w:rsidRPr="00D05498">
              <w:rPr>
                <w:webHidden/>
              </w:rPr>
              <w:tab/>
            </w:r>
            <w:r w:rsidR="00D05498" w:rsidRPr="00D05498">
              <w:rPr>
                <w:webHidden/>
              </w:rPr>
              <w:fldChar w:fldCharType="begin"/>
            </w:r>
            <w:r w:rsidR="00D05498" w:rsidRPr="00D05498">
              <w:rPr>
                <w:webHidden/>
              </w:rPr>
              <w:instrText xml:space="preserve"> PAGEREF _Toc119313716 \h </w:instrText>
            </w:r>
            <w:r w:rsidR="00D05498" w:rsidRPr="00D05498">
              <w:rPr>
                <w:webHidden/>
              </w:rPr>
            </w:r>
            <w:r w:rsidR="00D05498" w:rsidRPr="00D05498">
              <w:rPr>
                <w:webHidden/>
              </w:rPr>
              <w:fldChar w:fldCharType="separate"/>
            </w:r>
            <w:r w:rsidR="00D05498" w:rsidRPr="00D05498">
              <w:rPr>
                <w:webHidden/>
              </w:rPr>
              <w:t>12</w:t>
            </w:r>
            <w:r w:rsidR="00D05498" w:rsidRPr="00D05498">
              <w:rPr>
                <w:webHidden/>
              </w:rPr>
              <w:fldChar w:fldCharType="end"/>
            </w:r>
          </w:hyperlink>
        </w:p>
        <w:p w14:paraId="3DD7648B" w14:textId="52BD2017" w:rsidR="00D05498" w:rsidRPr="00D05498" w:rsidRDefault="006650E3">
          <w:pPr>
            <w:pStyle w:val="31"/>
            <w:rPr>
              <w:rFonts w:eastAsiaTheme="minorEastAsia"/>
              <w:lang w:eastAsia="ru-RU"/>
            </w:rPr>
          </w:pPr>
          <w:hyperlink w:anchor="_Toc119313717" w:history="1">
            <w:r w:rsidR="00D05498" w:rsidRPr="00D05498">
              <w:rPr>
                <w:rStyle w:val="aa"/>
              </w:rPr>
              <w:t>1.7.2. Существующие варианты терапии</w:t>
            </w:r>
            <w:r w:rsidR="00D05498" w:rsidRPr="00D05498">
              <w:rPr>
                <w:webHidden/>
              </w:rPr>
              <w:tab/>
            </w:r>
            <w:r w:rsidR="00D05498" w:rsidRPr="00D05498">
              <w:rPr>
                <w:webHidden/>
              </w:rPr>
              <w:fldChar w:fldCharType="begin"/>
            </w:r>
            <w:r w:rsidR="00D05498" w:rsidRPr="00D05498">
              <w:rPr>
                <w:webHidden/>
              </w:rPr>
              <w:instrText xml:space="preserve"> PAGEREF _Toc119313717 \h </w:instrText>
            </w:r>
            <w:r w:rsidR="00D05498" w:rsidRPr="00D05498">
              <w:rPr>
                <w:webHidden/>
              </w:rPr>
            </w:r>
            <w:r w:rsidR="00D05498" w:rsidRPr="00D05498">
              <w:rPr>
                <w:webHidden/>
              </w:rPr>
              <w:fldChar w:fldCharType="separate"/>
            </w:r>
            <w:r w:rsidR="00D05498" w:rsidRPr="00D05498">
              <w:rPr>
                <w:webHidden/>
              </w:rPr>
              <w:t>13</w:t>
            </w:r>
            <w:r w:rsidR="00D05498" w:rsidRPr="00D05498">
              <w:rPr>
                <w:webHidden/>
              </w:rPr>
              <w:fldChar w:fldCharType="end"/>
            </w:r>
          </w:hyperlink>
        </w:p>
        <w:p w14:paraId="0B38FCDE" w14:textId="5E0615E2" w:rsidR="00D05498" w:rsidRPr="00D05498" w:rsidRDefault="006650E3">
          <w:pPr>
            <w:pStyle w:val="31"/>
            <w:rPr>
              <w:rFonts w:eastAsiaTheme="minorEastAsia"/>
              <w:lang w:eastAsia="ru-RU"/>
            </w:rPr>
          </w:pPr>
          <w:hyperlink w:anchor="_Toc119313718" w:history="1">
            <w:r w:rsidR="00D05498" w:rsidRPr="00D05498">
              <w:rPr>
                <w:rStyle w:val="aa"/>
              </w:rPr>
              <w:t>1.7.3.</w:t>
            </w:r>
            <w:r w:rsidR="00D05498" w:rsidRPr="00D05498">
              <w:rPr>
                <w:rFonts w:eastAsiaTheme="minorEastAsia"/>
                <w:lang w:eastAsia="ru-RU"/>
              </w:rPr>
              <w:tab/>
            </w:r>
            <w:r w:rsidR="00D05498" w:rsidRPr="00D05498">
              <w:rPr>
                <w:rStyle w:val="aa"/>
              </w:rPr>
              <w:t>Вводная информация по исследуемой терапии</w:t>
            </w:r>
            <w:r w:rsidR="00D05498" w:rsidRPr="00D05498">
              <w:rPr>
                <w:webHidden/>
              </w:rPr>
              <w:tab/>
            </w:r>
            <w:r w:rsidR="00D05498" w:rsidRPr="00D05498">
              <w:rPr>
                <w:webHidden/>
              </w:rPr>
              <w:fldChar w:fldCharType="begin"/>
            </w:r>
            <w:r w:rsidR="00D05498" w:rsidRPr="00D05498">
              <w:rPr>
                <w:webHidden/>
              </w:rPr>
              <w:instrText xml:space="preserve"> PAGEREF _Toc119313718 \h </w:instrText>
            </w:r>
            <w:r w:rsidR="00D05498" w:rsidRPr="00D05498">
              <w:rPr>
                <w:webHidden/>
              </w:rPr>
            </w:r>
            <w:r w:rsidR="00D05498" w:rsidRPr="00D05498">
              <w:rPr>
                <w:webHidden/>
              </w:rPr>
              <w:fldChar w:fldCharType="separate"/>
            </w:r>
            <w:r w:rsidR="00D05498" w:rsidRPr="00D05498">
              <w:rPr>
                <w:webHidden/>
              </w:rPr>
              <w:t>15</w:t>
            </w:r>
            <w:r w:rsidR="00D05498" w:rsidRPr="00D05498">
              <w:rPr>
                <w:webHidden/>
              </w:rPr>
              <w:fldChar w:fldCharType="end"/>
            </w:r>
          </w:hyperlink>
        </w:p>
        <w:p w14:paraId="2449985B" w14:textId="2E729A67" w:rsidR="00D05498" w:rsidRPr="00D05498" w:rsidRDefault="006650E3">
          <w:pPr>
            <w:pStyle w:val="21"/>
            <w:rPr>
              <w:rFonts w:eastAsiaTheme="minorEastAsia"/>
              <w:noProof/>
              <w:lang w:eastAsia="ru-RU"/>
            </w:rPr>
          </w:pPr>
          <w:hyperlink w:anchor="_Toc119313719" w:history="1">
            <w:r w:rsidR="00D05498" w:rsidRPr="00D05498">
              <w:rPr>
                <w:rStyle w:val="aa"/>
                <w:noProof/>
              </w:rPr>
              <w:t>1.8.</w:t>
            </w:r>
            <w:r w:rsidR="00D05498" w:rsidRPr="00D05498">
              <w:rPr>
                <w:rFonts w:eastAsiaTheme="minorEastAsia"/>
                <w:noProof/>
                <w:lang w:eastAsia="ru-RU"/>
              </w:rPr>
              <w:tab/>
            </w:r>
            <w:r w:rsidR="00D05498" w:rsidRPr="00D05498">
              <w:rPr>
                <w:rStyle w:val="aa"/>
                <w:noProof/>
              </w:rPr>
              <w:t>Ожидаемые показания к применению</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_Toc119313719 \h </w:instrText>
            </w:r>
            <w:r w:rsidR="00D05498" w:rsidRPr="00D05498">
              <w:rPr>
                <w:noProof/>
                <w:webHidden/>
              </w:rPr>
            </w:r>
            <w:r w:rsidR="00D05498" w:rsidRPr="00D05498">
              <w:rPr>
                <w:noProof/>
                <w:webHidden/>
              </w:rPr>
              <w:fldChar w:fldCharType="separate"/>
            </w:r>
            <w:r w:rsidR="00D05498" w:rsidRPr="00D05498">
              <w:rPr>
                <w:noProof/>
                <w:webHidden/>
              </w:rPr>
              <w:t>17</w:t>
            </w:r>
            <w:r w:rsidR="00D05498" w:rsidRPr="00D05498">
              <w:rPr>
                <w:noProof/>
                <w:webHidden/>
              </w:rPr>
              <w:fldChar w:fldCharType="end"/>
            </w:r>
          </w:hyperlink>
        </w:p>
        <w:p w14:paraId="3666AE61" w14:textId="1939B325" w:rsidR="00D05498" w:rsidRPr="00D05498" w:rsidRDefault="006650E3">
          <w:pPr>
            <w:pStyle w:val="21"/>
            <w:rPr>
              <w:rFonts w:eastAsiaTheme="minorEastAsia"/>
              <w:noProof/>
              <w:lang w:eastAsia="ru-RU"/>
            </w:rPr>
          </w:pPr>
          <w:hyperlink w:anchor="_Toc119313720" w:history="1">
            <w:r w:rsidR="00D05498" w:rsidRPr="00D05498">
              <w:rPr>
                <w:rStyle w:val="aa"/>
                <w:noProof/>
              </w:rPr>
              <w:t>Список</w:t>
            </w:r>
            <w:r w:rsidR="00D05498" w:rsidRPr="00D05498">
              <w:rPr>
                <w:rStyle w:val="aa"/>
                <w:noProof/>
                <w:lang w:val="en-US"/>
              </w:rPr>
              <w:t xml:space="preserve"> </w:t>
            </w:r>
            <w:r w:rsidR="00D05498" w:rsidRPr="00D05498">
              <w:rPr>
                <w:rStyle w:val="aa"/>
                <w:noProof/>
              </w:rPr>
              <w:t>литературы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_Toc119313720 \h </w:instrText>
            </w:r>
            <w:r w:rsidR="00D05498" w:rsidRPr="00D05498">
              <w:rPr>
                <w:noProof/>
                <w:webHidden/>
              </w:rPr>
            </w:r>
            <w:r w:rsidR="00D05498" w:rsidRPr="00D05498">
              <w:rPr>
                <w:noProof/>
                <w:webHidden/>
              </w:rPr>
              <w:fldChar w:fldCharType="separate"/>
            </w:r>
            <w:r w:rsidR="00D05498" w:rsidRPr="00D05498">
              <w:rPr>
                <w:noProof/>
                <w:webHidden/>
              </w:rPr>
              <w:t>17</w:t>
            </w:r>
            <w:r w:rsidR="00D05498" w:rsidRPr="00D05498">
              <w:rPr>
                <w:noProof/>
                <w:webHidden/>
              </w:rPr>
              <w:fldChar w:fldCharType="end"/>
            </w:r>
          </w:hyperlink>
        </w:p>
        <w:p w14:paraId="1C3C987B" w14:textId="6D4D1D6B" w:rsidR="00D05498" w:rsidRPr="00D05498" w:rsidRDefault="006650E3">
          <w:pPr>
            <w:pStyle w:val="14"/>
            <w:tabs>
              <w:tab w:val="left" w:pos="720"/>
            </w:tabs>
            <w:rPr>
              <w:rFonts w:eastAsiaTheme="minorEastAsia"/>
              <w:noProof/>
              <w:lang w:eastAsia="ru-RU"/>
            </w:rPr>
          </w:pPr>
          <w:hyperlink w:anchor="_Toc119313721" w:history="1">
            <w:r w:rsidR="00D05498" w:rsidRPr="00D05498">
              <w:rPr>
                <w:rStyle w:val="aa"/>
                <w:noProof/>
              </w:rPr>
              <w:t>2.</w:t>
            </w:r>
            <w:r w:rsidR="00D05498" w:rsidRPr="00D05498">
              <w:rPr>
                <w:rFonts w:eastAsiaTheme="minorEastAsia"/>
                <w:noProof/>
                <w:lang w:eastAsia="ru-RU"/>
              </w:rPr>
              <w:tab/>
            </w:r>
            <w:r w:rsidR="00D05498" w:rsidRPr="00D05498">
              <w:rPr>
                <w:rStyle w:val="aa"/>
                <w:noProof/>
              </w:rPr>
              <w:t>ФИЗИЧЕСКИЕ, ХИМИЧЕСКИЕ И ФАРМАЦЕВТИЧЕСКИЕ СВОЙСТВА И ЛЕКАРСТВЕННАЯ ФОРМА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_Toc119313721 \h </w:instrText>
            </w:r>
            <w:r w:rsidR="00D05498" w:rsidRPr="00D05498">
              <w:rPr>
                <w:noProof/>
                <w:webHidden/>
              </w:rPr>
            </w:r>
            <w:r w:rsidR="00D05498" w:rsidRPr="00D05498">
              <w:rPr>
                <w:noProof/>
                <w:webHidden/>
              </w:rPr>
              <w:fldChar w:fldCharType="separate"/>
            </w:r>
            <w:r w:rsidR="00D05498" w:rsidRPr="00D05498">
              <w:rPr>
                <w:noProof/>
                <w:webHidden/>
              </w:rPr>
              <w:t>18</w:t>
            </w:r>
            <w:r w:rsidR="00D05498" w:rsidRPr="00D05498">
              <w:rPr>
                <w:noProof/>
                <w:webHidden/>
              </w:rPr>
              <w:fldChar w:fldCharType="end"/>
            </w:r>
          </w:hyperlink>
        </w:p>
        <w:p w14:paraId="5BB266F9" w14:textId="6186A911" w:rsidR="00D05498" w:rsidRPr="00D05498" w:rsidRDefault="006650E3">
          <w:pPr>
            <w:pStyle w:val="21"/>
            <w:rPr>
              <w:rFonts w:eastAsiaTheme="minorEastAsia"/>
              <w:noProof/>
              <w:lang w:eastAsia="ru-RU"/>
            </w:rPr>
          </w:pPr>
          <w:hyperlink w:anchor="_Toc119313722" w:history="1">
            <w:r w:rsidR="00D05498" w:rsidRPr="00D05498">
              <w:rPr>
                <w:rStyle w:val="aa"/>
                <w:noProof/>
              </w:rPr>
              <w:t>2.1. Описание свойств исследуемого препарата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_Toc119313722 \h </w:instrText>
            </w:r>
            <w:r w:rsidR="00D05498" w:rsidRPr="00D05498">
              <w:rPr>
                <w:noProof/>
                <w:webHidden/>
              </w:rPr>
            </w:r>
            <w:r w:rsidR="00D05498" w:rsidRPr="00D05498">
              <w:rPr>
                <w:noProof/>
                <w:webHidden/>
              </w:rPr>
              <w:fldChar w:fldCharType="separate"/>
            </w:r>
            <w:r w:rsidR="00D05498" w:rsidRPr="00D05498">
              <w:rPr>
                <w:noProof/>
                <w:webHidden/>
              </w:rPr>
              <w:t>18</w:t>
            </w:r>
            <w:r w:rsidR="00D05498" w:rsidRPr="00D05498">
              <w:rPr>
                <w:noProof/>
                <w:webHidden/>
              </w:rPr>
              <w:fldChar w:fldCharType="end"/>
            </w:r>
          </w:hyperlink>
        </w:p>
        <w:p w14:paraId="66253273" w14:textId="265BEE82" w:rsidR="00D05498" w:rsidRPr="00D05498" w:rsidRDefault="006650E3">
          <w:pPr>
            <w:pStyle w:val="31"/>
            <w:rPr>
              <w:rFonts w:eastAsiaTheme="minorEastAsia"/>
              <w:lang w:eastAsia="ru-RU"/>
            </w:rPr>
          </w:pPr>
          <w:hyperlink w:anchor="_Toc119313723" w:history="1">
            <w:r w:rsidR="00D05498" w:rsidRPr="00D05498">
              <w:rPr>
                <w:rStyle w:val="aa"/>
              </w:rPr>
              <w:t>2.1.1. Химическая формула</w:t>
            </w:r>
            <w:r w:rsidR="00D05498" w:rsidRPr="00D05498">
              <w:rPr>
                <w:webHidden/>
              </w:rPr>
              <w:tab/>
            </w:r>
            <w:r w:rsidR="00D05498" w:rsidRPr="00D05498">
              <w:rPr>
                <w:webHidden/>
              </w:rPr>
              <w:fldChar w:fldCharType="begin"/>
            </w:r>
            <w:r w:rsidR="00D05498" w:rsidRPr="00D05498">
              <w:rPr>
                <w:webHidden/>
              </w:rPr>
              <w:instrText xml:space="preserve"> PAGEREF _Toc119313723 \h </w:instrText>
            </w:r>
            <w:r w:rsidR="00D05498" w:rsidRPr="00D05498">
              <w:rPr>
                <w:webHidden/>
              </w:rPr>
            </w:r>
            <w:r w:rsidR="00D05498" w:rsidRPr="00D05498">
              <w:rPr>
                <w:webHidden/>
              </w:rPr>
              <w:fldChar w:fldCharType="separate"/>
            </w:r>
            <w:r w:rsidR="00D05498" w:rsidRPr="00D05498">
              <w:rPr>
                <w:webHidden/>
              </w:rPr>
              <w:t>18</w:t>
            </w:r>
            <w:r w:rsidR="00D05498" w:rsidRPr="00D05498">
              <w:rPr>
                <w:webHidden/>
              </w:rPr>
              <w:fldChar w:fldCharType="end"/>
            </w:r>
          </w:hyperlink>
        </w:p>
        <w:p w14:paraId="3C0D575F" w14:textId="045815BB" w:rsidR="00D05498" w:rsidRPr="00D05498" w:rsidRDefault="006650E3">
          <w:pPr>
            <w:pStyle w:val="31"/>
            <w:rPr>
              <w:rFonts w:eastAsiaTheme="minorEastAsia"/>
              <w:lang w:eastAsia="ru-RU"/>
            </w:rPr>
          </w:pPr>
          <w:hyperlink w:anchor="_Toc119313724" w:history="1">
            <w:r w:rsidR="00D05498" w:rsidRPr="00D05498">
              <w:rPr>
                <w:rStyle w:val="aa"/>
              </w:rPr>
              <w:t>2.1.2. Структурная формула</w:t>
            </w:r>
            <w:r w:rsidR="00D05498" w:rsidRPr="00D05498">
              <w:rPr>
                <w:webHidden/>
              </w:rPr>
              <w:tab/>
            </w:r>
            <w:r w:rsidR="00D05498" w:rsidRPr="00D05498">
              <w:rPr>
                <w:webHidden/>
              </w:rPr>
              <w:fldChar w:fldCharType="begin"/>
            </w:r>
            <w:r w:rsidR="00D05498" w:rsidRPr="00D05498">
              <w:rPr>
                <w:webHidden/>
              </w:rPr>
              <w:instrText xml:space="preserve"> PAGEREF _Toc119313724 \h </w:instrText>
            </w:r>
            <w:r w:rsidR="00D05498" w:rsidRPr="00D05498">
              <w:rPr>
                <w:webHidden/>
              </w:rPr>
            </w:r>
            <w:r w:rsidR="00D05498" w:rsidRPr="00D05498">
              <w:rPr>
                <w:webHidden/>
              </w:rPr>
              <w:fldChar w:fldCharType="separate"/>
            </w:r>
            <w:r w:rsidR="00D05498" w:rsidRPr="00D05498">
              <w:rPr>
                <w:webHidden/>
              </w:rPr>
              <w:t>18</w:t>
            </w:r>
            <w:r w:rsidR="00D05498" w:rsidRPr="00D05498">
              <w:rPr>
                <w:webHidden/>
              </w:rPr>
              <w:fldChar w:fldCharType="end"/>
            </w:r>
          </w:hyperlink>
        </w:p>
        <w:p w14:paraId="66DD9912" w14:textId="151BDBCD" w:rsidR="00D05498" w:rsidRPr="00D05498" w:rsidRDefault="006650E3">
          <w:pPr>
            <w:pStyle w:val="31"/>
            <w:rPr>
              <w:rFonts w:eastAsiaTheme="minorEastAsia"/>
              <w:lang w:eastAsia="ru-RU"/>
            </w:rPr>
          </w:pPr>
          <w:hyperlink w:anchor="_Toc119313725" w:history="1">
            <w:r w:rsidR="00D05498" w:rsidRPr="00D05498">
              <w:rPr>
                <w:rStyle w:val="aa"/>
              </w:rPr>
              <w:t>2.1.3. Физико-химические и фармацевтические свойства</w:t>
            </w:r>
            <w:r w:rsidR="00D05498" w:rsidRPr="00D05498">
              <w:rPr>
                <w:webHidden/>
              </w:rPr>
              <w:tab/>
            </w:r>
            <w:r w:rsidR="00D05498" w:rsidRPr="00D05498">
              <w:rPr>
                <w:webHidden/>
              </w:rPr>
              <w:fldChar w:fldCharType="begin"/>
            </w:r>
            <w:r w:rsidR="00D05498" w:rsidRPr="00D05498">
              <w:rPr>
                <w:webHidden/>
              </w:rPr>
              <w:instrText xml:space="preserve"> PAGEREF _Toc119313725 \h </w:instrText>
            </w:r>
            <w:r w:rsidR="00D05498" w:rsidRPr="00D05498">
              <w:rPr>
                <w:webHidden/>
              </w:rPr>
            </w:r>
            <w:r w:rsidR="00D05498" w:rsidRPr="00D05498">
              <w:rPr>
                <w:webHidden/>
              </w:rPr>
              <w:fldChar w:fldCharType="separate"/>
            </w:r>
            <w:r w:rsidR="00D05498" w:rsidRPr="00D05498">
              <w:rPr>
                <w:webHidden/>
              </w:rPr>
              <w:t>18</w:t>
            </w:r>
            <w:r w:rsidR="00D05498" w:rsidRPr="00D05498">
              <w:rPr>
                <w:webHidden/>
              </w:rPr>
              <w:fldChar w:fldCharType="end"/>
            </w:r>
          </w:hyperlink>
        </w:p>
        <w:p w14:paraId="5E464544" w14:textId="73B4E363" w:rsidR="00D05498" w:rsidRPr="00D05498" w:rsidRDefault="006650E3">
          <w:pPr>
            <w:pStyle w:val="21"/>
            <w:rPr>
              <w:rFonts w:eastAsiaTheme="minorEastAsia"/>
              <w:noProof/>
              <w:lang w:eastAsia="ru-RU"/>
            </w:rPr>
          </w:pPr>
          <w:hyperlink w:anchor="_Toc119313726" w:history="1">
            <w:r w:rsidR="00D05498" w:rsidRPr="00D05498">
              <w:rPr>
                <w:rStyle w:val="aa"/>
                <w:noProof/>
              </w:rPr>
              <w:t>2.2. Лекарственная форма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_Toc119313726 \h </w:instrText>
            </w:r>
            <w:r w:rsidR="00D05498" w:rsidRPr="00D05498">
              <w:rPr>
                <w:noProof/>
                <w:webHidden/>
              </w:rPr>
            </w:r>
            <w:r w:rsidR="00D05498" w:rsidRPr="00D05498">
              <w:rPr>
                <w:noProof/>
                <w:webHidden/>
              </w:rPr>
              <w:fldChar w:fldCharType="separate"/>
            </w:r>
            <w:r w:rsidR="00D05498" w:rsidRPr="00D05498">
              <w:rPr>
                <w:noProof/>
                <w:webHidden/>
              </w:rPr>
              <w:t>18</w:t>
            </w:r>
            <w:r w:rsidR="00D05498" w:rsidRPr="00D05498">
              <w:rPr>
                <w:noProof/>
                <w:webHidden/>
              </w:rPr>
              <w:fldChar w:fldCharType="end"/>
            </w:r>
          </w:hyperlink>
        </w:p>
        <w:p w14:paraId="48DC39F6" w14:textId="2DF69DB4" w:rsidR="00D05498" w:rsidRPr="00D05498" w:rsidRDefault="006650E3">
          <w:pPr>
            <w:pStyle w:val="31"/>
            <w:rPr>
              <w:rFonts w:eastAsiaTheme="minorEastAsia"/>
              <w:lang w:eastAsia="ru-RU"/>
            </w:rPr>
          </w:pPr>
          <w:hyperlink w:anchor="_Toc119313727" w:history="1">
            <w:r w:rsidR="00D05498" w:rsidRPr="00D05498">
              <w:rPr>
                <w:rStyle w:val="aa"/>
              </w:rPr>
              <w:t>2.2.1. Название лекарственной формы</w:t>
            </w:r>
            <w:r w:rsidR="00D05498" w:rsidRPr="00D05498">
              <w:rPr>
                <w:webHidden/>
              </w:rPr>
              <w:tab/>
            </w:r>
            <w:r w:rsidR="00D05498" w:rsidRPr="00D05498">
              <w:rPr>
                <w:webHidden/>
              </w:rPr>
              <w:fldChar w:fldCharType="begin"/>
            </w:r>
            <w:r w:rsidR="00D05498" w:rsidRPr="00D05498">
              <w:rPr>
                <w:webHidden/>
              </w:rPr>
              <w:instrText xml:space="preserve"> PAGEREF _Toc119313727 \h </w:instrText>
            </w:r>
            <w:r w:rsidR="00D05498" w:rsidRPr="00D05498">
              <w:rPr>
                <w:webHidden/>
              </w:rPr>
            </w:r>
            <w:r w:rsidR="00D05498" w:rsidRPr="00D05498">
              <w:rPr>
                <w:webHidden/>
              </w:rPr>
              <w:fldChar w:fldCharType="separate"/>
            </w:r>
            <w:r w:rsidR="00D05498" w:rsidRPr="00D05498">
              <w:rPr>
                <w:webHidden/>
              </w:rPr>
              <w:t>18</w:t>
            </w:r>
            <w:r w:rsidR="00D05498" w:rsidRPr="00D05498">
              <w:rPr>
                <w:webHidden/>
              </w:rPr>
              <w:fldChar w:fldCharType="end"/>
            </w:r>
          </w:hyperlink>
        </w:p>
        <w:p w14:paraId="43A880A9" w14:textId="456BF2E1" w:rsidR="00D05498" w:rsidRPr="00D05498" w:rsidRDefault="006650E3">
          <w:pPr>
            <w:pStyle w:val="31"/>
            <w:rPr>
              <w:rFonts w:eastAsiaTheme="minorEastAsia"/>
              <w:lang w:eastAsia="ru-RU"/>
            </w:rPr>
          </w:pPr>
          <w:hyperlink w:anchor="_Toc119313728" w:history="1">
            <w:r w:rsidR="00D05498" w:rsidRPr="00D05498">
              <w:rPr>
                <w:rStyle w:val="aa"/>
              </w:rPr>
              <w:t>2.2.2. Описание лекарственной формы</w:t>
            </w:r>
            <w:r w:rsidR="00D05498" w:rsidRPr="00D05498">
              <w:rPr>
                <w:webHidden/>
              </w:rPr>
              <w:tab/>
            </w:r>
            <w:r w:rsidR="00D05498" w:rsidRPr="00D05498">
              <w:rPr>
                <w:webHidden/>
              </w:rPr>
              <w:fldChar w:fldCharType="begin"/>
            </w:r>
            <w:r w:rsidR="00D05498" w:rsidRPr="00D05498">
              <w:rPr>
                <w:webHidden/>
              </w:rPr>
              <w:instrText xml:space="preserve"> PAGEREF _Toc119313728 \h </w:instrText>
            </w:r>
            <w:r w:rsidR="00D05498" w:rsidRPr="00D05498">
              <w:rPr>
                <w:webHidden/>
              </w:rPr>
            </w:r>
            <w:r w:rsidR="00D05498" w:rsidRPr="00D05498">
              <w:rPr>
                <w:webHidden/>
              </w:rPr>
              <w:fldChar w:fldCharType="separate"/>
            </w:r>
            <w:r w:rsidR="00D05498" w:rsidRPr="00D05498">
              <w:rPr>
                <w:webHidden/>
              </w:rPr>
              <w:t>19</w:t>
            </w:r>
            <w:r w:rsidR="00D05498" w:rsidRPr="00D05498">
              <w:rPr>
                <w:webHidden/>
              </w:rPr>
              <w:fldChar w:fldCharType="end"/>
            </w:r>
          </w:hyperlink>
        </w:p>
        <w:p w14:paraId="325CBB9F" w14:textId="3CC9A55C" w:rsidR="00D05498" w:rsidRPr="00D05498" w:rsidRDefault="006650E3">
          <w:pPr>
            <w:pStyle w:val="31"/>
            <w:rPr>
              <w:rFonts w:eastAsiaTheme="minorEastAsia"/>
              <w:lang w:eastAsia="ru-RU"/>
            </w:rPr>
          </w:pPr>
          <w:hyperlink w:anchor="_Toc119313729" w:history="1">
            <w:r w:rsidR="00D05498" w:rsidRPr="00D05498">
              <w:rPr>
                <w:rStyle w:val="aa"/>
              </w:rPr>
              <w:t>2.2.3. Состав лекарственной формы</w:t>
            </w:r>
            <w:r w:rsidR="00D05498" w:rsidRPr="00D05498">
              <w:rPr>
                <w:webHidden/>
              </w:rPr>
              <w:tab/>
            </w:r>
            <w:r w:rsidR="00D05498" w:rsidRPr="00D05498">
              <w:rPr>
                <w:webHidden/>
              </w:rPr>
              <w:fldChar w:fldCharType="begin"/>
            </w:r>
            <w:r w:rsidR="00D05498" w:rsidRPr="00D05498">
              <w:rPr>
                <w:webHidden/>
              </w:rPr>
              <w:instrText xml:space="preserve"> PAGEREF _Toc119313729 \h </w:instrText>
            </w:r>
            <w:r w:rsidR="00D05498" w:rsidRPr="00D05498">
              <w:rPr>
                <w:webHidden/>
              </w:rPr>
            </w:r>
            <w:r w:rsidR="00D05498" w:rsidRPr="00D05498">
              <w:rPr>
                <w:webHidden/>
              </w:rPr>
              <w:fldChar w:fldCharType="separate"/>
            </w:r>
            <w:r w:rsidR="00D05498" w:rsidRPr="00D05498">
              <w:rPr>
                <w:webHidden/>
              </w:rPr>
              <w:t>19</w:t>
            </w:r>
            <w:r w:rsidR="00D05498" w:rsidRPr="00D05498">
              <w:rPr>
                <w:webHidden/>
              </w:rPr>
              <w:fldChar w:fldCharType="end"/>
            </w:r>
          </w:hyperlink>
        </w:p>
        <w:p w14:paraId="2A968FA4" w14:textId="0451AF20" w:rsidR="00D05498" w:rsidRPr="00D05498" w:rsidRDefault="006650E3">
          <w:pPr>
            <w:pStyle w:val="31"/>
            <w:rPr>
              <w:rFonts w:eastAsiaTheme="minorEastAsia"/>
              <w:lang w:eastAsia="ru-RU"/>
            </w:rPr>
          </w:pPr>
          <w:hyperlink w:anchor="_Toc119313730" w:history="1">
            <w:r w:rsidR="00D05498" w:rsidRPr="00D05498">
              <w:rPr>
                <w:rStyle w:val="aa"/>
              </w:rPr>
              <w:t>2.2.4 Форма выпуска</w:t>
            </w:r>
            <w:r w:rsidR="00D05498" w:rsidRPr="00D05498">
              <w:rPr>
                <w:webHidden/>
              </w:rPr>
              <w:tab/>
            </w:r>
            <w:r w:rsidR="00D05498" w:rsidRPr="00D05498">
              <w:rPr>
                <w:webHidden/>
              </w:rPr>
              <w:fldChar w:fldCharType="begin"/>
            </w:r>
            <w:r w:rsidR="00D05498" w:rsidRPr="00D05498">
              <w:rPr>
                <w:webHidden/>
              </w:rPr>
              <w:instrText xml:space="preserve"> PAGEREF _Toc119313730 \h </w:instrText>
            </w:r>
            <w:r w:rsidR="00D05498" w:rsidRPr="00D05498">
              <w:rPr>
                <w:webHidden/>
              </w:rPr>
            </w:r>
            <w:r w:rsidR="00D05498" w:rsidRPr="00D05498">
              <w:rPr>
                <w:webHidden/>
              </w:rPr>
              <w:fldChar w:fldCharType="separate"/>
            </w:r>
            <w:r w:rsidR="00D05498" w:rsidRPr="00D05498">
              <w:rPr>
                <w:webHidden/>
              </w:rPr>
              <w:t>23</w:t>
            </w:r>
            <w:r w:rsidR="00D05498" w:rsidRPr="00D05498">
              <w:rPr>
                <w:webHidden/>
              </w:rPr>
              <w:fldChar w:fldCharType="end"/>
            </w:r>
          </w:hyperlink>
        </w:p>
        <w:p w14:paraId="6D1147FD" w14:textId="575D9068" w:rsidR="00D05498" w:rsidRPr="00D05498" w:rsidRDefault="006650E3">
          <w:pPr>
            <w:pStyle w:val="21"/>
            <w:rPr>
              <w:rFonts w:eastAsiaTheme="minorEastAsia"/>
              <w:noProof/>
              <w:lang w:eastAsia="ru-RU"/>
            </w:rPr>
          </w:pPr>
          <w:hyperlink w:anchor="_Toc119313731" w:history="1">
            <w:r w:rsidR="00D05498" w:rsidRPr="00D05498">
              <w:rPr>
                <w:rStyle w:val="aa"/>
                <w:noProof/>
              </w:rPr>
              <w:t>2.3 Правила хранения и обращения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_Toc119313731 \h </w:instrText>
            </w:r>
            <w:r w:rsidR="00D05498" w:rsidRPr="00D05498">
              <w:rPr>
                <w:noProof/>
                <w:webHidden/>
              </w:rPr>
            </w:r>
            <w:r w:rsidR="00D05498" w:rsidRPr="00D05498">
              <w:rPr>
                <w:noProof/>
                <w:webHidden/>
              </w:rPr>
              <w:fldChar w:fldCharType="separate"/>
            </w:r>
            <w:r w:rsidR="00D05498" w:rsidRPr="00D05498">
              <w:rPr>
                <w:noProof/>
                <w:webHidden/>
              </w:rPr>
              <w:t>23</w:t>
            </w:r>
            <w:r w:rsidR="00D05498" w:rsidRPr="00D05498">
              <w:rPr>
                <w:noProof/>
                <w:webHidden/>
              </w:rPr>
              <w:fldChar w:fldCharType="end"/>
            </w:r>
          </w:hyperlink>
        </w:p>
        <w:p w14:paraId="4B03A4B4" w14:textId="103B123E" w:rsidR="00D05498" w:rsidRPr="00D05498" w:rsidRDefault="006650E3">
          <w:pPr>
            <w:pStyle w:val="31"/>
            <w:rPr>
              <w:rFonts w:eastAsiaTheme="minorEastAsia"/>
              <w:lang w:eastAsia="ru-RU"/>
            </w:rPr>
          </w:pPr>
          <w:hyperlink w:anchor="_Toc119313732" w:history="1">
            <w:r w:rsidR="00D05498" w:rsidRPr="00D05498">
              <w:rPr>
                <w:rStyle w:val="aa"/>
              </w:rPr>
              <w:t>2.3.1 Условия хранения и транспортировки</w:t>
            </w:r>
            <w:r w:rsidR="00D05498" w:rsidRPr="00D05498">
              <w:rPr>
                <w:webHidden/>
              </w:rPr>
              <w:tab/>
            </w:r>
            <w:r w:rsidR="00D05498" w:rsidRPr="00D05498">
              <w:rPr>
                <w:webHidden/>
              </w:rPr>
              <w:fldChar w:fldCharType="begin"/>
            </w:r>
            <w:r w:rsidR="00D05498" w:rsidRPr="00D05498">
              <w:rPr>
                <w:webHidden/>
              </w:rPr>
              <w:instrText xml:space="preserve"> PAGEREF _Toc119313732 \h </w:instrText>
            </w:r>
            <w:r w:rsidR="00D05498" w:rsidRPr="00D05498">
              <w:rPr>
                <w:webHidden/>
              </w:rPr>
            </w:r>
            <w:r w:rsidR="00D05498" w:rsidRPr="00D05498">
              <w:rPr>
                <w:webHidden/>
              </w:rPr>
              <w:fldChar w:fldCharType="separate"/>
            </w:r>
            <w:r w:rsidR="00D05498" w:rsidRPr="00D05498">
              <w:rPr>
                <w:webHidden/>
              </w:rPr>
              <w:t>23</w:t>
            </w:r>
            <w:r w:rsidR="00D05498" w:rsidRPr="00D05498">
              <w:rPr>
                <w:webHidden/>
              </w:rPr>
              <w:fldChar w:fldCharType="end"/>
            </w:r>
          </w:hyperlink>
        </w:p>
        <w:p w14:paraId="65D26787" w14:textId="684309A9" w:rsidR="00D05498" w:rsidRPr="00D05498" w:rsidRDefault="006650E3">
          <w:pPr>
            <w:pStyle w:val="31"/>
            <w:rPr>
              <w:rFonts w:eastAsiaTheme="minorEastAsia"/>
              <w:lang w:eastAsia="ru-RU"/>
            </w:rPr>
          </w:pPr>
          <w:hyperlink w:anchor="_Toc119313733" w:history="1">
            <w:r w:rsidR="00D05498" w:rsidRPr="00D05498">
              <w:rPr>
                <w:rStyle w:val="aa"/>
              </w:rPr>
              <w:t>2.3.2. Срок годности</w:t>
            </w:r>
            <w:r w:rsidR="00D05498" w:rsidRPr="00D05498">
              <w:rPr>
                <w:webHidden/>
              </w:rPr>
              <w:tab/>
            </w:r>
            <w:r w:rsidR="00D05498" w:rsidRPr="00D05498">
              <w:rPr>
                <w:webHidden/>
              </w:rPr>
              <w:fldChar w:fldCharType="begin"/>
            </w:r>
            <w:r w:rsidR="00D05498" w:rsidRPr="00D05498">
              <w:rPr>
                <w:webHidden/>
              </w:rPr>
              <w:instrText xml:space="preserve"> PAGEREF _Toc119313733 \h </w:instrText>
            </w:r>
            <w:r w:rsidR="00D05498" w:rsidRPr="00D05498">
              <w:rPr>
                <w:webHidden/>
              </w:rPr>
            </w:r>
            <w:r w:rsidR="00D05498" w:rsidRPr="00D05498">
              <w:rPr>
                <w:webHidden/>
              </w:rPr>
              <w:fldChar w:fldCharType="separate"/>
            </w:r>
            <w:r w:rsidR="00D05498" w:rsidRPr="00D05498">
              <w:rPr>
                <w:webHidden/>
              </w:rPr>
              <w:t>23</w:t>
            </w:r>
            <w:r w:rsidR="00D05498" w:rsidRPr="00D05498">
              <w:rPr>
                <w:webHidden/>
              </w:rPr>
              <w:fldChar w:fldCharType="end"/>
            </w:r>
          </w:hyperlink>
        </w:p>
        <w:p w14:paraId="53DA9396" w14:textId="11FE0C20" w:rsidR="00D05498" w:rsidRPr="00D05498" w:rsidRDefault="006650E3">
          <w:pPr>
            <w:pStyle w:val="31"/>
            <w:rPr>
              <w:rFonts w:eastAsiaTheme="minorEastAsia"/>
              <w:lang w:eastAsia="ru-RU"/>
            </w:rPr>
          </w:pPr>
          <w:hyperlink w:anchor="_Toc119313734" w:history="1">
            <w:r w:rsidR="00D05498" w:rsidRPr="00D05498">
              <w:rPr>
                <w:rStyle w:val="aa"/>
              </w:rPr>
              <w:t>2.3.3. Правила по обращению с препаратом</w:t>
            </w:r>
            <w:r w:rsidR="00D05498" w:rsidRPr="00D05498">
              <w:rPr>
                <w:webHidden/>
              </w:rPr>
              <w:tab/>
            </w:r>
            <w:r w:rsidR="00D05498" w:rsidRPr="00D05498">
              <w:rPr>
                <w:webHidden/>
              </w:rPr>
              <w:fldChar w:fldCharType="begin"/>
            </w:r>
            <w:r w:rsidR="00D05498" w:rsidRPr="00D05498">
              <w:rPr>
                <w:webHidden/>
              </w:rPr>
              <w:instrText xml:space="preserve"> PAGEREF _Toc119313734 \h </w:instrText>
            </w:r>
            <w:r w:rsidR="00D05498" w:rsidRPr="00D05498">
              <w:rPr>
                <w:webHidden/>
              </w:rPr>
            </w:r>
            <w:r w:rsidR="00D05498" w:rsidRPr="00D05498">
              <w:rPr>
                <w:webHidden/>
              </w:rPr>
              <w:fldChar w:fldCharType="separate"/>
            </w:r>
            <w:r w:rsidR="00D05498" w:rsidRPr="00D05498">
              <w:rPr>
                <w:webHidden/>
              </w:rPr>
              <w:t>23</w:t>
            </w:r>
            <w:r w:rsidR="00D05498" w:rsidRPr="00D05498">
              <w:rPr>
                <w:webHidden/>
              </w:rPr>
              <w:fldChar w:fldCharType="end"/>
            </w:r>
          </w:hyperlink>
        </w:p>
        <w:p w14:paraId="035CD0C4" w14:textId="520AEE09" w:rsidR="00D05498" w:rsidRPr="00D05498" w:rsidRDefault="006650E3">
          <w:pPr>
            <w:pStyle w:val="31"/>
            <w:rPr>
              <w:rFonts w:eastAsiaTheme="minorEastAsia"/>
              <w:lang w:eastAsia="ru-RU"/>
            </w:rPr>
          </w:pPr>
          <w:hyperlink w:anchor="_Toc119313735" w:history="1">
            <w:r w:rsidR="00D05498" w:rsidRPr="00D05498">
              <w:rPr>
                <w:rStyle w:val="aa"/>
              </w:rPr>
              <w:t>Список литературы</w:t>
            </w:r>
            <w:r w:rsidR="00D05498" w:rsidRPr="00D05498">
              <w:rPr>
                <w:webHidden/>
              </w:rPr>
              <w:tab/>
            </w:r>
            <w:r w:rsidR="00D05498" w:rsidRPr="00D05498">
              <w:rPr>
                <w:webHidden/>
              </w:rPr>
              <w:fldChar w:fldCharType="begin"/>
            </w:r>
            <w:r w:rsidR="00D05498" w:rsidRPr="00D05498">
              <w:rPr>
                <w:webHidden/>
              </w:rPr>
              <w:instrText xml:space="preserve"> PAGEREF _Toc119313735 \h </w:instrText>
            </w:r>
            <w:r w:rsidR="00D05498" w:rsidRPr="00D05498">
              <w:rPr>
                <w:webHidden/>
              </w:rPr>
            </w:r>
            <w:r w:rsidR="00D05498" w:rsidRPr="00D05498">
              <w:rPr>
                <w:webHidden/>
              </w:rPr>
              <w:fldChar w:fldCharType="separate"/>
            </w:r>
            <w:r w:rsidR="00D05498" w:rsidRPr="00D05498">
              <w:rPr>
                <w:webHidden/>
              </w:rPr>
              <w:t>23</w:t>
            </w:r>
            <w:r w:rsidR="00D05498" w:rsidRPr="00D05498">
              <w:rPr>
                <w:webHidden/>
              </w:rPr>
              <w:fldChar w:fldCharType="end"/>
            </w:r>
          </w:hyperlink>
        </w:p>
        <w:p w14:paraId="1AC19891" w14:textId="038D7272" w:rsidR="00D05498" w:rsidRPr="00D05498" w:rsidRDefault="006650E3">
          <w:pPr>
            <w:pStyle w:val="14"/>
            <w:rPr>
              <w:rFonts w:eastAsiaTheme="minorEastAsia"/>
              <w:noProof/>
              <w:lang w:eastAsia="ru-RU"/>
            </w:rPr>
          </w:pPr>
          <w:hyperlink w:anchor="_Toc119313736" w:history="1">
            <w:r w:rsidR="00D05498" w:rsidRPr="00D05498">
              <w:rPr>
                <w:rStyle w:val="aa"/>
                <w:noProof/>
              </w:rPr>
              <w:t>3. РЕЗУЛЬТАТЫ ДОКЛИНИЧЕСКИХ ИССЛЕДОВАНИЙ</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_Toc119313736 \h </w:instrText>
            </w:r>
            <w:r w:rsidR="00D05498" w:rsidRPr="00D05498">
              <w:rPr>
                <w:noProof/>
                <w:webHidden/>
              </w:rPr>
            </w:r>
            <w:r w:rsidR="00D05498" w:rsidRPr="00D05498">
              <w:rPr>
                <w:noProof/>
                <w:webHidden/>
              </w:rPr>
              <w:fldChar w:fldCharType="separate"/>
            </w:r>
            <w:r w:rsidR="00D05498" w:rsidRPr="00D05498">
              <w:rPr>
                <w:noProof/>
                <w:webHidden/>
              </w:rPr>
              <w:t>24</w:t>
            </w:r>
            <w:r w:rsidR="00D05498" w:rsidRPr="00D05498">
              <w:rPr>
                <w:noProof/>
                <w:webHidden/>
              </w:rPr>
              <w:fldChar w:fldCharType="end"/>
            </w:r>
          </w:hyperlink>
        </w:p>
        <w:p w14:paraId="1006B058" w14:textId="08AA51CB" w:rsidR="00D05498" w:rsidRPr="00D05498" w:rsidRDefault="006650E3">
          <w:pPr>
            <w:pStyle w:val="21"/>
            <w:rPr>
              <w:rFonts w:eastAsiaTheme="minorEastAsia"/>
              <w:noProof/>
              <w:lang w:eastAsia="ru-RU"/>
            </w:rPr>
          </w:pPr>
          <w:hyperlink w:anchor="_Toc119313737" w:history="1">
            <w:r w:rsidR="00D05498" w:rsidRPr="00D05498">
              <w:rPr>
                <w:rStyle w:val="aa"/>
                <w:noProof/>
              </w:rPr>
              <w:t>Введение и резюме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_Toc119313737 \h </w:instrText>
            </w:r>
            <w:r w:rsidR="00D05498" w:rsidRPr="00D05498">
              <w:rPr>
                <w:noProof/>
                <w:webHidden/>
              </w:rPr>
            </w:r>
            <w:r w:rsidR="00D05498" w:rsidRPr="00D05498">
              <w:rPr>
                <w:noProof/>
                <w:webHidden/>
              </w:rPr>
              <w:fldChar w:fldCharType="separate"/>
            </w:r>
            <w:r w:rsidR="00D05498" w:rsidRPr="00D05498">
              <w:rPr>
                <w:noProof/>
                <w:webHidden/>
              </w:rPr>
              <w:t>24</w:t>
            </w:r>
            <w:r w:rsidR="00D05498" w:rsidRPr="00D05498">
              <w:rPr>
                <w:noProof/>
                <w:webHidden/>
              </w:rPr>
              <w:fldChar w:fldCharType="end"/>
            </w:r>
          </w:hyperlink>
        </w:p>
        <w:p w14:paraId="6BA7E640" w14:textId="32D4F1CF" w:rsidR="00D05498" w:rsidRPr="00D05498" w:rsidRDefault="006650E3">
          <w:pPr>
            <w:pStyle w:val="21"/>
            <w:rPr>
              <w:rFonts w:eastAsiaTheme="minorEastAsia"/>
              <w:noProof/>
              <w:lang w:eastAsia="ru-RU"/>
            </w:rPr>
          </w:pPr>
          <w:hyperlink w:anchor="_Toc119313738" w:history="1">
            <w:r w:rsidR="00D05498" w:rsidRPr="00D05498">
              <w:rPr>
                <w:rStyle w:val="aa"/>
                <w:noProof/>
              </w:rPr>
              <w:t>3.1 Доклиническая фармакология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_Toc119313738 \h </w:instrText>
            </w:r>
            <w:r w:rsidR="00D05498" w:rsidRPr="00D05498">
              <w:rPr>
                <w:noProof/>
                <w:webHidden/>
              </w:rPr>
            </w:r>
            <w:r w:rsidR="00D05498" w:rsidRPr="00D05498">
              <w:rPr>
                <w:noProof/>
                <w:webHidden/>
              </w:rPr>
              <w:fldChar w:fldCharType="separate"/>
            </w:r>
            <w:r w:rsidR="00D05498" w:rsidRPr="00D05498">
              <w:rPr>
                <w:noProof/>
                <w:webHidden/>
              </w:rPr>
              <w:t>25</w:t>
            </w:r>
            <w:r w:rsidR="00D05498" w:rsidRPr="00D05498">
              <w:rPr>
                <w:noProof/>
                <w:webHidden/>
              </w:rPr>
              <w:fldChar w:fldCharType="end"/>
            </w:r>
          </w:hyperlink>
        </w:p>
        <w:p w14:paraId="23390DA1" w14:textId="612A1A71" w:rsidR="00D05498" w:rsidRPr="00D05498" w:rsidRDefault="006650E3">
          <w:pPr>
            <w:pStyle w:val="31"/>
            <w:rPr>
              <w:rFonts w:eastAsiaTheme="minorEastAsia"/>
              <w:lang w:eastAsia="ru-RU"/>
            </w:rPr>
          </w:pPr>
          <w:hyperlink w:anchor="_Toc119313739" w:history="1">
            <w:r w:rsidR="00D05498" w:rsidRPr="00D05498">
              <w:rPr>
                <w:rStyle w:val="aa"/>
              </w:rPr>
              <w:t>3.1.1. Механизм действия</w:t>
            </w:r>
            <w:r w:rsidR="00D05498" w:rsidRPr="00D05498">
              <w:rPr>
                <w:webHidden/>
              </w:rPr>
              <w:tab/>
            </w:r>
            <w:r w:rsidR="00D05498" w:rsidRPr="00D05498">
              <w:rPr>
                <w:webHidden/>
              </w:rPr>
              <w:fldChar w:fldCharType="begin"/>
            </w:r>
            <w:r w:rsidR="00D05498" w:rsidRPr="00D05498">
              <w:rPr>
                <w:webHidden/>
              </w:rPr>
              <w:instrText xml:space="preserve"> PAGEREF _Toc119313739 \h </w:instrText>
            </w:r>
            <w:r w:rsidR="00D05498" w:rsidRPr="00D05498">
              <w:rPr>
                <w:webHidden/>
              </w:rPr>
            </w:r>
            <w:r w:rsidR="00D05498" w:rsidRPr="00D05498">
              <w:rPr>
                <w:webHidden/>
              </w:rPr>
              <w:fldChar w:fldCharType="separate"/>
            </w:r>
            <w:r w:rsidR="00D05498" w:rsidRPr="00D05498">
              <w:rPr>
                <w:webHidden/>
              </w:rPr>
              <w:t>25</w:t>
            </w:r>
            <w:r w:rsidR="00D05498" w:rsidRPr="00D05498">
              <w:rPr>
                <w:webHidden/>
              </w:rPr>
              <w:fldChar w:fldCharType="end"/>
            </w:r>
          </w:hyperlink>
        </w:p>
        <w:p w14:paraId="5ECC8E03" w14:textId="7815175A" w:rsidR="00D05498" w:rsidRPr="00D05498" w:rsidRDefault="006650E3">
          <w:pPr>
            <w:pStyle w:val="31"/>
            <w:rPr>
              <w:rFonts w:eastAsiaTheme="minorEastAsia"/>
              <w:lang w:eastAsia="ru-RU"/>
            </w:rPr>
          </w:pPr>
          <w:hyperlink w:anchor="_Toc119313740" w:history="1">
            <w:r w:rsidR="00D05498" w:rsidRPr="00D05498">
              <w:rPr>
                <w:rStyle w:val="aa"/>
                <w:rFonts w:eastAsia="Times New Roman"/>
                <w:lang w:eastAsia="en-US"/>
              </w:rPr>
              <w:t xml:space="preserve">3.1.2. </w:t>
            </w:r>
            <w:r w:rsidR="00D05498" w:rsidRPr="00D05498">
              <w:rPr>
                <w:rStyle w:val="aa"/>
              </w:rPr>
              <w:t>Первичная фармакодинамика</w:t>
            </w:r>
            <w:r w:rsidR="00D05498" w:rsidRPr="00D05498">
              <w:rPr>
                <w:webHidden/>
              </w:rPr>
              <w:tab/>
            </w:r>
            <w:r w:rsidR="00D05498" w:rsidRPr="00D05498">
              <w:rPr>
                <w:webHidden/>
              </w:rPr>
              <w:fldChar w:fldCharType="begin"/>
            </w:r>
            <w:r w:rsidR="00D05498" w:rsidRPr="00D05498">
              <w:rPr>
                <w:webHidden/>
              </w:rPr>
              <w:instrText xml:space="preserve"> PAGEREF _Toc119313740 \h </w:instrText>
            </w:r>
            <w:r w:rsidR="00D05498" w:rsidRPr="00D05498">
              <w:rPr>
                <w:webHidden/>
              </w:rPr>
            </w:r>
            <w:r w:rsidR="00D05498" w:rsidRPr="00D05498">
              <w:rPr>
                <w:webHidden/>
              </w:rPr>
              <w:fldChar w:fldCharType="separate"/>
            </w:r>
            <w:r w:rsidR="00D05498" w:rsidRPr="00D05498">
              <w:rPr>
                <w:webHidden/>
              </w:rPr>
              <w:t>26</w:t>
            </w:r>
            <w:r w:rsidR="00D05498" w:rsidRPr="00D05498">
              <w:rPr>
                <w:webHidden/>
              </w:rPr>
              <w:fldChar w:fldCharType="end"/>
            </w:r>
          </w:hyperlink>
        </w:p>
        <w:p w14:paraId="6870EF97" w14:textId="6C171473" w:rsidR="00D05498" w:rsidRPr="00D05498" w:rsidRDefault="006650E3">
          <w:pPr>
            <w:pStyle w:val="41"/>
            <w:rPr>
              <w:rFonts w:eastAsiaTheme="minorEastAsia"/>
              <w:noProof/>
              <w:lang w:eastAsia="ru-RU"/>
            </w:rPr>
          </w:pPr>
          <w:hyperlink w:anchor="_Toc119313741" w:history="1">
            <w:r w:rsidR="00D05498" w:rsidRPr="00D05498">
              <w:rPr>
                <w:rStyle w:val="aa"/>
                <w:noProof/>
              </w:rPr>
              <w:t xml:space="preserve">3.1.2.1. Первичная фармакодинамика </w:t>
            </w:r>
            <w:r w:rsidR="00D05498" w:rsidRPr="00D05498">
              <w:rPr>
                <w:rStyle w:val="aa"/>
                <w:i/>
                <w:noProof/>
              </w:rPr>
              <w:t>in vitro</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_Toc119313741 \h </w:instrText>
            </w:r>
            <w:r w:rsidR="00D05498" w:rsidRPr="00D05498">
              <w:rPr>
                <w:noProof/>
                <w:webHidden/>
              </w:rPr>
            </w:r>
            <w:r w:rsidR="00D05498" w:rsidRPr="00D05498">
              <w:rPr>
                <w:noProof/>
                <w:webHidden/>
              </w:rPr>
              <w:fldChar w:fldCharType="separate"/>
            </w:r>
            <w:r w:rsidR="00D05498" w:rsidRPr="00D05498">
              <w:rPr>
                <w:noProof/>
                <w:webHidden/>
              </w:rPr>
              <w:t>26</w:t>
            </w:r>
            <w:r w:rsidR="00D05498" w:rsidRPr="00D05498">
              <w:rPr>
                <w:noProof/>
                <w:webHidden/>
              </w:rPr>
              <w:fldChar w:fldCharType="end"/>
            </w:r>
          </w:hyperlink>
        </w:p>
        <w:p w14:paraId="4FA46047" w14:textId="3795759D" w:rsidR="00D05498" w:rsidRPr="00D05498" w:rsidRDefault="006650E3">
          <w:pPr>
            <w:pStyle w:val="41"/>
            <w:rPr>
              <w:rFonts w:eastAsiaTheme="minorEastAsia"/>
              <w:noProof/>
              <w:lang w:eastAsia="ru-RU"/>
            </w:rPr>
          </w:pPr>
          <w:hyperlink w:anchor="_Toc119313742" w:history="1">
            <w:r w:rsidR="00D05498" w:rsidRPr="00D05498">
              <w:rPr>
                <w:rStyle w:val="aa"/>
                <w:noProof/>
              </w:rPr>
              <w:t xml:space="preserve">3.1.2.2. Первичная фармакодинамика </w:t>
            </w:r>
            <w:r w:rsidR="00D05498" w:rsidRPr="00D05498">
              <w:rPr>
                <w:rStyle w:val="aa"/>
                <w:i/>
                <w:noProof/>
              </w:rPr>
              <w:t>in vivo</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_Toc119313742 \h </w:instrText>
            </w:r>
            <w:r w:rsidR="00D05498" w:rsidRPr="00D05498">
              <w:rPr>
                <w:noProof/>
                <w:webHidden/>
              </w:rPr>
            </w:r>
            <w:r w:rsidR="00D05498" w:rsidRPr="00D05498">
              <w:rPr>
                <w:noProof/>
                <w:webHidden/>
              </w:rPr>
              <w:fldChar w:fldCharType="separate"/>
            </w:r>
            <w:r w:rsidR="00D05498" w:rsidRPr="00D05498">
              <w:rPr>
                <w:noProof/>
                <w:webHidden/>
              </w:rPr>
              <w:t>27</w:t>
            </w:r>
            <w:r w:rsidR="00D05498" w:rsidRPr="00D05498">
              <w:rPr>
                <w:noProof/>
                <w:webHidden/>
              </w:rPr>
              <w:fldChar w:fldCharType="end"/>
            </w:r>
          </w:hyperlink>
        </w:p>
        <w:p w14:paraId="700E5743" w14:textId="1AF9511E" w:rsidR="00D05498" w:rsidRPr="00D05498" w:rsidRDefault="006650E3">
          <w:pPr>
            <w:pStyle w:val="31"/>
            <w:rPr>
              <w:rFonts w:eastAsiaTheme="minorEastAsia"/>
              <w:lang w:eastAsia="ru-RU"/>
            </w:rPr>
          </w:pPr>
          <w:hyperlink w:anchor="_Toc119313743" w:history="1">
            <w:r w:rsidR="00D05498" w:rsidRPr="00D05498">
              <w:rPr>
                <w:rStyle w:val="aa"/>
              </w:rPr>
              <w:t>3.1.3. Вторичная фармакодинамика</w:t>
            </w:r>
            <w:r w:rsidR="00D05498" w:rsidRPr="00D05498">
              <w:rPr>
                <w:webHidden/>
              </w:rPr>
              <w:tab/>
            </w:r>
            <w:r w:rsidR="00D05498" w:rsidRPr="00D05498">
              <w:rPr>
                <w:webHidden/>
              </w:rPr>
              <w:fldChar w:fldCharType="begin"/>
            </w:r>
            <w:r w:rsidR="00D05498" w:rsidRPr="00D05498">
              <w:rPr>
                <w:webHidden/>
              </w:rPr>
              <w:instrText xml:space="preserve"> PAGEREF _Toc119313743 \h </w:instrText>
            </w:r>
            <w:r w:rsidR="00D05498" w:rsidRPr="00D05498">
              <w:rPr>
                <w:webHidden/>
              </w:rPr>
            </w:r>
            <w:r w:rsidR="00D05498" w:rsidRPr="00D05498">
              <w:rPr>
                <w:webHidden/>
              </w:rPr>
              <w:fldChar w:fldCharType="separate"/>
            </w:r>
            <w:r w:rsidR="00D05498" w:rsidRPr="00D05498">
              <w:rPr>
                <w:webHidden/>
              </w:rPr>
              <w:t>27</w:t>
            </w:r>
            <w:r w:rsidR="00D05498" w:rsidRPr="00D05498">
              <w:rPr>
                <w:webHidden/>
              </w:rPr>
              <w:fldChar w:fldCharType="end"/>
            </w:r>
          </w:hyperlink>
        </w:p>
        <w:p w14:paraId="71368C83" w14:textId="0CD9EBEB" w:rsidR="00D05498" w:rsidRPr="00D05498" w:rsidRDefault="006650E3">
          <w:pPr>
            <w:pStyle w:val="31"/>
            <w:rPr>
              <w:rFonts w:eastAsiaTheme="minorEastAsia"/>
              <w:lang w:eastAsia="ru-RU"/>
            </w:rPr>
          </w:pPr>
          <w:hyperlink w:anchor="_Toc119313744" w:history="1">
            <w:r w:rsidR="00D05498" w:rsidRPr="00D05498">
              <w:rPr>
                <w:rStyle w:val="aa"/>
              </w:rPr>
              <w:t>3.1.4. Фармакологическая безопасность</w:t>
            </w:r>
            <w:r w:rsidR="00D05498" w:rsidRPr="00D05498">
              <w:rPr>
                <w:webHidden/>
              </w:rPr>
              <w:tab/>
            </w:r>
            <w:r w:rsidR="00D05498" w:rsidRPr="00D05498">
              <w:rPr>
                <w:webHidden/>
              </w:rPr>
              <w:fldChar w:fldCharType="begin"/>
            </w:r>
            <w:r w:rsidR="00D05498" w:rsidRPr="00D05498">
              <w:rPr>
                <w:webHidden/>
              </w:rPr>
              <w:instrText xml:space="preserve"> PAGEREF _Toc119313744 \h </w:instrText>
            </w:r>
            <w:r w:rsidR="00D05498" w:rsidRPr="00D05498">
              <w:rPr>
                <w:webHidden/>
              </w:rPr>
            </w:r>
            <w:r w:rsidR="00D05498" w:rsidRPr="00D05498">
              <w:rPr>
                <w:webHidden/>
              </w:rPr>
              <w:fldChar w:fldCharType="separate"/>
            </w:r>
            <w:r w:rsidR="00D05498" w:rsidRPr="00D05498">
              <w:rPr>
                <w:webHidden/>
              </w:rPr>
              <w:t>28</w:t>
            </w:r>
            <w:r w:rsidR="00D05498" w:rsidRPr="00D05498">
              <w:rPr>
                <w:webHidden/>
              </w:rPr>
              <w:fldChar w:fldCharType="end"/>
            </w:r>
          </w:hyperlink>
        </w:p>
        <w:p w14:paraId="54B98270" w14:textId="351C3CDD" w:rsidR="00D05498" w:rsidRPr="00D05498" w:rsidRDefault="006650E3">
          <w:pPr>
            <w:pStyle w:val="31"/>
            <w:rPr>
              <w:rFonts w:eastAsiaTheme="minorEastAsia"/>
              <w:lang w:eastAsia="ru-RU"/>
            </w:rPr>
          </w:pPr>
          <w:hyperlink w:anchor="_Toc119313745" w:history="1">
            <w:r w:rsidR="00D05498" w:rsidRPr="00D05498">
              <w:rPr>
                <w:rStyle w:val="aa"/>
              </w:rPr>
              <w:t>3.1.5. Фармакодинамические лекарственные взаимодействия</w:t>
            </w:r>
            <w:r w:rsidR="00D05498" w:rsidRPr="00D05498">
              <w:rPr>
                <w:webHidden/>
              </w:rPr>
              <w:tab/>
            </w:r>
            <w:r w:rsidR="00D05498" w:rsidRPr="00D05498">
              <w:rPr>
                <w:webHidden/>
              </w:rPr>
              <w:fldChar w:fldCharType="begin"/>
            </w:r>
            <w:r w:rsidR="00D05498" w:rsidRPr="00D05498">
              <w:rPr>
                <w:webHidden/>
              </w:rPr>
              <w:instrText xml:space="preserve"> PAGEREF _Toc119313745 \h </w:instrText>
            </w:r>
            <w:r w:rsidR="00D05498" w:rsidRPr="00D05498">
              <w:rPr>
                <w:webHidden/>
              </w:rPr>
            </w:r>
            <w:r w:rsidR="00D05498" w:rsidRPr="00D05498">
              <w:rPr>
                <w:webHidden/>
              </w:rPr>
              <w:fldChar w:fldCharType="separate"/>
            </w:r>
            <w:r w:rsidR="00D05498" w:rsidRPr="00D05498">
              <w:rPr>
                <w:webHidden/>
              </w:rPr>
              <w:t>31</w:t>
            </w:r>
            <w:r w:rsidR="00D05498" w:rsidRPr="00D05498">
              <w:rPr>
                <w:webHidden/>
              </w:rPr>
              <w:fldChar w:fldCharType="end"/>
            </w:r>
          </w:hyperlink>
        </w:p>
        <w:p w14:paraId="6BCDDE79" w14:textId="109D3AD4" w:rsidR="00D05498" w:rsidRPr="00D05498" w:rsidRDefault="006650E3">
          <w:pPr>
            <w:pStyle w:val="21"/>
            <w:rPr>
              <w:rFonts w:eastAsiaTheme="minorEastAsia"/>
              <w:noProof/>
              <w:lang w:eastAsia="ru-RU"/>
            </w:rPr>
          </w:pPr>
          <w:hyperlink w:anchor="_Toc119313746" w:history="1">
            <w:r w:rsidR="00D05498" w:rsidRPr="00D05498">
              <w:rPr>
                <w:rStyle w:val="aa"/>
                <w:noProof/>
              </w:rPr>
              <w:t>3.2. Доклиническая фармакокинетика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_Toc119313746 \h </w:instrText>
            </w:r>
            <w:r w:rsidR="00D05498" w:rsidRPr="00D05498">
              <w:rPr>
                <w:noProof/>
                <w:webHidden/>
              </w:rPr>
            </w:r>
            <w:r w:rsidR="00D05498" w:rsidRPr="00D05498">
              <w:rPr>
                <w:noProof/>
                <w:webHidden/>
              </w:rPr>
              <w:fldChar w:fldCharType="separate"/>
            </w:r>
            <w:r w:rsidR="00D05498" w:rsidRPr="00D05498">
              <w:rPr>
                <w:noProof/>
                <w:webHidden/>
              </w:rPr>
              <w:t>31</w:t>
            </w:r>
            <w:r w:rsidR="00D05498" w:rsidRPr="00D05498">
              <w:rPr>
                <w:noProof/>
                <w:webHidden/>
              </w:rPr>
              <w:fldChar w:fldCharType="end"/>
            </w:r>
          </w:hyperlink>
        </w:p>
        <w:p w14:paraId="53DCB55A" w14:textId="26531FA9" w:rsidR="00D05498" w:rsidRPr="00D05498" w:rsidRDefault="006650E3">
          <w:pPr>
            <w:pStyle w:val="31"/>
            <w:rPr>
              <w:rFonts w:eastAsiaTheme="minorEastAsia"/>
              <w:lang w:eastAsia="ru-RU"/>
            </w:rPr>
          </w:pPr>
          <w:hyperlink w:anchor="_Toc119313747" w:history="1">
            <w:r w:rsidR="00D05498" w:rsidRPr="00D05498">
              <w:rPr>
                <w:rStyle w:val="aa"/>
              </w:rPr>
              <w:t xml:space="preserve">3.2.1. </w:t>
            </w:r>
            <w:r w:rsidR="00D05498" w:rsidRPr="00D05498">
              <w:rPr>
                <w:rStyle w:val="aa"/>
                <w:bCs/>
                <w:iCs/>
              </w:rPr>
              <w:t>Всасывание</w:t>
            </w:r>
            <w:r w:rsidR="00D05498" w:rsidRPr="00D05498">
              <w:rPr>
                <w:webHidden/>
              </w:rPr>
              <w:tab/>
            </w:r>
            <w:r w:rsidR="00D05498" w:rsidRPr="00D05498">
              <w:rPr>
                <w:webHidden/>
              </w:rPr>
              <w:fldChar w:fldCharType="begin"/>
            </w:r>
            <w:r w:rsidR="00D05498" w:rsidRPr="00D05498">
              <w:rPr>
                <w:webHidden/>
              </w:rPr>
              <w:instrText xml:space="preserve"> PAGEREF _Toc119313747 \h </w:instrText>
            </w:r>
            <w:r w:rsidR="00D05498" w:rsidRPr="00D05498">
              <w:rPr>
                <w:webHidden/>
              </w:rPr>
            </w:r>
            <w:r w:rsidR="00D05498" w:rsidRPr="00D05498">
              <w:rPr>
                <w:webHidden/>
              </w:rPr>
              <w:fldChar w:fldCharType="separate"/>
            </w:r>
            <w:r w:rsidR="00D05498" w:rsidRPr="00D05498">
              <w:rPr>
                <w:webHidden/>
              </w:rPr>
              <w:t>31</w:t>
            </w:r>
            <w:r w:rsidR="00D05498" w:rsidRPr="00D05498">
              <w:rPr>
                <w:webHidden/>
              </w:rPr>
              <w:fldChar w:fldCharType="end"/>
            </w:r>
          </w:hyperlink>
        </w:p>
        <w:p w14:paraId="55261F07" w14:textId="1823A884" w:rsidR="00D05498" w:rsidRPr="00D05498" w:rsidRDefault="006650E3">
          <w:pPr>
            <w:pStyle w:val="31"/>
            <w:rPr>
              <w:rFonts w:eastAsiaTheme="minorEastAsia"/>
              <w:lang w:eastAsia="ru-RU"/>
            </w:rPr>
          </w:pPr>
          <w:hyperlink w:anchor="_Toc119313748" w:history="1">
            <w:r w:rsidR="00D05498" w:rsidRPr="00D05498">
              <w:rPr>
                <w:rStyle w:val="aa"/>
              </w:rPr>
              <w:t>3.2.2. Распределение</w:t>
            </w:r>
            <w:r w:rsidR="00D05498" w:rsidRPr="00D05498">
              <w:rPr>
                <w:webHidden/>
              </w:rPr>
              <w:tab/>
            </w:r>
            <w:r w:rsidR="00D05498" w:rsidRPr="00D05498">
              <w:rPr>
                <w:webHidden/>
              </w:rPr>
              <w:fldChar w:fldCharType="begin"/>
            </w:r>
            <w:r w:rsidR="00D05498" w:rsidRPr="00D05498">
              <w:rPr>
                <w:webHidden/>
              </w:rPr>
              <w:instrText xml:space="preserve"> PAGEREF _Toc119313748 \h </w:instrText>
            </w:r>
            <w:r w:rsidR="00D05498" w:rsidRPr="00D05498">
              <w:rPr>
                <w:webHidden/>
              </w:rPr>
            </w:r>
            <w:r w:rsidR="00D05498" w:rsidRPr="00D05498">
              <w:rPr>
                <w:webHidden/>
              </w:rPr>
              <w:fldChar w:fldCharType="separate"/>
            </w:r>
            <w:r w:rsidR="00D05498" w:rsidRPr="00D05498">
              <w:rPr>
                <w:webHidden/>
              </w:rPr>
              <w:t>31</w:t>
            </w:r>
            <w:r w:rsidR="00D05498" w:rsidRPr="00D05498">
              <w:rPr>
                <w:webHidden/>
              </w:rPr>
              <w:fldChar w:fldCharType="end"/>
            </w:r>
          </w:hyperlink>
        </w:p>
        <w:p w14:paraId="32812783" w14:textId="0294D984" w:rsidR="00D05498" w:rsidRPr="00D05498" w:rsidRDefault="006650E3">
          <w:pPr>
            <w:pStyle w:val="31"/>
            <w:rPr>
              <w:rFonts w:eastAsiaTheme="minorEastAsia"/>
              <w:lang w:eastAsia="ru-RU"/>
            </w:rPr>
          </w:pPr>
          <w:hyperlink w:anchor="_Toc119313749" w:history="1">
            <w:r w:rsidR="00D05498" w:rsidRPr="00D05498">
              <w:rPr>
                <w:rStyle w:val="aa"/>
              </w:rPr>
              <w:t>3.2.3. Связывание с белками плазмы</w:t>
            </w:r>
            <w:r w:rsidR="00D05498" w:rsidRPr="00D05498">
              <w:rPr>
                <w:webHidden/>
              </w:rPr>
              <w:tab/>
            </w:r>
            <w:r w:rsidR="00D05498" w:rsidRPr="00D05498">
              <w:rPr>
                <w:webHidden/>
              </w:rPr>
              <w:fldChar w:fldCharType="begin"/>
            </w:r>
            <w:r w:rsidR="00D05498" w:rsidRPr="00D05498">
              <w:rPr>
                <w:webHidden/>
              </w:rPr>
              <w:instrText xml:space="preserve"> PAGEREF _Toc119313749 \h </w:instrText>
            </w:r>
            <w:r w:rsidR="00D05498" w:rsidRPr="00D05498">
              <w:rPr>
                <w:webHidden/>
              </w:rPr>
            </w:r>
            <w:r w:rsidR="00D05498" w:rsidRPr="00D05498">
              <w:rPr>
                <w:webHidden/>
              </w:rPr>
              <w:fldChar w:fldCharType="separate"/>
            </w:r>
            <w:r w:rsidR="00D05498" w:rsidRPr="00D05498">
              <w:rPr>
                <w:webHidden/>
              </w:rPr>
              <w:t>32</w:t>
            </w:r>
            <w:r w:rsidR="00D05498" w:rsidRPr="00D05498">
              <w:rPr>
                <w:webHidden/>
              </w:rPr>
              <w:fldChar w:fldCharType="end"/>
            </w:r>
          </w:hyperlink>
        </w:p>
        <w:p w14:paraId="1FD58982" w14:textId="0898A998" w:rsidR="00D05498" w:rsidRPr="00D05498" w:rsidRDefault="006650E3">
          <w:pPr>
            <w:pStyle w:val="31"/>
            <w:rPr>
              <w:rFonts w:eastAsiaTheme="minorEastAsia"/>
              <w:lang w:eastAsia="ru-RU"/>
            </w:rPr>
          </w:pPr>
          <w:hyperlink w:anchor="_Toc119313750" w:history="1">
            <w:r w:rsidR="00D05498" w:rsidRPr="00D05498">
              <w:rPr>
                <w:rStyle w:val="aa"/>
              </w:rPr>
              <w:t xml:space="preserve">3.2.4. </w:t>
            </w:r>
            <w:r w:rsidR="00D05498" w:rsidRPr="00D05498">
              <w:rPr>
                <w:rStyle w:val="aa"/>
                <w:bCs/>
              </w:rPr>
              <w:t>Метаболизм</w:t>
            </w:r>
            <w:r w:rsidR="00D05498" w:rsidRPr="00D05498">
              <w:rPr>
                <w:webHidden/>
              </w:rPr>
              <w:tab/>
            </w:r>
            <w:r w:rsidR="00D05498" w:rsidRPr="00D05498">
              <w:rPr>
                <w:webHidden/>
              </w:rPr>
              <w:fldChar w:fldCharType="begin"/>
            </w:r>
            <w:r w:rsidR="00D05498" w:rsidRPr="00D05498">
              <w:rPr>
                <w:webHidden/>
              </w:rPr>
              <w:instrText xml:space="preserve"> PAGEREF _Toc119313750 \h </w:instrText>
            </w:r>
            <w:r w:rsidR="00D05498" w:rsidRPr="00D05498">
              <w:rPr>
                <w:webHidden/>
              </w:rPr>
            </w:r>
            <w:r w:rsidR="00D05498" w:rsidRPr="00D05498">
              <w:rPr>
                <w:webHidden/>
              </w:rPr>
              <w:fldChar w:fldCharType="separate"/>
            </w:r>
            <w:r w:rsidR="00D05498" w:rsidRPr="00D05498">
              <w:rPr>
                <w:webHidden/>
              </w:rPr>
              <w:t>32</w:t>
            </w:r>
            <w:r w:rsidR="00D05498" w:rsidRPr="00D05498">
              <w:rPr>
                <w:webHidden/>
              </w:rPr>
              <w:fldChar w:fldCharType="end"/>
            </w:r>
          </w:hyperlink>
        </w:p>
        <w:p w14:paraId="5E090D8D" w14:textId="29A53446" w:rsidR="00D05498" w:rsidRPr="00D05498" w:rsidRDefault="006650E3">
          <w:pPr>
            <w:pStyle w:val="31"/>
            <w:rPr>
              <w:rFonts w:eastAsiaTheme="minorEastAsia"/>
              <w:lang w:eastAsia="ru-RU"/>
            </w:rPr>
          </w:pPr>
          <w:hyperlink w:anchor="_Toc119313751" w:history="1">
            <w:r w:rsidR="00D05498" w:rsidRPr="00D05498">
              <w:rPr>
                <w:rStyle w:val="aa"/>
              </w:rPr>
              <w:t xml:space="preserve">3.2.5. </w:t>
            </w:r>
            <w:r w:rsidR="00D05498" w:rsidRPr="00D05498">
              <w:rPr>
                <w:rStyle w:val="aa"/>
                <w:bCs/>
              </w:rPr>
              <w:t>Выведение</w:t>
            </w:r>
            <w:r w:rsidR="00D05498" w:rsidRPr="00D05498">
              <w:rPr>
                <w:webHidden/>
              </w:rPr>
              <w:tab/>
            </w:r>
            <w:r w:rsidR="00D05498" w:rsidRPr="00D05498">
              <w:rPr>
                <w:webHidden/>
              </w:rPr>
              <w:fldChar w:fldCharType="begin"/>
            </w:r>
            <w:r w:rsidR="00D05498" w:rsidRPr="00D05498">
              <w:rPr>
                <w:webHidden/>
              </w:rPr>
              <w:instrText xml:space="preserve"> PAGEREF _Toc119313751 \h </w:instrText>
            </w:r>
            <w:r w:rsidR="00D05498" w:rsidRPr="00D05498">
              <w:rPr>
                <w:webHidden/>
              </w:rPr>
            </w:r>
            <w:r w:rsidR="00D05498" w:rsidRPr="00D05498">
              <w:rPr>
                <w:webHidden/>
              </w:rPr>
              <w:fldChar w:fldCharType="separate"/>
            </w:r>
            <w:r w:rsidR="00D05498" w:rsidRPr="00D05498">
              <w:rPr>
                <w:webHidden/>
              </w:rPr>
              <w:t>33</w:t>
            </w:r>
            <w:r w:rsidR="00D05498" w:rsidRPr="00D05498">
              <w:rPr>
                <w:webHidden/>
              </w:rPr>
              <w:fldChar w:fldCharType="end"/>
            </w:r>
          </w:hyperlink>
        </w:p>
        <w:p w14:paraId="1C59C573" w14:textId="73FFD581" w:rsidR="00D05498" w:rsidRPr="00D05498" w:rsidRDefault="006650E3">
          <w:pPr>
            <w:pStyle w:val="31"/>
            <w:rPr>
              <w:rFonts w:eastAsiaTheme="minorEastAsia"/>
              <w:lang w:eastAsia="ru-RU"/>
            </w:rPr>
          </w:pPr>
          <w:hyperlink w:anchor="_Toc119313752" w:history="1">
            <w:r w:rsidR="00D05498" w:rsidRPr="00D05498">
              <w:rPr>
                <w:rStyle w:val="aa"/>
              </w:rPr>
              <w:t>3.2.6. Фармакокинетические лекарственные взаимодействия</w:t>
            </w:r>
            <w:r w:rsidR="00D05498" w:rsidRPr="00D05498">
              <w:rPr>
                <w:webHidden/>
              </w:rPr>
              <w:tab/>
            </w:r>
            <w:r w:rsidR="00D05498" w:rsidRPr="00D05498">
              <w:rPr>
                <w:webHidden/>
              </w:rPr>
              <w:fldChar w:fldCharType="begin"/>
            </w:r>
            <w:r w:rsidR="00D05498" w:rsidRPr="00D05498">
              <w:rPr>
                <w:webHidden/>
              </w:rPr>
              <w:instrText xml:space="preserve"> PAGEREF _Toc119313752 \h </w:instrText>
            </w:r>
            <w:r w:rsidR="00D05498" w:rsidRPr="00D05498">
              <w:rPr>
                <w:webHidden/>
              </w:rPr>
            </w:r>
            <w:r w:rsidR="00D05498" w:rsidRPr="00D05498">
              <w:rPr>
                <w:webHidden/>
              </w:rPr>
              <w:fldChar w:fldCharType="separate"/>
            </w:r>
            <w:r w:rsidR="00D05498" w:rsidRPr="00D05498">
              <w:rPr>
                <w:webHidden/>
              </w:rPr>
              <w:t>34</w:t>
            </w:r>
            <w:r w:rsidR="00D05498" w:rsidRPr="00D05498">
              <w:rPr>
                <w:webHidden/>
              </w:rPr>
              <w:fldChar w:fldCharType="end"/>
            </w:r>
          </w:hyperlink>
        </w:p>
        <w:p w14:paraId="3AF87D7B" w14:textId="37384AA3" w:rsidR="00D05498" w:rsidRPr="00D05498" w:rsidRDefault="006650E3">
          <w:pPr>
            <w:pStyle w:val="31"/>
            <w:rPr>
              <w:rFonts w:eastAsiaTheme="minorEastAsia"/>
              <w:lang w:eastAsia="ru-RU"/>
            </w:rPr>
          </w:pPr>
          <w:hyperlink w:anchor="_Toc119313753" w:history="1">
            <w:r w:rsidR="00D05498" w:rsidRPr="00D05498">
              <w:rPr>
                <w:rStyle w:val="aa"/>
              </w:rPr>
              <w:t>3.3.1. Токсичность при однократном введении</w:t>
            </w:r>
            <w:r w:rsidR="00D05498" w:rsidRPr="00D05498">
              <w:rPr>
                <w:webHidden/>
              </w:rPr>
              <w:tab/>
            </w:r>
            <w:r w:rsidR="00D05498" w:rsidRPr="00D05498">
              <w:rPr>
                <w:webHidden/>
              </w:rPr>
              <w:fldChar w:fldCharType="begin"/>
            </w:r>
            <w:r w:rsidR="00D05498" w:rsidRPr="00D05498">
              <w:rPr>
                <w:webHidden/>
              </w:rPr>
              <w:instrText xml:space="preserve"> PAGEREF _Toc119313753 \h </w:instrText>
            </w:r>
            <w:r w:rsidR="00D05498" w:rsidRPr="00D05498">
              <w:rPr>
                <w:webHidden/>
              </w:rPr>
            </w:r>
            <w:r w:rsidR="00D05498" w:rsidRPr="00D05498">
              <w:rPr>
                <w:webHidden/>
              </w:rPr>
              <w:fldChar w:fldCharType="separate"/>
            </w:r>
            <w:r w:rsidR="00D05498" w:rsidRPr="00D05498">
              <w:rPr>
                <w:webHidden/>
              </w:rPr>
              <w:t>37</w:t>
            </w:r>
            <w:r w:rsidR="00D05498" w:rsidRPr="00D05498">
              <w:rPr>
                <w:webHidden/>
              </w:rPr>
              <w:fldChar w:fldCharType="end"/>
            </w:r>
          </w:hyperlink>
        </w:p>
        <w:p w14:paraId="69F2B411" w14:textId="34FA642F" w:rsidR="00D05498" w:rsidRPr="00D05498" w:rsidRDefault="006650E3">
          <w:pPr>
            <w:pStyle w:val="31"/>
            <w:rPr>
              <w:rFonts w:eastAsiaTheme="minorEastAsia"/>
              <w:lang w:eastAsia="ru-RU"/>
            </w:rPr>
          </w:pPr>
          <w:hyperlink w:anchor="_Toc119313754" w:history="1">
            <w:r w:rsidR="00D05498" w:rsidRPr="00D05498">
              <w:rPr>
                <w:rStyle w:val="aa"/>
              </w:rPr>
              <w:t>3.3.2. Токсичность при многократном введении</w:t>
            </w:r>
            <w:r w:rsidR="00D05498" w:rsidRPr="00D05498">
              <w:rPr>
                <w:webHidden/>
              </w:rPr>
              <w:tab/>
            </w:r>
            <w:r w:rsidR="00D05498" w:rsidRPr="00D05498">
              <w:rPr>
                <w:webHidden/>
              </w:rPr>
              <w:fldChar w:fldCharType="begin"/>
            </w:r>
            <w:r w:rsidR="00D05498" w:rsidRPr="00D05498">
              <w:rPr>
                <w:webHidden/>
              </w:rPr>
              <w:instrText xml:space="preserve"> PAGEREF _Toc119313754 \h </w:instrText>
            </w:r>
            <w:r w:rsidR="00D05498" w:rsidRPr="00D05498">
              <w:rPr>
                <w:webHidden/>
              </w:rPr>
            </w:r>
            <w:r w:rsidR="00D05498" w:rsidRPr="00D05498">
              <w:rPr>
                <w:webHidden/>
              </w:rPr>
              <w:fldChar w:fldCharType="separate"/>
            </w:r>
            <w:r w:rsidR="00D05498" w:rsidRPr="00D05498">
              <w:rPr>
                <w:webHidden/>
              </w:rPr>
              <w:t>38</w:t>
            </w:r>
            <w:r w:rsidR="00D05498" w:rsidRPr="00D05498">
              <w:rPr>
                <w:webHidden/>
              </w:rPr>
              <w:fldChar w:fldCharType="end"/>
            </w:r>
          </w:hyperlink>
        </w:p>
        <w:p w14:paraId="1EF2EEF5" w14:textId="6B77D414" w:rsidR="00D05498" w:rsidRPr="00D05498" w:rsidRDefault="006650E3">
          <w:pPr>
            <w:pStyle w:val="31"/>
            <w:rPr>
              <w:rFonts w:eastAsiaTheme="minorEastAsia"/>
              <w:lang w:eastAsia="ru-RU"/>
            </w:rPr>
          </w:pPr>
          <w:hyperlink w:anchor="_Toc119313755" w:history="1">
            <w:r w:rsidR="00D05498" w:rsidRPr="00D05498">
              <w:rPr>
                <w:rStyle w:val="aa"/>
              </w:rPr>
              <w:t xml:space="preserve">3.3.3. </w:t>
            </w:r>
            <w:r w:rsidR="00D05498" w:rsidRPr="00D05498">
              <w:rPr>
                <w:rStyle w:val="aa"/>
                <w:rFonts w:eastAsia="Calibri"/>
                <w:shd w:val="clear" w:color="auto" w:fill="FFFFFF"/>
              </w:rPr>
              <w:t>Генотоксичность</w:t>
            </w:r>
            <w:r w:rsidR="00D05498" w:rsidRPr="00D05498">
              <w:rPr>
                <w:webHidden/>
              </w:rPr>
              <w:tab/>
            </w:r>
            <w:r w:rsidR="00D05498" w:rsidRPr="00D05498">
              <w:rPr>
                <w:webHidden/>
              </w:rPr>
              <w:fldChar w:fldCharType="begin"/>
            </w:r>
            <w:r w:rsidR="00D05498" w:rsidRPr="00D05498">
              <w:rPr>
                <w:webHidden/>
              </w:rPr>
              <w:instrText xml:space="preserve"> PAGEREF _Toc119313755 \h </w:instrText>
            </w:r>
            <w:r w:rsidR="00D05498" w:rsidRPr="00D05498">
              <w:rPr>
                <w:webHidden/>
              </w:rPr>
            </w:r>
            <w:r w:rsidR="00D05498" w:rsidRPr="00D05498">
              <w:rPr>
                <w:webHidden/>
              </w:rPr>
              <w:fldChar w:fldCharType="separate"/>
            </w:r>
            <w:r w:rsidR="00D05498" w:rsidRPr="00D05498">
              <w:rPr>
                <w:webHidden/>
              </w:rPr>
              <w:t>45</w:t>
            </w:r>
            <w:r w:rsidR="00D05498" w:rsidRPr="00D05498">
              <w:rPr>
                <w:webHidden/>
              </w:rPr>
              <w:fldChar w:fldCharType="end"/>
            </w:r>
          </w:hyperlink>
        </w:p>
        <w:p w14:paraId="68C5ED5D" w14:textId="5E22D304" w:rsidR="00D05498" w:rsidRPr="00D05498" w:rsidRDefault="006650E3">
          <w:pPr>
            <w:pStyle w:val="31"/>
            <w:rPr>
              <w:rFonts w:eastAsiaTheme="minorEastAsia"/>
              <w:lang w:eastAsia="ru-RU"/>
            </w:rPr>
          </w:pPr>
          <w:hyperlink w:anchor="_Toc119313756" w:history="1">
            <w:r w:rsidR="00D05498" w:rsidRPr="00D05498">
              <w:rPr>
                <w:rStyle w:val="aa"/>
              </w:rPr>
              <w:t>3.3.4. Канцерогенность</w:t>
            </w:r>
            <w:r w:rsidR="00D05498" w:rsidRPr="00D05498">
              <w:rPr>
                <w:webHidden/>
              </w:rPr>
              <w:tab/>
            </w:r>
            <w:r w:rsidR="00D05498" w:rsidRPr="00D05498">
              <w:rPr>
                <w:webHidden/>
              </w:rPr>
              <w:fldChar w:fldCharType="begin"/>
            </w:r>
            <w:r w:rsidR="00D05498" w:rsidRPr="00D05498">
              <w:rPr>
                <w:webHidden/>
              </w:rPr>
              <w:instrText xml:space="preserve"> PAGEREF _Toc119313756 \h </w:instrText>
            </w:r>
            <w:r w:rsidR="00D05498" w:rsidRPr="00D05498">
              <w:rPr>
                <w:webHidden/>
              </w:rPr>
            </w:r>
            <w:r w:rsidR="00D05498" w:rsidRPr="00D05498">
              <w:rPr>
                <w:webHidden/>
              </w:rPr>
              <w:fldChar w:fldCharType="separate"/>
            </w:r>
            <w:r w:rsidR="00D05498" w:rsidRPr="00D05498">
              <w:rPr>
                <w:webHidden/>
              </w:rPr>
              <w:t>46</w:t>
            </w:r>
            <w:r w:rsidR="00D05498" w:rsidRPr="00D05498">
              <w:rPr>
                <w:webHidden/>
              </w:rPr>
              <w:fldChar w:fldCharType="end"/>
            </w:r>
          </w:hyperlink>
        </w:p>
        <w:p w14:paraId="0C300A1D" w14:textId="0A08D000" w:rsidR="00D05498" w:rsidRPr="00D05498" w:rsidRDefault="006650E3">
          <w:pPr>
            <w:pStyle w:val="31"/>
            <w:rPr>
              <w:rFonts w:eastAsiaTheme="minorEastAsia"/>
              <w:lang w:eastAsia="ru-RU"/>
            </w:rPr>
          </w:pPr>
          <w:hyperlink w:anchor="_Toc119313757" w:history="1">
            <w:r w:rsidR="00D05498" w:rsidRPr="00D05498">
              <w:rPr>
                <w:rStyle w:val="aa"/>
              </w:rPr>
              <w:t>3.3.5. Репродуктивная и онтогенетическая токсичность</w:t>
            </w:r>
            <w:r w:rsidR="00D05498" w:rsidRPr="00D05498">
              <w:rPr>
                <w:webHidden/>
              </w:rPr>
              <w:tab/>
            </w:r>
            <w:r w:rsidR="00D05498" w:rsidRPr="00D05498">
              <w:rPr>
                <w:webHidden/>
              </w:rPr>
              <w:fldChar w:fldCharType="begin"/>
            </w:r>
            <w:r w:rsidR="00D05498" w:rsidRPr="00D05498">
              <w:rPr>
                <w:webHidden/>
              </w:rPr>
              <w:instrText xml:space="preserve"> PAGEREF _Toc119313757 \h </w:instrText>
            </w:r>
            <w:r w:rsidR="00D05498" w:rsidRPr="00D05498">
              <w:rPr>
                <w:webHidden/>
              </w:rPr>
            </w:r>
            <w:r w:rsidR="00D05498" w:rsidRPr="00D05498">
              <w:rPr>
                <w:webHidden/>
              </w:rPr>
              <w:fldChar w:fldCharType="separate"/>
            </w:r>
            <w:r w:rsidR="00D05498" w:rsidRPr="00D05498">
              <w:rPr>
                <w:webHidden/>
              </w:rPr>
              <w:t>46</w:t>
            </w:r>
            <w:r w:rsidR="00D05498" w:rsidRPr="00D05498">
              <w:rPr>
                <w:webHidden/>
              </w:rPr>
              <w:fldChar w:fldCharType="end"/>
            </w:r>
          </w:hyperlink>
        </w:p>
        <w:p w14:paraId="2A00C1A5" w14:textId="476A9875" w:rsidR="00D05498" w:rsidRPr="00D05498" w:rsidRDefault="006650E3">
          <w:pPr>
            <w:pStyle w:val="41"/>
            <w:rPr>
              <w:rFonts w:eastAsiaTheme="minorEastAsia"/>
              <w:noProof/>
              <w:lang w:eastAsia="ru-RU"/>
            </w:rPr>
          </w:pPr>
          <w:hyperlink w:anchor="_Toc119313758" w:history="1">
            <w:r w:rsidR="00D05498" w:rsidRPr="00D05498">
              <w:rPr>
                <w:rStyle w:val="aa"/>
                <w:noProof/>
              </w:rPr>
              <w:t>3.3.5.1. Влияние на фертильность и ранняя эмбриональная токсичность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_Toc119313758 \h </w:instrText>
            </w:r>
            <w:r w:rsidR="00D05498" w:rsidRPr="00D05498">
              <w:rPr>
                <w:noProof/>
                <w:webHidden/>
              </w:rPr>
            </w:r>
            <w:r w:rsidR="00D05498" w:rsidRPr="00D05498">
              <w:rPr>
                <w:noProof/>
                <w:webHidden/>
              </w:rPr>
              <w:fldChar w:fldCharType="separate"/>
            </w:r>
            <w:r w:rsidR="00D05498" w:rsidRPr="00D05498">
              <w:rPr>
                <w:noProof/>
                <w:webHidden/>
              </w:rPr>
              <w:t>46</w:t>
            </w:r>
            <w:r w:rsidR="00D05498" w:rsidRPr="00D05498">
              <w:rPr>
                <w:noProof/>
                <w:webHidden/>
              </w:rPr>
              <w:fldChar w:fldCharType="end"/>
            </w:r>
          </w:hyperlink>
        </w:p>
        <w:p w14:paraId="7A1198E0" w14:textId="62F115C5" w:rsidR="00D05498" w:rsidRPr="00D05498" w:rsidRDefault="006650E3">
          <w:pPr>
            <w:pStyle w:val="41"/>
            <w:rPr>
              <w:rFonts w:eastAsiaTheme="minorEastAsia"/>
              <w:noProof/>
              <w:lang w:eastAsia="ru-RU"/>
            </w:rPr>
          </w:pPr>
          <w:hyperlink w:anchor="_Toc119313759" w:history="1">
            <w:r w:rsidR="00D05498" w:rsidRPr="00D05498">
              <w:rPr>
                <w:rStyle w:val="aa"/>
                <w:noProof/>
              </w:rPr>
              <w:t>3.3.5.2. Эмбрио-фетальная токсичность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_Toc119313759 \h </w:instrText>
            </w:r>
            <w:r w:rsidR="00D05498" w:rsidRPr="00D05498">
              <w:rPr>
                <w:noProof/>
                <w:webHidden/>
              </w:rPr>
            </w:r>
            <w:r w:rsidR="00D05498" w:rsidRPr="00D05498">
              <w:rPr>
                <w:noProof/>
                <w:webHidden/>
              </w:rPr>
              <w:fldChar w:fldCharType="separate"/>
            </w:r>
            <w:r w:rsidR="00D05498" w:rsidRPr="00D05498">
              <w:rPr>
                <w:noProof/>
                <w:webHidden/>
              </w:rPr>
              <w:t>47</w:t>
            </w:r>
            <w:r w:rsidR="00D05498" w:rsidRPr="00D05498">
              <w:rPr>
                <w:noProof/>
                <w:webHidden/>
              </w:rPr>
              <w:fldChar w:fldCharType="end"/>
            </w:r>
          </w:hyperlink>
        </w:p>
        <w:p w14:paraId="1022C396" w14:textId="7F78D197" w:rsidR="00D05498" w:rsidRPr="00D05498" w:rsidRDefault="006650E3">
          <w:pPr>
            <w:pStyle w:val="41"/>
            <w:rPr>
              <w:rFonts w:eastAsiaTheme="minorEastAsia"/>
              <w:noProof/>
              <w:lang w:eastAsia="ru-RU"/>
            </w:rPr>
          </w:pPr>
          <w:hyperlink w:anchor="_Toc119313760" w:history="1">
            <w:r w:rsidR="00D05498" w:rsidRPr="00D05498">
              <w:rPr>
                <w:rStyle w:val="aa"/>
                <w:noProof/>
              </w:rPr>
              <w:t>3.3.5.3. Влияние на пренатальное и постнатальное развитие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_Toc119313760 \h </w:instrText>
            </w:r>
            <w:r w:rsidR="00D05498" w:rsidRPr="00D05498">
              <w:rPr>
                <w:noProof/>
                <w:webHidden/>
              </w:rPr>
            </w:r>
            <w:r w:rsidR="00D05498" w:rsidRPr="00D05498">
              <w:rPr>
                <w:noProof/>
                <w:webHidden/>
              </w:rPr>
              <w:fldChar w:fldCharType="separate"/>
            </w:r>
            <w:r w:rsidR="00D05498" w:rsidRPr="00D05498">
              <w:rPr>
                <w:noProof/>
                <w:webHidden/>
              </w:rPr>
              <w:t>47</w:t>
            </w:r>
            <w:r w:rsidR="00D05498" w:rsidRPr="00D05498">
              <w:rPr>
                <w:noProof/>
                <w:webHidden/>
              </w:rPr>
              <w:fldChar w:fldCharType="end"/>
            </w:r>
          </w:hyperlink>
        </w:p>
        <w:p w14:paraId="20B60EDC" w14:textId="5C99D779" w:rsidR="00D05498" w:rsidRPr="00D05498" w:rsidRDefault="006650E3">
          <w:pPr>
            <w:pStyle w:val="41"/>
            <w:rPr>
              <w:rFonts w:eastAsiaTheme="minorEastAsia"/>
              <w:noProof/>
              <w:lang w:eastAsia="ru-RU"/>
            </w:rPr>
          </w:pPr>
          <w:hyperlink w:anchor="_Toc119313761" w:history="1">
            <w:r w:rsidR="00D05498" w:rsidRPr="00D05498">
              <w:rPr>
                <w:rStyle w:val="aa"/>
                <w:noProof/>
              </w:rPr>
              <w:t>3.3.5.4. Ювенильная токсичность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_Toc119313761 \h </w:instrText>
            </w:r>
            <w:r w:rsidR="00D05498" w:rsidRPr="00D05498">
              <w:rPr>
                <w:noProof/>
                <w:webHidden/>
              </w:rPr>
            </w:r>
            <w:r w:rsidR="00D05498" w:rsidRPr="00D05498">
              <w:rPr>
                <w:noProof/>
                <w:webHidden/>
              </w:rPr>
              <w:fldChar w:fldCharType="separate"/>
            </w:r>
            <w:r w:rsidR="00D05498" w:rsidRPr="00D05498">
              <w:rPr>
                <w:noProof/>
                <w:webHidden/>
              </w:rPr>
              <w:t>49</w:t>
            </w:r>
            <w:r w:rsidR="00D05498" w:rsidRPr="00D05498">
              <w:rPr>
                <w:noProof/>
                <w:webHidden/>
              </w:rPr>
              <w:fldChar w:fldCharType="end"/>
            </w:r>
          </w:hyperlink>
        </w:p>
        <w:p w14:paraId="0364DEB3" w14:textId="65D9EB0D" w:rsidR="00D05498" w:rsidRPr="00D05498" w:rsidRDefault="006650E3">
          <w:pPr>
            <w:pStyle w:val="31"/>
            <w:rPr>
              <w:rFonts w:eastAsiaTheme="minorEastAsia"/>
              <w:lang w:eastAsia="ru-RU"/>
            </w:rPr>
          </w:pPr>
          <w:hyperlink w:anchor="_Toc119313762" w:history="1">
            <w:r w:rsidR="00D05498" w:rsidRPr="00D05498">
              <w:rPr>
                <w:rStyle w:val="aa"/>
              </w:rPr>
              <w:t>3.3.6. Местная переносимость</w:t>
            </w:r>
            <w:r w:rsidR="00D05498" w:rsidRPr="00D05498">
              <w:rPr>
                <w:webHidden/>
              </w:rPr>
              <w:tab/>
            </w:r>
            <w:r w:rsidR="00D05498" w:rsidRPr="00D05498">
              <w:rPr>
                <w:webHidden/>
              </w:rPr>
              <w:fldChar w:fldCharType="begin"/>
            </w:r>
            <w:r w:rsidR="00D05498" w:rsidRPr="00D05498">
              <w:rPr>
                <w:webHidden/>
              </w:rPr>
              <w:instrText xml:space="preserve"> PAGEREF _Toc119313762 \h </w:instrText>
            </w:r>
            <w:r w:rsidR="00D05498" w:rsidRPr="00D05498">
              <w:rPr>
                <w:webHidden/>
              </w:rPr>
            </w:r>
            <w:r w:rsidR="00D05498" w:rsidRPr="00D05498">
              <w:rPr>
                <w:webHidden/>
              </w:rPr>
              <w:fldChar w:fldCharType="separate"/>
            </w:r>
            <w:r w:rsidR="00D05498" w:rsidRPr="00D05498">
              <w:rPr>
                <w:webHidden/>
              </w:rPr>
              <w:t>50</w:t>
            </w:r>
            <w:r w:rsidR="00D05498" w:rsidRPr="00D05498">
              <w:rPr>
                <w:webHidden/>
              </w:rPr>
              <w:fldChar w:fldCharType="end"/>
            </w:r>
          </w:hyperlink>
        </w:p>
        <w:p w14:paraId="4FC02529" w14:textId="7159D0A5" w:rsidR="00D05498" w:rsidRPr="00D05498" w:rsidRDefault="006650E3">
          <w:pPr>
            <w:pStyle w:val="31"/>
            <w:rPr>
              <w:rFonts w:eastAsiaTheme="minorEastAsia"/>
              <w:lang w:eastAsia="ru-RU"/>
            </w:rPr>
          </w:pPr>
          <w:hyperlink w:anchor="_Toc119313763" w:history="1">
            <w:r w:rsidR="00D05498" w:rsidRPr="00D05498">
              <w:rPr>
                <w:rStyle w:val="aa"/>
              </w:rPr>
              <w:t>3.3.7. Токсикокинетика</w:t>
            </w:r>
            <w:r w:rsidR="00D05498" w:rsidRPr="00D05498">
              <w:rPr>
                <w:webHidden/>
              </w:rPr>
              <w:tab/>
            </w:r>
            <w:r w:rsidR="00D05498" w:rsidRPr="00D05498">
              <w:rPr>
                <w:webHidden/>
              </w:rPr>
              <w:fldChar w:fldCharType="begin"/>
            </w:r>
            <w:r w:rsidR="00D05498" w:rsidRPr="00D05498">
              <w:rPr>
                <w:webHidden/>
              </w:rPr>
              <w:instrText xml:space="preserve"> PAGEREF _Toc119313763 \h </w:instrText>
            </w:r>
            <w:r w:rsidR="00D05498" w:rsidRPr="00D05498">
              <w:rPr>
                <w:webHidden/>
              </w:rPr>
            </w:r>
            <w:r w:rsidR="00D05498" w:rsidRPr="00D05498">
              <w:rPr>
                <w:webHidden/>
              </w:rPr>
              <w:fldChar w:fldCharType="separate"/>
            </w:r>
            <w:r w:rsidR="00D05498" w:rsidRPr="00D05498">
              <w:rPr>
                <w:webHidden/>
              </w:rPr>
              <w:t>50</w:t>
            </w:r>
            <w:r w:rsidR="00D05498" w:rsidRPr="00D05498">
              <w:rPr>
                <w:webHidden/>
              </w:rPr>
              <w:fldChar w:fldCharType="end"/>
            </w:r>
          </w:hyperlink>
        </w:p>
        <w:p w14:paraId="195E6F36" w14:textId="3BADE9B4" w:rsidR="00D05498" w:rsidRPr="00D05498" w:rsidRDefault="006650E3">
          <w:pPr>
            <w:pStyle w:val="31"/>
            <w:rPr>
              <w:rFonts w:eastAsiaTheme="minorEastAsia"/>
              <w:lang w:eastAsia="ru-RU"/>
            </w:rPr>
          </w:pPr>
          <w:hyperlink w:anchor="_Toc119313764" w:history="1">
            <w:r w:rsidR="00D05498" w:rsidRPr="00D05498">
              <w:rPr>
                <w:rStyle w:val="aa"/>
              </w:rPr>
              <w:t>3.3.8. Прочие исследования</w:t>
            </w:r>
            <w:r w:rsidR="00D05498" w:rsidRPr="00D05498">
              <w:rPr>
                <w:webHidden/>
              </w:rPr>
              <w:tab/>
            </w:r>
            <w:r w:rsidR="00D05498" w:rsidRPr="00D05498">
              <w:rPr>
                <w:webHidden/>
              </w:rPr>
              <w:fldChar w:fldCharType="begin"/>
            </w:r>
            <w:r w:rsidR="00D05498" w:rsidRPr="00D05498">
              <w:rPr>
                <w:webHidden/>
              </w:rPr>
              <w:instrText xml:space="preserve"> PAGEREF _Toc119313764 \h </w:instrText>
            </w:r>
            <w:r w:rsidR="00D05498" w:rsidRPr="00D05498">
              <w:rPr>
                <w:webHidden/>
              </w:rPr>
            </w:r>
            <w:r w:rsidR="00D05498" w:rsidRPr="00D05498">
              <w:rPr>
                <w:webHidden/>
              </w:rPr>
              <w:fldChar w:fldCharType="separate"/>
            </w:r>
            <w:r w:rsidR="00D05498" w:rsidRPr="00D05498">
              <w:rPr>
                <w:webHidden/>
              </w:rPr>
              <w:t>52</w:t>
            </w:r>
            <w:r w:rsidR="00D05498" w:rsidRPr="00D05498">
              <w:rPr>
                <w:webHidden/>
              </w:rPr>
              <w:fldChar w:fldCharType="end"/>
            </w:r>
          </w:hyperlink>
        </w:p>
        <w:p w14:paraId="56DD31DF" w14:textId="36A1B983" w:rsidR="00D05498" w:rsidRPr="00D05498" w:rsidRDefault="006650E3">
          <w:pPr>
            <w:pStyle w:val="41"/>
            <w:rPr>
              <w:rFonts w:eastAsiaTheme="minorEastAsia"/>
              <w:noProof/>
              <w:lang w:eastAsia="ru-RU"/>
            </w:rPr>
          </w:pPr>
          <w:hyperlink w:anchor="_Toc119313765" w:history="1">
            <w:r w:rsidR="00D05498" w:rsidRPr="00D05498">
              <w:rPr>
                <w:rStyle w:val="aa"/>
                <w:noProof/>
              </w:rPr>
              <w:t>3.3.8.1. Аллергенность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_Toc119313765 \h </w:instrText>
            </w:r>
            <w:r w:rsidR="00D05498" w:rsidRPr="00D05498">
              <w:rPr>
                <w:noProof/>
                <w:webHidden/>
              </w:rPr>
            </w:r>
            <w:r w:rsidR="00D05498" w:rsidRPr="00D05498">
              <w:rPr>
                <w:noProof/>
                <w:webHidden/>
              </w:rPr>
              <w:fldChar w:fldCharType="separate"/>
            </w:r>
            <w:r w:rsidR="00D05498" w:rsidRPr="00D05498">
              <w:rPr>
                <w:noProof/>
                <w:webHidden/>
              </w:rPr>
              <w:t>52</w:t>
            </w:r>
            <w:r w:rsidR="00D05498" w:rsidRPr="00D05498">
              <w:rPr>
                <w:noProof/>
                <w:webHidden/>
              </w:rPr>
              <w:fldChar w:fldCharType="end"/>
            </w:r>
          </w:hyperlink>
        </w:p>
        <w:p w14:paraId="7ECF2E3F" w14:textId="44E050A2" w:rsidR="00D05498" w:rsidRPr="00D05498" w:rsidRDefault="006650E3">
          <w:pPr>
            <w:pStyle w:val="41"/>
            <w:rPr>
              <w:rFonts w:eastAsiaTheme="minorEastAsia"/>
              <w:noProof/>
              <w:lang w:eastAsia="ru-RU"/>
            </w:rPr>
          </w:pPr>
          <w:hyperlink w:anchor="_Toc119313766" w:history="1">
            <w:r w:rsidR="00D05498" w:rsidRPr="00D05498">
              <w:rPr>
                <w:rStyle w:val="aa"/>
                <w:noProof/>
              </w:rPr>
              <w:t>3.3.8.2. Иммунотоксичность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_Toc119313766 \h </w:instrText>
            </w:r>
            <w:r w:rsidR="00D05498" w:rsidRPr="00D05498">
              <w:rPr>
                <w:noProof/>
                <w:webHidden/>
              </w:rPr>
            </w:r>
            <w:r w:rsidR="00D05498" w:rsidRPr="00D05498">
              <w:rPr>
                <w:noProof/>
                <w:webHidden/>
              </w:rPr>
              <w:fldChar w:fldCharType="separate"/>
            </w:r>
            <w:r w:rsidR="00D05498" w:rsidRPr="00D05498">
              <w:rPr>
                <w:noProof/>
                <w:webHidden/>
              </w:rPr>
              <w:t>52</w:t>
            </w:r>
            <w:r w:rsidR="00D05498" w:rsidRPr="00D05498">
              <w:rPr>
                <w:noProof/>
                <w:webHidden/>
              </w:rPr>
              <w:fldChar w:fldCharType="end"/>
            </w:r>
          </w:hyperlink>
        </w:p>
        <w:p w14:paraId="6D2E18DA" w14:textId="4FBBF92D" w:rsidR="00D05498" w:rsidRPr="00D05498" w:rsidRDefault="006650E3">
          <w:pPr>
            <w:pStyle w:val="41"/>
            <w:rPr>
              <w:rFonts w:eastAsiaTheme="minorEastAsia"/>
              <w:noProof/>
              <w:lang w:eastAsia="ru-RU"/>
            </w:rPr>
          </w:pPr>
          <w:hyperlink w:anchor="_Toc119313767" w:history="1">
            <w:r w:rsidR="00D05498" w:rsidRPr="00D05498">
              <w:rPr>
                <w:rStyle w:val="aa"/>
                <w:noProof/>
              </w:rPr>
              <w:t>3.3.8.3. Токсичность метаболитов</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_Toc119313767 \h </w:instrText>
            </w:r>
            <w:r w:rsidR="00D05498" w:rsidRPr="00D05498">
              <w:rPr>
                <w:noProof/>
                <w:webHidden/>
              </w:rPr>
            </w:r>
            <w:r w:rsidR="00D05498" w:rsidRPr="00D05498">
              <w:rPr>
                <w:noProof/>
                <w:webHidden/>
              </w:rPr>
              <w:fldChar w:fldCharType="separate"/>
            </w:r>
            <w:r w:rsidR="00D05498" w:rsidRPr="00D05498">
              <w:rPr>
                <w:noProof/>
                <w:webHidden/>
              </w:rPr>
              <w:t>52</w:t>
            </w:r>
            <w:r w:rsidR="00D05498" w:rsidRPr="00D05498">
              <w:rPr>
                <w:noProof/>
                <w:webHidden/>
              </w:rPr>
              <w:fldChar w:fldCharType="end"/>
            </w:r>
          </w:hyperlink>
        </w:p>
        <w:p w14:paraId="1C7C47AD" w14:textId="5BB971DD" w:rsidR="00D05498" w:rsidRPr="00D05498" w:rsidRDefault="006650E3">
          <w:pPr>
            <w:pStyle w:val="41"/>
            <w:rPr>
              <w:rFonts w:eastAsiaTheme="minorEastAsia"/>
              <w:noProof/>
              <w:lang w:eastAsia="ru-RU"/>
            </w:rPr>
          </w:pPr>
          <w:hyperlink w:anchor="_Toc119313768" w:history="1">
            <w:r w:rsidR="00D05498" w:rsidRPr="00D05498">
              <w:rPr>
                <w:rStyle w:val="aa"/>
                <w:noProof/>
              </w:rPr>
              <w:t>3.3.8.4. Токсичность примесей</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_Toc119313768 \h </w:instrText>
            </w:r>
            <w:r w:rsidR="00D05498" w:rsidRPr="00D05498">
              <w:rPr>
                <w:noProof/>
                <w:webHidden/>
              </w:rPr>
            </w:r>
            <w:r w:rsidR="00D05498" w:rsidRPr="00D05498">
              <w:rPr>
                <w:noProof/>
                <w:webHidden/>
              </w:rPr>
              <w:fldChar w:fldCharType="separate"/>
            </w:r>
            <w:r w:rsidR="00D05498" w:rsidRPr="00D05498">
              <w:rPr>
                <w:noProof/>
                <w:webHidden/>
              </w:rPr>
              <w:t>53</w:t>
            </w:r>
            <w:r w:rsidR="00D05498" w:rsidRPr="00D05498">
              <w:rPr>
                <w:noProof/>
                <w:webHidden/>
              </w:rPr>
              <w:fldChar w:fldCharType="end"/>
            </w:r>
          </w:hyperlink>
        </w:p>
        <w:p w14:paraId="66D681A6" w14:textId="73C20D74" w:rsidR="00D05498" w:rsidRPr="00D05498" w:rsidRDefault="006650E3">
          <w:pPr>
            <w:pStyle w:val="21"/>
            <w:rPr>
              <w:rFonts w:eastAsiaTheme="minorEastAsia"/>
              <w:noProof/>
              <w:lang w:eastAsia="ru-RU"/>
            </w:rPr>
          </w:pPr>
          <w:hyperlink w:anchor="_Toc119313769" w:history="1">
            <w:r w:rsidR="00D05498" w:rsidRPr="00D05498">
              <w:rPr>
                <w:rStyle w:val="aa"/>
                <w:noProof/>
              </w:rPr>
              <w:t>Список литературы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_Toc119313769 \h </w:instrText>
            </w:r>
            <w:r w:rsidR="00D05498" w:rsidRPr="00D05498">
              <w:rPr>
                <w:noProof/>
                <w:webHidden/>
              </w:rPr>
            </w:r>
            <w:r w:rsidR="00D05498" w:rsidRPr="00D05498">
              <w:rPr>
                <w:noProof/>
                <w:webHidden/>
              </w:rPr>
              <w:fldChar w:fldCharType="separate"/>
            </w:r>
            <w:r w:rsidR="00D05498" w:rsidRPr="00D05498">
              <w:rPr>
                <w:noProof/>
                <w:webHidden/>
              </w:rPr>
              <w:t>53</w:t>
            </w:r>
            <w:r w:rsidR="00D05498" w:rsidRPr="00D05498">
              <w:rPr>
                <w:noProof/>
                <w:webHidden/>
              </w:rPr>
              <w:fldChar w:fldCharType="end"/>
            </w:r>
          </w:hyperlink>
        </w:p>
        <w:p w14:paraId="4E38BA49" w14:textId="02B5DC63" w:rsidR="00D05498" w:rsidRPr="00D05498" w:rsidRDefault="006650E3">
          <w:pPr>
            <w:pStyle w:val="14"/>
            <w:rPr>
              <w:rFonts w:eastAsiaTheme="minorEastAsia"/>
              <w:noProof/>
              <w:lang w:eastAsia="ru-RU"/>
            </w:rPr>
          </w:pPr>
          <w:hyperlink w:anchor="_Toc119313770" w:history="1">
            <w:r w:rsidR="00D05498" w:rsidRPr="00D05498">
              <w:rPr>
                <w:rStyle w:val="aa"/>
                <w:noProof/>
              </w:rPr>
              <w:t>4. ДЕЙСТВИЕ У ЧЕЛОВЕКА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_Toc119313770 \h </w:instrText>
            </w:r>
            <w:r w:rsidR="00D05498" w:rsidRPr="00D05498">
              <w:rPr>
                <w:noProof/>
                <w:webHidden/>
              </w:rPr>
            </w:r>
            <w:r w:rsidR="00D05498" w:rsidRPr="00D05498">
              <w:rPr>
                <w:noProof/>
                <w:webHidden/>
              </w:rPr>
              <w:fldChar w:fldCharType="separate"/>
            </w:r>
            <w:r w:rsidR="00D05498" w:rsidRPr="00D05498">
              <w:rPr>
                <w:noProof/>
                <w:webHidden/>
              </w:rPr>
              <w:t>54</w:t>
            </w:r>
            <w:r w:rsidR="00D05498" w:rsidRPr="00D05498">
              <w:rPr>
                <w:noProof/>
                <w:webHidden/>
              </w:rPr>
              <w:fldChar w:fldCharType="end"/>
            </w:r>
          </w:hyperlink>
        </w:p>
        <w:p w14:paraId="714F5B75" w14:textId="65DF9EE7" w:rsidR="00D05498" w:rsidRPr="00D05498" w:rsidRDefault="006650E3">
          <w:pPr>
            <w:pStyle w:val="21"/>
            <w:rPr>
              <w:rFonts w:eastAsiaTheme="minorEastAsia"/>
              <w:noProof/>
              <w:lang w:eastAsia="ru-RU"/>
            </w:rPr>
          </w:pPr>
          <w:hyperlink w:anchor="_Toc119313771" w:history="1">
            <w:r w:rsidR="00D05498" w:rsidRPr="00D05498">
              <w:rPr>
                <w:rStyle w:val="aa"/>
                <w:noProof/>
              </w:rPr>
              <w:t>Введение и резюме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_Toc119313771 \h </w:instrText>
            </w:r>
            <w:r w:rsidR="00D05498" w:rsidRPr="00D05498">
              <w:rPr>
                <w:noProof/>
                <w:webHidden/>
              </w:rPr>
            </w:r>
            <w:r w:rsidR="00D05498" w:rsidRPr="00D05498">
              <w:rPr>
                <w:noProof/>
                <w:webHidden/>
              </w:rPr>
              <w:fldChar w:fldCharType="separate"/>
            </w:r>
            <w:r w:rsidR="00D05498" w:rsidRPr="00D05498">
              <w:rPr>
                <w:noProof/>
                <w:webHidden/>
              </w:rPr>
              <w:t>54</w:t>
            </w:r>
            <w:r w:rsidR="00D05498" w:rsidRPr="00D05498">
              <w:rPr>
                <w:noProof/>
                <w:webHidden/>
              </w:rPr>
              <w:fldChar w:fldCharType="end"/>
            </w:r>
          </w:hyperlink>
        </w:p>
        <w:p w14:paraId="0C7488A6" w14:textId="53C3649D" w:rsidR="00D05498" w:rsidRPr="00D05498" w:rsidRDefault="006650E3">
          <w:pPr>
            <w:pStyle w:val="21"/>
            <w:rPr>
              <w:rFonts w:eastAsiaTheme="minorEastAsia"/>
              <w:noProof/>
              <w:lang w:eastAsia="ru-RU"/>
            </w:rPr>
          </w:pPr>
          <w:hyperlink w:anchor="_Toc119313772" w:history="1">
            <w:r w:rsidR="00D05498" w:rsidRPr="00D05498">
              <w:rPr>
                <w:rStyle w:val="aa"/>
                <w:noProof/>
              </w:rPr>
              <w:t>4.1. Фармакокинетика и фармакодинамика у человека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_Toc119313772 \h </w:instrText>
            </w:r>
            <w:r w:rsidR="00D05498" w:rsidRPr="00D05498">
              <w:rPr>
                <w:noProof/>
                <w:webHidden/>
              </w:rPr>
            </w:r>
            <w:r w:rsidR="00D05498" w:rsidRPr="00D05498">
              <w:rPr>
                <w:noProof/>
                <w:webHidden/>
              </w:rPr>
              <w:fldChar w:fldCharType="separate"/>
            </w:r>
            <w:r w:rsidR="00D05498" w:rsidRPr="00D05498">
              <w:rPr>
                <w:noProof/>
                <w:webHidden/>
              </w:rPr>
              <w:t>55</w:t>
            </w:r>
            <w:r w:rsidR="00D05498" w:rsidRPr="00D05498">
              <w:rPr>
                <w:noProof/>
                <w:webHidden/>
              </w:rPr>
              <w:fldChar w:fldCharType="end"/>
            </w:r>
          </w:hyperlink>
        </w:p>
        <w:p w14:paraId="6DAB0691" w14:textId="7B1852A4" w:rsidR="00D05498" w:rsidRPr="00D05498" w:rsidRDefault="006650E3">
          <w:pPr>
            <w:pStyle w:val="31"/>
            <w:rPr>
              <w:rFonts w:eastAsiaTheme="minorEastAsia"/>
              <w:lang w:eastAsia="ru-RU"/>
            </w:rPr>
          </w:pPr>
          <w:hyperlink w:anchor="_Toc119313773" w:history="1">
            <w:r w:rsidR="00D05498" w:rsidRPr="00D05498">
              <w:rPr>
                <w:rStyle w:val="aa"/>
              </w:rPr>
              <w:t>4.1.1. Фармакокинетика</w:t>
            </w:r>
            <w:r w:rsidR="00D05498" w:rsidRPr="00D05498">
              <w:rPr>
                <w:webHidden/>
              </w:rPr>
              <w:tab/>
            </w:r>
            <w:r w:rsidR="00D05498" w:rsidRPr="00D05498">
              <w:rPr>
                <w:webHidden/>
              </w:rPr>
              <w:fldChar w:fldCharType="begin"/>
            </w:r>
            <w:r w:rsidR="00D05498" w:rsidRPr="00D05498">
              <w:rPr>
                <w:webHidden/>
              </w:rPr>
              <w:instrText xml:space="preserve"> PAGEREF _Toc119313773 \h </w:instrText>
            </w:r>
            <w:r w:rsidR="00D05498" w:rsidRPr="00D05498">
              <w:rPr>
                <w:webHidden/>
              </w:rPr>
            </w:r>
            <w:r w:rsidR="00D05498" w:rsidRPr="00D05498">
              <w:rPr>
                <w:webHidden/>
              </w:rPr>
              <w:fldChar w:fldCharType="separate"/>
            </w:r>
            <w:r w:rsidR="00D05498" w:rsidRPr="00D05498">
              <w:rPr>
                <w:webHidden/>
              </w:rPr>
              <w:t>55</w:t>
            </w:r>
            <w:r w:rsidR="00D05498" w:rsidRPr="00D05498">
              <w:rPr>
                <w:webHidden/>
              </w:rPr>
              <w:fldChar w:fldCharType="end"/>
            </w:r>
          </w:hyperlink>
        </w:p>
        <w:p w14:paraId="5527E6B4" w14:textId="22F8AB47" w:rsidR="00D05498" w:rsidRPr="00D05498" w:rsidRDefault="006650E3">
          <w:pPr>
            <w:pStyle w:val="31"/>
            <w:rPr>
              <w:rFonts w:eastAsiaTheme="minorEastAsia"/>
              <w:lang w:eastAsia="ru-RU"/>
            </w:rPr>
          </w:pPr>
          <w:hyperlink w:anchor="_Toc119313774" w:history="1">
            <w:r w:rsidR="00D05498" w:rsidRPr="00D05498">
              <w:rPr>
                <w:rStyle w:val="aa"/>
              </w:rPr>
              <w:t>4.1.2. Фармакодинамика у человека</w:t>
            </w:r>
            <w:r w:rsidR="00D05498" w:rsidRPr="00D05498">
              <w:rPr>
                <w:webHidden/>
              </w:rPr>
              <w:tab/>
            </w:r>
            <w:r w:rsidR="00D05498" w:rsidRPr="00D05498">
              <w:rPr>
                <w:webHidden/>
              </w:rPr>
              <w:fldChar w:fldCharType="begin"/>
            </w:r>
            <w:r w:rsidR="00D05498" w:rsidRPr="00D05498">
              <w:rPr>
                <w:webHidden/>
              </w:rPr>
              <w:instrText xml:space="preserve"> PAGEREF _Toc119313774 \h </w:instrText>
            </w:r>
            <w:r w:rsidR="00D05498" w:rsidRPr="00D05498">
              <w:rPr>
                <w:webHidden/>
              </w:rPr>
            </w:r>
            <w:r w:rsidR="00D05498" w:rsidRPr="00D05498">
              <w:rPr>
                <w:webHidden/>
              </w:rPr>
              <w:fldChar w:fldCharType="separate"/>
            </w:r>
            <w:r w:rsidR="00D05498" w:rsidRPr="00D05498">
              <w:rPr>
                <w:webHidden/>
              </w:rPr>
              <w:t>63</w:t>
            </w:r>
            <w:r w:rsidR="00D05498" w:rsidRPr="00D05498">
              <w:rPr>
                <w:webHidden/>
              </w:rPr>
              <w:fldChar w:fldCharType="end"/>
            </w:r>
          </w:hyperlink>
        </w:p>
        <w:p w14:paraId="76CA754F" w14:textId="4AD97C21" w:rsidR="00D05498" w:rsidRPr="00D05498" w:rsidRDefault="006650E3">
          <w:pPr>
            <w:pStyle w:val="21"/>
            <w:rPr>
              <w:rFonts w:eastAsiaTheme="minorEastAsia"/>
              <w:noProof/>
              <w:lang w:eastAsia="ru-RU"/>
            </w:rPr>
          </w:pPr>
          <w:hyperlink w:anchor="_Toc119313775" w:history="1">
            <w:r w:rsidR="00D05498" w:rsidRPr="00D05498">
              <w:rPr>
                <w:rStyle w:val="aa"/>
                <w:noProof/>
              </w:rPr>
              <w:t>4.2. Безопасность и эффективность</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_Toc119313775 \h </w:instrText>
            </w:r>
            <w:r w:rsidR="00D05498" w:rsidRPr="00D05498">
              <w:rPr>
                <w:noProof/>
                <w:webHidden/>
              </w:rPr>
            </w:r>
            <w:r w:rsidR="00D05498" w:rsidRPr="00D05498">
              <w:rPr>
                <w:noProof/>
                <w:webHidden/>
              </w:rPr>
              <w:fldChar w:fldCharType="separate"/>
            </w:r>
            <w:r w:rsidR="00D05498" w:rsidRPr="00D05498">
              <w:rPr>
                <w:noProof/>
                <w:webHidden/>
              </w:rPr>
              <w:t>63</w:t>
            </w:r>
            <w:r w:rsidR="00D05498" w:rsidRPr="00D05498">
              <w:rPr>
                <w:noProof/>
                <w:webHidden/>
              </w:rPr>
              <w:fldChar w:fldCharType="end"/>
            </w:r>
          </w:hyperlink>
        </w:p>
        <w:p w14:paraId="50034372" w14:textId="40713045" w:rsidR="00D05498" w:rsidRPr="00D05498" w:rsidRDefault="006650E3">
          <w:pPr>
            <w:pStyle w:val="31"/>
            <w:rPr>
              <w:rFonts w:eastAsiaTheme="minorEastAsia"/>
              <w:lang w:eastAsia="ru-RU"/>
            </w:rPr>
          </w:pPr>
          <w:hyperlink w:anchor="_Toc119313776" w:history="1">
            <w:r w:rsidR="00D05498" w:rsidRPr="00D05498">
              <w:rPr>
                <w:rStyle w:val="aa"/>
              </w:rPr>
              <w:t>4.2.1. Клиническая эффективность</w:t>
            </w:r>
            <w:r w:rsidR="00D05498" w:rsidRPr="00D05498">
              <w:rPr>
                <w:webHidden/>
              </w:rPr>
              <w:tab/>
            </w:r>
            <w:r w:rsidR="00D05498" w:rsidRPr="00D05498">
              <w:rPr>
                <w:webHidden/>
              </w:rPr>
              <w:fldChar w:fldCharType="begin"/>
            </w:r>
            <w:r w:rsidR="00D05498" w:rsidRPr="00D05498">
              <w:rPr>
                <w:webHidden/>
              </w:rPr>
              <w:instrText xml:space="preserve"> PAGEREF _Toc119313776 \h </w:instrText>
            </w:r>
            <w:r w:rsidR="00D05498" w:rsidRPr="00D05498">
              <w:rPr>
                <w:webHidden/>
              </w:rPr>
            </w:r>
            <w:r w:rsidR="00D05498" w:rsidRPr="00D05498">
              <w:rPr>
                <w:webHidden/>
              </w:rPr>
              <w:fldChar w:fldCharType="separate"/>
            </w:r>
            <w:r w:rsidR="00D05498" w:rsidRPr="00D05498">
              <w:rPr>
                <w:webHidden/>
              </w:rPr>
              <w:t>63</w:t>
            </w:r>
            <w:r w:rsidR="00D05498" w:rsidRPr="00D05498">
              <w:rPr>
                <w:webHidden/>
              </w:rPr>
              <w:fldChar w:fldCharType="end"/>
            </w:r>
          </w:hyperlink>
        </w:p>
        <w:p w14:paraId="283F4E0C" w14:textId="79A245E6" w:rsidR="00D05498" w:rsidRPr="00D05498" w:rsidRDefault="006650E3">
          <w:pPr>
            <w:pStyle w:val="41"/>
            <w:rPr>
              <w:rFonts w:eastAsiaTheme="minorEastAsia"/>
              <w:noProof/>
              <w:lang w:eastAsia="ru-RU"/>
            </w:rPr>
          </w:pPr>
          <w:hyperlink w:anchor="_Toc119313777" w:history="1">
            <w:r w:rsidR="00D05498" w:rsidRPr="00D05498">
              <w:rPr>
                <w:rStyle w:val="aa"/>
                <w:noProof/>
              </w:rPr>
              <w:t xml:space="preserve">4.2.1.1. </w:t>
            </w:r>
            <w:r w:rsidR="00D05498" w:rsidRPr="00D05498">
              <w:rPr>
                <w:rStyle w:val="aa"/>
                <w:iCs/>
                <w:noProof/>
              </w:rPr>
              <w:t>Трансплантация почки</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_Toc119313777 \h </w:instrText>
            </w:r>
            <w:r w:rsidR="00D05498" w:rsidRPr="00D05498">
              <w:rPr>
                <w:noProof/>
                <w:webHidden/>
              </w:rPr>
            </w:r>
            <w:r w:rsidR="00D05498" w:rsidRPr="00D05498">
              <w:rPr>
                <w:noProof/>
                <w:webHidden/>
              </w:rPr>
              <w:fldChar w:fldCharType="separate"/>
            </w:r>
            <w:r w:rsidR="00D05498" w:rsidRPr="00D05498">
              <w:rPr>
                <w:noProof/>
                <w:webHidden/>
              </w:rPr>
              <w:t>63</w:t>
            </w:r>
            <w:r w:rsidR="00D05498" w:rsidRPr="00D05498">
              <w:rPr>
                <w:noProof/>
                <w:webHidden/>
              </w:rPr>
              <w:fldChar w:fldCharType="end"/>
            </w:r>
          </w:hyperlink>
        </w:p>
        <w:p w14:paraId="1FA1EFD6" w14:textId="06C00573" w:rsidR="00D05498" w:rsidRPr="00D05498" w:rsidRDefault="006650E3">
          <w:pPr>
            <w:pStyle w:val="41"/>
            <w:rPr>
              <w:rFonts w:eastAsiaTheme="minorEastAsia"/>
              <w:noProof/>
              <w:lang w:eastAsia="ru-RU"/>
            </w:rPr>
          </w:pPr>
          <w:hyperlink w:anchor="_Toc119313778" w:history="1">
            <w:r w:rsidR="00D05498" w:rsidRPr="00D05498">
              <w:rPr>
                <w:rStyle w:val="aa"/>
                <w:noProof/>
              </w:rPr>
              <w:t>4.2.1.2. Трансплантация сердца</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_Toc119313778 \h </w:instrText>
            </w:r>
            <w:r w:rsidR="00D05498" w:rsidRPr="00D05498">
              <w:rPr>
                <w:noProof/>
                <w:webHidden/>
              </w:rPr>
            </w:r>
            <w:r w:rsidR="00D05498" w:rsidRPr="00D05498">
              <w:rPr>
                <w:noProof/>
                <w:webHidden/>
              </w:rPr>
              <w:fldChar w:fldCharType="separate"/>
            </w:r>
            <w:r w:rsidR="00D05498" w:rsidRPr="00D05498">
              <w:rPr>
                <w:noProof/>
                <w:webHidden/>
              </w:rPr>
              <w:t>66</w:t>
            </w:r>
            <w:r w:rsidR="00D05498" w:rsidRPr="00D05498">
              <w:rPr>
                <w:noProof/>
                <w:webHidden/>
              </w:rPr>
              <w:fldChar w:fldCharType="end"/>
            </w:r>
          </w:hyperlink>
        </w:p>
        <w:p w14:paraId="227AB78A" w14:textId="6C51BFC4" w:rsidR="00D05498" w:rsidRPr="00D05498" w:rsidRDefault="006650E3">
          <w:pPr>
            <w:pStyle w:val="41"/>
            <w:rPr>
              <w:rFonts w:eastAsiaTheme="minorEastAsia"/>
              <w:noProof/>
              <w:lang w:eastAsia="ru-RU"/>
            </w:rPr>
          </w:pPr>
          <w:hyperlink w:anchor="_Toc119313779" w:history="1">
            <w:r w:rsidR="00D05498" w:rsidRPr="00D05498">
              <w:rPr>
                <w:rStyle w:val="aa"/>
                <w:noProof/>
              </w:rPr>
              <w:t>4.2.1.3. Трансплантация печени</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_Toc119313779 \h </w:instrText>
            </w:r>
            <w:r w:rsidR="00D05498" w:rsidRPr="00D05498">
              <w:rPr>
                <w:noProof/>
                <w:webHidden/>
              </w:rPr>
            </w:r>
            <w:r w:rsidR="00D05498" w:rsidRPr="00D05498">
              <w:rPr>
                <w:noProof/>
                <w:webHidden/>
              </w:rPr>
              <w:fldChar w:fldCharType="separate"/>
            </w:r>
            <w:r w:rsidR="00D05498" w:rsidRPr="00D05498">
              <w:rPr>
                <w:noProof/>
                <w:webHidden/>
              </w:rPr>
              <w:t>70</w:t>
            </w:r>
            <w:r w:rsidR="00D05498" w:rsidRPr="00D05498">
              <w:rPr>
                <w:noProof/>
                <w:webHidden/>
              </w:rPr>
              <w:fldChar w:fldCharType="end"/>
            </w:r>
          </w:hyperlink>
        </w:p>
        <w:p w14:paraId="58DFF7F5" w14:textId="275054E3" w:rsidR="00D05498" w:rsidRPr="00D05498" w:rsidRDefault="006650E3">
          <w:pPr>
            <w:pStyle w:val="41"/>
            <w:rPr>
              <w:rFonts w:eastAsiaTheme="minorEastAsia"/>
              <w:noProof/>
              <w:lang w:eastAsia="ru-RU"/>
            </w:rPr>
          </w:pPr>
          <w:hyperlink w:anchor="_Toc119313780" w:history="1">
            <w:r w:rsidR="00D05498" w:rsidRPr="00D05498">
              <w:rPr>
                <w:rStyle w:val="aa"/>
                <w:noProof/>
              </w:rPr>
              <w:t>4.2.1.4. Дети, перенесшие трансплантацию почки или печени</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_Toc119313780 \h </w:instrText>
            </w:r>
            <w:r w:rsidR="00D05498" w:rsidRPr="00D05498">
              <w:rPr>
                <w:noProof/>
                <w:webHidden/>
              </w:rPr>
            </w:r>
            <w:r w:rsidR="00D05498" w:rsidRPr="00D05498">
              <w:rPr>
                <w:noProof/>
                <w:webHidden/>
              </w:rPr>
              <w:fldChar w:fldCharType="separate"/>
            </w:r>
            <w:r w:rsidR="00D05498" w:rsidRPr="00D05498">
              <w:rPr>
                <w:noProof/>
                <w:webHidden/>
              </w:rPr>
              <w:t>72</w:t>
            </w:r>
            <w:r w:rsidR="00D05498" w:rsidRPr="00D05498">
              <w:rPr>
                <w:noProof/>
                <w:webHidden/>
              </w:rPr>
              <w:fldChar w:fldCharType="end"/>
            </w:r>
          </w:hyperlink>
        </w:p>
        <w:p w14:paraId="23384F24" w14:textId="0627F5A1" w:rsidR="00D05498" w:rsidRPr="00D05498" w:rsidRDefault="006650E3">
          <w:pPr>
            <w:pStyle w:val="31"/>
            <w:rPr>
              <w:rFonts w:eastAsiaTheme="minorEastAsia"/>
              <w:lang w:eastAsia="ru-RU"/>
            </w:rPr>
          </w:pPr>
          <w:hyperlink w:anchor="_Toc119313781" w:history="1">
            <w:r w:rsidR="00D05498" w:rsidRPr="00D05498">
              <w:rPr>
                <w:rStyle w:val="aa"/>
                <w:rFonts w:eastAsia="Times New Roman"/>
                <w:bCs/>
                <w:iCs/>
                <w:lang w:eastAsia="en-US"/>
              </w:rPr>
              <w:t>4.2.2. Клиническая безопасность</w:t>
            </w:r>
            <w:r w:rsidR="00D05498" w:rsidRPr="00D05498">
              <w:rPr>
                <w:webHidden/>
              </w:rPr>
              <w:tab/>
            </w:r>
            <w:r w:rsidR="00D05498" w:rsidRPr="00D05498">
              <w:rPr>
                <w:webHidden/>
              </w:rPr>
              <w:fldChar w:fldCharType="begin"/>
            </w:r>
            <w:r w:rsidR="00D05498" w:rsidRPr="00D05498">
              <w:rPr>
                <w:webHidden/>
              </w:rPr>
              <w:instrText xml:space="preserve"> PAGEREF _Toc119313781 \h </w:instrText>
            </w:r>
            <w:r w:rsidR="00D05498" w:rsidRPr="00D05498">
              <w:rPr>
                <w:webHidden/>
              </w:rPr>
            </w:r>
            <w:r w:rsidR="00D05498" w:rsidRPr="00D05498">
              <w:rPr>
                <w:webHidden/>
              </w:rPr>
              <w:fldChar w:fldCharType="separate"/>
            </w:r>
            <w:r w:rsidR="00D05498" w:rsidRPr="00D05498">
              <w:rPr>
                <w:webHidden/>
              </w:rPr>
              <w:t>74</w:t>
            </w:r>
            <w:r w:rsidR="00D05498" w:rsidRPr="00D05498">
              <w:rPr>
                <w:webHidden/>
              </w:rPr>
              <w:fldChar w:fldCharType="end"/>
            </w:r>
          </w:hyperlink>
        </w:p>
        <w:p w14:paraId="4240E973" w14:textId="0AF181E1" w:rsidR="00D05498" w:rsidRPr="00D05498" w:rsidRDefault="006650E3">
          <w:pPr>
            <w:pStyle w:val="41"/>
            <w:rPr>
              <w:rFonts w:eastAsiaTheme="minorEastAsia"/>
              <w:noProof/>
              <w:lang w:eastAsia="ru-RU"/>
            </w:rPr>
          </w:pPr>
          <w:hyperlink w:anchor="_Toc119313782" w:history="1">
            <w:r w:rsidR="00D05498" w:rsidRPr="00D05498">
              <w:rPr>
                <w:rStyle w:val="aa"/>
                <w:noProof/>
              </w:rPr>
              <w:t>4.2.2.1. Группоспецифические эффекты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_Toc119313782 \h </w:instrText>
            </w:r>
            <w:r w:rsidR="00D05498" w:rsidRPr="00D05498">
              <w:rPr>
                <w:noProof/>
                <w:webHidden/>
              </w:rPr>
            </w:r>
            <w:r w:rsidR="00D05498" w:rsidRPr="00D05498">
              <w:rPr>
                <w:noProof/>
                <w:webHidden/>
              </w:rPr>
              <w:fldChar w:fldCharType="separate"/>
            </w:r>
            <w:r w:rsidR="00D05498" w:rsidRPr="00D05498">
              <w:rPr>
                <w:noProof/>
                <w:webHidden/>
              </w:rPr>
              <w:t>74</w:t>
            </w:r>
            <w:r w:rsidR="00D05498" w:rsidRPr="00D05498">
              <w:rPr>
                <w:noProof/>
                <w:webHidden/>
              </w:rPr>
              <w:fldChar w:fldCharType="end"/>
            </w:r>
          </w:hyperlink>
        </w:p>
        <w:p w14:paraId="4F48C4A8" w14:textId="57E9CAB0" w:rsidR="00D05498" w:rsidRPr="00D05498" w:rsidRDefault="006650E3">
          <w:pPr>
            <w:pStyle w:val="41"/>
            <w:rPr>
              <w:rFonts w:eastAsiaTheme="minorEastAsia"/>
              <w:noProof/>
              <w:lang w:eastAsia="ru-RU"/>
            </w:rPr>
          </w:pPr>
          <w:hyperlink w:anchor="_Toc119313783" w:history="1">
            <w:r w:rsidR="00D05498" w:rsidRPr="00D05498">
              <w:rPr>
                <w:rStyle w:val="aa"/>
                <w:noProof/>
              </w:rPr>
              <w:t>4.2.2.2. Препарат-специфичные эффекты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_Toc119313783 \h </w:instrText>
            </w:r>
            <w:r w:rsidR="00D05498" w:rsidRPr="00D05498">
              <w:rPr>
                <w:noProof/>
                <w:webHidden/>
              </w:rPr>
            </w:r>
            <w:r w:rsidR="00D05498" w:rsidRPr="00D05498">
              <w:rPr>
                <w:noProof/>
                <w:webHidden/>
              </w:rPr>
              <w:fldChar w:fldCharType="separate"/>
            </w:r>
            <w:r w:rsidR="00D05498" w:rsidRPr="00D05498">
              <w:rPr>
                <w:noProof/>
                <w:webHidden/>
              </w:rPr>
              <w:t>76</w:t>
            </w:r>
            <w:r w:rsidR="00D05498" w:rsidRPr="00D05498">
              <w:rPr>
                <w:noProof/>
                <w:webHidden/>
              </w:rPr>
              <w:fldChar w:fldCharType="end"/>
            </w:r>
          </w:hyperlink>
        </w:p>
        <w:p w14:paraId="35AD3FBE" w14:textId="7BA92F70" w:rsidR="00D05498" w:rsidRPr="00D05498" w:rsidRDefault="006650E3">
          <w:pPr>
            <w:pStyle w:val="41"/>
            <w:rPr>
              <w:rFonts w:eastAsiaTheme="minorEastAsia"/>
              <w:noProof/>
              <w:lang w:eastAsia="ru-RU"/>
            </w:rPr>
          </w:pPr>
          <w:hyperlink w:anchor="_Toc119313784" w:history="1">
            <w:r w:rsidR="00D05498" w:rsidRPr="00D05498">
              <w:rPr>
                <w:rStyle w:val="aa"/>
                <w:noProof/>
              </w:rPr>
              <w:t>4.2.2.3. Нежелательные явления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_Toc119313784 \h </w:instrText>
            </w:r>
            <w:r w:rsidR="00D05498" w:rsidRPr="00D05498">
              <w:rPr>
                <w:noProof/>
                <w:webHidden/>
              </w:rPr>
            </w:r>
            <w:r w:rsidR="00D05498" w:rsidRPr="00D05498">
              <w:rPr>
                <w:noProof/>
                <w:webHidden/>
              </w:rPr>
              <w:fldChar w:fldCharType="separate"/>
            </w:r>
            <w:r w:rsidR="00D05498" w:rsidRPr="00D05498">
              <w:rPr>
                <w:noProof/>
                <w:webHidden/>
              </w:rPr>
              <w:t>80</w:t>
            </w:r>
            <w:r w:rsidR="00D05498" w:rsidRPr="00D05498">
              <w:rPr>
                <w:noProof/>
                <w:webHidden/>
              </w:rPr>
              <w:fldChar w:fldCharType="end"/>
            </w:r>
          </w:hyperlink>
        </w:p>
        <w:p w14:paraId="52732647" w14:textId="64CE18EF" w:rsidR="00D05498" w:rsidRPr="00D05498" w:rsidRDefault="006650E3">
          <w:pPr>
            <w:pStyle w:val="41"/>
            <w:rPr>
              <w:rFonts w:eastAsiaTheme="minorEastAsia"/>
              <w:noProof/>
              <w:lang w:eastAsia="ru-RU"/>
            </w:rPr>
          </w:pPr>
          <w:hyperlink w:anchor="_Toc119313785" w:history="1">
            <w:r w:rsidR="00D05498" w:rsidRPr="00D05498">
              <w:rPr>
                <w:rStyle w:val="aa"/>
                <w:noProof/>
              </w:rPr>
              <w:t>4.2.2.4. Серьезные нежелательные явления, летальные исходы и нежелательные явления, представляющие особый интерес</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_Toc119313785 \h </w:instrText>
            </w:r>
            <w:r w:rsidR="00D05498" w:rsidRPr="00D05498">
              <w:rPr>
                <w:noProof/>
                <w:webHidden/>
              </w:rPr>
            </w:r>
            <w:r w:rsidR="00D05498" w:rsidRPr="00D05498">
              <w:rPr>
                <w:noProof/>
                <w:webHidden/>
              </w:rPr>
              <w:fldChar w:fldCharType="separate"/>
            </w:r>
            <w:r w:rsidR="00D05498" w:rsidRPr="00D05498">
              <w:rPr>
                <w:noProof/>
                <w:webHidden/>
              </w:rPr>
              <w:t>83</w:t>
            </w:r>
            <w:r w:rsidR="00D05498" w:rsidRPr="00D05498">
              <w:rPr>
                <w:noProof/>
                <w:webHidden/>
              </w:rPr>
              <w:fldChar w:fldCharType="end"/>
            </w:r>
          </w:hyperlink>
        </w:p>
        <w:p w14:paraId="26904BDC" w14:textId="0D6DFDB5" w:rsidR="00D05498" w:rsidRPr="00D05498" w:rsidRDefault="006650E3">
          <w:pPr>
            <w:pStyle w:val="41"/>
            <w:rPr>
              <w:rFonts w:eastAsiaTheme="minorEastAsia"/>
              <w:noProof/>
              <w:lang w:eastAsia="ru-RU"/>
            </w:rPr>
          </w:pPr>
          <w:hyperlink w:anchor="_Toc119313786" w:history="1">
            <w:r w:rsidR="00D05498" w:rsidRPr="00D05498">
              <w:rPr>
                <w:rStyle w:val="aa"/>
                <w:noProof/>
              </w:rPr>
              <w:t>4.2.2.5. Лабораторные отклонения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_Toc119313786 \h </w:instrText>
            </w:r>
            <w:r w:rsidR="00D05498" w:rsidRPr="00D05498">
              <w:rPr>
                <w:noProof/>
                <w:webHidden/>
              </w:rPr>
            </w:r>
            <w:r w:rsidR="00D05498" w:rsidRPr="00D05498">
              <w:rPr>
                <w:noProof/>
                <w:webHidden/>
              </w:rPr>
              <w:fldChar w:fldCharType="separate"/>
            </w:r>
            <w:r w:rsidR="00D05498" w:rsidRPr="00D05498">
              <w:rPr>
                <w:noProof/>
                <w:webHidden/>
              </w:rPr>
              <w:t>86</w:t>
            </w:r>
            <w:r w:rsidR="00D05498" w:rsidRPr="00D05498">
              <w:rPr>
                <w:noProof/>
                <w:webHidden/>
              </w:rPr>
              <w:fldChar w:fldCharType="end"/>
            </w:r>
          </w:hyperlink>
        </w:p>
        <w:p w14:paraId="08BAF724" w14:textId="0452193D" w:rsidR="00D05498" w:rsidRPr="00D05498" w:rsidRDefault="006650E3">
          <w:pPr>
            <w:pStyle w:val="41"/>
            <w:rPr>
              <w:rFonts w:eastAsiaTheme="minorEastAsia"/>
              <w:noProof/>
              <w:lang w:eastAsia="ru-RU"/>
            </w:rPr>
          </w:pPr>
          <w:hyperlink w:anchor="_Toc119313787" w:history="1">
            <w:r w:rsidR="00D05498" w:rsidRPr="00D05498">
              <w:rPr>
                <w:rStyle w:val="aa"/>
                <w:noProof/>
              </w:rPr>
              <w:t>4.2.2.6. Безопасность, связанная с лекарственными взаимодействиями и другими взаимодействиями</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_Toc119313787 \h </w:instrText>
            </w:r>
            <w:r w:rsidR="00D05498" w:rsidRPr="00D05498">
              <w:rPr>
                <w:noProof/>
                <w:webHidden/>
              </w:rPr>
            </w:r>
            <w:r w:rsidR="00D05498" w:rsidRPr="00D05498">
              <w:rPr>
                <w:noProof/>
                <w:webHidden/>
              </w:rPr>
              <w:fldChar w:fldCharType="separate"/>
            </w:r>
            <w:r w:rsidR="00D05498" w:rsidRPr="00D05498">
              <w:rPr>
                <w:noProof/>
                <w:webHidden/>
              </w:rPr>
              <w:t>86</w:t>
            </w:r>
            <w:r w:rsidR="00D05498" w:rsidRPr="00D05498">
              <w:rPr>
                <w:noProof/>
                <w:webHidden/>
              </w:rPr>
              <w:fldChar w:fldCharType="end"/>
            </w:r>
          </w:hyperlink>
        </w:p>
        <w:p w14:paraId="07A7C6BF" w14:textId="7DDC7E36" w:rsidR="00D05498" w:rsidRPr="00D05498" w:rsidRDefault="006650E3">
          <w:pPr>
            <w:pStyle w:val="31"/>
            <w:rPr>
              <w:rFonts w:eastAsiaTheme="minorEastAsia"/>
              <w:lang w:eastAsia="ru-RU"/>
            </w:rPr>
          </w:pPr>
          <w:hyperlink w:anchor="_Toc119313788" w:history="1">
            <w:r w:rsidR="00D05498" w:rsidRPr="00D05498">
              <w:rPr>
                <w:rStyle w:val="aa"/>
                <w:rFonts w:eastAsia="Times New Roman"/>
                <w:bCs/>
                <w:iCs/>
                <w:lang w:eastAsia="en-US"/>
              </w:rPr>
              <w:t>4.2.3. Пострегистрационный опыт применения</w:t>
            </w:r>
            <w:r w:rsidR="00D05498" w:rsidRPr="00D05498">
              <w:rPr>
                <w:webHidden/>
              </w:rPr>
              <w:tab/>
            </w:r>
            <w:r w:rsidR="00D05498" w:rsidRPr="00D05498">
              <w:rPr>
                <w:webHidden/>
              </w:rPr>
              <w:fldChar w:fldCharType="begin"/>
            </w:r>
            <w:r w:rsidR="00D05498" w:rsidRPr="00D05498">
              <w:rPr>
                <w:webHidden/>
              </w:rPr>
              <w:instrText xml:space="preserve"> PAGEREF _Toc119313788 \h </w:instrText>
            </w:r>
            <w:r w:rsidR="00D05498" w:rsidRPr="00D05498">
              <w:rPr>
                <w:webHidden/>
              </w:rPr>
            </w:r>
            <w:r w:rsidR="00D05498" w:rsidRPr="00D05498">
              <w:rPr>
                <w:webHidden/>
              </w:rPr>
              <w:fldChar w:fldCharType="separate"/>
            </w:r>
            <w:r w:rsidR="00D05498" w:rsidRPr="00D05498">
              <w:rPr>
                <w:webHidden/>
              </w:rPr>
              <w:t>87</w:t>
            </w:r>
            <w:r w:rsidR="00D05498" w:rsidRPr="00D05498">
              <w:rPr>
                <w:webHidden/>
              </w:rPr>
              <w:fldChar w:fldCharType="end"/>
            </w:r>
          </w:hyperlink>
        </w:p>
        <w:p w14:paraId="4A80365F" w14:textId="4B44A345" w:rsidR="00D05498" w:rsidRPr="00D05498" w:rsidRDefault="006650E3">
          <w:pPr>
            <w:pStyle w:val="21"/>
            <w:rPr>
              <w:rFonts w:eastAsiaTheme="minorEastAsia"/>
              <w:noProof/>
              <w:lang w:eastAsia="ru-RU"/>
            </w:rPr>
          </w:pPr>
          <w:hyperlink w:anchor="_Toc119313789" w:history="1">
            <w:r w:rsidR="00D05498" w:rsidRPr="00D05498">
              <w:rPr>
                <w:rStyle w:val="aa"/>
                <w:noProof/>
              </w:rPr>
              <w:t>Список литературы</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_Toc119313789 \h </w:instrText>
            </w:r>
            <w:r w:rsidR="00D05498" w:rsidRPr="00D05498">
              <w:rPr>
                <w:noProof/>
                <w:webHidden/>
              </w:rPr>
            </w:r>
            <w:r w:rsidR="00D05498" w:rsidRPr="00D05498">
              <w:rPr>
                <w:noProof/>
                <w:webHidden/>
              </w:rPr>
              <w:fldChar w:fldCharType="separate"/>
            </w:r>
            <w:r w:rsidR="00D05498" w:rsidRPr="00D05498">
              <w:rPr>
                <w:noProof/>
                <w:webHidden/>
              </w:rPr>
              <w:t>87</w:t>
            </w:r>
            <w:r w:rsidR="00D05498" w:rsidRPr="00D05498">
              <w:rPr>
                <w:noProof/>
                <w:webHidden/>
              </w:rPr>
              <w:fldChar w:fldCharType="end"/>
            </w:r>
          </w:hyperlink>
        </w:p>
        <w:p w14:paraId="33B2C210" w14:textId="76D95BD5" w:rsidR="00D05498" w:rsidRPr="00D05498" w:rsidRDefault="006650E3">
          <w:pPr>
            <w:pStyle w:val="14"/>
            <w:rPr>
              <w:rFonts w:eastAsiaTheme="minorEastAsia"/>
              <w:noProof/>
              <w:lang w:eastAsia="ru-RU"/>
            </w:rPr>
          </w:pPr>
          <w:hyperlink w:anchor="_Toc119313790" w:history="1">
            <w:r w:rsidR="00D05498" w:rsidRPr="00D05498">
              <w:rPr>
                <w:rStyle w:val="aa"/>
                <w:noProof/>
              </w:rPr>
              <w:t>5. ОБСУЖДЕНИЕ ДАННЫХ И ИНСТРУКЦИИ ДЛЯ ИССЛЕДОВАТЕЛЯ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_Toc119313790 \h </w:instrText>
            </w:r>
            <w:r w:rsidR="00D05498" w:rsidRPr="00D05498">
              <w:rPr>
                <w:noProof/>
                <w:webHidden/>
              </w:rPr>
            </w:r>
            <w:r w:rsidR="00D05498" w:rsidRPr="00D05498">
              <w:rPr>
                <w:noProof/>
                <w:webHidden/>
              </w:rPr>
              <w:fldChar w:fldCharType="separate"/>
            </w:r>
            <w:r w:rsidR="00D05498" w:rsidRPr="00D05498">
              <w:rPr>
                <w:noProof/>
                <w:webHidden/>
              </w:rPr>
              <w:t>88</w:t>
            </w:r>
            <w:r w:rsidR="00D05498" w:rsidRPr="00D05498">
              <w:rPr>
                <w:noProof/>
                <w:webHidden/>
              </w:rPr>
              <w:fldChar w:fldCharType="end"/>
            </w:r>
          </w:hyperlink>
        </w:p>
        <w:p w14:paraId="6BCBBAB3" w14:textId="73680356" w:rsidR="00D05498" w:rsidRPr="00D05498" w:rsidRDefault="006650E3">
          <w:pPr>
            <w:pStyle w:val="21"/>
            <w:rPr>
              <w:rFonts w:eastAsiaTheme="minorEastAsia"/>
              <w:noProof/>
              <w:lang w:eastAsia="ru-RU"/>
            </w:rPr>
          </w:pPr>
          <w:hyperlink w:anchor="_Toc119313791" w:history="1">
            <w:r w:rsidR="00D05498" w:rsidRPr="00D05498">
              <w:rPr>
                <w:rStyle w:val="aa"/>
                <w:noProof/>
              </w:rPr>
              <w:t>5.1. Обсуждение данных доклинических исследований</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_Toc119313791 \h </w:instrText>
            </w:r>
            <w:r w:rsidR="00D05498" w:rsidRPr="00D05498">
              <w:rPr>
                <w:noProof/>
                <w:webHidden/>
              </w:rPr>
            </w:r>
            <w:r w:rsidR="00D05498" w:rsidRPr="00D05498">
              <w:rPr>
                <w:noProof/>
                <w:webHidden/>
              </w:rPr>
              <w:fldChar w:fldCharType="separate"/>
            </w:r>
            <w:r w:rsidR="00D05498" w:rsidRPr="00D05498">
              <w:rPr>
                <w:noProof/>
                <w:webHidden/>
              </w:rPr>
              <w:t>88</w:t>
            </w:r>
            <w:r w:rsidR="00D05498" w:rsidRPr="00D05498">
              <w:rPr>
                <w:noProof/>
                <w:webHidden/>
              </w:rPr>
              <w:fldChar w:fldCharType="end"/>
            </w:r>
          </w:hyperlink>
        </w:p>
        <w:p w14:paraId="01C64B89" w14:textId="48AFF473" w:rsidR="00D05498" w:rsidRPr="00D05498" w:rsidRDefault="006650E3">
          <w:pPr>
            <w:pStyle w:val="21"/>
            <w:rPr>
              <w:rFonts w:eastAsiaTheme="minorEastAsia"/>
              <w:noProof/>
              <w:lang w:eastAsia="ru-RU"/>
            </w:rPr>
          </w:pPr>
          <w:hyperlink w:anchor="_Toc119313792" w:history="1">
            <w:r w:rsidR="00D05498" w:rsidRPr="00D05498">
              <w:rPr>
                <w:rStyle w:val="aa"/>
                <w:noProof/>
              </w:rPr>
              <w:t>5.2. Обсуждение данных клинических исследований</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_Toc119313792 \h </w:instrText>
            </w:r>
            <w:r w:rsidR="00D05498" w:rsidRPr="00D05498">
              <w:rPr>
                <w:noProof/>
                <w:webHidden/>
              </w:rPr>
            </w:r>
            <w:r w:rsidR="00D05498" w:rsidRPr="00D05498">
              <w:rPr>
                <w:noProof/>
                <w:webHidden/>
              </w:rPr>
              <w:fldChar w:fldCharType="separate"/>
            </w:r>
            <w:r w:rsidR="00D05498" w:rsidRPr="00D05498">
              <w:rPr>
                <w:noProof/>
                <w:webHidden/>
              </w:rPr>
              <w:t>90</w:t>
            </w:r>
            <w:r w:rsidR="00D05498" w:rsidRPr="00D05498">
              <w:rPr>
                <w:noProof/>
                <w:webHidden/>
              </w:rPr>
              <w:fldChar w:fldCharType="end"/>
            </w:r>
          </w:hyperlink>
        </w:p>
        <w:p w14:paraId="2F4C6677" w14:textId="3251BFF9" w:rsidR="00D05498" w:rsidRPr="00D05498" w:rsidRDefault="006650E3">
          <w:pPr>
            <w:pStyle w:val="21"/>
            <w:rPr>
              <w:rFonts w:eastAsiaTheme="minorEastAsia"/>
              <w:noProof/>
              <w:lang w:eastAsia="ru-RU"/>
            </w:rPr>
          </w:pPr>
          <w:hyperlink w:anchor="_Toc119313793" w:history="1">
            <w:r w:rsidR="00D05498" w:rsidRPr="00D05498">
              <w:rPr>
                <w:rStyle w:val="aa"/>
                <w:noProof/>
              </w:rPr>
              <w:t>5.3. Инструкции для исследователя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_Toc119313793 \h </w:instrText>
            </w:r>
            <w:r w:rsidR="00D05498" w:rsidRPr="00D05498">
              <w:rPr>
                <w:noProof/>
                <w:webHidden/>
              </w:rPr>
            </w:r>
            <w:r w:rsidR="00D05498" w:rsidRPr="00D05498">
              <w:rPr>
                <w:noProof/>
                <w:webHidden/>
              </w:rPr>
              <w:fldChar w:fldCharType="separate"/>
            </w:r>
            <w:r w:rsidR="00D05498" w:rsidRPr="00D05498">
              <w:rPr>
                <w:noProof/>
                <w:webHidden/>
              </w:rPr>
              <w:t>93</w:t>
            </w:r>
            <w:r w:rsidR="00D05498" w:rsidRPr="00D05498">
              <w:rPr>
                <w:noProof/>
                <w:webHidden/>
              </w:rPr>
              <w:fldChar w:fldCharType="end"/>
            </w:r>
          </w:hyperlink>
        </w:p>
        <w:p w14:paraId="2103B6B5" w14:textId="6258AAAF" w:rsidR="00D05498" w:rsidRPr="00D05498" w:rsidRDefault="006650E3">
          <w:pPr>
            <w:pStyle w:val="31"/>
            <w:rPr>
              <w:rFonts w:eastAsiaTheme="minorEastAsia"/>
              <w:lang w:eastAsia="ru-RU"/>
            </w:rPr>
          </w:pPr>
          <w:hyperlink w:anchor="_Toc119313794" w:history="1">
            <w:r w:rsidR="00D05498" w:rsidRPr="00D05498">
              <w:rPr>
                <w:rStyle w:val="aa"/>
              </w:rPr>
              <w:t>5.3.1. Показания к применению</w:t>
            </w:r>
            <w:r w:rsidR="00D05498" w:rsidRPr="00D05498">
              <w:rPr>
                <w:webHidden/>
              </w:rPr>
              <w:tab/>
            </w:r>
            <w:r w:rsidR="00D05498" w:rsidRPr="00D05498">
              <w:rPr>
                <w:webHidden/>
              </w:rPr>
              <w:fldChar w:fldCharType="begin"/>
            </w:r>
            <w:r w:rsidR="00D05498" w:rsidRPr="00D05498">
              <w:rPr>
                <w:webHidden/>
              </w:rPr>
              <w:instrText xml:space="preserve"> PAGEREF _Toc119313794 \h </w:instrText>
            </w:r>
            <w:r w:rsidR="00D05498" w:rsidRPr="00D05498">
              <w:rPr>
                <w:webHidden/>
              </w:rPr>
            </w:r>
            <w:r w:rsidR="00D05498" w:rsidRPr="00D05498">
              <w:rPr>
                <w:webHidden/>
              </w:rPr>
              <w:fldChar w:fldCharType="separate"/>
            </w:r>
            <w:r w:rsidR="00D05498" w:rsidRPr="00D05498">
              <w:rPr>
                <w:webHidden/>
              </w:rPr>
              <w:t>93</w:t>
            </w:r>
            <w:r w:rsidR="00D05498" w:rsidRPr="00D05498">
              <w:rPr>
                <w:webHidden/>
              </w:rPr>
              <w:fldChar w:fldCharType="end"/>
            </w:r>
          </w:hyperlink>
        </w:p>
        <w:p w14:paraId="2684EF35" w14:textId="0B18B68C" w:rsidR="00D05498" w:rsidRPr="00D05498" w:rsidRDefault="006650E3">
          <w:pPr>
            <w:pStyle w:val="31"/>
            <w:rPr>
              <w:rFonts w:eastAsiaTheme="minorEastAsia"/>
              <w:lang w:eastAsia="ru-RU"/>
            </w:rPr>
          </w:pPr>
          <w:hyperlink w:anchor="_Toc119313795" w:history="1">
            <w:r w:rsidR="00D05498" w:rsidRPr="00D05498">
              <w:rPr>
                <w:rStyle w:val="aa"/>
              </w:rPr>
              <w:t>5.3.2. Противопоказания</w:t>
            </w:r>
            <w:r w:rsidR="00D05498" w:rsidRPr="00D05498">
              <w:rPr>
                <w:webHidden/>
              </w:rPr>
              <w:tab/>
            </w:r>
            <w:r w:rsidR="00D05498" w:rsidRPr="00D05498">
              <w:rPr>
                <w:webHidden/>
              </w:rPr>
              <w:fldChar w:fldCharType="begin"/>
            </w:r>
            <w:r w:rsidR="00D05498" w:rsidRPr="00D05498">
              <w:rPr>
                <w:webHidden/>
              </w:rPr>
              <w:instrText xml:space="preserve"> PAGEREF _Toc119313795 \h </w:instrText>
            </w:r>
            <w:r w:rsidR="00D05498" w:rsidRPr="00D05498">
              <w:rPr>
                <w:webHidden/>
              </w:rPr>
            </w:r>
            <w:r w:rsidR="00D05498" w:rsidRPr="00D05498">
              <w:rPr>
                <w:webHidden/>
              </w:rPr>
              <w:fldChar w:fldCharType="separate"/>
            </w:r>
            <w:r w:rsidR="00D05498" w:rsidRPr="00D05498">
              <w:rPr>
                <w:webHidden/>
              </w:rPr>
              <w:t>94</w:t>
            </w:r>
            <w:r w:rsidR="00D05498" w:rsidRPr="00D05498">
              <w:rPr>
                <w:webHidden/>
              </w:rPr>
              <w:fldChar w:fldCharType="end"/>
            </w:r>
          </w:hyperlink>
        </w:p>
        <w:p w14:paraId="54D99999" w14:textId="69316665" w:rsidR="00D05498" w:rsidRPr="00D05498" w:rsidRDefault="006650E3">
          <w:pPr>
            <w:pStyle w:val="31"/>
            <w:rPr>
              <w:rFonts w:eastAsiaTheme="minorEastAsia"/>
              <w:lang w:eastAsia="ru-RU"/>
            </w:rPr>
          </w:pPr>
          <w:hyperlink w:anchor="_Toc119313796" w:history="1">
            <w:r w:rsidR="00D05498" w:rsidRPr="00D05498">
              <w:rPr>
                <w:rStyle w:val="aa"/>
              </w:rPr>
              <w:t>5.3.4. Применение при беременности и в период грудного вскармливания</w:t>
            </w:r>
            <w:r w:rsidR="00D05498" w:rsidRPr="00D05498">
              <w:rPr>
                <w:webHidden/>
              </w:rPr>
              <w:tab/>
            </w:r>
            <w:r w:rsidR="00D05498" w:rsidRPr="00D05498">
              <w:rPr>
                <w:webHidden/>
              </w:rPr>
              <w:fldChar w:fldCharType="begin"/>
            </w:r>
            <w:r w:rsidR="00D05498" w:rsidRPr="00D05498">
              <w:rPr>
                <w:webHidden/>
              </w:rPr>
              <w:instrText xml:space="preserve"> PAGEREF _Toc119313796 \h </w:instrText>
            </w:r>
            <w:r w:rsidR="00D05498" w:rsidRPr="00D05498">
              <w:rPr>
                <w:webHidden/>
              </w:rPr>
            </w:r>
            <w:r w:rsidR="00D05498" w:rsidRPr="00D05498">
              <w:rPr>
                <w:webHidden/>
              </w:rPr>
              <w:fldChar w:fldCharType="separate"/>
            </w:r>
            <w:r w:rsidR="00D05498" w:rsidRPr="00D05498">
              <w:rPr>
                <w:webHidden/>
              </w:rPr>
              <w:t>94</w:t>
            </w:r>
            <w:r w:rsidR="00D05498" w:rsidRPr="00D05498">
              <w:rPr>
                <w:webHidden/>
              </w:rPr>
              <w:fldChar w:fldCharType="end"/>
            </w:r>
          </w:hyperlink>
        </w:p>
        <w:p w14:paraId="3AE65827" w14:textId="4D77E681" w:rsidR="00D05498" w:rsidRPr="00D05498" w:rsidRDefault="006650E3">
          <w:pPr>
            <w:pStyle w:val="31"/>
            <w:rPr>
              <w:rFonts w:eastAsiaTheme="minorEastAsia"/>
              <w:lang w:eastAsia="ru-RU"/>
            </w:rPr>
          </w:pPr>
          <w:hyperlink w:anchor="_Toc119313797" w:history="1">
            <w:r w:rsidR="00D05498" w:rsidRPr="00D05498">
              <w:rPr>
                <w:rStyle w:val="aa"/>
              </w:rPr>
              <w:t>5.3.5. Способ применения и дозы</w:t>
            </w:r>
            <w:r w:rsidR="00D05498" w:rsidRPr="00D05498">
              <w:rPr>
                <w:webHidden/>
              </w:rPr>
              <w:tab/>
            </w:r>
            <w:r w:rsidR="00D05498" w:rsidRPr="00D05498">
              <w:rPr>
                <w:webHidden/>
              </w:rPr>
              <w:fldChar w:fldCharType="begin"/>
            </w:r>
            <w:r w:rsidR="00D05498" w:rsidRPr="00D05498">
              <w:rPr>
                <w:webHidden/>
              </w:rPr>
              <w:instrText xml:space="preserve"> PAGEREF _Toc119313797 \h </w:instrText>
            </w:r>
            <w:r w:rsidR="00D05498" w:rsidRPr="00D05498">
              <w:rPr>
                <w:webHidden/>
              </w:rPr>
            </w:r>
            <w:r w:rsidR="00D05498" w:rsidRPr="00D05498">
              <w:rPr>
                <w:webHidden/>
              </w:rPr>
              <w:fldChar w:fldCharType="separate"/>
            </w:r>
            <w:r w:rsidR="00D05498" w:rsidRPr="00D05498">
              <w:rPr>
                <w:webHidden/>
              </w:rPr>
              <w:t>96</w:t>
            </w:r>
            <w:r w:rsidR="00D05498" w:rsidRPr="00D05498">
              <w:rPr>
                <w:webHidden/>
              </w:rPr>
              <w:fldChar w:fldCharType="end"/>
            </w:r>
          </w:hyperlink>
        </w:p>
        <w:p w14:paraId="31D09447" w14:textId="506B12EF" w:rsidR="00D05498" w:rsidRPr="00D05498" w:rsidRDefault="006650E3">
          <w:pPr>
            <w:pStyle w:val="31"/>
            <w:rPr>
              <w:rFonts w:eastAsiaTheme="minorEastAsia"/>
              <w:lang w:eastAsia="ru-RU"/>
            </w:rPr>
          </w:pPr>
          <w:hyperlink w:anchor="_Toc119313798" w:history="1">
            <w:r w:rsidR="00D05498" w:rsidRPr="00D05498">
              <w:rPr>
                <w:rStyle w:val="aa"/>
              </w:rPr>
              <w:t>5.3.6. Побочное действие</w:t>
            </w:r>
            <w:r w:rsidR="00D05498" w:rsidRPr="00D05498">
              <w:rPr>
                <w:webHidden/>
              </w:rPr>
              <w:tab/>
            </w:r>
            <w:r w:rsidR="00D05498" w:rsidRPr="00D05498">
              <w:rPr>
                <w:webHidden/>
              </w:rPr>
              <w:fldChar w:fldCharType="begin"/>
            </w:r>
            <w:r w:rsidR="00D05498" w:rsidRPr="00D05498">
              <w:rPr>
                <w:webHidden/>
              </w:rPr>
              <w:instrText xml:space="preserve"> PAGEREF _Toc119313798 \h </w:instrText>
            </w:r>
            <w:r w:rsidR="00D05498" w:rsidRPr="00D05498">
              <w:rPr>
                <w:webHidden/>
              </w:rPr>
            </w:r>
            <w:r w:rsidR="00D05498" w:rsidRPr="00D05498">
              <w:rPr>
                <w:webHidden/>
              </w:rPr>
              <w:fldChar w:fldCharType="separate"/>
            </w:r>
            <w:r w:rsidR="00D05498" w:rsidRPr="00D05498">
              <w:rPr>
                <w:webHidden/>
              </w:rPr>
              <w:t>99</w:t>
            </w:r>
            <w:r w:rsidR="00D05498" w:rsidRPr="00D05498">
              <w:rPr>
                <w:webHidden/>
              </w:rPr>
              <w:fldChar w:fldCharType="end"/>
            </w:r>
          </w:hyperlink>
        </w:p>
        <w:p w14:paraId="29D545E8" w14:textId="55B419AE" w:rsidR="00D05498" w:rsidRPr="00D05498" w:rsidRDefault="006650E3">
          <w:pPr>
            <w:pStyle w:val="31"/>
            <w:rPr>
              <w:rFonts w:eastAsiaTheme="minorEastAsia"/>
              <w:lang w:eastAsia="ru-RU"/>
            </w:rPr>
          </w:pPr>
          <w:hyperlink w:anchor="_Toc119313799" w:history="1">
            <w:r w:rsidR="00D05498" w:rsidRPr="00D05498">
              <w:rPr>
                <w:rStyle w:val="aa"/>
              </w:rPr>
              <w:t>5.3.7. Передозировка</w:t>
            </w:r>
            <w:r w:rsidR="00D05498" w:rsidRPr="00D05498">
              <w:rPr>
                <w:webHidden/>
              </w:rPr>
              <w:tab/>
            </w:r>
            <w:r w:rsidR="00D05498" w:rsidRPr="00D05498">
              <w:rPr>
                <w:webHidden/>
              </w:rPr>
              <w:fldChar w:fldCharType="begin"/>
            </w:r>
            <w:r w:rsidR="00D05498" w:rsidRPr="00D05498">
              <w:rPr>
                <w:webHidden/>
              </w:rPr>
              <w:instrText xml:space="preserve"> PAGEREF _Toc119313799 \h </w:instrText>
            </w:r>
            <w:r w:rsidR="00D05498" w:rsidRPr="00D05498">
              <w:rPr>
                <w:webHidden/>
              </w:rPr>
            </w:r>
            <w:r w:rsidR="00D05498" w:rsidRPr="00D05498">
              <w:rPr>
                <w:webHidden/>
              </w:rPr>
              <w:fldChar w:fldCharType="separate"/>
            </w:r>
            <w:r w:rsidR="00D05498" w:rsidRPr="00D05498">
              <w:rPr>
                <w:webHidden/>
              </w:rPr>
              <w:t>100</w:t>
            </w:r>
            <w:r w:rsidR="00D05498" w:rsidRPr="00D05498">
              <w:rPr>
                <w:webHidden/>
              </w:rPr>
              <w:fldChar w:fldCharType="end"/>
            </w:r>
          </w:hyperlink>
        </w:p>
        <w:p w14:paraId="75E78E26" w14:textId="73FC2249" w:rsidR="00D05498" w:rsidRPr="00D05498" w:rsidRDefault="006650E3">
          <w:pPr>
            <w:pStyle w:val="31"/>
            <w:rPr>
              <w:rFonts w:eastAsiaTheme="minorEastAsia"/>
              <w:lang w:eastAsia="ru-RU"/>
            </w:rPr>
          </w:pPr>
          <w:hyperlink w:anchor="_Toc119313800" w:history="1">
            <w:r w:rsidR="00D05498" w:rsidRPr="00D05498">
              <w:rPr>
                <w:rStyle w:val="aa"/>
              </w:rPr>
              <w:t xml:space="preserve">5.3.8. </w:t>
            </w:r>
            <w:r w:rsidR="00D05498" w:rsidRPr="00D05498">
              <w:rPr>
                <w:rStyle w:val="aa"/>
                <w:rFonts w:eastAsia="Courier New"/>
                <w:lang w:eastAsia="ru-RU" w:bidi="ru-RU"/>
              </w:rPr>
              <w:t>Взаимодействие с другими лекарственными средствами</w:t>
            </w:r>
            <w:r w:rsidR="00D05498" w:rsidRPr="00D05498">
              <w:rPr>
                <w:webHidden/>
              </w:rPr>
              <w:tab/>
            </w:r>
            <w:r w:rsidR="00D05498" w:rsidRPr="00D05498">
              <w:rPr>
                <w:webHidden/>
              </w:rPr>
              <w:fldChar w:fldCharType="begin"/>
            </w:r>
            <w:r w:rsidR="00D05498" w:rsidRPr="00D05498">
              <w:rPr>
                <w:webHidden/>
              </w:rPr>
              <w:instrText xml:space="preserve"> PAGEREF _Toc119313800 \h </w:instrText>
            </w:r>
            <w:r w:rsidR="00D05498" w:rsidRPr="00D05498">
              <w:rPr>
                <w:webHidden/>
              </w:rPr>
            </w:r>
            <w:r w:rsidR="00D05498" w:rsidRPr="00D05498">
              <w:rPr>
                <w:webHidden/>
              </w:rPr>
              <w:fldChar w:fldCharType="separate"/>
            </w:r>
            <w:r w:rsidR="00D05498" w:rsidRPr="00D05498">
              <w:rPr>
                <w:webHidden/>
              </w:rPr>
              <w:t>100</w:t>
            </w:r>
            <w:r w:rsidR="00D05498" w:rsidRPr="00D05498">
              <w:rPr>
                <w:webHidden/>
              </w:rPr>
              <w:fldChar w:fldCharType="end"/>
            </w:r>
          </w:hyperlink>
        </w:p>
        <w:p w14:paraId="4F4542D6" w14:textId="7AF5D78C" w:rsidR="00D05498" w:rsidRPr="00D05498" w:rsidRDefault="006650E3">
          <w:pPr>
            <w:pStyle w:val="31"/>
            <w:rPr>
              <w:rFonts w:eastAsiaTheme="minorEastAsia"/>
              <w:lang w:eastAsia="ru-RU"/>
            </w:rPr>
          </w:pPr>
          <w:hyperlink w:anchor="_Toc119313801" w:history="1">
            <w:r w:rsidR="00D05498" w:rsidRPr="00D05498">
              <w:rPr>
                <w:rStyle w:val="aa"/>
              </w:rPr>
              <w:t xml:space="preserve">5.3.9. </w:t>
            </w:r>
            <w:r w:rsidR="00D05498" w:rsidRPr="00D05498">
              <w:rPr>
                <w:rStyle w:val="aa"/>
                <w:rFonts w:eastAsia="Courier New"/>
                <w:lang w:eastAsia="ru-RU" w:bidi="ru-RU"/>
              </w:rPr>
              <w:t>Особые указания</w:t>
            </w:r>
            <w:r w:rsidR="00D05498" w:rsidRPr="00D05498">
              <w:rPr>
                <w:webHidden/>
              </w:rPr>
              <w:tab/>
            </w:r>
            <w:r w:rsidR="00D05498" w:rsidRPr="00D05498">
              <w:rPr>
                <w:webHidden/>
              </w:rPr>
              <w:fldChar w:fldCharType="begin"/>
            </w:r>
            <w:r w:rsidR="00D05498" w:rsidRPr="00D05498">
              <w:rPr>
                <w:webHidden/>
              </w:rPr>
              <w:instrText xml:space="preserve"> PAGEREF _Toc119313801 \h </w:instrText>
            </w:r>
            <w:r w:rsidR="00D05498" w:rsidRPr="00D05498">
              <w:rPr>
                <w:webHidden/>
              </w:rPr>
            </w:r>
            <w:r w:rsidR="00D05498" w:rsidRPr="00D05498">
              <w:rPr>
                <w:webHidden/>
              </w:rPr>
              <w:fldChar w:fldCharType="separate"/>
            </w:r>
            <w:r w:rsidR="00D05498" w:rsidRPr="00D05498">
              <w:rPr>
                <w:webHidden/>
              </w:rPr>
              <w:t>103</w:t>
            </w:r>
            <w:r w:rsidR="00D05498" w:rsidRPr="00D05498">
              <w:rPr>
                <w:webHidden/>
              </w:rPr>
              <w:fldChar w:fldCharType="end"/>
            </w:r>
          </w:hyperlink>
        </w:p>
        <w:p w14:paraId="2F21EF79" w14:textId="200C336B" w:rsidR="00D05498" w:rsidRPr="00D05498" w:rsidRDefault="006650E3">
          <w:pPr>
            <w:pStyle w:val="31"/>
            <w:rPr>
              <w:rFonts w:eastAsiaTheme="minorEastAsia"/>
              <w:lang w:eastAsia="ru-RU"/>
            </w:rPr>
          </w:pPr>
          <w:hyperlink w:anchor="_Toc119313802" w:history="1">
            <w:r w:rsidR="00D05498" w:rsidRPr="00D05498">
              <w:rPr>
                <w:rStyle w:val="aa"/>
              </w:rPr>
              <w:t>5.3.10 Влияние на способность управлять транспортными средствами и механизмами</w:t>
            </w:r>
            <w:r w:rsidR="00D05498" w:rsidRPr="00D05498">
              <w:rPr>
                <w:webHidden/>
              </w:rPr>
              <w:tab/>
            </w:r>
            <w:r w:rsidR="00D05498" w:rsidRPr="00D05498">
              <w:rPr>
                <w:webHidden/>
              </w:rPr>
              <w:fldChar w:fldCharType="begin"/>
            </w:r>
            <w:r w:rsidR="00D05498" w:rsidRPr="00D05498">
              <w:rPr>
                <w:webHidden/>
              </w:rPr>
              <w:instrText xml:space="preserve"> PAGEREF _Toc119313802 \h </w:instrText>
            </w:r>
            <w:r w:rsidR="00D05498" w:rsidRPr="00D05498">
              <w:rPr>
                <w:webHidden/>
              </w:rPr>
            </w:r>
            <w:r w:rsidR="00D05498" w:rsidRPr="00D05498">
              <w:rPr>
                <w:webHidden/>
              </w:rPr>
              <w:fldChar w:fldCharType="separate"/>
            </w:r>
            <w:r w:rsidR="00D05498" w:rsidRPr="00D05498">
              <w:rPr>
                <w:webHidden/>
              </w:rPr>
              <w:t>106</w:t>
            </w:r>
            <w:r w:rsidR="00D05498" w:rsidRPr="00D05498">
              <w:rPr>
                <w:webHidden/>
              </w:rPr>
              <w:fldChar w:fldCharType="end"/>
            </w:r>
          </w:hyperlink>
        </w:p>
        <w:p w14:paraId="43ECC5BB" w14:textId="7A213748" w:rsidR="00D05498" w:rsidRPr="00D05498" w:rsidRDefault="006650E3">
          <w:pPr>
            <w:pStyle w:val="14"/>
            <w:rPr>
              <w:rFonts w:eastAsiaTheme="minorEastAsia"/>
              <w:noProof/>
              <w:lang w:eastAsia="ru-RU"/>
            </w:rPr>
          </w:pPr>
          <w:hyperlink w:anchor="_Toc119313803" w:history="1">
            <w:r w:rsidR="00D05498" w:rsidRPr="00D05498">
              <w:rPr>
                <w:rStyle w:val="aa"/>
                <w:noProof/>
              </w:rPr>
              <w:t>6. ЗАКЛЮЧЕНИЕ</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_Toc119313803 \h </w:instrText>
            </w:r>
            <w:r w:rsidR="00D05498" w:rsidRPr="00D05498">
              <w:rPr>
                <w:noProof/>
                <w:webHidden/>
              </w:rPr>
            </w:r>
            <w:r w:rsidR="00D05498" w:rsidRPr="00D05498">
              <w:rPr>
                <w:noProof/>
                <w:webHidden/>
              </w:rPr>
              <w:fldChar w:fldCharType="separate"/>
            </w:r>
            <w:r w:rsidR="00D05498" w:rsidRPr="00D05498">
              <w:rPr>
                <w:noProof/>
                <w:webHidden/>
              </w:rPr>
              <w:t>106</w:t>
            </w:r>
            <w:r w:rsidR="00D05498" w:rsidRPr="00D05498">
              <w:rPr>
                <w:noProof/>
                <w:webHidden/>
              </w:rPr>
              <w:fldChar w:fldCharType="end"/>
            </w:r>
          </w:hyperlink>
        </w:p>
        <w:p w14:paraId="6D6A696D" w14:textId="26785D8F" w:rsidR="00D05498" w:rsidRPr="00D05498" w:rsidRDefault="006650E3">
          <w:pPr>
            <w:pStyle w:val="14"/>
            <w:rPr>
              <w:rFonts w:eastAsiaTheme="minorEastAsia"/>
              <w:noProof/>
              <w:lang w:eastAsia="ru-RU"/>
            </w:rPr>
          </w:pPr>
          <w:hyperlink w:anchor="_Toc119313804" w:history="1">
            <w:r w:rsidR="00D05498" w:rsidRPr="00D05498">
              <w:rPr>
                <w:rStyle w:val="aa"/>
                <w:bCs/>
                <w:noProof/>
                <w:kern w:val="32"/>
              </w:rPr>
              <w:t>ПРИЛОЖЕНИЯ</w:t>
            </w:r>
            <w:r w:rsidR="00D05498" w:rsidRPr="00D05498">
              <w:rPr>
                <w:noProof/>
                <w:webHidden/>
              </w:rPr>
              <w:tab/>
            </w:r>
            <w:r w:rsidR="00D05498" w:rsidRPr="00D05498">
              <w:rPr>
                <w:noProof/>
                <w:webHidden/>
              </w:rPr>
              <w:fldChar w:fldCharType="begin"/>
            </w:r>
            <w:r w:rsidR="00D05498" w:rsidRPr="00D05498">
              <w:rPr>
                <w:noProof/>
                <w:webHidden/>
              </w:rPr>
              <w:instrText xml:space="preserve"> PAGEREF _Toc119313804 \h </w:instrText>
            </w:r>
            <w:r w:rsidR="00D05498" w:rsidRPr="00D05498">
              <w:rPr>
                <w:noProof/>
                <w:webHidden/>
              </w:rPr>
            </w:r>
            <w:r w:rsidR="00D05498" w:rsidRPr="00D05498">
              <w:rPr>
                <w:noProof/>
                <w:webHidden/>
              </w:rPr>
              <w:fldChar w:fldCharType="separate"/>
            </w:r>
            <w:r w:rsidR="00D05498" w:rsidRPr="00D05498">
              <w:rPr>
                <w:noProof/>
                <w:webHidden/>
              </w:rPr>
              <w:t>108</w:t>
            </w:r>
            <w:r w:rsidR="00D05498" w:rsidRPr="00D05498">
              <w:rPr>
                <w:noProof/>
                <w:webHidden/>
              </w:rPr>
              <w:fldChar w:fldCharType="end"/>
            </w:r>
          </w:hyperlink>
        </w:p>
        <w:p w14:paraId="7D20B913" w14:textId="29B6C58F" w:rsidR="00D3026A" w:rsidRPr="00D05498" w:rsidRDefault="008A7500" w:rsidP="00D3026A">
          <w:pPr>
            <w:spacing w:after="0" w:line="240" w:lineRule="auto"/>
          </w:pPr>
          <w:r w:rsidRPr="00D05498">
            <w:lastRenderedPageBreak/>
            <w:fldChar w:fldCharType="end"/>
          </w:r>
        </w:p>
      </w:sdtContent>
    </w:sdt>
    <w:p w14:paraId="694066B9" w14:textId="77777777" w:rsidR="005865EB" w:rsidRPr="00D05498" w:rsidRDefault="005865EB" w:rsidP="005865EB"/>
    <w:p w14:paraId="4C810139" w14:textId="77777777" w:rsidR="005865EB" w:rsidRPr="00D05498" w:rsidRDefault="005865EB" w:rsidP="005865EB"/>
    <w:p w14:paraId="2C9ACB79" w14:textId="77777777" w:rsidR="005865EB" w:rsidRPr="00D05498" w:rsidRDefault="005865EB" w:rsidP="005865EB"/>
    <w:p w14:paraId="4EC9B04B" w14:textId="77777777" w:rsidR="005865EB" w:rsidRPr="005865EB" w:rsidRDefault="005865EB" w:rsidP="005865EB"/>
    <w:p w14:paraId="3D7B0B5B" w14:textId="1FEC8087" w:rsidR="00856CA4" w:rsidRPr="005865EB" w:rsidRDefault="00856CA4" w:rsidP="005865EB">
      <w:pPr>
        <w:tabs>
          <w:tab w:val="center" w:pos="4678"/>
        </w:tabs>
        <w:sectPr w:rsidR="00856CA4" w:rsidRPr="005865EB"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4F5AB4E0" w14:textId="18939B2E" w:rsidR="00A26EEC" w:rsidRPr="00707D60" w:rsidRDefault="00B16F11" w:rsidP="00707D60">
      <w:pPr>
        <w:spacing w:after="240" w:line="240" w:lineRule="auto"/>
        <w:outlineLvl w:val="0"/>
        <w:rPr>
          <w:b/>
        </w:rPr>
      </w:pPr>
      <w:bookmarkStart w:id="6" w:name="_Toc115217899"/>
      <w:bookmarkStart w:id="7" w:name="_Toc118124130"/>
      <w:bookmarkStart w:id="8" w:name="_Toc119313704"/>
      <w:r w:rsidRPr="00707D60">
        <w:rPr>
          <w:b/>
        </w:rPr>
        <w:lastRenderedPageBreak/>
        <w:t>ЛИСТ СОГЛАСОВАНИЯ</w:t>
      </w:r>
      <w:bookmarkEnd w:id="6"/>
      <w:bookmarkEnd w:id="7"/>
      <w:bookmarkEnd w:id="8"/>
    </w:p>
    <w:p w14:paraId="4B997ACD" w14:textId="60A96E40" w:rsidR="007D5382" w:rsidRPr="00A650F3" w:rsidRDefault="00A26EEC" w:rsidP="00A650F3">
      <w:pPr>
        <w:spacing w:after="0" w:line="240" w:lineRule="auto"/>
        <w:contextualSpacing/>
      </w:pPr>
      <w:r w:rsidRPr="00707D60">
        <w:t>к версии № 1.</w:t>
      </w:r>
      <w:r w:rsidRPr="00567BD3">
        <w:t xml:space="preserve">0 от </w:t>
      </w:r>
      <w:r w:rsidR="00567BD3" w:rsidRPr="00567BD3">
        <w:t>10</w:t>
      </w:r>
      <w:r w:rsidR="001D2376" w:rsidRPr="00567BD3">
        <w:t xml:space="preserve"> </w:t>
      </w:r>
      <w:r w:rsidR="00693820" w:rsidRPr="00567BD3">
        <w:t>ноября</w:t>
      </w:r>
      <w:r w:rsidRPr="00567BD3">
        <w:t xml:space="preserve"> 2022 г. </w:t>
      </w:r>
      <w:r w:rsidR="007D5382" w:rsidRPr="00567BD3">
        <w:t xml:space="preserve">Брошюры исследователя по </w:t>
      </w:r>
      <w:r w:rsidR="00D74B4F" w:rsidRPr="00567BD3">
        <w:rPr>
          <w:b/>
        </w:rPr>
        <w:t xml:space="preserve">препарату </w:t>
      </w:r>
      <w:r w:rsidR="00D74B4F" w:rsidRPr="00567BD3">
        <w:rPr>
          <w:b/>
          <w:lang w:val="en-US"/>
        </w:rPr>
        <w:t>DT</w:t>
      </w:r>
      <w:r w:rsidR="00D74B4F" w:rsidRPr="00567BD3">
        <w:rPr>
          <w:b/>
        </w:rPr>
        <w:t>-</w:t>
      </w:r>
      <w:r w:rsidR="00D74B4F" w:rsidRPr="00567BD3">
        <w:rPr>
          <w:b/>
          <w:lang w:val="en-US"/>
        </w:rPr>
        <w:t>EVR</w:t>
      </w:r>
      <w:r w:rsidR="00303A5C" w:rsidRPr="00567BD3">
        <w:rPr>
          <w:b/>
        </w:rPr>
        <w:t xml:space="preserve"> (МНН: эверолимус)</w:t>
      </w:r>
      <w:r w:rsidR="007D5382" w:rsidRPr="00567BD3">
        <w:rPr>
          <w:b/>
        </w:rPr>
        <w:t xml:space="preserve">, таблетки, </w:t>
      </w:r>
      <w:r w:rsidR="001D2376" w:rsidRPr="00567BD3">
        <w:rPr>
          <w:b/>
        </w:rPr>
        <w:t>0,75</w:t>
      </w:r>
      <w:r w:rsidR="007D5382" w:rsidRPr="00567BD3">
        <w:rPr>
          <w:b/>
        </w:rPr>
        <w:t xml:space="preserve"> мг</w:t>
      </w:r>
      <w:r w:rsidR="00BC7E97" w:rsidRPr="00567BD3">
        <w:rPr>
          <w:b/>
        </w:rPr>
        <w:t xml:space="preserve"> </w:t>
      </w:r>
      <w:r w:rsidR="00BC7E97" w:rsidRPr="00567BD3">
        <w:t>(</w:t>
      </w:r>
      <w:r w:rsidR="00D74B4F" w:rsidRPr="00567BD3">
        <w:t>получатель РУ</w:t>
      </w:r>
      <w:r w:rsidR="00BC7E97" w:rsidRPr="00567BD3">
        <w:t>: АО «Р-Фарм», Россия</w:t>
      </w:r>
      <w:r w:rsidR="00B93177" w:rsidRPr="00567BD3">
        <w:t>; производитель: АО «ОРТАТ»</w:t>
      </w:r>
      <w:r w:rsidR="00303A5C" w:rsidRPr="00567BD3">
        <w:t>, Россия</w:t>
      </w:r>
      <w:r w:rsidR="00BC7E97" w:rsidRPr="00567BD3">
        <w:t>)</w:t>
      </w:r>
      <w:r w:rsidR="00A66A77" w:rsidRPr="00567BD3">
        <w:t>, являющегося воспроизведенным препаратом по отношению к оригинальному препарату</w:t>
      </w:r>
      <w:r w:rsidR="00A66A77" w:rsidRPr="00707D60">
        <w:t xml:space="preserve"> </w:t>
      </w:r>
      <w:r w:rsidR="001D2376" w:rsidRPr="00E22061">
        <w:t>Сертикан</w:t>
      </w:r>
      <w:r w:rsidR="00512F40" w:rsidRPr="00E22061">
        <w:rPr>
          <w:vertAlign w:val="superscript"/>
        </w:rPr>
        <w:t>®</w:t>
      </w:r>
      <w:r w:rsidR="00512F40" w:rsidRPr="00707D60">
        <w:t xml:space="preserve"> </w:t>
      </w:r>
      <w:r w:rsidR="00A66A77" w:rsidRPr="00707D60">
        <w:t xml:space="preserve">(МНН: </w:t>
      </w:r>
      <w:r w:rsidR="00512F40" w:rsidRPr="00707D60">
        <w:t>эверолимус</w:t>
      </w:r>
      <w:r w:rsidR="00BC7E97" w:rsidRPr="00707D60">
        <w:t>)</w:t>
      </w:r>
      <w:r w:rsidR="00A66A77" w:rsidRPr="00707D60">
        <w:t xml:space="preserve">, таблетки, </w:t>
      </w:r>
      <w:r w:rsidR="001D2376" w:rsidRPr="00E22061">
        <w:t xml:space="preserve">0,75 </w:t>
      </w:r>
      <w:r w:rsidR="00512F40" w:rsidRPr="00E22061">
        <w:t>мг</w:t>
      </w:r>
      <w:r w:rsidR="00512F40" w:rsidRPr="00707D60">
        <w:t xml:space="preserve"> </w:t>
      </w:r>
      <w:r w:rsidR="00BC7E97" w:rsidRPr="00707D60">
        <w:t>(</w:t>
      </w:r>
      <w:r w:rsidR="00D74B4F" w:rsidRPr="00A650F3">
        <w:rPr>
          <w:rFonts w:eastAsia="Calibri"/>
          <w:bCs/>
        </w:rPr>
        <w:t>владелец РУ: Новартис Фарма АГ, Швейцария;</w:t>
      </w:r>
      <w:r w:rsidR="00D74B4F" w:rsidRPr="00A650F3">
        <w:t xml:space="preserve"> </w:t>
      </w:r>
      <w:r w:rsidR="00BC7E97" w:rsidRPr="00A650F3">
        <w:t>производитель:</w:t>
      </w:r>
      <w:r w:rsidR="001D2376" w:rsidRPr="00A650F3">
        <w:t xml:space="preserve"> ООО «Новартис Нева»,</w:t>
      </w:r>
      <w:r w:rsidR="00BC7E97" w:rsidRPr="00A650F3">
        <w:t xml:space="preserve"> </w:t>
      </w:r>
      <w:r w:rsidR="001D2376" w:rsidRPr="00A650F3">
        <w:rPr>
          <w:rFonts w:eastAsia="Calibri"/>
          <w:bCs/>
        </w:rPr>
        <w:t>Россия</w:t>
      </w:r>
      <w:r w:rsidR="00BC7E97" w:rsidRPr="00A650F3">
        <w:t>)</w:t>
      </w:r>
      <w:r w:rsidR="00A66A77" w:rsidRPr="00A650F3">
        <w:t>.</w:t>
      </w:r>
    </w:p>
    <w:p w14:paraId="428EF5FF" w14:textId="77777777" w:rsidR="00520493" w:rsidRPr="00A650F3" w:rsidRDefault="00520493" w:rsidP="00A650F3">
      <w:pPr>
        <w:spacing w:after="0" w:line="240" w:lineRule="auto"/>
        <w:contextualSpacing/>
        <w:rPr>
          <w:b/>
        </w:rPr>
      </w:pPr>
    </w:p>
    <w:p w14:paraId="54EC518E" w14:textId="09018669" w:rsidR="00E22061" w:rsidRPr="00A650F3" w:rsidRDefault="007D5382" w:rsidP="00A650F3">
      <w:pPr>
        <w:spacing w:after="0" w:line="240" w:lineRule="auto"/>
        <w:contextualSpacing/>
      </w:pPr>
      <w:r w:rsidRPr="00A650F3">
        <w:rPr>
          <w:b/>
        </w:rPr>
        <w:t>Заявляемые показания:</w:t>
      </w:r>
      <w:r w:rsidRPr="00A650F3">
        <w:t xml:space="preserve"> </w:t>
      </w:r>
    </w:p>
    <w:p w14:paraId="11CD6C35" w14:textId="77777777" w:rsidR="00E22061" w:rsidRPr="00A650F3" w:rsidRDefault="00E22061" w:rsidP="00A650F3">
      <w:pPr>
        <w:pStyle w:val="af3"/>
        <w:numPr>
          <w:ilvl w:val="0"/>
          <w:numId w:val="14"/>
        </w:numPr>
        <w:spacing w:after="0" w:line="240" w:lineRule="auto"/>
        <w:ind w:left="426"/>
        <w:rPr>
          <w:lang w:eastAsia="ru-RU"/>
        </w:rPr>
      </w:pPr>
      <w:r w:rsidRPr="00A650F3">
        <w:rPr>
          <w:lang w:eastAsia="ru-RU"/>
        </w:rPr>
        <w:t>Трансплантация почки и сердца.</w:t>
      </w:r>
    </w:p>
    <w:p w14:paraId="27DE983F" w14:textId="5EC75FE4" w:rsidR="008F6195" w:rsidRPr="00A650F3" w:rsidRDefault="00E22061" w:rsidP="00A650F3">
      <w:pPr>
        <w:spacing w:after="0" w:line="240" w:lineRule="auto"/>
        <w:ind w:left="66"/>
        <w:contextualSpacing/>
        <w:rPr>
          <w:lang w:eastAsia="ru-RU"/>
        </w:rPr>
      </w:pPr>
      <w:r w:rsidRPr="00A650F3">
        <w:rPr>
          <w:lang w:eastAsia="ru-RU"/>
        </w:rPr>
        <w:t>Профилактика отторжения трансплантата у взрослых реципиентов почки и сердца с низким и средним иммунологическим риском, получающих базовую иммуносупрессивную терапия циклоспорином в форме микроэмульсии и глюкокортикостероидами.</w:t>
      </w:r>
    </w:p>
    <w:p w14:paraId="21835ED6" w14:textId="09DF7E79" w:rsidR="008F6195" w:rsidRPr="00A650F3" w:rsidRDefault="00E22061" w:rsidP="00A650F3">
      <w:pPr>
        <w:pStyle w:val="af3"/>
        <w:numPr>
          <w:ilvl w:val="0"/>
          <w:numId w:val="14"/>
        </w:numPr>
        <w:spacing w:after="0" w:line="240" w:lineRule="auto"/>
        <w:ind w:left="426"/>
        <w:rPr>
          <w:lang w:eastAsia="ru-RU"/>
        </w:rPr>
      </w:pPr>
      <w:r w:rsidRPr="00A650F3">
        <w:rPr>
          <w:lang w:eastAsia="ru-RU"/>
        </w:rPr>
        <w:t>Трансплантация печени</w:t>
      </w:r>
      <w:r w:rsidR="008F6195" w:rsidRPr="00A650F3">
        <w:rPr>
          <w:lang w:eastAsia="ru-RU"/>
        </w:rPr>
        <w:t>.</w:t>
      </w:r>
    </w:p>
    <w:p w14:paraId="5E03B043" w14:textId="528E38B3" w:rsidR="00E22061" w:rsidRPr="00A650F3" w:rsidRDefault="00E22061" w:rsidP="00A650F3">
      <w:pPr>
        <w:spacing w:after="0" w:line="240" w:lineRule="auto"/>
        <w:ind w:left="66"/>
        <w:contextualSpacing/>
        <w:rPr>
          <w:lang w:eastAsia="ru-RU"/>
        </w:rPr>
      </w:pPr>
      <w:r w:rsidRPr="00A650F3">
        <w:rPr>
          <w:lang w:eastAsia="ru-RU"/>
        </w:rPr>
        <w:t>Профилактика отторжения трансплантата у реципиентов печени с низки</w:t>
      </w:r>
      <w:r w:rsidR="007B4992">
        <w:rPr>
          <w:lang w:eastAsia="ru-RU"/>
        </w:rPr>
        <w:t>м</w:t>
      </w:r>
      <w:r w:rsidRPr="00A650F3">
        <w:rPr>
          <w:lang w:eastAsia="ru-RU"/>
        </w:rPr>
        <w:t xml:space="preserve"> и средним иммунологическим риском, получающих базовую иммуносупрессивную терапия такролимусом и глюкокортикостероидами.</w:t>
      </w:r>
    </w:p>
    <w:p w14:paraId="01EA5200" w14:textId="17CF730E" w:rsidR="00520493" w:rsidRPr="00A650F3" w:rsidRDefault="00520493" w:rsidP="00A650F3">
      <w:pPr>
        <w:spacing w:after="0" w:line="240" w:lineRule="auto"/>
        <w:contextualSpacing/>
        <w:rPr>
          <w:highlight w:val="yellow"/>
          <w:lang w:eastAsia="ru-RU"/>
        </w:rPr>
      </w:pPr>
    </w:p>
    <w:p w14:paraId="59B7325C" w14:textId="69EE0CB6" w:rsidR="00520493" w:rsidRPr="00707D60" w:rsidRDefault="00A26EEC" w:rsidP="00A650F3">
      <w:pPr>
        <w:spacing w:after="0" w:line="240" w:lineRule="auto"/>
        <w:ind w:firstLine="709"/>
        <w:contextualSpacing/>
        <w:rPr>
          <w:szCs w:val="20"/>
          <w:lang w:eastAsia="ru-RU"/>
        </w:rPr>
      </w:pPr>
      <w:r w:rsidRPr="00A650F3">
        <w:rPr>
          <w:lang w:eastAsia="ru-RU"/>
        </w:rPr>
        <w:t xml:space="preserve">Я, нижеподписавшийся, одобряю </w:t>
      </w:r>
      <w:r w:rsidR="00520493" w:rsidRPr="00A650F3">
        <w:rPr>
          <w:lang w:eastAsia="ru-RU"/>
        </w:rPr>
        <w:t>Брошюру</w:t>
      </w:r>
      <w:r w:rsidRPr="00A650F3">
        <w:rPr>
          <w:lang w:eastAsia="ru-RU"/>
        </w:rPr>
        <w:t xml:space="preserve"> исследова</w:t>
      </w:r>
      <w:r w:rsidR="00520493" w:rsidRPr="00A650F3">
        <w:rPr>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A650F3">
        <w:rPr>
          <w:lang w:eastAsia="ru-RU"/>
        </w:rPr>
        <w:t xml:space="preserve"> сравнения</w:t>
      </w:r>
      <w:r w:rsidR="00520493" w:rsidRPr="00A650F3">
        <w:rPr>
          <w:lang w:eastAsia="ru-RU"/>
        </w:rPr>
        <w:t>, о результатах основных доклинических и клинических исследований, проведенных в рамках программы регистрации</w:t>
      </w:r>
      <w:r w:rsidR="00520493" w:rsidRPr="00707D60">
        <w:rPr>
          <w:szCs w:val="20"/>
          <w:lang w:eastAsia="ru-RU"/>
        </w:rPr>
        <w:t xml:space="preserve"> оригинального препарата,</w:t>
      </w:r>
      <w:r w:rsidR="00A66A77" w:rsidRPr="00707D60">
        <w:rPr>
          <w:szCs w:val="20"/>
          <w:lang w:eastAsia="ru-RU"/>
        </w:rPr>
        <w:t xml:space="preserve"> а также об актуальных рекомендациях по применению оригинального препарата и связанных рисках</w:t>
      </w:r>
      <w:r w:rsidR="00520493" w:rsidRPr="00707D60">
        <w:rPr>
          <w:szCs w:val="20"/>
          <w:lang w:eastAsia="ru-RU"/>
        </w:rPr>
        <w:t>.</w:t>
      </w:r>
      <w:r w:rsidRPr="00707D60">
        <w:rPr>
          <w:szCs w:val="20"/>
          <w:lang w:eastAsia="ru-RU"/>
        </w:rPr>
        <w:t xml:space="preserve"> </w:t>
      </w:r>
    </w:p>
    <w:p w14:paraId="74A4F700" w14:textId="0F911F8A" w:rsidR="00A26EEC" w:rsidRPr="00707D60" w:rsidRDefault="00A26EEC" w:rsidP="00707D60">
      <w:pPr>
        <w:spacing w:after="0" w:line="240" w:lineRule="auto"/>
        <w:ind w:firstLine="709"/>
        <w:rPr>
          <w:szCs w:val="20"/>
          <w:lang w:eastAsia="ru-RU"/>
        </w:rPr>
      </w:pPr>
      <w:r w:rsidRPr="00707D60">
        <w:rPr>
          <w:szCs w:val="20"/>
          <w:lang w:eastAsia="ru-RU"/>
        </w:rPr>
        <w:t>Информация, содержащаяся в данно</w:t>
      </w:r>
      <w:r w:rsidR="00520493" w:rsidRPr="00707D60">
        <w:rPr>
          <w:szCs w:val="20"/>
          <w:lang w:eastAsia="ru-RU"/>
        </w:rPr>
        <w:t>й</w:t>
      </w:r>
      <w:r w:rsidRPr="00707D60">
        <w:rPr>
          <w:szCs w:val="20"/>
          <w:lang w:eastAsia="ru-RU"/>
        </w:rPr>
        <w:t xml:space="preserve"> </w:t>
      </w:r>
      <w:r w:rsidR="00520493" w:rsidRPr="00707D60">
        <w:rPr>
          <w:szCs w:val="20"/>
          <w:lang w:eastAsia="ru-RU"/>
        </w:rPr>
        <w:t>Брошюре исследователя</w:t>
      </w:r>
      <w:r w:rsidRPr="00707D60">
        <w:rPr>
          <w:szCs w:val="20"/>
          <w:lang w:eastAsia="ru-RU"/>
        </w:rPr>
        <w:t xml:space="preserve">, соответствует текущей оценке риска и пользы исследуемого(ых) препарата(ов). </w:t>
      </w:r>
      <w:r w:rsidR="00520493" w:rsidRPr="00707D60">
        <w:rPr>
          <w:szCs w:val="20"/>
          <w:lang w:eastAsia="ru-RU"/>
        </w:rPr>
        <w:t>Брошюра</w:t>
      </w:r>
      <w:r w:rsidRPr="00707D60">
        <w:rPr>
          <w:szCs w:val="20"/>
          <w:lang w:eastAsia="ru-RU"/>
        </w:rPr>
        <w:t xml:space="preserve"> был</w:t>
      </w:r>
      <w:r w:rsidR="00520493" w:rsidRPr="00707D60">
        <w:rPr>
          <w:szCs w:val="20"/>
          <w:lang w:eastAsia="ru-RU"/>
        </w:rPr>
        <w:t>а</w:t>
      </w:r>
      <w:r w:rsidRPr="00707D60">
        <w:rPr>
          <w:szCs w:val="20"/>
          <w:lang w:eastAsia="ru-RU"/>
        </w:rPr>
        <w:t xml:space="preserve"> подвергнут</w:t>
      </w:r>
      <w:r w:rsidR="00520493" w:rsidRPr="00707D60">
        <w:rPr>
          <w:szCs w:val="20"/>
          <w:lang w:eastAsia="ru-RU"/>
        </w:rPr>
        <w:t>а</w:t>
      </w:r>
      <w:r w:rsidRPr="00707D60">
        <w:rPr>
          <w:szCs w:val="20"/>
          <w:lang w:eastAsia="ru-RU"/>
        </w:rPr>
        <w:t xml:space="preserve"> критической проверке и был</w:t>
      </w:r>
      <w:r w:rsidR="00520493" w:rsidRPr="00707D60">
        <w:rPr>
          <w:szCs w:val="20"/>
          <w:lang w:eastAsia="ru-RU"/>
        </w:rPr>
        <w:t>а</w:t>
      </w:r>
      <w:r w:rsidRPr="00707D60">
        <w:rPr>
          <w:szCs w:val="20"/>
          <w:lang w:eastAsia="ru-RU"/>
        </w:rPr>
        <w:t xml:space="preserve"> одобрен</w:t>
      </w:r>
      <w:r w:rsidR="00520493" w:rsidRPr="00707D60">
        <w:rPr>
          <w:szCs w:val="20"/>
          <w:lang w:eastAsia="ru-RU"/>
        </w:rPr>
        <w:t>а</w:t>
      </w:r>
      <w:r w:rsidRPr="00707D60">
        <w:rPr>
          <w:szCs w:val="20"/>
          <w:lang w:eastAsia="ru-RU"/>
        </w:rPr>
        <w:t xml:space="preserve"> уполномоченными сотрудниками компании-Спонсора.</w:t>
      </w:r>
    </w:p>
    <w:p w14:paraId="02F7A2F6" w14:textId="65D77540" w:rsidR="00A26EEC" w:rsidRPr="00707D60" w:rsidRDefault="00A26EEC" w:rsidP="00707D60">
      <w:pPr>
        <w:spacing w:after="0" w:line="240" w:lineRule="auto"/>
        <w:ind w:firstLine="709"/>
        <w:rPr>
          <w:szCs w:val="20"/>
          <w:lang w:eastAsia="ru-RU"/>
        </w:rPr>
      </w:pPr>
      <w:r w:rsidRPr="00707D60">
        <w:rPr>
          <w:szCs w:val="20"/>
          <w:lang w:eastAsia="ru-RU"/>
        </w:rPr>
        <w:t xml:space="preserve"> </w:t>
      </w:r>
    </w:p>
    <w:tbl>
      <w:tblPr>
        <w:tblW w:w="9640" w:type="dxa"/>
        <w:tblInd w:w="-142" w:type="dxa"/>
        <w:tblLook w:val="04A0" w:firstRow="1" w:lastRow="0" w:firstColumn="1" w:lastColumn="0" w:noHBand="0" w:noVBand="1"/>
      </w:tblPr>
      <w:tblGrid>
        <w:gridCol w:w="5103"/>
        <w:gridCol w:w="4537"/>
      </w:tblGrid>
      <w:tr w:rsidR="00C9128E" w:rsidRPr="00707D60" w14:paraId="129E12C9" w14:textId="77777777" w:rsidTr="006443FB">
        <w:tc>
          <w:tcPr>
            <w:tcW w:w="5103" w:type="dxa"/>
          </w:tcPr>
          <w:p w14:paraId="705A1BBC" w14:textId="77777777" w:rsidR="00C9128E" w:rsidRDefault="00C9128E" w:rsidP="00C9128E">
            <w:pPr>
              <w:spacing w:after="0" w:line="240" w:lineRule="auto"/>
              <w:rPr>
                <w:b/>
                <w:lang w:eastAsia="ru-RU"/>
              </w:rPr>
            </w:pPr>
            <w:r>
              <w:rPr>
                <w:b/>
                <w:lang w:eastAsia="ru-RU"/>
              </w:rPr>
              <w:t>Представитель Спонсора:</w:t>
            </w:r>
          </w:p>
          <w:p w14:paraId="4BE6EF36" w14:textId="77777777" w:rsidR="00C9128E" w:rsidRDefault="00C9128E" w:rsidP="00C9128E">
            <w:pPr>
              <w:spacing w:after="0" w:line="240" w:lineRule="auto"/>
              <w:rPr>
                <w:lang w:eastAsia="ru-RU"/>
              </w:rPr>
            </w:pPr>
            <w:r>
              <w:rPr>
                <w:lang w:eastAsia="ru-RU"/>
              </w:rPr>
              <w:t>Филон Ольга Владимировна</w:t>
            </w:r>
          </w:p>
          <w:p w14:paraId="7573C474" w14:textId="77777777" w:rsidR="00C9128E" w:rsidRDefault="00C9128E" w:rsidP="00C9128E">
            <w:pPr>
              <w:spacing w:after="0" w:line="240" w:lineRule="auto"/>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03C61A25" w14:textId="77777777" w:rsidR="00C9128E" w:rsidRPr="00707D60" w:rsidRDefault="00C9128E" w:rsidP="00C9128E">
            <w:pPr>
              <w:spacing w:after="0" w:line="240" w:lineRule="auto"/>
              <w:ind w:left="-108"/>
              <w:rPr>
                <w:b/>
                <w:vertAlign w:val="superscript"/>
                <w:lang w:eastAsia="ru-RU"/>
              </w:rPr>
            </w:pPr>
          </w:p>
        </w:tc>
        <w:tc>
          <w:tcPr>
            <w:tcW w:w="4537" w:type="dxa"/>
          </w:tcPr>
          <w:p w14:paraId="620F2DE3" w14:textId="77777777" w:rsidR="00C9128E" w:rsidRDefault="00C9128E" w:rsidP="00C9128E">
            <w:pPr>
              <w:spacing w:after="0" w:line="240" w:lineRule="auto"/>
              <w:rPr>
                <w:lang w:eastAsia="ru-RU"/>
              </w:rPr>
            </w:pPr>
          </w:p>
          <w:p w14:paraId="7B6039B3" w14:textId="77777777" w:rsidR="00C9128E" w:rsidRDefault="00C9128E" w:rsidP="00C9128E">
            <w:pPr>
              <w:spacing w:after="0" w:line="240" w:lineRule="auto"/>
              <w:jc w:val="center"/>
              <w:rPr>
                <w:lang w:eastAsia="ru-RU"/>
              </w:rPr>
            </w:pPr>
          </w:p>
          <w:p w14:paraId="359278DF" w14:textId="77777777" w:rsidR="00C9128E" w:rsidRDefault="00C9128E" w:rsidP="00C9128E">
            <w:pPr>
              <w:spacing w:after="0" w:line="240" w:lineRule="auto"/>
              <w:jc w:val="center"/>
              <w:rPr>
                <w:lang w:eastAsia="ru-RU"/>
              </w:rPr>
            </w:pPr>
            <w:r>
              <w:rPr>
                <w:lang w:eastAsia="ru-RU"/>
              </w:rPr>
              <w:t>______________________________</w:t>
            </w:r>
          </w:p>
          <w:p w14:paraId="4F33CBC4" w14:textId="77777777" w:rsidR="00C9128E" w:rsidRDefault="00C9128E" w:rsidP="00C9128E">
            <w:pPr>
              <w:spacing w:after="0" w:line="240" w:lineRule="auto"/>
              <w:jc w:val="center"/>
              <w:rPr>
                <w:vertAlign w:val="superscript"/>
                <w:lang w:eastAsia="ru-RU"/>
              </w:rPr>
            </w:pPr>
            <w:r>
              <w:rPr>
                <w:vertAlign w:val="superscript"/>
                <w:lang w:eastAsia="ru-RU"/>
              </w:rPr>
              <w:t>Подпись</w:t>
            </w:r>
          </w:p>
          <w:p w14:paraId="111D065B" w14:textId="77777777" w:rsidR="00C9128E" w:rsidRDefault="00C9128E" w:rsidP="00C9128E">
            <w:pPr>
              <w:spacing w:after="0" w:line="240" w:lineRule="auto"/>
              <w:jc w:val="center"/>
              <w:rPr>
                <w:lang w:eastAsia="ru-RU"/>
              </w:rPr>
            </w:pPr>
            <w:r>
              <w:rPr>
                <w:lang w:eastAsia="ru-RU"/>
              </w:rPr>
              <w:t>______________________________</w:t>
            </w:r>
          </w:p>
          <w:p w14:paraId="77B26A1F" w14:textId="218996F8" w:rsidR="00C9128E" w:rsidRPr="00707D60" w:rsidRDefault="00C9128E" w:rsidP="00C9128E">
            <w:pPr>
              <w:spacing w:after="0" w:line="240" w:lineRule="auto"/>
              <w:jc w:val="center"/>
              <w:rPr>
                <w:sz w:val="20"/>
                <w:szCs w:val="20"/>
                <w:lang w:eastAsia="ru-RU"/>
              </w:rPr>
            </w:pPr>
            <w:r>
              <w:rPr>
                <w:vertAlign w:val="superscript"/>
                <w:lang w:eastAsia="ru-RU"/>
              </w:rPr>
              <w:t>Дата</w:t>
            </w:r>
          </w:p>
        </w:tc>
      </w:tr>
    </w:tbl>
    <w:p w14:paraId="5E9E2B30" w14:textId="1316D1A0" w:rsidR="00A26EEC" w:rsidRPr="00707D60" w:rsidRDefault="00A26EEC" w:rsidP="00707D60">
      <w:pPr>
        <w:spacing w:line="240" w:lineRule="auto"/>
        <w:jc w:val="left"/>
        <w:rPr>
          <w:b/>
          <w:bCs/>
          <w:color w:val="000000" w:themeColor="text1"/>
          <w:kern w:val="32"/>
          <w:szCs w:val="32"/>
        </w:rPr>
      </w:pPr>
      <w:r w:rsidRPr="00707D60">
        <w:rPr>
          <w:color w:val="000000" w:themeColor="text1"/>
        </w:rPr>
        <w:br w:type="page"/>
      </w:r>
    </w:p>
    <w:p w14:paraId="527ECB97" w14:textId="2E4D17FE" w:rsidR="00BF29B1" w:rsidRPr="00155DDD" w:rsidRDefault="00E30437" w:rsidP="006443FB">
      <w:pPr>
        <w:pStyle w:val="12"/>
        <w:spacing w:line="240" w:lineRule="auto"/>
        <w:rPr>
          <w:rFonts w:cs="Times New Roman"/>
          <w:color w:val="000000" w:themeColor="text1"/>
        </w:rPr>
      </w:pPr>
      <w:bookmarkStart w:id="9" w:name="_Toc115217900"/>
      <w:bookmarkStart w:id="10" w:name="_Toc118124131"/>
      <w:bookmarkStart w:id="11" w:name="_Toc119313705"/>
      <w:r w:rsidRPr="00155DDD">
        <w:rPr>
          <w:rFonts w:cs="Times New Roman"/>
          <w:color w:val="000000" w:themeColor="text1"/>
        </w:rPr>
        <w:lastRenderedPageBreak/>
        <w:t>СПИСОК СОКРАЩЕНИЙ</w:t>
      </w:r>
      <w:bookmarkEnd w:id="9"/>
      <w:bookmarkEnd w:id="10"/>
      <w:bookmarkEnd w:id="11"/>
    </w:p>
    <w:tbl>
      <w:tblPr>
        <w:tblW w:w="5000" w:type="pct"/>
        <w:tblLook w:val="04A0" w:firstRow="1" w:lastRow="0" w:firstColumn="1" w:lastColumn="0" w:noHBand="0" w:noVBand="1"/>
      </w:tblPr>
      <w:tblGrid>
        <w:gridCol w:w="2028"/>
        <w:gridCol w:w="7317"/>
      </w:tblGrid>
      <w:tr w:rsidR="00264DF7" w14:paraId="57D63193"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7EF40F56" w14:textId="05F636A0" w:rsidR="00264DF7" w:rsidRDefault="00264DF7" w:rsidP="00624CC4">
            <w:pPr>
              <w:spacing w:after="0" w:line="240" w:lineRule="auto"/>
              <w:rPr>
                <w:bCs/>
                <w:spacing w:val="-2"/>
              </w:rPr>
            </w:pPr>
            <w:bookmarkStart w:id="12" w:name="_Hlk81401842"/>
            <w:r w:rsidRPr="00FC15D7">
              <w:rPr>
                <w:rFonts w:eastAsia="Times New Roman"/>
                <w:color w:val="000000"/>
                <w:lang w:eastAsia="ru-RU"/>
              </w:rPr>
              <w:t>AR</w:t>
            </w:r>
          </w:p>
        </w:tc>
        <w:tc>
          <w:tcPr>
            <w:tcW w:w="3915" w:type="pct"/>
            <w:tcBorders>
              <w:top w:val="single" w:sz="4" w:space="0" w:color="000000"/>
              <w:left w:val="single" w:sz="4" w:space="0" w:color="000000"/>
              <w:bottom w:val="single" w:sz="4" w:space="0" w:color="000000"/>
              <w:right w:val="single" w:sz="4" w:space="0" w:color="000000"/>
            </w:tcBorders>
            <w:vAlign w:val="center"/>
          </w:tcPr>
          <w:p w14:paraId="73FD4F40" w14:textId="519A55A4" w:rsidR="00264DF7" w:rsidRPr="00DE6981" w:rsidRDefault="00264DF7" w:rsidP="00624CC4">
            <w:pPr>
              <w:spacing w:after="0" w:line="240" w:lineRule="auto"/>
            </w:pPr>
            <w:r w:rsidRPr="00FC15D7">
              <w:t>Острое отторжение</w:t>
            </w:r>
          </w:p>
        </w:tc>
      </w:tr>
      <w:tr w:rsidR="00264DF7" w14:paraId="36E67D87"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28117BBD" w14:textId="28D4534A" w:rsidR="00264DF7" w:rsidRDefault="00264DF7" w:rsidP="00624CC4">
            <w:pPr>
              <w:spacing w:after="0" w:line="240" w:lineRule="auto"/>
              <w:rPr>
                <w:bCs/>
                <w:spacing w:val="-2"/>
              </w:rPr>
            </w:pPr>
            <w:r w:rsidRPr="00FC15D7">
              <w:rPr>
                <w:bCs/>
                <w:spacing w:val="-2"/>
              </w:rPr>
              <w:t>AUC</w:t>
            </w:r>
          </w:p>
        </w:tc>
        <w:tc>
          <w:tcPr>
            <w:tcW w:w="3915" w:type="pct"/>
            <w:tcBorders>
              <w:top w:val="single" w:sz="4" w:space="0" w:color="000000"/>
              <w:left w:val="single" w:sz="4" w:space="0" w:color="000000"/>
              <w:bottom w:val="single" w:sz="4" w:space="0" w:color="000000"/>
              <w:right w:val="single" w:sz="4" w:space="0" w:color="000000"/>
            </w:tcBorders>
            <w:vAlign w:val="center"/>
          </w:tcPr>
          <w:p w14:paraId="41C4D32F" w14:textId="748C0822" w:rsidR="00264DF7" w:rsidRPr="00DE6981" w:rsidRDefault="00264DF7" w:rsidP="00624CC4">
            <w:pPr>
              <w:spacing w:after="0" w:line="240" w:lineRule="auto"/>
            </w:pPr>
            <w:r w:rsidRPr="00FC15D7">
              <w:t>Площадь под фармакокинетической кривой «концентрация-время»</w:t>
            </w:r>
          </w:p>
        </w:tc>
      </w:tr>
      <w:tr w:rsidR="00264DF7" w14:paraId="6C71B670"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4F38C0D3" w14:textId="3B2100C7" w:rsidR="00264DF7" w:rsidRDefault="00264DF7" w:rsidP="00624CC4">
            <w:pPr>
              <w:spacing w:after="0" w:line="240" w:lineRule="auto"/>
              <w:rPr>
                <w:bCs/>
                <w:spacing w:val="-2"/>
              </w:rPr>
            </w:pPr>
            <w:r w:rsidRPr="00FC15D7">
              <w:rPr>
                <w:rFonts w:eastAsia="Times New Roman"/>
                <w:color w:val="000000"/>
                <w:lang w:eastAsia="ru-RU"/>
              </w:rPr>
              <w:t>AZA</w:t>
            </w:r>
          </w:p>
        </w:tc>
        <w:tc>
          <w:tcPr>
            <w:tcW w:w="3915" w:type="pct"/>
            <w:tcBorders>
              <w:top w:val="single" w:sz="4" w:space="0" w:color="000000"/>
              <w:left w:val="single" w:sz="4" w:space="0" w:color="000000"/>
              <w:bottom w:val="single" w:sz="4" w:space="0" w:color="000000"/>
              <w:right w:val="single" w:sz="4" w:space="0" w:color="000000"/>
            </w:tcBorders>
            <w:vAlign w:val="center"/>
          </w:tcPr>
          <w:p w14:paraId="4F4A321F" w14:textId="7C27B8DE" w:rsidR="00264DF7" w:rsidRDefault="00264DF7" w:rsidP="00624CC4">
            <w:pPr>
              <w:spacing w:after="0" w:line="240" w:lineRule="auto"/>
            </w:pPr>
            <w:r w:rsidRPr="00FC15D7">
              <w:t>Азатиоприн</w:t>
            </w:r>
          </w:p>
        </w:tc>
      </w:tr>
      <w:tr w:rsidR="00264DF7" w14:paraId="23FF9D34"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6170C518" w14:textId="1AEC100A" w:rsidR="00264DF7" w:rsidRDefault="00264DF7" w:rsidP="00624CC4">
            <w:pPr>
              <w:spacing w:after="0" w:line="240" w:lineRule="auto"/>
              <w:rPr>
                <w:bCs/>
              </w:rPr>
            </w:pPr>
            <w:r w:rsidRPr="00FC15D7">
              <w:rPr>
                <w:rFonts w:eastAsia="Times New Roman"/>
                <w:lang w:eastAsia="ru-RU"/>
              </w:rPr>
              <w:t>BPAR</w:t>
            </w:r>
          </w:p>
        </w:tc>
        <w:tc>
          <w:tcPr>
            <w:tcW w:w="3915" w:type="pct"/>
            <w:tcBorders>
              <w:top w:val="single" w:sz="4" w:space="0" w:color="000000"/>
              <w:left w:val="single" w:sz="4" w:space="0" w:color="000000"/>
              <w:bottom w:val="single" w:sz="4" w:space="0" w:color="000000"/>
              <w:right w:val="single" w:sz="4" w:space="0" w:color="000000"/>
            </w:tcBorders>
            <w:vAlign w:val="center"/>
          </w:tcPr>
          <w:p w14:paraId="3E4624D4" w14:textId="6D301EFB" w:rsidR="00264DF7" w:rsidRPr="00DE6981" w:rsidRDefault="00264DF7" w:rsidP="00624CC4">
            <w:pPr>
              <w:spacing w:after="0" w:line="240" w:lineRule="auto"/>
            </w:pPr>
            <w:r w:rsidRPr="00FC15D7">
              <w:rPr>
                <w:rFonts w:eastAsia="Times New Roman"/>
                <w:color w:val="000000"/>
                <w:lang w:eastAsia="ru-RU"/>
              </w:rPr>
              <w:t>Подтвержденные биопсией эпизоды острого отторжения</w:t>
            </w:r>
          </w:p>
        </w:tc>
      </w:tr>
      <w:tr w:rsidR="00264DF7" w14:paraId="43414747"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203E929C" w14:textId="6A216ABB" w:rsidR="00264DF7" w:rsidRDefault="00264DF7" w:rsidP="00624CC4">
            <w:pPr>
              <w:spacing w:after="0" w:line="240" w:lineRule="auto"/>
              <w:rPr>
                <w:bCs/>
                <w:spacing w:val="-2"/>
              </w:rPr>
            </w:pPr>
            <w:r w:rsidRPr="00FC15D7">
              <w:rPr>
                <w:bCs/>
                <w:spacing w:val="-2"/>
              </w:rPr>
              <w:t>Cl/F</w:t>
            </w:r>
          </w:p>
        </w:tc>
        <w:tc>
          <w:tcPr>
            <w:tcW w:w="3915" w:type="pct"/>
            <w:tcBorders>
              <w:top w:val="single" w:sz="4" w:space="0" w:color="000000"/>
              <w:left w:val="single" w:sz="4" w:space="0" w:color="000000"/>
              <w:bottom w:val="single" w:sz="4" w:space="0" w:color="000000"/>
              <w:right w:val="single" w:sz="4" w:space="0" w:color="000000"/>
            </w:tcBorders>
            <w:vAlign w:val="center"/>
          </w:tcPr>
          <w:p w14:paraId="1B8B1F6D" w14:textId="1F088930" w:rsidR="00264DF7" w:rsidRDefault="00264DF7" w:rsidP="00624CC4">
            <w:pPr>
              <w:spacing w:after="0" w:line="240" w:lineRule="auto"/>
            </w:pPr>
            <w:r w:rsidRPr="00FC15D7">
              <w:t>Общий клиренс</w:t>
            </w:r>
          </w:p>
        </w:tc>
      </w:tr>
      <w:tr w:rsidR="00264DF7" w14:paraId="6E7782FE"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3A584EDA" w14:textId="2583B694" w:rsidR="00264DF7" w:rsidRDefault="00264DF7" w:rsidP="00624CC4">
            <w:pPr>
              <w:spacing w:after="0" w:line="240" w:lineRule="auto"/>
              <w:rPr>
                <w:bCs/>
                <w:spacing w:val="-2"/>
              </w:rPr>
            </w:pPr>
            <w:r w:rsidRPr="00FC15D7">
              <w:t>С</w:t>
            </w:r>
            <w:r w:rsidRPr="00FC15D7">
              <w:rPr>
                <w:vertAlign w:val="subscript"/>
              </w:rPr>
              <w:t>0</w:t>
            </w:r>
          </w:p>
        </w:tc>
        <w:tc>
          <w:tcPr>
            <w:tcW w:w="3915" w:type="pct"/>
            <w:tcBorders>
              <w:top w:val="single" w:sz="4" w:space="0" w:color="000000"/>
              <w:left w:val="single" w:sz="4" w:space="0" w:color="000000"/>
              <w:bottom w:val="single" w:sz="4" w:space="0" w:color="000000"/>
              <w:right w:val="single" w:sz="4" w:space="0" w:color="000000"/>
            </w:tcBorders>
            <w:vAlign w:val="center"/>
          </w:tcPr>
          <w:p w14:paraId="68D5D5CA" w14:textId="490011D3" w:rsidR="00264DF7" w:rsidRPr="00DE6981" w:rsidRDefault="00264DF7" w:rsidP="00624CC4">
            <w:pPr>
              <w:spacing w:after="0" w:line="240" w:lineRule="auto"/>
            </w:pPr>
            <w:r w:rsidRPr="00FC15D7">
              <w:t>Минимальная концентрация лекарственного препарата в цельной крови</w:t>
            </w:r>
          </w:p>
        </w:tc>
      </w:tr>
      <w:tr w:rsidR="00264DF7" w14:paraId="2FB4BC2A"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79E93797" w14:textId="22B89F20" w:rsidR="00264DF7" w:rsidRPr="005477FA" w:rsidRDefault="00264DF7" w:rsidP="00624CC4">
            <w:pPr>
              <w:spacing w:after="0" w:line="240" w:lineRule="auto"/>
              <w:rPr>
                <w:bCs/>
                <w:spacing w:val="-2"/>
                <w:lang w:val="en-US"/>
              </w:rPr>
            </w:pPr>
            <w:r w:rsidRPr="00FC15D7">
              <w:rPr>
                <w:bCs/>
                <w:spacing w:val="-2"/>
              </w:rPr>
              <w:t>C</w:t>
            </w:r>
            <w:r w:rsidRPr="00FC15D7">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vAlign w:val="center"/>
          </w:tcPr>
          <w:p w14:paraId="03069CA9" w14:textId="1FBD4F71" w:rsidR="00264DF7" w:rsidRDefault="00264DF7" w:rsidP="00624CC4">
            <w:pPr>
              <w:spacing w:after="0" w:line="240" w:lineRule="auto"/>
            </w:pPr>
            <w:r w:rsidRPr="00FC15D7">
              <w:t>Максимальная концентрация лекарственного вещества в плазме крови</w:t>
            </w:r>
          </w:p>
        </w:tc>
      </w:tr>
      <w:tr w:rsidR="00264DF7" w14:paraId="6EA94365"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43A356A6" w14:textId="3C9D5A19" w:rsidR="00264DF7" w:rsidRDefault="00264DF7" w:rsidP="00624CC4">
            <w:pPr>
              <w:spacing w:after="0" w:line="240" w:lineRule="auto"/>
              <w:rPr>
                <w:bCs/>
                <w:spacing w:val="-2"/>
              </w:rPr>
            </w:pPr>
            <w:r w:rsidRPr="00FC15D7">
              <w:rPr>
                <w:rFonts w:eastAsia="Times New Roman"/>
                <w:color w:val="000000"/>
                <w:lang w:eastAsia="ru-RU"/>
              </w:rPr>
              <w:t>C</w:t>
            </w:r>
            <w:r w:rsidRPr="00FC15D7">
              <w:rPr>
                <w:rFonts w:eastAsia="Times New Roman"/>
                <w:color w:val="000000"/>
                <w:vertAlign w:val="subscript"/>
                <w:lang w:eastAsia="ru-RU"/>
              </w:rPr>
              <w:t>min</w:t>
            </w:r>
          </w:p>
        </w:tc>
        <w:tc>
          <w:tcPr>
            <w:tcW w:w="3915" w:type="pct"/>
            <w:tcBorders>
              <w:top w:val="single" w:sz="4" w:space="0" w:color="000000"/>
              <w:left w:val="single" w:sz="4" w:space="0" w:color="000000"/>
              <w:bottom w:val="single" w:sz="4" w:space="0" w:color="000000"/>
              <w:right w:val="single" w:sz="4" w:space="0" w:color="000000"/>
            </w:tcBorders>
            <w:vAlign w:val="center"/>
          </w:tcPr>
          <w:p w14:paraId="6C400268" w14:textId="7B9645D3" w:rsidR="00264DF7" w:rsidRDefault="00264DF7" w:rsidP="00624CC4">
            <w:pPr>
              <w:spacing w:after="0" w:line="240" w:lineRule="auto"/>
            </w:pPr>
            <w:r w:rsidRPr="00FC15D7">
              <w:t>Минимальная концентрация лекарственного вещества в плазме крови</w:t>
            </w:r>
          </w:p>
        </w:tc>
      </w:tr>
      <w:tr w:rsidR="00264DF7" w:rsidRPr="001E454C" w14:paraId="46E1534B"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6E8B5E05" w14:textId="4F019A33" w:rsidR="00264DF7" w:rsidRPr="000003B8" w:rsidRDefault="00264DF7" w:rsidP="00624CC4">
            <w:pPr>
              <w:spacing w:after="0" w:line="240" w:lineRule="auto"/>
              <w:rPr>
                <w:bCs/>
                <w:spacing w:val="-2"/>
              </w:rPr>
            </w:pPr>
            <w:r w:rsidRPr="00FC15D7">
              <w:rPr>
                <w:lang w:bidi="en-US"/>
              </w:rPr>
              <w:t>CsA</w:t>
            </w:r>
          </w:p>
        </w:tc>
        <w:tc>
          <w:tcPr>
            <w:tcW w:w="3915" w:type="pct"/>
            <w:tcBorders>
              <w:top w:val="single" w:sz="4" w:space="0" w:color="000000"/>
              <w:left w:val="single" w:sz="4" w:space="0" w:color="000000"/>
              <w:bottom w:val="single" w:sz="4" w:space="0" w:color="000000"/>
              <w:right w:val="single" w:sz="4" w:space="0" w:color="000000"/>
            </w:tcBorders>
            <w:vAlign w:val="center"/>
          </w:tcPr>
          <w:p w14:paraId="73A2C80B" w14:textId="0B857B9C" w:rsidR="00264DF7" w:rsidRPr="001E454C" w:rsidRDefault="00264DF7" w:rsidP="00624CC4">
            <w:pPr>
              <w:spacing w:after="0" w:line="240" w:lineRule="auto"/>
            </w:pPr>
            <w:r w:rsidRPr="00FC15D7">
              <w:t>Циклоспорин</w:t>
            </w:r>
          </w:p>
        </w:tc>
      </w:tr>
      <w:tr w:rsidR="00264DF7" w:rsidRPr="000003B8" w14:paraId="439ECD01"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19F478F7" w14:textId="1AE3C46D" w:rsidR="00264DF7" w:rsidRPr="000003B8" w:rsidRDefault="00264DF7" w:rsidP="00624CC4">
            <w:pPr>
              <w:spacing w:after="0" w:line="240" w:lineRule="auto"/>
              <w:rPr>
                <w:bCs/>
                <w:spacing w:val="-2"/>
              </w:rPr>
            </w:pPr>
            <w:r w:rsidRPr="00FC15D7">
              <w:rPr>
                <w:rFonts w:eastAsia="Times New Roman"/>
                <w:color w:val="000000"/>
                <w:lang w:eastAsia="ru-RU"/>
              </w:rPr>
              <w:t>CEF</w:t>
            </w:r>
          </w:p>
        </w:tc>
        <w:tc>
          <w:tcPr>
            <w:tcW w:w="3915" w:type="pct"/>
            <w:tcBorders>
              <w:top w:val="single" w:sz="4" w:space="0" w:color="000000"/>
              <w:left w:val="single" w:sz="4" w:space="0" w:color="000000"/>
              <w:bottom w:val="single" w:sz="4" w:space="0" w:color="000000"/>
              <w:right w:val="single" w:sz="4" w:space="0" w:color="000000"/>
            </w:tcBorders>
            <w:vAlign w:val="center"/>
          </w:tcPr>
          <w:p w14:paraId="52D15460" w14:textId="2EF33848" w:rsidR="00264DF7" w:rsidRPr="00264DF7" w:rsidRDefault="00264DF7" w:rsidP="00624CC4">
            <w:pPr>
              <w:spacing w:after="0" w:line="240" w:lineRule="auto"/>
            </w:pPr>
            <w:r w:rsidRPr="00FC15D7">
              <w:rPr>
                <w:rFonts w:eastAsia="Times New Roman"/>
                <w:color w:val="000000"/>
                <w:lang w:eastAsia="ru-RU"/>
              </w:rPr>
              <w:t>Первичная комбинированная конечная точка неэффективности</w:t>
            </w:r>
          </w:p>
        </w:tc>
      </w:tr>
      <w:tr w:rsidR="00264DF7" w14:paraId="64405246"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4D45437B" w14:textId="43C2DBDA" w:rsidR="00264DF7" w:rsidRDefault="00264DF7" w:rsidP="00624CC4">
            <w:pPr>
              <w:spacing w:after="0" w:line="240" w:lineRule="auto"/>
              <w:rPr>
                <w:bCs/>
                <w:spacing w:val="-2"/>
              </w:rPr>
            </w:pPr>
            <w:r w:rsidRPr="00FC15D7">
              <w:rPr>
                <w:bCs/>
              </w:rPr>
              <w:t>CYP</w:t>
            </w:r>
          </w:p>
        </w:tc>
        <w:tc>
          <w:tcPr>
            <w:tcW w:w="3915" w:type="pct"/>
            <w:tcBorders>
              <w:top w:val="single" w:sz="4" w:space="0" w:color="000000"/>
              <w:left w:val="single" w:sz="4" w:space="0" w:color="000000"/>
              <w:bottom w:val="single" w:sz="4" w:space="0" w:color="000000"/>
              <w:right w:val="single" w:sz="4" w:space="0" w:color="000000"/>
            </w:tcBorders>
            <w:vAlign w:val="center"/>
          </w:tcPr>
          <w:p w14:paraId="753A9A5A" w14:textId="25790ECB" w:rsidR="00264DF7" w:rsidRDefault="00264DF7" w:rsidP="00624CC4">
            <w:pPr>
              <w:spacing w:after="0" w:line="240" w:lineRule="auto"/>
            </w:pPr>
            <w:r w:rsidRPr="00FC15D7">
              <w:t>Цитохром</w:t>
            </w:r>
          </w:p>
        </w:tc>
      </w:tr>
      <w:tr w:rsidR="00264DF7" w14:paraId="540BD286"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12A130B5" w14:textId="303937FF" w:rsidR="00264DF7" w:rsidRPr="00F82F66" w:rsidRDefault="00264DF7" w:rsidP="00624CC4">
            <w:pPr>
              <w:spacing w:after="0" w:line="240" w:lineRule="auto"/>
              <w:rPr>
                <w:bCs/>
                <w:spacing w:val="-2"/>
                <w:lang w:val="en-US"/>
              </w:rPr>
            </w:pPr>
            <w:r w:rsidRPr="00FC15D7">
              <w:rPr>
                <w:lang w:bidi="en-US"/>
              </w:rPr>
              <w:t>FKB-12</w:t>
            </w:r>
          </w:p>
        </w:tc>
        <w:tc>
          <w:tcPr>
            <w:tcW w:w="3915" w:type="pct"/>
            <w:tcBorders>
              <w:top w:val="single" w:sz="4" w:space="0" w:color="000000"/>
              <w:left w:val="single" w:sz="4" w:space="0" w:color="000000"/>
              <w:bottom w:val="single" w:sz="4" w:space="0" w:color="000000"/>
              <w:right w:val="single" w:sz="4" w:space="0" w:color="000000"/>
            </w:tcBorders>
            <w:vAlign w:val="center"/>
          </w:tcPr>
          <w:p w14:paraId="4CD64B19" w14:textId="1E25F899" w:rsidR="00264DF7" w:rsidRPr="00F82F66" w:rsidRDefault="00264DF7" w:rsidP="00624CC4">
            <w:pPr>
              <w:spacing w:after="0" w:line="240" w:lineRule="auto"/>
            </w:pPr>
            <w:r w:rsidRPr="00FC15D7">
              <w:rPr>
                <w:lang w:bidi="en-US"/>
              </w:rPr>
              <w:t>FK-связывающий белок 12</w:t>
            </w:r>
          </w:p>
        </w:tc>
      </w:tr>
      <w:tr w:rsidR="00264DF7" w:rsidRPr="00360E2C" w14:paraId="41E84851"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166E4EBB" w14:textId="31BEB995" w:rsidR="00264DF7" w:rsidRDefault="00264DF7" w:rsidP="00624CC4">
            <w:pPr>
              <w:spacing w:after="0" w:line="240" w:lineRule="auto"/>
              <w:rPr>
                <w:bCs/>
                <w:spacing w:val="-2"/>
                <w:lang w:val="en-US"/>
              </w:rPr>
            </w:pPr>
            <w:r w:rsidRPr="00FC15D7">
              <w:rPr>
                <w:bCs/>
                <w:spacing w:val="-2"/>
              </w:rPr>
              <w:t>FDA</w:t>
            </w:r>
          </w:p>
        </w:tc>
        <w:tc>
          <w:tcPr>
            <w:tcW w:w="3915" w:type="pct"/>
            <w:tcBorders>
              <w:top w:val="single" w:sz="4" w:space="0" w:color="000000"/>
              <w:left w:val="single" w:sz="4" w:space="0" w:color="000000"/>
              <w:bottom w:val="single" w:sz="4" w:space="0" w:color="000000"/>
              <w:right w:val="single" w:sz="4" w:space="0" w:color="000000"/>
            </w:tcBorders>
            <w:vAlign w:val="center"/>
          </w:tcPr>
          <w:p w14:paraId="20CF0B11" w14:textId="7CE26536" w:rsidR="00264DF7" w:rsidRPr="00264DF7" w:rsidRDefault="00264DF7" w:rsidP="00624CC4">
            <w:pPr>
              <w:spacing w:after="0" w:line="240" w:lineRule="auto"/>
            </w:pPr>
            <w:r w:rsidRPr="00FC15D7">
              <w:t>Управление по санитарному надзору за качеством пищевых продуктов и медикаментов</w:t>
            </w:r>
          </w:p>
        </w:tc>
      </w:tr>
      <w:tr w:rsidR="00264DF7" w:rsidRPr="005477FA" w14:paraId="5526449C"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649853B7" w14:textId="1451D1E4" w:rsidR="00264DF7" w:rsidRPr="005477FA" w:rsidRDefault="00264DF7" w:rsidP="00624CC4">
            <w:pPr>
              <w:spacing w:after="0" w:line="240" w:lineRule="auto"/>
              <w:rPr>
                <w:bCs/>
                <w:spacing w:val="-2"/>
                <w:lang w:val="en-US"/>
              </w:rPr>
            </w:pPr>
            <w:r w:rsidRPr="00FC15D7">
              <w:rPr>
                <w:bCs/>
                <w:spacing w:val="-2"/>
                <w:lang w:val="en-US"/>
              </w:rPr>
              <w:t>F</w:t>
            </w:r>
          </w:p>
        </w:tc>
        <w:tc>
          <w:tcPr>
            <w:tcW w:w="3915" w:type="pct"/>
            <w:tcBorders>
              <w:top w:val="single" w:sz="4" w:space="0" w:color="000000"/>
              <w:left w:val="single" w:sz="4" w:space="0" w:color="000000"/>
              <w:bottom w:val="single" w:sz="4" w:space="0" w:color="000000"/>
              <w:right w:val="single" w:sz="4" w:space="0" w:color="000000"/>
            </w:tcBorders>
            <w:vAlign w:val="center"/>
          </w:tcPr>
          <w:p w14:paraId="42D0890B" w14:textId="21EDC251" w:rsidR="00264DF7" w:rsidRPr="005477FA" w:rsidRDefault="00264DF7" w:rsidP="00624CC4">
            <w:pPr>
              <w:spacing w:after="0" w:line="240" w:lineRule="auto"/>
              <w:rPr>
                <w:lang w:val="en-US"/>
              </w:rPr>
            </w:pPr>
            <w:r w:rsidRPr="00FC15D7">
              <w:t>Самки</w:t>
            </w:r>
          </w:p>
        </w:tc>
      </w:tr>
      <w:tr w:rsidR="00264DF7" w:rsidRPr="003E7920" w14:paraId="2030D32C"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3822F7CE" w14:textId="39445087" w:rsidR="00264DF7" w:rsidRDefault="00264DF7" w:rsidP="00624CC4">
            <w:pPr>
              <w:spacing w:after="0" w:line="240" w:lineRule="auto"/>
              <w:rPr>
                <w:bCs/>
                <w:spacing w:val="-2"/>
                <w:lang w:val="en-US"/>
              </w:rPr>
            </w:pPr>
            <w:r w:rsidRPr="00FC15D7">
              <w:rPr>
                <w:bCs/>
                <w:spacing w:val="-2"/>
              </w:rPr>
              <w:t>hERG</w:t>
            </w:r>
          </w:p>
        </w:tc>
        <w:tc>
          <w:tcPr>
            <w:tcW w:w="3915" w:type="pct"/>
            <w:tcBorders>
              <w:top w:val="single" w:sz="4" w:space="0" w:color="000000"/>
              <w:left w:val="single" w:sz="4" w:space="0" w:color="000000"/>
              <w:bottom w:val="single" w:sz="4" w:space="0" w:color="000000"/>
              <w:right w:val="single" w:sz="4" w:space="0" w:color="000000"/>
            </w:tcBorders>
            <w:vAlign w:val="center"/>
          </w:tcPr>
          <w:p w14:paraId="3089593A" w14:textId="0CD2203D" w:rsidR="00264DF7" w:rsidRPr="00264DF7" w:rsidRDefault="00264DF7" w:rsidP="00624CC4">
            <w:pPr>
              <w:spacing w:after="0" w:line="240" w:lineRule="auto"/>
              <w:rPr>
                <w:lang w:val="en-US"/>
              </w:rPr>
            </w:pPr>
            <w:r w:rsidRPr="00FC15D7">
              <w:rPr>
                <w:lang w:val="en-US"/>
              </w:rPr>
              <w:t>Human</w:t>
            </w:r>
            <w:r w:rsidRPr="00264DF7">
              <w:rPr>
                <w:lang w:val="en-US"/>
              </w:rPr>
              <w:t xml:space="preserve"> </w:t>
            </w:r>
            <w:r w:rsidRPr="00FC15D7">
              <w:rPr>
                <w:lang w:val="en-US"/>
              </w:rPr>
              <w:t>Ether</w:t>
            </w:r>
            <w:r w:rsidRPr="00264DF7">
              <w:rPr>
                <w:lang w:val="en-US"/>
              </w:rPr>
              <w:t>-à-</w:t>
            </w:r>
            <w:r w:rsidRPr="00FC15D7">
              <w:rPr>
                <w:lang w:val="en-US"/>
              </w:rPr>
              <w:t>go</w:t>
            </w:r>
            <w:r w:rsidRPr="00264DF7">
              <w:rPr>
                <w:lang w:val="en-US"/>
              </w:rPr>
              <w:t>-</w:t>
            </w:r>
            <w:r w:rsidRPr="00FC15D7">
              <w:rPr>
                <w:lang w:val="en-US"/>
              </w:rPr>
              <w:t>go</w:t>
            </w:r>
            <w:r w:rsidRPr="00264DF7">
              <w:rPr>
                <w:lang w:val="en-US"/>
              </w:rPr>
              <w:t>-</w:t>
            </w:r>
            <w:r w:rsidRPr="00FC15D7">
              <w:rPr>
                <w:lang w:val="en-US"/>
              </w:rPr>
              <w:t>Related</w:t>
            </w:r>
            <w:r w:rsidRPr="00264DF7">
              <w:rPr>
                <w:lang w:val="en-US"/>
              </w:rPr>
              <w:t xml:space="preserve"> </w:t>
            </w:r>
            <w:r w:rsidRPr="00FC15D7">
              <w:rPr>
                <w:lang w:val="en-US"/>
              </w:rPr>
              <w:t>Gene</w:t>
            </w:r>
            <w:r w:rsidRPr="00264DF7">
              <w:rPr>
                <w:lang w:val="en-US"/>
              </w:rPr>
              <w:t xml:space="preserve">, </w:t>
            </w:r>
            <w:r w:rsidRPr="00FC15D7">
              <w:t>ген</w:t>
            </w:r>
            <w:r w:rsidRPr="00264DF7">
              <w:rPr>
                <w:lang w:val="en-US"/>
              </w:rPr>
              <w:t xml:space="preserve"> </w:t>
            </w:r>
            <w:r w:rsidRPr="00FC15D7">
              <w:t>специфических</w:t>
            </w:r>
            <w:r w:rsidRPr="00264DF7">
              <w:rPr>
                <w:lang w:val="en-US"/>
              </w:rPr>
              <w:t xml:space="preserve"> </w:t>
            </w:r>
            <w:r w:rsidRPr="00FC15D7">
              <w:t>калиевы</w:t>
            </w:r>
            <w:r w:rsidRPr="00264DF7">
              <w:rPr>
                <w:lang w:val="en-US"/>
              </w:rPr>
              <w:t xml:space="preserve"> AUC(0-inf) </w:t>
            </w:r>
            <w:r w:rsidRPr="00FC15D7">
              <w:t>х</w:t>
            </w:r>
            <w:r w:rsidRPr="00264DF7">
              <w:rPr>
                <w:lang w:val="en-US"/>
              </w:rPr>
              <w:t xml:space="preserve"> </w:t>
            </w:r>
            <w:r w:rsidRPr="00FC15D7">
              <w:t>каналов</w:t>
            </w:r>
            <w:r w:rsidRPr="00264DF7">
              <w:rPr>
                <w:lang w:val="en-US"/>
              </w:rPr>
              <w:t xml:space="preserve"> </w:t>
            </w:r>
            <w:r w:rsidRPr="00FC15D7">
              <w:t>сердца</w:t>
            </w:r>
          </w:p>
        </w:tc>
      </w:tr>
      <w:tr w:rsidR="00264DF7" w:rsidRPr="00F82F66" w14:paraId="6E6D60AE"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0C22154E" w14:textId="742B8BCA" w:rsidR="00264DF7" w:rsidRDefault="00264DF7" w:rsidP="00624CC4">
            <w:pPr>
              <w:spacing w:after="0" w:line="240" w:lineRule="auto"/>
              <w:rPr>
                <w:bCs/>
                <w:spacing w:val="-2"/>
                <w:lang w:val="en-US"/>
              </w:rPr>
            </w:pPr>
            <w:r w:rsidRPr="00FC15D7">
              <w:rPr>
                <w:lang w:bidi="en-US"/>
              </w:rPr>
              <w:t>HLM</w:t>
            </w:r>
          </w:p>
        </w:tc>
        <w:tc>
          <w:tcPr>
            <w:tcW w:w="3915" w:type="pct"/>
            <w:tcBorders>
              <w:top w:val="single" w:sz="4" w:space="0" w:color="000000"/>
              <w:left w:val="single" w:sz="4" w:space="0" w:color="000000"/>
              <w:bottom w:val="single" w:sz="4" w:space="0" w:color="000000"/>
              <w:right w:val="single" w:sz="4" w:space="0" w:color="000000"/>
            </w:tcBorders>
            <w:vAlign w:val="center"/>
          </w:tcPr>
          <w:p w14:paraId="12980E68" w14:textId="459EB719" w:rsidR="00264DF7" w:rsidRPr="00F82F66" w:rsidRDefault="00264DF7" w:rsidP="00624CC4">
            <w:pPr>
              <w:spacing w:after="0" w:line="240" w:lineRule="auto"/>
              <w:rPr>
                <w:rFonts w:eastAsia="Calibri"/>
                <w:shd w:val="clear" w:color="auto" w:fill="FFFFFF"/>
              </w:rPr>
            </w:pPr>
            <w:r w:rsidRPr="00FC15D7">
              <w:rPr>
                <w:lang w:bidi="en-US"/>
              </w:rPr>
              <w:t>Микросомы печени человека</w:t>
            </w:r>
          </w:p>
        </w:tc>
      </w:tr>
      <w:tr w:rsidR="00264DF7" w:rsidRPr="00F82F66" w14:paraId="46D7F2BB" w14:textId="77777777" w:rsidTr="001E454C">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1D05A16A" w14:textId="74E31784" w:rsidR="00264DF7" w:rsidRDefault="00264DF7" w:rsidP="00624CC4">
            <w:pPr>
              <w:spacing w:after="0" w:line="240" w:lineRule="auto"/>
              <w:rPr>
                <w:bCs/>
                <w:spacing w:val="-2"/>
                <w:lang w:val="en-US"/>
              </w:rPr>
            </w:pPr>
            <w:r w:rsidRPr="00FC15D7">
              <w:rPr>
                <w:color w:val="000000" w:themeColor="text1"/>
                <w:shd w:val="clear" w:color="auto" w:fill="FFFFFF"/>
              </w:rPr>
              <w:t>IC</w:t>
            </w:r>
            <w:r w:rsidRPr="00FC15D7">
              <w:rPr>
                <w:color w:val="000000" w:themeColor="text1"/>
                <w:shd w:val="clear" w:color="auto" w:fill="FFFFFF"/>
                <w:vertAlign w:val="subscript"/>
              </w:rPr>
              <w:t>50</w:t>
            </w:r>
          </w:p>
        </w:tc>
        <w:tc>
          <w:tcPr>
            <w:tcW w:w="3915" w:type="pct"/>
            <w:tcBorders>
              <w:top w:val="single" w:sz="4" w:space="0" w:color="000000"/>
              <w:left w:val="single" w:sz="4" w:space="0" w:color="000000"/>
              <w:bottom w:val="single" w:sz="4" w:space="0" w:color="000000"/>
              <w:right w:val="single" w:sz="4" w:space="0" w:color="000000"/>
            </w:tcBorders>
            <w:vAlign w:val="center"/>
          </w:tcPr>
          <w:p w14:paraId="7C0E2CC1" w14:textId="470A1033" w:rsidR="00264DF7" w:rsidRPr="00624CC4" w:rsidRDefault="00264DF7" w:rsidP="00624CC4">
            <w:pPr>
              <w:spacing w:after="0" w:line="240" w:lineRule="auto"/>
              <w:rPr>
                <w:rFonts w:eastAsia="Calibri"/>
                <w:shd w:val="clear" w:color="auto" w:fill="FFFFFF"/>
              </w:rPr>
            </w:pPr>
            <w:r w:rsidRPr="00FC15D7">
              <w:rPr>
                <w:rStyle w:val="aff8"/>
                <w:bCs/>
                <w:i w:val="0"/>
                <w:iCs w:val="0"/>
                <w:color w:val="000000" w:themeColor="text1"/>
                <w:shd w:val="clear" w:color="auto" w:fill="FFFFFF"/>
              </w:rPr>
              <w:t>П</w:t>
            </w:r>
            <w:r w:rsidRPr="00FC15D7">
              <w:rPr>
                <w:rStyle w:val="aff8"/>
                <w:bCs/>
                <w:i w:val="0"/>
                <w:color w:val="000000" w:themeColor="text1"/>
                <w:shd w:val="clear" w:color="auto" w:fill="FFFFFF"/>
              </w:rPr>
              <w:t>олуингибирующая концентрация</w:t>
            </w:r>
          </w:p>
        </w:tc>
      </w:tr>
      <w:tr w:rsidR="00264DF7" w14:paraId="4ACE7BB0"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7522D630" w14:textId="681C47EC" w:rsidR="00264DF7" w:rsidRDefault="00264DF7" w:rsidP="00624CC4">
            <w:pPr>
              <w:spacing w:after="0" w:line="240" w:lineRule="auto"/>
              <w:rPr>
                <w:bCs/>
                <w:spacing w:val="-2"/>
              </w:rPr>
            </w:pPr>
            <w:r w:rsidRPr="00FC15D7">
              <w:rPr>
                <w:rFonts w:eastAsia="Times New Roman"/>
                <w:bCs/>
                <w:color w:val="000000"/>
                <w:lang w:eastAsia="ru-RU" w:bidi="en-US"/>
              </w:rPr>
              <w:t>LOEL</w:t>
            </w:r>
          </w:p>
        </w:tc>
        <w:tc>
          <w:tcPr>
            <w:tcW w:w="3915" w:type="pct"/>
            <w:tcBorders>
              <w:top w:val="single" w:sz="4" w:space="0" w:color="000000"/>
              <w:left w:val="single" w:sz="4" w:space="0" w:color="000000"/>
              <w:bottom w:val="single" w:sz="4" w:space="0" w:color="000000"/>
              <w:right w:val="single" w:sz="4" w:space="0" w:color="000000"/>
            </w:tcBorders>
            <w:vAlign w:val="center"/>
          </w:tcPr>
          <w:p w14:paraId="547FEDB1" w14:textId="200008F2" w:rsidR="00264DF7" w:rsidRDefault="00264DF7" w:rsidP="00624CC4">
            <w:pPr>
              <w:spacing w:after="0" w:line="240" w:lineRule="auto"/>
            </w:pPr>
            <w:r w:rsidRPr="00FC15D7">
              <w:t>Наименьший наблюдаемый уровень воздействия</w:t>
            </w:r>
          </w:p>
        </w:tc>
      </w:tr>
      <w:tr w:rsidR="00264DF7" w14:paraId="13A86046"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6E6BE75A" w14:textId="3C63E815" w:rsidR="00264DF7" w:rsidRDefault="00264DF7" w:rsidP="00624CC4">
            <w:pPr>
              <w:spacing w:after="0" w:line="240" w:lineRule="auto"/>
              <w:rPr>
                <w:bCs/>
                <w:spacing w:val="-2"/>
              </w:rPr>
            </w:pPr>
            <w:r w:rsidRPr="00FC15D7">
              <w:rPr>
                <w:bCs/>
                <w:spacing w:val="-2"/>
              </w:rPr>
              <w:t>M</w:t>
            </w:r>
          </w:p>
        </w:tc>
        <w:tc>
          <w:tcPr>
            <w:tcW w:w="3915" w:type="pct"/>
            <w:tcBorders>
              <w:top w:val="single" w:sz="4" w:space="0" w:color="000000"/>
              <w:left w:val="single" w:sz="4" w:space="0" w:color="000000"/>
              <w:bottom w:val="single" w:sz="4" w:space="0" w:color="000000"/>
              <w:right w:val="single" w:sz="4" w:space="0" w:color="000000"/>
            </w:tcBorders>
            <w:vAlign w:val="center"/>
          </w:tcPr>
          <w:p w14:paraId="3C974E6C" w14:textId="5FCB41FF" w:rsidR="00264DF7" w:rsidRPr="00DE6981" w:rsidRDefault="00264DF7" w:rsidP="00624CC4">
            <w:pPr>
              <w:spacing w:after="0" w:line="240" w:lineRule="auto"/>
            </w:pPr>
            <w:r w:rsidRPr="00FC15D7">
              <w:t>Самцы</w:t>
            </w:r>
          </w:p>
        </w:tc>
      </w:tr>
      <w:tr w:rsidR="00264DF7" w14:paraId="382BF237" w14:textId="77777777" w:rsidTr="00264DF7">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3D822B81" w14:textId="13AFC1B6" w:rsidR="00264DF7" w:rsidRDefault="00264DF7" w:rsidP="00624CC4">
            <w:pPr>
              <w:spacing w:after="0" w:line="240" w:lineRule="auto"/>
              <w:rPr>
                <w:rFonts w:eastAsia="Times New Roman"/>
                <w:bCs/>
              </w:rPr>
            </w:pPr>
            <w:r w:rsidRPr="00FC15D7">
              <w:rPr>
                <w:lang w:bidi="en-US"/>
              </w:rPr>
              <w:t>MLR</w:t>
            </w:r>
          </w:p>
        </w:tc>
        <w:tc>
          <w:tcPr>
            <w:tcW w:w="3915" w:type="pct"/>
            <w:tcBorders>
              <w:top w:val="single" w:sz="4" w:space="0" w:color="000000"/>
              <w:left w:val="single" w:sz="4" w:space="0" w:color="000000"/>
              <w:bottom w:val="single" w:sz="4" w:space="0" w:color="000000"/>
              <w:right w:val="single" w:sz="4" w:space="0" w:color="000000"/>
            </w:tcBorders>
            <w:vAlign w:val="center"/>
          </w:tcPr>
          <w:p w14:paraId="45CBD80B" w14:textId="58A71013" w:rsidR="00264DF7" w:rsidRDefault="00264DF7" w:rsidP="00624CC4">
            <w:pPr>
              <w:spacing w:after="0" w:line="240" w:lineRule="auto"/>
            </w:pPr>
            <w:r w:rsidRPr="00FC15D7">
              <w:rPr>
                <w:lang w:bidi="en-US"/>
              </w:rPr>
              <w:t>Анализе смешанной лимфоцитарной реакции</w:t>
            </w:r>
          </w:p>
        </w:tc>
      </w:tr>
      <w:tr w:rsidR="00264DF7" w14:paraId="1EAEC393" w14:textId="77777777" w:rsidTr="00264DF7">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8F8081E" w14:textId="1C208225" w:rsidR="00264DF7" w:rsidRDefault="00264DF7" w:rsidP="00624CC4">
            <w:pPr>
              <w:spacing w:after="0" w:line="240" w:lineRule="auto"/>
              <w:rPr>
                <w:bCs/>
                <w:spacing w:val="-2"/>
              </w:rPr>
            </w:pPr>
            <w:r w:rsidRPr="00FC15D7">
              <w:rPr>
                <w:rFonts w:eastAsia="Times New Roman"/>
                <w:color w:val="000000"/>
                <w:lang w:eastAsia="ru-RU"/>
              </w:rPr>
              <w:t>MMF</w:t>
            </w:r>
          </w:p>
        </w:tc>
        <w:tc>
          <w:tcPr>
            <w:tcW w:w="3915" w:type="pct"/>
            <w:tcBorders>
              <w:top w:val="single" w:sz="4" w:space="0" w:color="000000"/>
              <w:left w:val="single" w:sz="4" w:space="0" w:color="000000"/>
              <w:bottom w:val="single" w:sz="4" w:space="0" w:color="000000"/>
              <w:right w:val="single" w:sz="4" w:space="0" w:color="000000"/>
            </w:tcBorders>
            <w:vAlign w:val="center"/>
          </w:tcPr>
          <w:p w14:paraId="2E5C1C19" w14:textId="262D85BB" w:rsidR="00264DF7" w:rsidRDefault="00264DF7" w:rsidP="00624CC4">
            <w:pPr>
              <w:spacing w:after="0" w:line="240" w:lineRule="auto"/>
            </w:pPr>
            <w:r w:rsidRPr="00FC15D7">
              <w:rPr>
                <w:rFonts w:eastAsia="Times New Roman"/>
                <w:color w:val="000000"/>
                <w:lang w:eastAsia="ru-RU"/>
              </w:rPr>
              <w:t>Микофенолата мофетил</w:t>
            </w:r>
          </w:p>
        </w:tc>
      </w:tr>
      <w:tr w:rsidR="00264DF7" w:rsidRPr="00360E2C" w14:paraId="15231FA3"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568014C" w14:textId="3B702AEE" w:rsidR="00264DF7" w:rsidRPr="00D77D49" w:rsidRDefault="00264DF7" w:rsidP="00624CC4">
            <w:pPr>
              <w:spacing w:after="0" w:line="240" w:lineRule="auto"/>
              <w:rPr>
                <w:bCs/>
                <w:spacing w:val="-2"/>
                <w:lang w:val="en-US"/>
              </w:rPr>
            </w:pPr>
            <w:r w:rsidRPr="00FC15D7">
              <w:rPr>
                <w:bCs/>
                <w:spacing w:val="-2"/>
                <w:lang w:val="en-US"/>
              </w:rPr>
              <w:t>MTD</w:t>
            </w:r>
          </w:p>
        </w:tc>
        <w:tc>
          <w:tcPr>
            <w:tcW w:w="3915" w:type="pct"/>
            <w:tcBorders>
              <w:top w:val="single" w:sz="4" w:space="0" w:color="000000"/>
              <w:left w:val="single" w:sz="4" w:space="0" w:color="000000"/>
              <w:bottom w:val="single" w:sz="4" w:space="0" w:color="000000"/>
              <w:right w:val="single" w:sz="4" w:space="0" w:color="000000"/>
            </w:tcBorders>
            <w:vAlign w:val="center"/>
          </w:tcPr>
          <w:p w14:paraId="4206ACE2" w14:textId="592BB7B0" w:rsidR="00264DF7" w:rsidRPr="00264DF7" w:rsidRDefault="00264DF7" w:rsidP="00624CC4">
            <w:pPr>
              <w:spacing w:after="0" w:line="240" w:lineRule="auto"/>
            </w:pPr>
            <w:r w:rsidRPr="00FC15D7">
              <w:rPr>
                <w:lang w:val="en-US"/>
              </w:rPr>
              <w:t>Maximum</w:t>
            </w:r>
            <w:r w:rsidRPr="00FC15D7">
              <w:t xml:space="preserve"> </w:t>
            </w:r>
            <w:r w:rsidRPr="00FC15D7">
              <w:rPr>
                <w:lang w:val="en-US"/>
              </w:rPr>
              <w:t>tolerated</w:t>
            </w:r>
            <w:r w:rsidRPr="00FC15D7">
              <w:t xml:space="preserve"> </w:t>
            </w:r>
            <w:r w:rsidRPr="00FC15D7">
              <w:rPr>
                <w:lang w:val="en-US"/>
              </w:rPr>
              <w:t>dose</w:t>
            </w:r>
            <w:r w:rsidRPr="00FC15D7">
              <w:t>, максимальная переносимая доза</w:t>
            </w:r>
          </w:p>
        </w:tc>
      </w:tr>
      <w:tr w:rsidR="00264DF7" w:rsidRPr="003E7920" w14:paraId="0765C9E2"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A43911E" w14:textId="7D32C2DC" w:rsidR="00264DF7" w:rsidRPr="00624CC4" w:rsidRDefault="00264DF7" w:rsidP="001E454C">
            <w:pPr>
              <w:spacing w:after="0" w:line="240" w:lineRule="auto"/>
              <w:rPr>
                <w:bCs/>
                <w:spacing w:val="-2"/>
                <w:lang w:val="en-US"/>
              </w:rPr>
            </w:pPr>
            <w:r w:rsidRPr="00FC15D7">
              <w:rPr>
                <w:rFonts w:eastAsia="Times New Roman"/>
                <w:color w:val="000000" w:themeColor="text1"/>
                <w:lang w:val="en-US" w:eastAsia="ru-RU"/>
              </w:rPr>
              <w:t>mTOR</w:t>
            </w:r>
          </w:p>
        </w:tc>
        <w:tc>
          <w:tcPr>
            <w:tcW w:w="3915" w:type="pct"/>
            <w:tcBorders>
              <w:top w:val="single" w:sz="4" w:space="0" w:color="000000"/>
              <w:left w:val="single" w:sz="4" w:space="0" w:color="000000"/>
              <w:bottom w:val="single" w:sz="4" w:space="0" w:color="000000"/>
              <w:right w:val="single" w:sz="4" w:space="0" w:color="000000"/>
            </w:tcBorders>
            <w:vAlign w:val="center"/>
          </w:tcPr>
          <w:p w14:paraId="3D231EEA" w14:textId="1F6A6FA7" w:rsidR="00264DF7" w:rsidRPr="001E454C" w:rsidRDefault="00264DF7" w:rsidP="001E454C">
            <w:pPr>
              <w:spacing w:after="0" w:line="240" w:lineRule="auto"/>
              <w:rPr>
                <w:lang w:val="en-US"/>
              </w:rPr>
            </w:pPr>
            <w:r w:rsidRPr="00FC15D7">
              <w:rPr>
                <w:rFonts w:eastAsia="Times New Roman"/>
                <w:color w:val="000000" w:themeColor="text1"/>
                <w:lang w:val="en-US" w:eastAsia="ru-RU"/>
              </w:rPr>
              <w:t xml:space="preserve">Mammalian target of rapamycin, </w:t>
            </w:r>
            <w:r w:rsidRPr="00FC15D7">
              <w:rPr>
                <w:rFonts w:eastAsia="Times New Roman"/>
                <w:color w:val="000000" w:themeColor="text1"/>
                <w:lang w:eastAsia="ru-RU"/>
              </w:rPr>
              <w:t>мишень</w:t>
            </w:r>
            <w:r w:rsidRPr="00FC15D7">
              <w:rPr>
                <w:rFonts w:eastAsia="Times New Roman"/>
                <w:color w:val="000000" w:themeColor="text1"/>
                <w:lang w:val="en-US" w:eastAsia="ru-RU"/>
              </w:rPr>
              <w:t xml:space="preserve"> </w:t>
            </w:r>
            <w:r w:rsidRPr="00FC15D7">
              <w:rPr>
                <w:rFonts w:eastAsia="Times New Roman"/>
                <w:color w:val="000000" w:themeColor="text1"/>
                <w:lang w:eastAsia="ru-RU"/>
              </w:rPr>
              <w:t>рапамицина</w:t>
            </w:r>
            <w:r w:rsidRPr="00FC15D7">
              <w:rPr>
                <w:rFonts w:eastAsia="Times New Roman"/>
                <w:color w:val="000000" w:themeColor="text1"/>
                <w:lang w:val="en-US" w:eastAsia="ru-RU"/>
              </w:rPr>
              <w:t xml:space="preserve"> </w:t>
            </w:r>
            <w:r w:rsidRPr="00FC15D7">
              <w:rPr>
                <w:rFonts w:eastAsia="Times New Roman"/>
                <w:color w:val="000000" w:themeColor="text1"/>
                <w:lang w:eastAsia="ru-RU"/>
              </w:rPr>
              <w:t>у</w:t>
            </w:r>
            <w:r w:rsidRPr="00FC15D7">
              <w:rPr>
                <w:rFonts w:eastAsia="Times New Roman"/>
                <w:color w:val="000000" w:themeColor="text1"/>
                <w:lang w:val="en-US" w:eastAsia="ru-RU"/>
              </w:rPr>
              <w:t xml:space="preserve"> </w:t>
            </w:r>
            <w:r w:rsidRPr="00FC15D7">
              <w:rPr>
                <w:rFonts w:eastAsia="Times New Roman"/>
                <w:color w:val="000000" w:themeColor="text1"/>
                <w:lang w:eastAsia="ru-RU"/>
              </w:rPr>
              <w:t>млекопитающих</w:t>
            </w:r>
          </w:p>
        </w:tc>
      </w:tr>
      <w:tr w:rsidR="00264DF7" w14:paraId="1C95D090" w14:textId="77777777" w:rsidTr="00264DF7">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191A5BC" w14:textId="514A2B90" w:rsidR="00264DF7" w:rsidRDefault="00264DF7" w:rsidP="00624CC4">
            <w:pPr>
              <w:spacing w:after="0" w:line="240" w:lineRule="auto"/>
              <w:rPr>
                <w:bCs/>
                <w:spacing w:val="-2"/>
              </w:rPr>
            </w:pPr>
            <w:r w:rsidRPr="00FC15D7">
              <w:rPr>
                <w:rFonts w:eastAsia="Times New Roman"/>
                <w:color w:val="000000"/>
                <w:lang w:eastAsia="ru-RU"/>
              </w:rPr>
              <w:t>MPA</w:t>
            </w:r>
          </w:p>
        </w:tc>
        <w:tc>
          <w:tcPr>
            <w:tcW w:w="3915" w:type="pct"/>
            <w:tcBorders>
              <w:top w:val="single" w:sz="4" w:space="0" w:color="000000"/>
              <w:left w:val="single" w:sz="4" w:space="0" w:color="000000"/>
              <w:bottom w:val="single" w:sz="4" w:space="0" w:color="000000"/>
              <w:right w:val="single" w:sz="4" w:space="0" w:color="000000"/>
            </w:tcBorders>
            <w:vAlign w:val="center"/>
          </w:tcPr>
          <w:p w14:paraId="3B8FF424" w14:textId="2576219C" w:rsidR="00264DF7" w:rsidRDefault="00264DF7" w:rsidP="00624CC4">
            <w:pPr>
              <w:spacing w:after="0" w:line="240" w:lineRule="auto"/>
            </w:pPr>
            <w:r w:rsidRPr="00FC15D7">
              <w:rPr>
                <w:rFonts w:eastAsia="Times New Roman"/>
                <w:color w:val="000000"/>
                <w:lang w:eastAsia="ru-RU"/>
              </w:rPr>
              <w:t>Микофенолат натрия</w:t>
            </w:r>
          </w:p>
        </w:tc>
      </w:tr>
      <w:tr w:rsidR="00264DF7" w14:paraId="39E6ED8C"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AD4C943" w14:textId="3FF41F89" w:rsidR="00264DF7" w:rsidRDefault="00264DF7" w:rsidP="001E454C">
            <w:pPr>
              <w:spacing w:after="0" w:line="240" w:lineRule="auto"/>
              <w:rPr>
                <w:bCs/>
                <w:spacing w:val="-2"/>
              </w:rPr>
            </w:pPr>
            <w:r w:rsidRPr="00FC15D7">
              <w:rPr>
                <w:bCs/>
                <w:spacing w:val="-2"/>
                <w:lang w:val="en-US"/>
              </w:rPr>
              <w:t>NOAEL</w:t>
            </w:r>
          </w:p>
        </w:tc>
        <w:tc>
          <w:tcPr>
            <w:tcW w:w="3915" w:type="pct"/>
            <w:tcBorders>
              <w:top w:val="single" w:sz="4" w:space="0" w:color="000000"/>
              <w:left w:val="single" w:sz="4" w:space="0" w:color="000000"/>
              <w:bottom w:val="single" w:sz="4" w:space="0" w:color="000000"/>
              <w:right w:val="single" w:sz="4" w:space="0" w:color="000000"/>
            </w:tcBorders>
            <w:vAlign w:val="center"/>
          </w:tcPr>
          <w:p w14:paraId="3039F133" w14:textId="136A97A6" w:rsidR="00264DF7" w:rsidRDefault="00264DF7" w:rsidP="001E454C">
            <w:pPr>
              <w:spacing w:after="0" w:line="240" w:lineRule="auto"/>
            </w:pPr>
            <w:r w:rsidRPr="00FC15D7">
              <w:rPr>
                <w:rFonts w:eastAsia="Calibri"/>
                <w:shd w:val="clear" w:color="auto" w:fill="FFFFFF"/>
                <w:lang w:val="en-US"/>
              </w:rPr>
              <w:t>No</w:t>
            </w:r>
            <w:r w:rsidRPr="00FC15D7">
              <w:rPr>
                <w:rFonts w:eastAsia="Calibri"/>
                <w:shd w:val="clear" w:color="auto" w:fill="FFFFFF"/>
              </w:rPr>
              <w:t xml:space="preserve"> </w:t>
            </w:r>
            <w:r w:rsidRPr="00FC15D7">
              <w:rPr>
                <w:rFonts w:eastAsia="Calibri"/>
                <w:shd w:val="clear" w:color="auto" w:fill="FFFFFF"/>
                <w:lang w:val="en-US"/>
              </w:rPr>
              <w:t>observed</w:t>
            </w:r>
            <w:r w:rsidRPr="00FC15D7">
              <w:rPr>
                <w:rFonts w:eastAsia="Calibri"/>
                <w:shd w:val="clear" w:color="auto" w:fill="FFFFFF"/>
              </w:rPr>
              <w:t xml:space="preserve"> </w:t>
            </w:r>
            <w:r w:rsidRPr="00FC15D7">
              <w:rPr>
                <w:rFonts w:eastAsia="Calibri"/>
                <w:shd w:val="clear" w:color="auto" w:fill="FFFFFF"/>
                <w:lang w:val="en-US"/>
              </w:rPr>
              <w:t>adverse</w:t>
            </w:r>
            <w:r w:rsidRPr="00FC15D7">
              <w:rPr>
                <w:rFonts w:eastAsia="Calibri"/>
                <w:shd w:val="clear" w:color="auto" w:fill="FFFFFF"/>
              </w:rPr>
              <w:t xml:space="preserve"> </w:t>
            </w:r>
            <w:r w:rsidRPr="00FC15D7">
              <w:rPr>
                <w:rFonts w:eastAsia="Calibri"/>
                <w:shd w:val="clear" w:color="auto" w:fill="FFFFFF"/>
                <w:lang w:val="en-US"/>
              </w:rPr>
              <w:t>effect</w:t>
            </w:r>
            <w:r w:rsidRPr="00FC15D7">
              <w:rPr>
                <w:rFonts w:eastAsia="Calibri"/>
                <w:shd w:val="clear" w:color="auto" w:fill="FFFFFF"/>
              </w:rPr>
              <w:t xml:space="preserve"> </w:t>
            </w:r>
            <w:r w:rsidRPr="00FC15D7">
              <w:rPr>
                <w:rFonts w:eastAsia="Calibri"/>
                <w:shd w:val="clear" w:color="auto" w:fill="FFFFFF"/>
                <w:lang w:val="en-US"/>
              </w:rPr>
              <w:t>level</w:t>
            </w:r>
            <w:r w:rsidRPr="00FC15D7">
              <w:rPr>
                <w:rFonts w:eastAsia="Calibri"/>
                <w:shd w:val="clear" w:color="auto" w:fill="FFFFFF"/>
              </w:rPr>
              <w:t xml:space="preserve">, </w:t>
            </w:r>
            <w:r w:rsidRPr="00FC15D7">
              <w:rPr>
                <w:rFonts w:eastAsia="Calibri"/>
                <w:iCs/>
                <w:shd w:val="clear" w:color="auto" w:fill="FFFFFF"/>
              </w:rPr>
              <w:t>максимальная доза препарата, не приводящая к развитию наблюдаемых нежелательных эффектов</w:t>
            </w:r>
          </w:p>
        </w:tc>
      </w:tr>
      <w:tr w:rsidR="00264DF7" w14:paraId="2D952177"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A56F430" w14:textId="7B487CB7" w:rsidR="00264DF7" w:rsidRPr="003C43F8" w:rsidRDefault="00264DF7" w:rsidP="001E454C">
            <w:pPr>
              <w:spacing w:after="0" w:line="240" w:lineRule="auto"/>
              <w:rPr>
                <w:color w:val="000000" w:themeColor="text1"/>
              </w:rPr>
            </w:pPr>
            <w:r w:rsidRPr="00FC15D7">
              <w:rPr>
                <w:color w:val="000000" w:themeColor="text1"/>
                <w:lang w:val="en-US" w:eastAsia="ru-RU"/>
              </w:rPr>
              <w:t xml:space="preserve">NTEL </w:t>
            </w:r>
          </w:p>
        </w:tc>
        <w:tc>
          <w:tcPr>
            <w:tcW w:w="3915" w:type="pct"/>
            <w:tcBorders>
              <w:top w:val="single" w:sz="4" w:space="0" w:color="000000"/>
              <w:left w:val="single" w:sz="4" w:space="0" w:color="000000"/>
              <w:bottom w:val="single" w:sz="4" w:space="0" w:color="000000"/>
              <w:right w:val="single" w:sz="4" w:space="0" w:color="000000"/>
            </w:tcBorders>
            <w:vAlign w:val="center"/>
          </w:tcPr>
          <w:p w14:paraId="24E2D86A" w14:textId="26E56846" w:rsidR="00264DF7" w:rsidRDefault="00264DF7" w:rsidP="001E454C">
            <w:pPr>
              <w:spacing w:after="0" w:line="240" w:lineRule="auto"/>
              <w:rPr>
                <w:color w:val="000000" w:themeColor="text1"/>
              </w:rPr>
            </w:pPr>
            <w:r w:rsidRPr="00FC15D7">
              <w:rPr>
                <w:color w:val="000000" w:themeColor="text1"/>
                <w:lang w:val="en-US" w:eastAsia="ru-RU"/>
              </w:rPr>
              <w:t>No</w:t>
            </w:r>
            <w:r w:rsidRPr="00FC15D7">
              <w:rPr>
                <w:color w:val="000000" w:themeColor="text1"/>
                <w:lang w:eastAsia="ru-RU"/>
              </w:rPr>
              <w:t xml:space="preserve"> </w:t>
            </w:r>
            <w:r w:rsidRPr="00FC15D7">
              <w:rPr>
                <w:color w:val="000000" w:themeColor="text1"/>
                <w:lang w:val="en-US" w:eastAsia="ru-RU"/>
              </w:rPr>
              <w:t>toxic</w:t>
            </w:r>
            <w:r w:rsidRPr="00FC15D7">
              <w:rPr>
                <w:color w:val="000000" w:themeColor="text1"/>
                <w:lang w:eastAsia="ru-RU"/>
              </w:rPr>
              <w:t xml:space="preserve"> </w:t>
            </w:r>
            <w:r w:rsidRPr="00FC15D7">
              <w:rPr>
                <w:color w:val="000000" w:themeColor="text1"/>
                <w:lang w:val="en-US" w:eastAsia="ru-RU"/>
              </w:rPr>
              <w:t>effect</w:t>
            </w:r>
            <w:r w:rsidRPr="00FC15D7">
              <w:rPr>
                <w:color w:val="000000" w:themeColor="text1"/>
                <w:lang w:eastAsia="ru-RU"/>
              </w:rPr>
              <w:t xml:space="preserve"> </w:t>
            </w:r>
            <w:r w:rsidRPr="00FC15D7">
              <w:rPr>
                <w:color w:val="000000" w:themeColor="text1"/>
                <w:lang w:val="en-US" w:eastAsia="ru-RU"/>
              </w:rPr>
              <w:t>level</w:t>
            </w:r>
            <w:r w:rsidRPr="00FC15D7">
              <w:rPr>
                <w:color w:val="000000" w:themeColor="text1"/>
                <w:lang w:eastAsia="ru-RU"/>
              </w:rPr>
              <w:t xml:space="preserve">, </w:t>
            </w:r>
            <w:r w:rsidRPr="00FC15D7">
              <w:rPr>
                <w:rFonts w:eastAsia="Times New Roman"/>
                <w:color w:val="000000" w:themeColor="text1"/>
                <w:lang w:eastAsia="ru-RU"/>
              </w:rPr>
              <w:t>уровень препарата без токсического эффекта</w:t>
            </w:r>
          </w:p>
        </w:tc>
      </w:tr>
      <w:tr w:rsidR="00264DF7" w14:paraId="620A8083" w14:textId="77777777" w:rsidTr="00264DF7">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A6EE2BA" w14:textId="49DE1F91" w:rsidR="00264DF7" w:rsidRDefault="00264DF7" w:rsidP="00624CC4">
            <w:pPr>
              <w:spacing w:after="0" w:line="240" w:lineRule="auto"/>
              <w:rPr>
                <w:bCs/>
                <w:spacing w:val="-2"/>
              </w:rPr>
            </w:pPr>
            <w:r w:rsidRPr="00FC15D7">
              <w:rPr>
                <w:lang w:bidi="en-US"/>
              </w:rPr>
              <w:t>P</w:t>
            </w:r>
            <w:r w:rsidRPr="00FC15D7">
              <w:rPr>
                <w:lang w:bidi="en-US"/>
              </w:rPr>
              <w:noBreakHyphen/>
              <w:t>gp</w:t>
            </w:r>
          </w:p>
        </w:tc>
        <w:tc>
          <w:tcPr>
            <w:tcW w:w="3915" w:type="pct"/>
            <w:tcBorders>
              <w:top w:val="single" w:sz="4" w:space="0" w:color="000000"/>
              <w:left w:val="single" w:sz="4" w:space="0" w:color="000000"/>
              <w:bottom w:val="single" w:sz="4" w:space="0" w:color="000000"/>
              <w:right w:val="single" w:sz="4" w:space="0" w:color="000000"/>
            </w:tcBorders>
            <w:vAlign w:val="center"/>
          </w:tcPr>
          <w:p w14:paraId="4AFCDF2C" w14:textId="696DEB38" w:rsidR="00264DF7" w:rsidRDefault="00264DF7" w:rsidP="00624CC4">
            <w:pPr>
              <w:spacing w:after="0" w:line="240" w:lineRule="auto"/>
            </w:pPr>
            <w:r w:rsidRPr="00FC15D7">
              <w:rPr>
                <w:lang w:bidi="en-US"/>
              </w:rPr>
              <w:t>P-гликопротеин</w:t>
            </w:r>
          </w:p>
        </w:tc>
      </w:tr>
      <w:tr w:rsidR="00264DF7" w14:paraId="767FC1DA"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5B2F45A" w14:textId="38E5B29D" w:rsidR="00264DF7" w:rsidRDefault="00264DF7" w:rsidP="001E454C">
            <w:pPr>
              <w:spacing w:after="0" w:line="240" w:lineRule="auto"/>
              <w:rPr>
                <w:bCs/>
                <w:spacing w:val="-2"/>
              </w:rPr>
            </w:pPr>
            <w:r w:rsidRPr="00FC15D7">
              <w:rPr>
                <w:rFonts w:eastAsia="Times New Roman"/>
                <w:color w:val="000000"/>
                <w:lang w:eastAsia="ru-RU"/>
              </w:rPr>
              <w:t>PTLD</w:t>
            </w:r>
          </w:p>
        </w:tc>
        <w:tc>
          <w:tcPr>
            <w:tcW w:w="3915" w:type="pct"/>
            <w:tcBorders>
              <w:top w:val="single" w:sz="4" w:space="0" w:color="000000"/>
              <w:left w:val="single" w:sz="4" w:space="0" w:color="000000"/>
              <w:bottom w:val="single" w:sz="4" w:space="0" w:color="000000"/>
              <w:right w:val="single" w:sz="4" w:space="0" w:color="000000"/>
            </w:tcBorders>
            <w:vAlign w:val="center"/>
          </w:tcPr>
          <w:p w14:paraId="6D55252B" w14:textId="5F0200C2" w:rsidR="00264DF7" w:rsidRDefault="00264DF7" w:rsidP="001E454C">
            <w:pPr>
              <w:spacing w:after="0" w:line="240" w:lineRule="auto"/>
            </w:pPr>
            <w:r w:rsidRPr="00FC15D7">
              <w:t>Посттрансплантационный лимфопролиферативный синдром</w:t>
            </w:r>
          </w:p>
        </w:tc>
      </w:tr>
      <w:tr w:rsidR="00264DF7" w14:paraId="1C103B5B"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7F10026" w14:textId="6AE3F681" w:rsidR="00264DF7" w:rsidRDefault="00264DF7" w:rsidP="00624CC4">
            <w:pPr>
              <w:spacing w:after="0" w:line="240" w:lineRule="auto"/>
              <w:rPr>
                <w:bCs/>
                <w:spacing w:val="-2"/>
              </w:rPr>
            </w:pPr>
            <w:r w:rsidRPr="00FC15D7">
              <w:rPr>
                <w:bCs/>
                <w:spacing w:val="-2"/>
                <w:lang w:val="en-US"/>
              </w:rPr>
              <w:t>TAC</w:t>
            </w:r>
          </w:p>
        </w:tc>
        <w:tc>
          <w:tcPr>
            <w:tcW w:w="3915" w:type="pct"/>
            <w:tcBorders>
              <w:top w:val="single" w:sz="4" w:space="0" w:color="000000"/>
              <w:left w:val="single" w:sz="4" w:space="0" w:color="000000"/>
              <w:bottom w:val="single" w:sz="4" w:space="0" w:color="000000"/>
              <w:right w:val="single" w:sz="4" w:space="0" w:color="000000"/>
            </w:tcBorders>
            <w:vAlign w:val="center"/>
          </w:tcPr>
          <w:p w14:paraId="039F947D" w14:textId="46749F82" w:rsidR="00264DF7" w:rsidRDefault="00264DF7" w:rsidP="00624CC4">
            <w:pPr>
              <w:spacing w:after="0" w:line="240" w:lineRule="auto"/>
            </w:pPr>
            <w:r w:rsidRPr="00FC15D7">
              <w:t>Такролимус</w:t>
            </w:r>
          </w:p>
        </w:tc>
      </w:tr>
      <w:tr w:rsidR="00264DF7" w14:paraId="7B4640ED"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B6D9B85" w14:textId="0318269B" w:rsidR="00264DF7" w:rsidRDefault="00264DF7" w:rsidP="001E454C">
            <w:pPr>
              <w:spacing w:after="0" w:line="240" w:lineRule="auto"/>
              <w:rPr>
                <w:bCs/>
                <w:spacing w:val="-2"/>
              </w:rPr>
            </w:pPr>
            <w:r w:rsidRPr="00FC15D7">
              <w:rPr>
                <w:bCs/>
                <w:spacing w:val="-2"/>
              </w:rPr>
              <w:t>T</w:t>
            </w:r>
            <w:r w:rsidRPr="00FC15D7">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vAlign w:val="center"/>
          </w:tcPr>
          <w:p w14:paraId="26F40A92" w14:textId="508DBCC2" w:rsidR="00264DF7" w:rsidRDefault="00264DF7" w:rsidP="001E454C">
            <w:pPr>
              <w:spacing w:after="0" w:line="240" w:lineRule="auto"/>
            </w:pPr>
            <w:r w:rsidRPr="00FC15D7">
              <w:t xml:space="preserve">Время достижения максимальной концентрации </w:t>
            </w:r>
          </w:p>
        </w:tc>
      </w:tr>
      <w:tr w:rsidR="00264DF7" w:rsidRPr="003E7920" w14:paraId="724CC081"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07A9F9A" w14:textId="688F3E03" w:rsidR="00264DF7" w:rsidRPr="003C43F8" w:rsidRDefault="00264DF7" w:rsidP="001E454C">
            <w:pPr>
              <w:spacing w:after="0" w:line="240" w:lineRule="auto"/>
              <w:rPr>
                <w:color w:val="000000" w:themeColor="text1"/>
              </w:rPr>
            </w:pPr>
            <w:r w:rsidRPr="00FC15D7">
              <w:rPr>
                <w:bCs/>
                <w:spacing w:val="-2"/>
                <w:lang w:val="en-US"/>
              </w:rPr>
              <w:t>TSC</w:t>
            </w:r>
          </w:p>
        </w:tc>
        <w:tc>
          <w:tcPr>
            <w:tcW w:w="3915" w:type="pct"/>
            <w:tcBorders>
              <w:top w:val="single" w:sz="4" w:space="0" w:color="000000"/>
              <w:left w:val="single" w:sz="4" w:space="0" w:color="000000"/>
              <w:bottom w:val="single" w:sz="4" w:space="0" w:color="000000"/>
              <w:right w:val="single" w:sz="4" w:space="0" w:color="000000"/>
            </w:tcBorders>
            <w:vAlign w:val="center"/>
          </w:tcPr>
          <w:p w14:paraId="1B499E5B" w14:textId="5A4ADA45" w:rsidR="00264DF7" w:rsidRPr="00264DF7" w:rsidRDefault="00264DF7" w:rsidP="001E454C">
            <w:pPr>
              <w:spacing w:after="0" w:line="240" w:lineRule="auto"/>
              <w:rPr>
                <w:color w:val="000000" w:themeColor="text1"/>
                <w:lang w:val="en-US"/>
              </w:rPr>
            </w:pPr>
            <w:r w:rsidRPr="00FC15D7">
              <w:rPr>
                <w:lang w:val="en-US"/>
              </w:rPr>
              <w:t xml:space="preserve">Tuberosis sclerosis (complex), </w:t>
            </w:r>
            <w:r w:rsidRPr="00FC15D7">
              <w:t>туберозный</w:t>
            </w:r>
            <w:r w:rsidRPr="00FC15D7">
              <w:rPr>
                <w:lang w:val="en-US"/>
              </w:rPr>
              <w:t xml:space="preserve"> </w:t>
            </w:r>
            <w:r w:rsidRPr="00FC15D7">
              <w:t>склероз</w:t>
            </w:r>
          </w:p>
        </w:tc>
      </w:tr>
      <w:tr w:rsidR="00264DF7" w:rsidRPr="003E7920" w14:paraId="3BA77209"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427C285" w14:textId="04A47976" w:rsidR="00264DF7" w:rsidRPr="003C43F8" w:rsidRDefault="00264DF7" w:rsidP="001E454C">
            <w:pPr>
              <w:spacing w:after="0" w:line="240" w:lineRule="auto"/>
              <w:rPr>
                <w:color w:val="000000" w:themeColor="text1"/>
              </w:rPr>
            </w:pPr>
            <w:r w:rsidRPr="00FC15D7">
              <w:rPr>
                <w:color w:val="000000" w:themeColor="text1"/>
                <w:lang w:val="en-US"/>
              </w:rPr>
              <w:t xml:space="preserve">VEGF </w:t>
            </w:r>
          </w:p>
        </w:tc>
        <w:tc>
          <w:tcPr>
            <w:tcW w:w="3915" w:type="pct"/>
            <w:tcBorders>
              <w:top w:val="single" w:sz="4" w:space="0" w:color="000000"/>
              <w:left w:val="single" w:sz="4" w:space="0" w:color="000000"/>
              <w:bottom w:val="single" w:sz="4" w:space="0" w:color="000000"/>
              <w:right w:val="single" w:sz="4" w:space="0" w:color="000000"/>
            </w:tcBorders>
            <w:vAlign w:val="center"/>
          </w:tcPr>
          <w:p w14:paraId="545E2B14" w14:textId="34D46907" w:rsidR="00264DF7" w:rsidRPr="00264DF7" w:rsidRDefault="00264DF7" w:rsidP="001E454C">
            <w:pPr>
              <w:spacing w:after="0" w:line="240" w:lineRule="auto"/>
              <w:rPr>
                <w:color w:val="000000" w:themeColor="text1"/>
                <w:lang w:val="en-US"/>
              </w:rPr>
            </w:pPr>
            <w:r w:rsidRPr="00FC15D7">
              <w:rPr>
                <w:color w:val="000000" w:themeColor="text1"/>
                <w:lang w:val="en-US"/>
              </w:rPr>
              <w:t xml:space="preserve">Vascular endothelial growth factor, </w:t>
            </w:r>
            <w:r w:rsidRPr="00FC15D7">
              <w:rPr>
                <w:color w:val="000000" w:themeColor="text1"/>
              </w:rPr>
              <w:t>фактор</w:t>
            </w:r>
            <w:r w:rsidRPr="00FC15D7">
              <w:rPr>
                <w:color w:val="000000" w:themeColor="text1"/>
                <w:lang w:val="en-US"/>
              </w:rPr>
              <w:t xml:space="preserve"> </w:t>
            </w:r>
            <w:r w:rsidRPr="00FC15D7">
              <w:rPr>
                <w:color w:val="000000" w:themeColor="text1"/>
              </w:rPr>
              <w:t>роста</w:t>
            </w:r>
            <w:r w:rsidRPr="00FC15D7">
              <w:rPr>
                <w:color w:val="000000" w:themeColor="text1"/>
                <w:lang w:val="en-US"/>
              </w:rPr>
              <w:t xml:space="preserve"> </w:t>
            </w:r>
            <w:r w:rsidRPr="00FC15D7">
              <w:rPr>
                <w:color w:val="000000" w:themeColor="text1"/>
              </w:rPr>
              <w:t>эндотелия</w:t>
            </w:r>
            <w:r w:rsidRPr="00FC15D7">
              <w:rPr>
                <w:color w:val="000000" w:themeColor="text1"/>
                <w:lang w:val="en-US"/>
              </w:rPr>
              <w:t xml:space="preserve"> </w:t>
            </w:r>
            <w:r w:rsidRPr="00FC15D7">
              <w:rPr>
                <w:color w:val="000000" w:themeColor="text1"/>
              </w:rPr>
              <w:t>сосудов</w:t>
            </w:r>
          </w:p>
        </w:tc>
      </w:tr>
      <w:tr w:rsidR="00264DF7" w14:paraId="0D634BB5"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1CE9FF5" w14:textId="53CDFE1E" w:rsidR="00264DF7" w:rsidRPr="003C43F8" w:rsidRDefault="00264DF7" w:rsidP="001E454C">
            <w:pPr>
              <w:spacing w:after="0" w:line="240" w:lineRule="auto"/>
              <w:rPr>
                <w:color w:val="000000" w:themeColor="text1"/>
              </w:rPr>
            </w:pPr>
            <w:r w:rsidRPr="00FC15D7">
              <w:rPr>
                <w:rFonts w:eastAsia="Times New Roman"/>
                <w:color w:val="000000"/>
                <w:lang w:eastAsia="ru-RU"/>
              </w:rPr>
              <w:t>Vc/F</w:t>
            </w:r>
          </w:p>
        </w:tc>
        <w:tc>
          <w:tcPr>
            <w:tcW w:w="3915" w:type="pct"/>
            <w:tcBorders>
              <w:top w:val="single" w:sz="4" w:space="0" w:color="000000"/>
              <w:left w:val="single" w:sz="4" w:space="0" w:color="000000"/>
              <w:bottom w:val="single" w:sz="4" w:space="0" w:color="000000"/>
              <w:right w:val="single" w:sz="4" w:space="0" w:color="000000"/>
            </w:tcBorders>
            <w:vAlign w:val="center"/>
          </w:tcPr>
          <w:p w14:paraId="0EDB47EF" w14:textId="209AB72B" w:rsidR="00264DF7" w:rsidRPr="003C43F8" w:rsidRDefault="00264DF7" w:rsidP="001E454C">
            <w:pPr>
              <w:spacing w:after="0" w:line="240" w:lineRule="auto"/>
              <w:rPr>
                <w:color w:val="000000" w:themeColor="text1"/>
              </w:rPr>
            </w:pPr>
            <w:r w:rsidRPr="00FC15D7">
              <w:rPr>
                <w:rFonts w:eastAsia="Times New Roman"/>
                <w:color w:val="000000"/>
                <w:lang w:eastAsia="ru-RU"/>
              </w:rPr>
              <w:t>Объем центрального распределения</w:t>
            </w:r>
          </w:p>
        </w:tc>
      </w:tr>
      <w:tr w:rsidR="00264DF7" w14:paraId="3AD841DE"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0E63FB9" w14:textId="6A71A02B" w:rsidR="00264DF7" w:rsidRDefault="00264DF7" w:rsidP="00624CC4">
            <w:pPr>
              <w:spacing w:after="0" w:line="240" w:lineRule="auto"/>
              <w:rPr>
                <w:bCs/>
                <w:spacing w:val="-2"/>
              </w:rPr>
            </w:pPr>
            <w:r w:rsidRPr="00FC15D7">
              <w:rPr>
                <w:lang w:bidi="en-US"/>
              </w:rPr>
              <w:t>Vss</w:t>
            </w:r>
          </w:p>
        </w:tc>
        <w:tc>
          <w:tcPr>
            <w:tcW w:w="3915" w:type="pct"/>
            <w:tcBorders>
              <w:top w:val="single" w:sz="4" w:space="0" w:color="000000"/>
              <w:left w:val="single" w:sz="4" w:space="0" w:color="000000"/>
              <w:bottom w:val="single" w:sz="4" w:space="0" w:color="000000"/>
              <w:right w:val="single" w:sz="4" w:space="0" w:color="000000"/>
            </w:tcBorders>
            <w:vAlign w:val="center"/>
          </w:tcPr>
          <w:p w14:paraId="6C274D95" w14:textId="241A90A0" w:rsidR="00264DF7" w:rsidRDefault="00264DF7" w:rsidP="00624CC4">
            <w:pPr>
              <w:spacing w:after="0" w:line="240" w:lineRule="auto"/>
            </w:pPr>
            <w:r w:rsidRPr="00FC15D7">
              <w:rPr>
                <w:lang w:bidi="en-US"/>
              </w:rPr>
              <w:t>Объем распределения в равновесном состоянии</w:t>
            </w:r>
          </w:p>
        </w:tc>
      </w:tr>
      <w:tr w:rsidR="00264DF7" w14:paraId="0710ABB0"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31EA0FB" w14:textId="2A2B1F65" w:rsidR="00264DF7" w:rsidRDefault="00264DF7" w:rsidP="001E454C">
            <w:pPr>
              <w:spacing w:after="0" w:line="240" w:lineRule="auto"/>
              <w:rPr>
                <w:bCs/>
                <w:spacing w:val="-2"/>
              </w:rPr>
            </w:pPr>
            <w:r w:rsidRPr="00FC15D7">
              <w:rPr>
                <w:rFonts w:eastAsia="Times New Roman"/>
                <w:color w:val="000000"/>
                <w:lang w:eastAsia="ru-RU"/>
              </w:rPr>
              <w:t>Vz/F</w:t>
            </w:r>
          </w:p>
        </w:tc>
        <w:tc>
          <w:tcPr>
            <w:tcW w:w="3915" w:type="pct"/>
            <w:tcBorders>
              <w:top w:val="single" w:sz="4" w:space="0" w:color="000000"/>
              <w:left w:val="single" w:sz="4" w:space="0" w:color="000000"/>
              <w:bottom w:val="single" w:sz="4" w:space="0" w:color="000000"/>
              <w:right w:val="single" w:sz="4" w:space="0" w:color="000000"/>
            </w:tcBorders>
            <w:vAlign w:val="center"/>
          </w:tcPr>
          <w:p w14:paraId="691288A2" w14:textId="5360344A" w:rsidR="00264DF7" w:rsidRDefault="00264DF7" w:rsidP="001E454C">
            <w:pPr>
              <w:spacing w:after="0" w:line="240" w:lineRule="auto"/>
            </w:pPr>
            <w:r w:rsidRPr="00FC15D7">
              <w:rPr>
                <w:rFonts w:eastAsia="Times New Roman"/>
                <w:color w:val="000000"/>
                <w:lang w:eastAsia="ru-RU"/>
              </w:rPr>
              <w:t>Объем распределения, связанный с терминальной фазой</w:t>
            </w:r>
          </w:p>
        </w:tc>
      </w:tr>
      <w:tr w:rsidR="00264DF7" w14:paraId="7602DF83"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CD83007" w14:textId="2CC2E97A" w:rsidR="00264DF7" w:rsidRDefault="00264DF7" w:rsidP="001E454C">
            <w:pPr>
              <w:spacing w:after="0" w:line="240" w:lineRule="auto"/>
              <w:rPr>
                <w:bCs/>
                <w:spacing w:val="-2"/>
              </w:rPr>
            </w:pPr>
            <w:r w:rsidRPr="00FC15D7">
              <w:rPr>
                <w:lang w:val="en-US"/>
              </w:rPr>
              <w:t>γ</w:t>
            </w:r>
            <w:r w:rsidRPr="00FC15D7">
              <w:t>-ГТ, ГГТ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CB77B53" w14:textId="4C83CB0E" w:rsidR="00264DF7" w:rsidRDefault="00264DF7" w:rsidP="001E454C">
            <w:pPr>
              <w:spacing w:after="0" w:line="240" w:lineRule="auto"/>
            </w:pPr>
            <w:r w:rsidRPr="00FC15D7">
              <w:t>Гаммаглутамилтранспептидаза</w:t>
            </w:r>
          </w:p>
        </w:tc>
      </w:tr>
      <w:tr w:rsidR="00264DF7" w14:paraId="470AF3F8"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B2F9F8E" w14:textId="7711BAD7" w:rsidR="00264DF7" w:rsidRDefault="00264DF7" w:rsidP="001E454C">
            <w:pPr>
              <w:spacing w:after="0" w:line="240" w:lineRule="auto"/>
              <w:rPr>
                <w:bCs/>
                <w:spacing w:val="-2"/>
              </w:rPr>
            </w:pPr>
            <w:r w:rsidRPr="00FC15D7">
              <w:rPr>
                <w:bCs/>
                <w:spacing w:val="-2"/>
              </w:rPr>
              <w:t>АД</w:t>
            </w:r>
          </w:p>
        </w:tc>
        <w:tc>
          <w:tcPr>
            <w:tcW w:w="3915" w:type="pct"/>
            <w:tcBorders>
              <w:top w:val="single" w:sz="4" w:space="0" w:color="000000"/>
              <w:left w:val="single" w:sz="4" w:space="0" w:color="000000"/>
              <w:bottom w:val="single" w:sz="4" w:space="0" w:color="000000"/>
              <w:right w:val="single" w:sz="4" w:space="0" w:color="000000"/>
            </w:tcBorders>
            <w:vAlign w:val="center"/>
          </w:tcPr>
          <w:p w14:paraId="2D08D61D" w14:textId="7E39B360" w:rsidR="00264DF7" w:rsidRDefault="00264DF7" w:rsidP="001E454C">
            <w:pPr>
              <w:spacing w:after="0" w:line="240" w:lineRule="auto"/>
            </w:pPr>
            <w:r w:rsidRPr="00FC15D7">
              <w:t>Артериальное давление</w:t>
            </w:r>
          </w:p>
        </w:tc>
      </w:tr>
      <w:tr w:rsidR="00264DF7" w14:paraId="029DF736"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A3E5E58" w14:textId="06A37206" w:rsidR="00264DF7" w:rsidRDefault="00264DF7" w:rsidP="001E454C">
            <w:pPr>
              <w:spacing w:after="0" w:line="240" w:lineRule="auto"/>
              <w:rPr>
                <w:bCs/>
                <w:spacing w:val="-2"/>
              </w:rPr>
            </w:pPr>
            <w:r w:rsidRPr="00FC15D7">
              <w:rPr>
                <w:color w:val="000000" w:themeColor="text1"/>
              </w:rPr>
              <w:t>АСА</w:t>
            </w:r>
          </w:p>
        </w:tc>
        <w:tc>
          <w:tcPr>
            <w:tcW w:w="3915" w:type="pct"/>
            <w:tcBorders>
              <w:top w:val="single" w:sz="4" w:space="0" w:color="000000"/>
              <w:left w:val="single" w:sz="4" w:space="0" w:color="000000"/>
              <w:bottom w:val="single" w:sz="4" w:space="0" w:color="000000"/>
              <w:right w:val="single" w:sz="4" w:space="0" w:color="000000"/>
            </w:tcBorders>
            <w:vAlign w:val="center"/>
          </w:tcPr>
          <w:p w14:paraId="15B60301" w14:textId="475A054E" w:rsidR="00264DF7" w:rsidRDefault="00264DF7" w:rsidP="001E454C">
            <w:pPr>
              <w:spacing w:after="0" w:line="240" w:lineRule="auto"/>
            </w:pPr>
            <w:r w:rsidRPr="00FC15D7">
              <w:rPr>
                <w:color w:val="000000" w:themeColor="text1"/>
              </w:rPr>
              <w:t>Активная системная анафилаксия</w:t>
            </w:r>
          </w:p>
        </w:tc>
      </w:tr>
      <w:tr w:rsidR="00264DF7" w14:paraId="06700102"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28D87B2" w14:textId="638A52DB" w:rsidR="00264DF7" w:rsidRDefault="00264DF7" w:rsidP="001E454C">
            <w:pPr>
              <w:spacing w:after="0" w:line="240" w:lineRule="auto"/>
              <w:rPr>
                <w:bCs/>
                <w:spacing w:val="-2"/>
              </w:rPr>
            </w:pPr>
            <w:r w:rsidRPr="00FC15D7">
              <w:rPr>
                <w:bCs/>
                <w:spacing w:val="-2"/>
              </w:rPr>
              <w:t>АЛТ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A9B64A0" w14:textId="4C998D60" w:rsidR="00264DF7" w:rsidRDefault="00264DF7" w:rsidP="001E454C">
            <w:pPr>
              <w:spacing w:after="0" w:line="240" w:lineRule="auto"/>
            </w:pPr>
            <w:r w:rsidRPr="00FC15D7">
              <w:t>Аланинаминотрансфераза</w:t>
            </w:r>
          </w:p>
        </w:tc>
      </w:tr>
      <w:tr w:rsidR="00264DF7" w14:paraId="17D14132"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1E35AA6" w14:textId="39D17258" w:rsidR="00264DF7" w:rsidRDefault="00264DF7" w:rsidP="001E454C">
            <w:pPr>
              <w:spacing w:after="0" w:line="240" w:lineRule="auto"/>
              <w:rPr>
                <w:bCs/>
                <w:spacing w:val="-2"/>
              </w:rPr>
            </w:pPr>
            <w:r w:rsidRPr="00FC15D7">
              <w:rPr>
                <w:bCs/>
                <w:spacing w:val="-2"/>
              </w:rPr>
              <w:t>АСТ</w:t>
            </w:r>
          </w:p>
        </w:tc>
        <w:tc>
          <w:tcPr>
            <w:tcW w:w="3915" w:type="pct"/>
            <w:tcBorders>
              <w:top w:val="single" w:sz="4" w:space="0" w:color="000000"/>
              <w:left w:val="single" w:sz="4" w:space="0" w:color="000000"/>
              <w:bottom w:val="single" w:sz="4" w:space="0" w:color="000000"/>
              <w:right w:val="single" w:sz="4" w:space="0" w:color="000000"/>
            </w:tcBorders>
            <w:vAlign w:val="center"/>
          </w:tcPr>
          <w:p w14:paraId="5A194DF9" w14:textId="331C64F9" w:rsidR="00264DF7" w:rsidRDefault="00264DF7" w:rsidP="001E454C">
            <w:pPr>
              <w:spacing w:after="0" w:line="240" w:lineRule="auto"/>
            </w:pPr>
            <w:r w:rsidRPr="00FC15D7">
              <w:t>Аспартатаминотрансфераза</w:t>
            </w:r>
          </w:p>
        </w:tc>
      </w:tr>
      <w:tr w:rsidR="00264DF7" w14:paraId="7C6B4CFC"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1BED8AE" w14:textId="635A777A" w:rsidR="00264DF7" w:rsidRDefault="00264DF7" w:rsidP="001E454C">
            <w:pPr>
              <w:spacing w:after="0" w:line="240" w:lineRule="auto"/>
              <w:rPr>
                <w:bCs/>
                <w:spacing w:val="-2"/>
              </w:rPr>
            </w:pPr>
            <w:r w:rsidRPr="00FC15D7">
              <w:t>АПФ</w:t>
            </w:r>
          </w:p>
        </w:tc>
        <w:tc>
          <w:tcPr>
            <w:tcW w:w="3915" w:type="pct"/>
            <w:tcBorders>
              <w:top w:val="single" w:sz="4" w:space="0" w:color="000000"/>
              <w:left w:val="single" w:sz="4" w:space="0" w:color="000000"/>
              <w:bottom w:val="single" w:sz="4" w:space="0" w:color="000000"/>
              <w:right w:val="single" w:sz="4" w:space="0" w:color="000000"/>
            </w:tcBorders>
            <w:vAlign w:val="center"/>
          </w:tcPr>
          <w:p w14:paraId="218B69EC" w14:textId="20A6670D" w:rsidR="00264DF7" w:rsidRDefault="00264DF7" w:rsidP="001E454C">
            <w:pPr>
              <w:spacing w:after="0" w:line="240" w:lineRule="auto"/>
            </w:pPr>
            <w:r w:rsidRPr="00FC15D7">
              <w:t>Ангиотензинпревращающий фермент</w:t>
            </w:r>
          </w:p>
        </w:tc>
      </w:tr>
      <w:tr w:rsidR="00264DF7" w14:paraId="15D10B05" w14:textId="77777777" w:rsidTr="00264DF7">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563BB7E" w14:textId="2ACC2E7F" w:rsidR="00264DF7" w:rsidRDefault="00264DF7" w:rsidP="00624CC4">
            <w:pPr>
              <w:spacing w:after="0" w:line="240" w:lineRule="auto"/>
              <w:rPr>
                <w:bCs/>
                <w:spacing w:val="-2"/>
              </w:rPr>
            </w:pPr>
            <w:r w:rsidRPr="00FC15D7">
              <w:rPr>
                <w:bCs/>
                <w:spacing w:val="-2"/>
              </w:rPr>
              <w:t>ATX</w:t>
            </w:r>
          </w:p>
        </w:tc>
        <w:tc>
          <w:tcPr>
            <w:tcW w:w="3915" w:type="pct"/>
            <w:tcBorders>
              <w:top w:val="single" w:sz="4" w:space="0" w:color="000000"/>
              <w:left w:val="single" w:sz="4" w:space="0" w:color="000000"/>
              <w:bottom w:val="single" w:sz="4" w:space="0" w:color="000000"/>
              <w:right w:val="single" w:sz="4" w:space="0" w:color="000000"/>
            </w:tcBorders>
            <w:vAlign w:val="center"/>
          </w:tcPr>
          <w:p w14:paraId="2E1C7C15" w14:textId="762090A1" w:rsidR="00264DF7" w:rsidRDefault="00264DF7" w:rsidP="00624CC4">
            <w:pPr>
              <w:spacing w:after="0" w:line="240" w:lineRule="auto"/>
            </w:pPr>
            <w:r w:rsidRPr="00FC15D7">
              <w:t>Анатомо-терапевтическо-химическая классификация</w:t>
            </w:r>
          </w:p>
        </w:tc>
      </w:tr>
      <w:tr w:rsidR="00264DF7" w14:paraId="7A5FFB63"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4A256BD" w14:textId="5A59702A" w:rsidR="00264DF7" w:rsidRDefault="00264DF7" w:rsidP="001E454C">
            <w:pPr>
              <w:spacing w:after="0" w:line="240" w:lineRule="auto"/>
              <w:rPr>
                <w:bCs/>
                <w:spacing w:val="-2"/>
              </w:rPr>
            </w:pPr>
            <w:r w:rsidRPr="00FC15D7">
              <w:rPr>
                <w:rFonts w:eastAsia="Times New Roman"/>
                <w:color w:val="000000"/>
                <w:lang w:eastAsia="ru-RU"/>
              </w:rPr>
              <w:t>ВГС</w:t>
            </w:r>
          </w:p>
        </w:tc>
        <w:tc>
          <w:tcPr>
            <w:tcW w:w="3915" w:type="pct"/>
            <w:tcBorders>
              <w:top w:val="single" w:sz="4" w:space="0" w:color="000000"/>
              <w:left w:val="single" w:sz="4" w:space="0" w:color="000000"/>
              <w:bottom w:val="single" w:sz="4" w:space="0" w:color="000000"/>
              <w:right w:val="single" w:sz="4" w:space="0" w:color="000000"/>
            </w:tcBorders>
            <w:vAlign w:val="center"/>
          </w:tcPr>
          <w:p w14:paraId="22E65BE4" w14:textId="3430E8E1" w:rsidR="00264DF7" w:rsidRDefault="00264DF7" w:rsidP="001E454C">
            <w:pPr>
              <w:spacing w:after="0" w:line="240" w:lineRule="auto"/>
            </w:pPr>
            <w:r w:rsidRPr="00FC15D7">
              <w:rPr>
                <w:color w:val="000000" w:themeColor="text1"/>
              </w:rPr>
              <w:t>Вирусный гепатит С</w:t>
            </w:r>
          </w:p>
        </w:tc>
      </w:tr>
      <w:tr w:rsidR="00264DF7" w14:paraId="5AC0F639"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B6AEA8F" w14:textId="5362CF9C" w:rsidR="00264DF7" w:rsidRDefault="00264DF7" w:rsidP="001E454C">
            <w:pPr>
              <w:spacing w:after="0" w:line="240" w:lineRule="auto"/>
              <w:rPr>
                <w:bCs/>
                <w:spacing w:val="-2"/>
              </w:rPr>
            </w:pPr>
            <w:r w:rsidRPr="00FC15D7">
              <w:rPr>
                <w:rFonts w:eastAsia="Calibri"/>
                <w:lang w:eastAsia="en-US"/>
              </w:rPr>
              <w:t>ВЭЖК</w:t>
            </w:r>
          </w:p>
        </w:tc>
        <w:tc>
          <w:tcPr>
            <w:tcW w:w="3915" w:type="pct"/>
            <w:tcBorders>
              <w:top w:val="single" w:sz="4" w:space="0" w:color="000000"/>
              <w:left w:val="single" w:sz="4" w:space="0" w:color="000000"/>
              <w:bottom w:val="single" w:sz="4" w:space="0" w:color="000000"/>
              <w:right w:val="single" w:sz="4" w:space="0" w:color="000000"/>
            </w:tcBorders>
            <w:vAlign w:val="center"/>
          </w:tcPr>
          <w:p w14:paraId="2FB5566A" w14:textId="10C385A4" w:rsidR="00264DF7" w:rsidRDefault="00264DF7" w:rsidP="001E454C">
            <w:pPr>
              <w:spacing w:after="0" w:line="240" w:lineRule="auto"/>
            </w:pPr>
            <w:r w:rsidRPr="00FC15D7">
              <w:rPr>
                <w:color w:val="000000" w:themeColor="text1"/>
              </w:rPr>
              <w:t>Высокоэффективная жидкостная хроматография</w:t>
            </w:r>
          </w:p>
        </w:tc>
      </w:tr>
      <w:tr w:rsidR="00264DF7" w14:paraId="486B31BA"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EDE3DE8" w14:textId="37EAA29F" w:rsidR="00264DF7" w:rsidRDefault="00264DF7" w:rsidP="001E454C">
            <w:pPr>
              <w:spacing w:after="0" w:line="240" w:lineRule="auto"/>
              <w:rPr>
                <w:bCs/>
                <w:spacing w:val="-2"/>
              </w:rPr>
            </w:pPr>
            <w:r w:rsidRPr="00FC15D7">
              <w:rPr>
                <w:color w:val="000000" w:themeColor="text1"/>
              </w:rPr>
              <w:t>ДИ</w:t>
            </w:r>
          </w:p>
        </w:tc>
        <w:tc>
          <w:tcPr>
            <w:tcW w:w="3915" w:type="pct"/>
            <w:tcBorders>
              <w:top w:val="single" w:sz="4" w:space="0" w:color="000000"/>
              <w:left w:val="single" w:sz="4" w:space="0" w:color="000000"/>
              <w:bottom w:val="single" w:sz="4" w:space="0" w:color="000000"/>
              <w:right w:val="single" w:sz="4" w:space="0" w:color="000000"/>
            </w:tcBorders>
            <w:vAlign w:val="center"/>
          </w:tcPr>
          <w:p w14:paraId="7EF998E3" w14:textId="3F6D7086" w:rsidR="00264DF7" w:rsidRDefault="00264DF7" w:rsidP="001E454C">
            <w:pPr>
              <w:spacing w:after="0" w:line="240" w:lineRule="auto"/>
            </w:pPr>
            <w:r w:rsidRPr="00FC15D7">
              <w:rPr>
                <w:color w:val="000000" w:themeColor="text1"/>
              </w:rPr>
              <w:t>Доверительный интервал</w:t>
            </w:r>
          </w:p>
        </w:tc>
      </w:tr>
      <w:tr w:rsidR="00264DF7" w14:paraId="195CAF3B"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35F90C0" w14:textId="64829873" w:rsidR="00264DF7" w:rsidRDefault="00264DF7" w:rsidP="001E454C">
            <w:pPr>
              <w:spacing w:after="0" w:line="240" w:lineRule="auto"/>
              <w:rPr>
                <w:bCs/>
                <w:spacing w:val="-2"/>
              </w:rPr>
            </w:pPr>
            <w:r w:rsidRPr="00FC15D7">
              <w:rPr>
                <w:color w:val="000000" w:themeColor="text1"/>
              </w:rPr>
              <w:t>ЖКТ</w:t>
            </w:r>
          </w:p>
        </w:tc>
        <w:tc>
          <w:tcPr>
            <w:tcW w:w="3915" w:type="pct"/>
            <w:tcBorders>
              <w:top w:val="single" w:sz="4" w:space="0" w:color="000000"/>
              <w:left w:val="single" w:sz="4" w:space="0" w:color="000000"/>
              <w:bottom w:val="single" w:sz="4" w:space="0" w:color="000000"/>
              <w:right w:val="single" w:sz="4" w:space="0" w:color="000000"/>
            </w:tcBorders>
            <w:vAlign w:val="center"/>
          </w:tcPr>
          <w:p w14:paraId="1440E9F9" w14:textId="011F5078" w:rsidR="00264DF7" w:rsidRDefault="00264DF7" w:rsidP="001E454C">
            <w:pPr>
              <w:spacing w:after="0" w:line="240" w:lineRule="auto"/>
            </w:pPr>
            <w:r w:rsidRPr="00FC15D7">
              <w:rPr>
                <w:rStyle w:val="aff8"/>
                <w:bCs/>
                <w:i w:val="0"/>
                <w:iCs w:val="0"/>
                <w:color w:val="000000" w:themeColor="text1"/>
                <w:shd w:val="clear" w:color="auto" w:fill="FFFFFF"/>
              </w:rPr>
              <w:t>Желудочно-кишечный тракт</w:t>
            </w:r>
          </w:p>
        </w:tc>
      </w:tr>
      <w:tr w:rsidR="00264DF7" w14:paraId="3CC523ED"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5AC811D" w14:textId="295EB328" w:rsidR="00264DF7" w:rsidRDefault="00264DF7" w:rsidP="001E454C">
            <w:pPr>
              <w:spacing w:after="0" w:line="240" w:lineRule="auto"/>
              <w:rPr>
                <w:bCs/>
                <w:spacing w:val="-2"/>
              </w:rPr>
            </w:pPr>
            <w:r w:rsidRPr="00FC15D7">
              <w:rPr>
                <w:bCs/>
                <w:spacing w:val="-2"/>
              </w:rPr>
              <w:t>ИЗЛ</w:t>
            </w:r>
          </w:p>
        </w:tc>
        <w:tc>
          <w:tcPr>
            <w:tcW w:w="3915" w:type="pct"/>
            <w:tcBorders>
              <w:top w:val="single" w:sz="4" w:space="0" w:color="000000"/>
              <w:left w:val="single" w:sz="4" w:space="0" w:color="000000"/>
              <w:bottom w:val="single" w:sz="4" w:space="0" w:color="000000"/>
              <w:right w:val="single" w:sz="4" w:space="0" w:color="000000"/>
            </w:tcBorders>
            <w:vAlign w:val="center"/>
          </w:tcPr>
          <w:p w14:paraId="35E21179" w14:textId="310BDBC7" w:rsidR="00264DF7" w:rsidRDefault="00264DF7" w:rsidP="001E454C">
            <w:pPr>
              <w:spacing w:after="0" w:line="240" w:lineRule="auto"/>
            </w:pPr>
            <w:r w:rsidRPr="00FC15D7">
              <w:t>Интерстициальные заболевания легких</w:t>
            </w:r>
          </w:p>
        </w:tc>
      </w:tr>
      <w:tr w:rsidR="00264DF7" w14:paraId="67AA0A67"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200142F" w14:textId="2EFB22E5" w:rsidR="00264DF7" w:rsidRDefault="00264DF7" w:rsidP="001E454C">
            <w:pPr>
              <w:spacing w:after="0" w:line="240" w:lineRule="auto"/>
              <w:rPr>
                <w:bCs/>
                <w:spacing w:val="-2"/>
              </w:rPr>
            </w:pPr>
            <w:r w:rsidRPr="00FC15D7">
              <w:rPr>
                <w:bCs/>
                <w:spacing w:val="-2"/>
              </w:rPr>
              <w:t>ИКН</w:t>
            </w:r>
          </w:p>
        </w:tc>
        <w:tc>
          <w:tcPr>
            <w:tcW w:w="3915" w:type="pct"/>
            <w:tcBorders>
              <w:top w:val="single" w:sz="4" w:space="0" w:color="000000"/>
              <w:left w:val="single" w:sz="4" w:space="0" w:color="000000"/>
              <w:bottom w:val="single" w:sz="4" w:space="0" w:color="000000"/>
              <w:right w:val="single" w:sz="4" w:space="0" w:color="000000"/>
            </w:tcBorders>
            <w:vAlign w:val="center"/>
          </w:tcPr>
          <w:p w14:paraId="08134E28" w14:textId="737672DC" w:rsidR="00264DF7" w:rsidRDefault="00264DF7" w:rsidP="001E454C">
            <w:pPr>
              <w:spacing w:after="0" w:line="240" w:lineRule="auto"/>
            </w:pPr>
            <w:r w:rsidRPr="00FC15D7">
              <w:t>Ингибиторы кальциневрина</w:t>
            </w:r>
          </w:p>
        </w:tc>
      </w:tr>
      <w:tr w:rsidR="00264DF7" w14:paraId="145653BB"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FA08D0B" w14:textId="222144F1" w:rsidR="00264DF7" w:rsidRDefault="00264DF7" w:rsidP="00624CC4">
            <w:pPr>
              <w:spacing w:after="0" w:line="240" w:lineRule="auto"/>
              <w:rPr>
                <w:bCs/>
                <w:spacing w:val="-2"/>
              </w:rPr>
            </w:pPr>
            <w:r w:rsidRPr="00FC15D7">
              <w:rPr>
                <w:bCs/>
                <w:spacing w:val="-2"/>
              </w:rPr>
              <w:t>КИ</w:t>
            </w:r>
          </w:p>
        </w:tc>
        <w:tc>
          <w:tcPr>
            <w:tcW w:w="3915" w:type="pct"/>
            <w:tcBorders>
              <w:top w:val="single" w:sz="4" w:space="0" w:color="000000"/>
              <w:left w:val="single" w:sz="4" w:space="0" w:color="000000"/>
              <w:bottom w:val="single" w:sz="4" w:space="0" w:color="000000"/>
              <w:right w:val="single" w:sz="4" w:space="0" w:color="000000"/>
            </w:tcBorders>
            <w:vAlign w:val="center"/>
          </w:tcPr>
          <w:p w14:paraId="1D4FAAC0" w14:textId="715E99B4" w:rsidR="00264DF7" w:rsidRDefault="00264DF7" w:rsidP="00624CC4">
            <w:pPr>
              <w:spacing w:after="0" w:line="240" w:lineRule="auto"/>
            </w:pPr>
            <w:r w:rsidRPr="00FC15D7">
              <w:t>Клиническое исследование</w:t>
            </w:r>
          </w:p>
        </w:tc>
      </w:tr>
      <w:tr w:rsidR="00264DF7" w14:paraId="596A2609"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ED6E774" w14:textId="553B8B85" w:rsidR="00264DF7" w:rsidRDefault="00264DF7" w:rsidP="00624CC4">
            <w:pPr>
              <w:spacing w:after="0" w:line="240" w:lineRule="auto"/>
              <w:rPr>
                <w:bCs/>
                <w:spacing w:val="-2"/>
              </w:rPr>
            </w:pPr>
            <w:r w:rsidRPr="00FC15D7">
              <w:rPr>
                <w:color w:val="000000" w:themeColor="text1"/>
              </w:rPr>
              <w:t>КПА</w:t>
            </w:r>
          </w:p>
        </w:tc>
        <w:tc>
          <w:tcPr>
            <w:tcW w:w="3915" w:type="pct"/>
            <w:tcBorders>
              <w:top w:val="single" w:sz="4" w:space="0" w:color="000000"/>
              <w:left w:val="single" w:sz="4" w:space="0" w:color="000000"/>
              <w:bottom w:val="single" w:sz="4" w:space="0" w:color="000000"/>
              <w:right w:val="single" w:sz="4" w:space="0" w:color="000000"/>
            </w:tcBorders>
            <w:vAlign w:val="center"/>
          </w:tcPr>
          <w:p w14:paraId="257A21A9" w14:textId="68645431" w:rsidR="00264DF7" w:rsidRDefault="00264DF7" w:rsidP="00624CC4">
            <w:pPr>
              <w:spacing w:after="0" w:line="240" w:lineRule="auto"/>
            </w:pPr>
            <w:r w:rsidRPr="00FC15D7">
              <w:rPr>
                <w:color w:val="000000" w:themeColor="text1"/>
              </w:rPr>
              <w:t>Кожная пассивная анафилаксия</w:t>
            </w:r>
          </w:p>
        </w:tc>
      </w:tr>
      <w:tr w:rsidR="00264DF7" w14:paraId="186CAC61"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6C5B240" w14:textId="6BFEC4B3" w:rsidR="00264DF7" w:rsidRDefault="00264DF7" w:rsidP="001E454C">
            <w:pPr>
              <w:spacing w:after="0" w:line="240" w:lineRule="auto"/>
              <w:rPr>
                <w:bCs/>
                <w:spacing w:val="-2"/>
              </w:rPr>
            </w:pPr>
            <w:r w:rsidRPr="00FC15D7">
              <w:rPr>
                <w:color w:val="000000" w:themeColor="text1"/>
              </w:rPr>
              <w:t>ЛГ</w:t>
            </w:r>
          </w:p>
        </w:tc>
        <w:tc>
          <w:tcPr>
            <w:tcW w:w="3915" w:type="pct"/>
            <w:tcBorders>
              <w:top w:val="single" w:sz="4" w:space="0" w:color="000000"/>
              <w:left w:val="single" w:sz="4" w:space="0" w:color="000000"/>
              <w:bottom w:val="single" w:sz="4" w:space="0" w:color="000000"/>
              <w:right w:val="single" w:sz="4" w:space="0" w:color="000000"/>
            </w:tcBorders>
            <w:vAlign w:val="center"/>
          </w:tcPr>
          <w:p w14:paraId="29540C68" w14:textId="27CCEC42" w:rsidR="00264DF7" w:rsidRDefault="00264DF7" w:rsidP="001E454C">
            <w:pPr>
              <w:spacing w:after="0" w:line="240" w:lineRule="auto"/>
            </w:pPr>
            <w:r w:rsidRPr="00FC15D7">
              <w:rPr>
                <w:color w:val="000000" w:themeColor="text1"/>
              </w:rPr>
              <w:t>Лютеинизирующий гормон</w:t>
            </w:r>
          </w:p>
        </w:tc>
      </w:tr>
      <w:tr w:rsidR="00264DF7" w14:paraId="08980395"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FD2125F" w14:textId="7B9062BC" w:rsidR="00264DF7" w:rsidRDefault="00264DF7" w:rsidP="001E454C">
            <w:pPr>
              <w:spacing w:after="0" w:line="240" w:lineRule="auto"/>
              <w:rPr>
                <w:bCs/>
                <w:spacing w:val="-2"/>
              </w:rPr>
            </w:pPr>
            <w:r w:rsidRPr="00FC15D7">
              <w:rPr>
                <w:bCs/>
                <w:spacing w:val="-2"/>
              </w:rPr>
              <w:t>ЛПВП</w:t>
            </w:r>
          </w:p>
        </w:tc>
        <w:tc>
          <w:tcPr>
            <w:tcW w:w="3915" w:type="pct"/>
            <w:tcBorders>
              <w:top w:val="single" w:sz="4" w:space="0" w:color="000000"/>
              <w:left w:val="single" w:sz="4" w:space="0" w:color="000000"/>
              <w:bottom w:val="single" w:sz="4" w:space="0" w:color="000000"/>
              <w:right w:val="single" w:sz="4" w:space="0" w:color="000000"/>
            </w:tcBorders>
            <w:vAlign w:val="center"/>
          </w:tcPr>
          <w:p w14:paraId="29179410" w14:textId="6D28C06D" w:rsidR="00264DF7" w:rsidRDefault="00264DF7" w:rsidP="001E454C">
            <w:pPr>
              <w:spacing w:after="0" w:line="240" w:lineRule="auto"/>
            </w:pPr>
            <w:r w:rsidRPr="00FC15D7">
              <w:t>Липопротеиды высокой плотности</w:t>
            </w:r>
          </w:p>
        </w:tc>
      </w:tr>
      <w:tr w:rsidR="00264DF7" w14:paraId="6D01636A"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84218B6" w14:textId="4F6B18A6" w:rsidR="00264DF7" w:rsidRDefault="00264DF7" w:rsidP="00624CC4">
            <w:pPr>
              <w:spacing w:after="0" w:line="240" w:lineRule="auto"/>
              <w:rPr>
                <w:bCs/>
                <w:spacing w:val="-2"/>
              </w:rPr>
            </w:pPr>
            <w:r w:rsidRPr="00FC15D7">
              <w:rPr>
                <w:bCs/>
                <w:spacing w:val="-2"/>
              </w:rPr>
              <w:t>ЛПНП</w:t>
            </w:r>
          </w:p>
        </w:tc>
        <w:tc>
          <w:tcPr>
            <w:tcW w:w="3915" w:type="pct"/>
            <w:tcBorders>
              <w:top w:val="single" w:sz="4" w:space="0" w:color="000000"/>
              <w:left w:val="single" w:sz="4" w:space="0" w:color="000000"/>
              <w:bottom w:val="single" w:sz="4" w:space="0" w:color="000000"/>
              <w:right w:val="single" w:sz="4" w:space="0" w:color="000000"/>
            </w:tcBorders>
            <w:vAlign w:val="center"/>
          </w:tcPr>
          <w:p w14:paraId="7ABAD81A" w14:textId="5A9D664E" w:rsidR="00264DF7" w:rsidRDefault="00264DF7" w:rsidP="00624CC4">
            <w:pPr>
              <w:spacing w:after="0" w:line="240" w:lineRule="auto"/>
            </w:pPr>
            <w:r w:rsidRPr="00FC15D7">
              <w:t>Липопротеиды низкой плотности</w:t>
            </w:r>
          </w:p>
        </w:tc>
      </w:tr>
      <w:tr w:rsidR="00264DF7" w14:paraId="7E26BF53" w14:textId="77777777" w:rsidTr="00264DF7">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94FD104" w14:textId="636A9B8B" w:rsidR="00264DF7" w:rsidRDefault="00264DF7" w:rsidP="00624CC4">
            <w:pPr>
              <w:spacing w:after="0" w:line="240" w:lineRule="auto"/>
              <w:rPr>
                <w:bCs/>
                <w:spacing w:val="-2"/>
              </w:rPr>
            </w:pPr>
            <w:r w:rsidRPr="00FC15D7">
              <w:rPr>
                <w:bCs/>
                <w:spacing w:val="-2"/>
              </w:rPr>
              <w:t>НД</w:t>
            </w:r>
          </w:p>
        </w:tc>
        <w:tc>
          <w:tcPr>
            <w:tcW w:w="3915" w:type="pct"/>
            <w:tcBorders>
              <w:top w:val="single" w:sz="4" w:space="0" w:color="000000"/>
              <w:left w:val="single" w:sz="4" w:space="0" w:color="000000"/>
              <w:bottom w:val="single" w:sz="4" w:space="0" w:color="000000"/>
              <w:right w:val="single" w:sz="4" w:space="0" w:color="000000"/>
            </w:tcBorders>
            <w:vAlign w:val="center"/>
          </w:tcPr>
          <w:p w14:paraId="36127BDE" w14:textId="0BDE2234" w:rsidR="00264DF7" w:rsidRDefault="00264DF7" w:rsidP="00624CC4">
            <w:pPr>
              <w:spacing w:after="0" w:line="240" w:lineRule="auto"/>
            </w:pPr>
            <w:r w:rsidRPr="00FC15D7">
              <w:t>Нормативный документ</w:t>
            </w:r>
          </w:p>
        </w:tc>
      </w:tr>
      <w:tr w:rsidR="00264DF7" w14:paraId="74B7EE50"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F644906" w14:textId="63D2DE49" w:rsidR="00264DF7" w:rsidRDefault="00264DF7" w:rsidP="001E454C">
            <w:pPr>
              <w:spacing w:after="0" w:line="240" w:lineRule="auto"/>
              <w:rPr>
                <w:bCs/>
                <w:spacing w:val="-2"/>
              </w:rPr>
            </w:pPr>
            <w:r w:rsidRPr="00FC15D7">
              <w:rPr>
                <w:spacing w:val="-4"/>
                <w:lang w:eastAsia="en-US"/>
              </w:rPr>
              <w:t>НПКО</w:t>
            </w:r>
          </w:p>
        </w:tc>
        <w:tc>
          <w:tcPr>
            <w:tcW w:w="3915" w:type="pct"/>
            <w:tcBorders>
              <w:top w:val="single" w:sz="4" w:space="0" w:color="000000"/>
              <w:left w:val="single" w:sz="4" w:space="0" w:color="000000"/>
              <w:bottom w:val="single" w:sz="4" w:space="0" w:color="000000"/>
              <w:right w:val="single" w:sz="4" w:space="0" w:color="000000"/>
            </w:tcBorders>
            <w:vAlign w:val="center"/>
          </w:tcPr>
          <w:p w14:paraId="75526349" w14:textId="2BA6759B" w:rsidR="00264DF7" w:rsidRDefault="00264DF7" w:rsidP="001E454C">
            <w:pPr>
              <w:spacing w:after="0" w:line="240" w:lineRule="auto"/>
            </w:pPr>
            <w:r w:rsidRPr="00FC15D7">
              <w:rPr>
                <w:spacing w:val="-2"/>
                <w:lang w:eastAsia="en-US"/>
              </w:rPr>
              <w:t>Нижний предел количественного определения</w:t>
            </w:r>
          </w:p>
        </w:tc>
      </w:tr>
      <w:tr w:rsidR="00264DF7" w14:paraId="591AFB8D"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F45DA02" w14:textId="2BFA820B" w:rsidR="00264DF7" w:rsidRDefault="00264DF7" w:rsidP="001E454C">
            <w:pPr>
              <w:spacing w:after="0" w:line="240" w:lineRule="auto"/>
              <w:rPr>
                <w:bCs/>
                <w:spacing w:val="-2"/>
              </w:rPr>
            </w:pPr>
            <w:r w:rsidRPr="00FC15D7">
              <w:rPr>
                <w:bCs/>
                <w:spacing w:val="-2"/>
              </w:rPr>
              <w:t>НЯ</w:t>
            </w:r>
          </w:p>
        </w:tc>
        <w:tc>
          <w:tcPr>
            <w:tcW w:w="3915" w:type="pct"/>
            <w:tcBorders>
              <w:top w:val="single" w:sz="4" w:space="0" w:color="000000"/>
              <w:left w:val="single" w:sz="4" w:space="0" w:color="000000"/>
              <w:bottom w:val="single" w:sz="4" w:space="0" w:color="000000"/>
              <w:right w:val="single" w:sz="4" w:space="0" w:color="000000"/>
            </w:tcBorders>
            <w:vAlign w:val="center"/>
          </w:tcPr>
          <w:p w14:paraId="45C95DA9" w14:textId="445BA574" w:rsidR="00264DF7" w:rsidRDefault="00264DF7" w:rsidP="001E454C">
            <w:pPr>
              <w:spacing w:after="0" w:line="240" w:lineRule="auto"/>
            </w:pPr>
            <w:r w:rsidRPr="00FC15D7">
              <w:t>Нежелательное явление</w:t>
            </w:r>
          </w:p>
        </w:tc>
      </w:tr>
      <w:tr w:rsidR="00264DF7" w14:paraId="682B9096"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F86BE87" w14:textId="0AE73B98" w:rsidR="00264DF7" w:rsidRDefault="00264DF7" w:rsidP="00624CC4">
            <w:pPr>
              <w:spacing w:after="0" w:line="240" w:lineRule="auto"/>
              <w:rPr>
                <w:bCs/>
                <w:spacing w:val="-2"/>
              </w:rPr>
            </w:pPr>
            <w:r w:rsidRPr="00FC15D7">
              <w:rPr>
                <w:bCs/>
                <w:spacing w:val="-2"/>
              </w:rPr>
              <w:t>ООО</w:t>
            </w:r>
          </w:p>
        </w:tc>
        <w:tc>
          <w:tcPr>
            <w:tcW w:w="3915" w:type="pct"/>
            <w:tcBorders>
              <w:top w:val="single" w:sz="4" w:space="0" w:color="000000"/>
              <w:left w:val="single" w:sz="4" w:space="0" w:color="000000"/>
              <w:bottom w:val="single" w:sz="4" w:space="0" w:color="000000"/>
              <w:right w:val="single" w:sz="4" w:space="0" w:color="000000"/>
            </w:tcBorders>
            <w:vAlign w:val="center"/>
          </w:tcPr>
          <w:p w14:paraId="5F47FFC2" w14:textId="63E5F1A3" w:rsidR="00264DF7" w:rsidRPr="000003B8" w:rsidRDefault="00264DF7" w:rsidP="00624CC4">
            <w:pPr>
              <w:spacing w:after="0" w:line="240" w:lineRule="auto"/>
              <w:rPr>
                <w:lang w:val="en-US"/>
              </w:rPr>
            </w:pPr>
            <w:r w:rsidRPr="00FC15D7">
              <w:t>Общество с ограниченной ответственностью</w:t>
            </w:r>
          </w:p>
        </w:tc>
      </w:tr>
      <w:tr w:rsidR="00264DF7" w14:paraId="7B498119"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FEDB9C2" w14:textId="0773D5A2" w:rsidR="00264DF7" w:rsidRDefault="00264DF7" w:rsidP="001E454C">
            <w:pPr>
              <w:spacing w:after="0" w:line="240" w:lineRule="auto"/>
              <w:rPr>
                <w:bCs/>
                <w:spacing w:val="-2"/>
              </w:rPr>
            </w:pPr>
            <w:r w:rsidRPr="00FC15D7">
              <w:t>ОТТС</w:t>
            </w:r>
          </w:p>
        </w:tc>
        <w:tc>
          <w:tcPr>
            <w:tcW w:w="3915" w:type="pct"/>
            <w:tcBorders>
              <w:top w:val="single" w:sz="4" w:space="0" w:color="000000"/>
              <w:left w:val="single" w:sz="4" w:space="0" w:color="000000"/>
              <w:bottom w:val="single" w:sz="4" w:space="0" w:color="000000"/>
              <w:right w:val="single" w:sz="4" w:space="0" w:color="000000"/>
            </w:tcBorders>
            <w:vAlign w:val="center"/>
          </w:tcPr>
          <w:p w14:paraId="6DFC189F" w14:textId="01D74C0C" w:rsidR="00264DF7" w:rsidRDefault="00264DF7" w:rsidP="001E454C">
            <w:pPr>
              <w:spacing w:after="0" w:line="240" w:lineRule="auto"/>
            </w:pPr>
            <w:r w:rsidRPr="00FC15D7">
              <w:t>Операция ортотопической трансплантации сердца</w:t>
            </w:r>
          </w:p>
        </w:tc>
      </w:tr>
      <w:tr w:rsidR="00264DF7" w14:paraId="0AD2A3A2"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A56C5E6" w14:textId="3B8D1192" w:rsidR="00264DF7" w:rsidRDefault="00264DF7" w:rsidP="00624CC4">
            <w:pPr>
              <w:spacing w:after="0" w:line="240" w:lineRule="auto"/>
              <w:rPr>
                <w:bCs/>
                <w:spacing w:val="-2"/>
              </w:rPr>
            </w:pPr>
            <w:r w:rsidRPr="00FC15D7">
              <w:rPr>
                <w:bCs/>
                <w:spacing w:val="-2"/>
              </w:rPr>
              <w:t>ПМЛ</w:t>
            </w:r>
          </w:p>
        </w:tc>
        <w:tc>
          <w:tcPr>
            <w:tcW w:w="3915" w:type="pct"/>
            <w:tcBorders>
              <w:top w:val="single" w:sz="4" w:space="0" w:color="000000"/>
              <w:left w:val="single" w:sz="4" w:space="0" w:color="000000"/>
              <w:bottom w:val="single" w:sz="4" w:space="0" w:color="000000"/>
              <w:right w:val="single" w:sz="4" w:space="0" w:color="000000"/>
            </w:tcBorders>
            <w:vAlign w:val="center"/>
          </w:tcPr>
          <w:p w14:paraId="1DF2E89D" w14:textId="2DE7E423" w:rsidR="00264DF7" w:rsidRDefault="00264DF7" w:rsidP="00624CC4">
            <w:pPr>
              <w:spacing w:after="0" w:line="240" w:lineRule="auto"/>
            </w:pPr>
            <w:r w:rsidRPr="00FC15D7">
              <w:t>Прогрессирующая множественная лейкоэнцефалопатия</w:t>
            </w:r>
          </w:p>
        </w:tc>
      </w:tr>
      <w:tr w:rsidR="00264DF7" w14:paraId="107B05D2"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126C633" w14:textId="3427D1E1" w:rsidR="00264DF7" w:rsidRDefault="00264DF7" w:rsidP="001E454C">
            <w:pPr>
              <w:spacing w:after="0" w:line="240" w:lineRule="auto"/>
              <w:rPr>
                <w:bCs/>
                <w:spacing w:val="-2"/>
              </w:rPr>
            </w:pPr>
            <w:r w:rsidRPr="00FC15D7">
              <w:rPr>
                <w:bCs/>
                <w:spacing w:val="-2"/>
              </w:rPr>
              <w:t>РУ</w:t>
            </w:r>
          </w:p>
        </w:tc>
        <w:tc>
          <w:tcPr>
            <w:tcW w:w="3915" w:type="pct"/>
            <w:tcBorders>
              <w:top w:val="single" w:sz="4" w:space="0" w:color="000000"/>
              <w:left w:val="single" w:sz="4" w:space="0" w:color="000000"/>
              <w:bottom w:val="single" w:sz="4" w:space="0" w:color="000000"/>
              <w:right w:val="single" w:sz="4" w:space="0" w:color="000000"/>
            </w:tcBorders>
            <w:vAlign w:val="center"/>
          </w:tcPr>
          <w:p w14:paraId="578E7DC0" w14:textId="76AB834B" w:rsidR="00264DF7" w:rsidRDefault="00264DF7" w:rsidP="001E454C">
            <w:pPr>
              <w:spacing w:after="0" w:line="240" w:lineRule="auto"/>
            </w:pPr>
            <w:r w:rsidRPr="00FC15D7">
              <w:t>Регистрационное удостоверение</w:t>
            </w:r>
          </w:p>
        </w:tc>
      </w:tr>
      <w:tr w:rsidR="00264DF7" w14:paraId="69FB99C7" w14:textId="77777777" w:rsidTr="001E454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DDC3419" w14:textId="2CD8DD4B" w:rsidR="00264DF7" w:rsidRDefault="00264DF7" w:rsidP="00624CC4">
            <w:pPr>
              <w:spacing w:after="0" w:line="240" w:lineRule="auto"/>
              <w:rPr>
                <w:bCs/>
                <w:spacing w:val="-2"/>
              </w:rPr>
            </w:pPr>
            <w:r w:rsidRPr="00FC15D7">
              <w:rPr>
                <w:bCs/>
                <w:spacing w:val="-2"/>
              </w:rPr>
              <w:t>СКФ</w:t>
            </w:r>
          </w:p>
        </w:tc>
        <w:tc>
          <w:tcPr>
            <w:tcW w:w="3915" w:type="pct"/>
            <w:tcBorders>
              <w:top w:val="single" w:sz="4" w:space="0" w:color="000000"/>
              <w:left w:val="single" w:sz="4" w:space="0" w:color="000000"/>
              <w:bottom w:val="single" w:sz="4" w:space="0" w:color="000000"/>
              <w:right w:val="single" w:sz="4" w:space="0" w:color="000000"/>
            </w:tcBorders>
            <w:vAlign w:val="center"/>
          </w:tcPr>
          <w:p w14:paraId="13C79068" w14:textId="16AE4244" w:rsidR="00264DF7" w:rsidRDefault="00264DF7" w:rsidP="00624CC4">
            <w:pPr>
              <w:spacing w:after="0" w:line="240" w:lineRule="auto"/>
            </w:pPr>
            <w:r w:rsidRPr="00FC15D7">
              <w:t>Скорость клубочковой фильтрации</w:t>
            </w:r>
          </w:p>
        </w:tc>
      </w:tr>
      <w:bookmarkEnd w:id="12"/>
    </w:tbl>
    <w:p w14:paraId="225317E0" w14:textId="77777777" w:rsidR="008000F1" w:rsidRPr="00707D60" w:rsidRDefault="008000F1" w:rsidP="00707D60">
      <w:pPr>
        <w:spacing w:after="0" w:line="240" w:lineRule="auto"/>
        <w:rPr>
          <w:rFonts w:eastAsia="Times New Roman"/>
          <w:b/>
          <w:color w:val="000000"/>
          <w:sz w:val="22"/>
          <w:szCs w:val="22"/>
          <w:highlight w:val="yellow"/>
          <w:lang w:eastAsia="ru-RU"/>
        </w:rPr>
      </w:pPr>
    </w:p>
    <w:p w14:paraId="68C7B1D5" w14:textId="77777777" w:rsidR="00CC29A8" w:rsidRPr="00707D60" w:rsidRDefault="00CC29A8" w:rsidP="00707D60">
      <w:pPr>
        <w:pStyle w:val="12"/>
        <w:pageBreakBefore/>
        <w:spacing w:line="240" w:lineRule="auto"/>
        <w:rPr>
          <w:rFonts w:cs="Times New Roman"/>
          <w:color w:val="000000" w:themeColor="text1"/>
          <w:szCs w:val="24"/>
        </w:rPr>
      </w:pPr>
      <w:bookmarkStart w:id="13" w:name="_Toc395011854"/>
      <w:bookmarkStart w:id="14" w:name="_Toc115217901"/>
      <w:bookmarkStart w:id="15" w:name="_Toc118124132"/>
      <w:bookmarkStart w:id="16" w:name="_Toc119313706"/>
      <w:r w:rsidRPr="00707D60">
        <w:rPr>
          <w:rFonts w:cs="Times New Roman"/>
          <w:color w:val="000000" w:themeColor="text1"/>
          <w:szCs w:val="24"/>
        </w:rPr>
        <w:lastRenderedPageBreak/>
        <w:t>ИСТОРИЯ ДОКУМЕНТА</w:t>
      </w:r>
      <w:bookmarkEnd w:id="13"/>
      <w:bookmarkEnd w:id="14"/>
      <w:bookmarkEnd w:id="15"/>
      <w:bookmarkEnd w:id="16"/>
    </w:p>
    <w:tbl>
      <w:tblPr>
        <w:tblStyle w:val="a8"/>
        <w:tblW w:w="0" w:type="auto"/>
        <w:tblLook w:val="04A0" w:firstRow="1" w:lastRow="0" w:firstColumn="1" w:lastColumn="0" w:noHBand="0" w:noVBand="1"/>
      </w:tblPr>
      <w:tblGrid>
        <w:gridCol w:w="3114"/>
        <w:gridCol w:w="6231"/>
      </w:tblGrid>
      <w:tr w:rsidR="00B93177" w:rsidRPr="0038618C" w14:paraId="50D8AC30" w14:textId="77777777" w:rsidTr="006443FB">
        <w:trPr>
          <w:trHeight w:val="659"/>
        </w:trPr>
        <w:tc>
          <w:tcPr>
            <w:tcW w:w="3114" w:type="dxa"/>
            <w:shd w:val="clear" w:color="auto" w:fill="D9D9D9" w:themeFill="background1" w:themeFillShade="D9"/>
            <w:vAlign w:val="center"/>
          </w:tcPr>
          <w:p w14:paraId="6619C3A9" w14:textId="1EAB2EC9" w:rsidR="00B93177" w:rsidRPr="0038618C" w:rsidRDefault="006443FB" w:rsidP="006443FB">
            <w:pPr>
              <w:jc w:val="center"/>
              <w:rPr>
                <w:b/>
              </w:rPr>
            </w:pPr>
            <w:r>
              <w:rPr>
                <w:b/>
              </w:rPr>
              <w:t>Версия</w:t>
            </w:r>
          </w:p>
        </w:tc>
        <w:tc>
          <w:tcPr>
            <w:tcW w:w="6231" w:type="dxa"/>
            <w:shd w:val="clear" w:color="auto" w:fill="D9D9D9" w:themeFill="background1" w:themeFillShade="D9"/>
            <w:vAlign w:val="center"/>
          </w:tcPr>
          <w:p w14:paraId="057411B9" w14:textId="77777777" w:rsidR="00B93177" w:rsidRPr="0038618C" w:rsidRDefault="00B93177" w:rsidP="0010702B">
            <w:pPr>
              <w:jc w:val="center"/>
              <w:rPr>
                <w:b/>
              </w:rPr>
            </w:pPr>
            <w:r w:rsidRPr="0038618C">
              <w:rPr>
                <w:b/>
              </w:rPr>
              <w:t>Описание изменений</w:t>
            </w:r>
          </w:p>
        </w:tc>
      </w:tr>
      <w:tr w:rsidR="00B93177" w:rsidRPr="000E22E4" w14:paraId="3057561A" w14:textId="77777777" w:rsidTr="006443FB">
        <w:trPr>
          <w:trHeight w:val="304"/>
        </w:trPr>
        <w:tc>
          <w:tcPr>
            <w:tcW w:w="3114" w:type="dxa"/>
            <w:shd w:val="clear" w:color="auto" w:fill="auto"/>
            <w:vAlign w:val="center"/>
          </w:tcPr>
          <w:p w14:paraId="2352A04E" w14:textId="7DDFFFC7" w:rsidR="00B93177" w:rsidRPr="00567BD3" w:rsidRDefault="00B93177" w:rsidP="00693820">
            <w:pPr>
              <w:jc w:val="left"/>
            </w:pPr>
            <w:r w:rsidRPr="00567BD3">
              <w:t xml:space="preserve">1.0 от </w:t>
            </w:r>
            <w:r w:rsidR="00567BD3" w:rsidRPr="00567BD3">
              <w:rPr>
                <w:lang w:val="en-US"/>
              </w:rPr>
              <w:t>10</w:t>
            </w:r>
            <w:r w:rsidR="00E22061" w:rsidRPr="00567BD3">
              <w:t xml:space="preserve"> </w:t>
            </w:r>
            <w:r w:rsidR="00693820" w:rsidRPr="00567BD3">
              <w:t>ноября</w:t>
            </w:r>
            <w:r w:rsidRPr="00567BD3">
              <w:t xml:space="preserve"> 2022 г.</w:t>
            </w:r>
          </w:p>
        </w:tc>
        <w:tc>
          <w:tcPr>
            <w:tcW w:w="6231" w:type="dxa"/>
            <w:shd w:val="clear" w:color="auto" w:fill="auto"/>
            <w:vAlign w:val="center"/>
          </w:tcPr>
          <w:p w14:paraId="33DC9545" w14:textId="77777777" w:rsidR="00B93177" w:rsidRPr="00567BD3" w:rsidRDefault="00B93177" w:rsidP="0010702B">
            <w:r w:rsidRPr="00567BD3">
              <w:t>Исходная версия.</w:t>
            </w:r>
          </w:p>
        </w:tc>
      </w:tr>
    </w:tbl>
    <w:p w14:paraId="633E46CC" w14:textId="77777777" w:rsidR="00AB01E2" w:rsidRPr="00707D60" w:rsidRDefault="00AB01E2" w:rsidP="00707D60">
      <w:pPr>
        <w:spacing w:after="0" w:line="240" w:lineRule="auto"/>
        <w:ind w:firstLine="709"/>
        <w:rPr>
          <w:color w:val="000000" w:themeColor="text1"/>
          <w:lang w:eastAsia="ru-RU"/>
        </w:rPr>
      </w:pPr>
    </w:p>
    <w:p w14:paraId="672EDB85" w14:textId="77777777" w:rsidR="00F10DC1" w:rsidRPr="00707D60" w:rsidRDefault="00F10DC1" w:rsidP="00707D60">
      <w:pPr>
        <w:spacing w:line="240" w:lineRule="auto"/>
        <w:rPr>
          <w:color w:val="000000" w:themeColor="text1"/>
        </w:rPr>
      </w:pPr>
    </w:p>
    <w:p w14:paraId="0BA86E3D" w14:textId="77777777" w:rsidR="00F10DC1" w:rsidRPr="00707D60" w:rsidRDefault="00F10DC1" w:rsidP="00707D60">
      <w:pPr>
        <w:spacing w:line="240" w:lineRule="auto"/>
        <w:rPr>
          <w:color w:val="000000" w:themeColor="text1"/>
        </w:rPr>
      </w:pPr>
    </w:p>
    <w:p w14:paraId="5799C35F" w14:textId="77777777" w:rsidR="00F10DC1" w:rsidRPr="00707D60" w:rsidRDefault="00F10DC1" w:rsidP="00707D60">
      <w:pPr>
        <w:spacing w:line="240" w:lineRule="auto"/>
        <w:rPr>
          <w:color w:val="000000" w:themeColor="text1"/>
        </w:rPr>
      </w:pPr>
    </w:p>
    <w:p w14:paraId="40E8E99B" w14:textId="77777777" w:rsidR="00F10DC1" w:rsidRPr="00707D60" w:rsidRDefault="00F10DC1" w:rsidP="00707D60">
      <w:pPr>
        <w:spacing w:line="240" w:lineRule="auto"/>
        <w:rPr>
          <w:color w:val="000000" w:themeColor="text1"/>
        </w:rPr>
      </w:pPr>
    </w:p>
    <w:p w14:paraId="4256ADD5" w14:textId="77777777" w:rsidR="00CC29A8" w:rsidRPr="00707D60" w:rsidRDefault="00F10DC1" w:rsidP="00707D60">
      <w:pPr>
        <w:tabs>
          <w:tab w:val="center" w:pos="4677"/>
        </w:tabs>
        <w:spacing w:line="240" w:lineRule="auto"/>
        <w:rPr>
          <w:color w:val="000000" w:themeColor="text1"/>
        </w:rPr>
        <w:sectPr w:rsidR="00CC29A8" w:rsidRPr="00707D60" w:rsidSect="00C0440F">
          <w:footerReference w:type="default" r:id="rId11"/>
          <w:pgSz w:w="11906" w:h="16838"/>
          <w:pgMar w:top="1393" w:right="850" w:bottom="1134" w:left="1701" w:header="708" w:footer="708" w:gutter="0"/>
          <w:cols w:space="708"/>
          <w:docGrid w:linePitch="360"/>
        </w:sectPr>
      </w:pPr>
      <w:r w:rsidRPr="00707D60">
        <w:rPr>
          <w:color w:val="000000" w:themeColor="text1"/>
        </w:rPr>
        <w:tab/>
      </w:r>
    </w:p>
    <w:p w14:paraId="1257AC02" w14:textId="77777777" w:rsidR="00E30437" w:rsidRPr="005B4C01" w:rsidRDefault="00E30437" w:rsidP="00707D60">
      <w:pPr>
        <w:pStyle w:val="12"/>
        <w:spacing w:line="240" w:lineRule="auto"/>
        <w:rPr>
          <w:rFonts w:cs="Times New Roman"/>
          <w:color w:val="000000" w:themeColor="text1"/>
        </w:rPr>
      </w:pPr>
      <w:bookmarkStart w:id="17" w:name="_Toc115217902"/>
      <w:bookmarkStart w:id="18" w:name="_Toc118124133"/>
      <w:bookmarkStart w:id="19" w:name="_Toc119313707"/>
      <w:r w:rsidRPr="005B4C01">
        <w:rPr>
          <w:rFonts w:cs="Times New Roman"/>
          <w:color w:val="000000" w:themeColor="text1"/>
        </w:rPr>
        <w:lastRenderedPageBreak/>
        <w:t>РЕЗЮМЕ</w:t>
      </w:r>
      <w:bookmarkEnd w:id="17"/>
      <w:bookmarkEnd w:id="18"/>
      <w:bookmarkEnd w:id="19"/>
    </w:p>
    <w:p w14:paraId="61D13B2B" w14:textId="77777777" w:rsidR="00C6423D" w:rsidRDefault="00C6423D" w:rsidP="00C6423D">
      <w:pPr>
        <w:spacing w:after="0" w:line="240" w:lineRule="auto"/>
        <w:ind w:firstLine="709"/>
        <w:contextualSpacing/>
      </w:pPr>
      <w:bookmarkStart w:id="20" w:name="_Toc415001065"/>
      <w:r>
        <w:t>Известно, что потребность в трансплантации почки составляет около 40 операций на 1 млн. населения. По данным за 2012 год в России данный показатель составил 5,5 трансплантаций на 1 млн. населения, что отражает ощутимую потребность в донорских органах.</w:t>
      </w:r>
      <w:r w:rsidRPr="00707D60">
        <w:rPr>
          <w:color w:val="000000"/>
        </w:rPr>
        <w:t xml:space="preserve"> </w:t>
      </w:r>
      <w:r>
        <w:t>Соблюдение протокола иммуносупрессии в лечении пациентов после трансплантации почки имеет большое значение в повседневной клинической практике.</w:t>
      </w:r>
    </w:p>
    <w:p w14:paraId="32D7C999" w14:textId="77777777" w:rsidR="00C6423D" w:rsidRPr="00905433" w:rsidRDefault="00C6423D" w:rsidP="00C6423D">
      <w:pPr>
        <w:spacing w:after="0" w:line="240" w:lineRule="auto"/>
        <w:ind w:firstLine="709"/>
        <w:contextualSpacing/>
      </w:pPr>
      <w:r>
        <w:t>В настоящее время, несмотря на достижения в области фармакотерапии сердечнососудистых заболеваний, операция ортотопической трансплантации сердца (ОТТС) является общепризнанным золотым стандартом лечения терминальной сердечной недостаточности (СН), существенно улучшающим прогноз и качество жизни. В последние годы отмечается значительное улучшение выживаемости без нежелательных событий у реципиентов сердца, обусловленное, в первую очередь, снижением периоперационной и ранней послеоперационной смертности</w:t>
      </w:r>
      <w:r w:rsidRPr="00905433">
        <w:t>.</w:t>
      </w:r>
    </w:p>
    <w:p w14:paraId="1B5DB86B" w14:textId="77777777" w:rsidR="00C6423D" w:rsidRPr="00905433" w:rsidRDefault="00C6423D" w:rsidP="00C6423D">
      <w:pPr>
        <w:spacing w:after="0" w:line="240" w:lineRule="auto"/>
        <w:ind w:firstLine="709"/>
        <w:contextualSpacing/>
      </w:pPr>
      <w:r>
        <w:t xml:space="preserve">Трансплантация печени является наиболее эффективным и часто единственным радикальным методом лечения больных с терминальной стадией хронических диффузных болезней печени, фульминантной печеночной недостаточностью, злокачественными и доброкачественными опухолями печени. Увеличивающееся с каждым годом количество выполняемых операций (ежегодно около 25000 во всем мире) служит свидетельством успешности данного метода. </w:t>
      </w:r>
    </w:p>
    <w:p w14:paraId="75789F6F" w14:textId="0981900D" w:rsidR="00C6423D" w:rsidRPr="005B1981" w:rsidRDefault="00C6423D" w:rsidP="00C6423D">
      <w:pPr>
        <w:spacing w:after="0" w:line="240" w:lineRule="auto"/>
        <w:ind w:right="21" w:firstLine="709"/>
        <w:rPr>
          <w:color w:val="000000"/>
        </w:rPr>
      </w:pPr>
      <w:r w:rsidRPr="00707D60">
        <w:rPr>
          <w:color w:val="000000"/>
          <w:szCs w:val="23"/>
        </w:rPr>
        <w:t xml:space="preserve">Эверолимус </w:t>
      </w:r>
      <w:r>
        <w:rPr>
          <w:color w:val="000000"/>
          <w:szCs w:val="23"/>
        </w:rPr>
        <w:t xml:space="preserve">– </w:t>
      </w:r>
      <w:r w:rsidRPr="00707D60">
        <w:rPr>
          <w:color w:val="000000"/>
          <w:szCs w:val="23"/>
        </w:rPr>
        <w:t xml:space="preserve">пероральный препарат, относящийся к группе ингибиторов mTOR. Эверолимус </w:t>
      </w:r>
      <w:r>
        <w:rPr>
          <w:color w:val="000000"/>
          <w:szCs w:val="23"/>
        </w:rPr>
        <w:t xml:space="preserve">– </w:t>
      </w:r>
      <w:r w:rsidRPr="00707D60">
        <w:rPr>
          <w:color w:val="000000"/>
          <w:szCs w:val="23"/>
        </w:rPr>
        <w:t xml:space="preserve">аналог рапамицина, выделенного из бактерий </w:t>
      </w:r>
      <w:r w:rsidRPr="009C29AA">
        <w:rPr>
          <w:i/>
          <w:color w:val="000000"/>
          <w:szCs w:val="23"/>
        </w:rPr>
        <w:t>Streptomyces hygroscopicus</w:t>
      </w:r>
      <w:r w:rsidRPr="00707D60">
        <w:rPr>
          <w:color w:val="000000"/>
          <w:szCs w:val="23"/>
        </w:rPr>
        <w:t xml:space="preserve"> и обладающего иммуно-супрессивной, противомикробной и противоопухолевой активностью. Мишень рапамицина у млекопитающих, mTOR, представляет собой серин-треониновую киназу, которая играет важную роль в регуляции клеточного роста и пролиферации, а также увеличивает экспрессию гена HIFla, в результате чего происходит стимуляция ангиогенеза</w:t>
      </w:r>
      <w:r>
        <w:rPr>
          <w:color w:val="000000"/>
          <w:szCs w:val="23"/>
        </w:rPr>
        <w:t xml:space="preserve">. </w:t>
      </w:r>
      <w:r w:rsidRPr="00707D60">
        <w:rPr>
          <w:color w:val="000000"/>
          <w:szCs w:val="23"/>
        </w:rPr>
        <w:t>Патогенез злокачественной трансформации напрямую сопряжен с гиперактивацией этой киназы, поэтому применение ингибиторов mTOR зачастую сопровождается противоопухолевым эффектом</w:t>
      </w:r>
      <w:r>
        <w:rPr>
          <w:color w:val="000000"/>
          <w:szCs w:val="23"/>
        </w:rPr>
        <w:t>.</w:t>
      </w:r>
      <w:r>
        <w:t xml:space="preserve"> </w:t>
      </w:r>
      <w:r w:rsidRPr="00DA75AA">
        <w:rPr>
          <w:bCs/>
          <w:iCs/>
        </w:rPr>
        <w:t xml:space="preserve">В России </w:t>
      </w:r>
      <w:r>
        <w:rPr>
          <w:bCs/>
          <w:iCs/>
        </w:rPr>
        <w:t>эверолимус</w:t>
      </w:r>
      <w:r w:rsidRPr="00DA75AA">
        <w:rPr>
          <w:bCs/>
          <w:iCs/>
        </w:rPr>
        <w:t xml:space="preserve"> зарегистрирован и </w:t>
      </w:r>
      <w:r>
        <w:rPr>
          <w:bCs/>
          <w:iCs/>
        </w:rPr>
        <w:t xml:space="preserve">применяется в клинической практике с </w:t>
      </w:r>
      <w:r w:rsidR="00174C26">
        <w:rPr>
          <w:bCs/>
          <w:iCs/>
        </w:rPr>
        <w:t>2011</w:t>
      </w:r>
      <w:r w:rsidR="00174C26" w:rsidRPr="00DA75AA">
        <w:rPr>
          <w:bCs/>
          <w:iCs/>
        </w:rPr>
        <w:t xml:space="preserve"> </w:t>
      </w:r>
      <w:r w:rsidRPr="00DA75AA">
        <w:rPr>
          <w:bCs/>
          <w:iCs/>
        </w:rPr>
        <w:t>г.</w:t>
      </w:r>
    </w:p>
    <w:p w14:paraId="2F8958DD" w14:textId="77777777" w:rsidR="00C6423D" w:rsidRPr="0021251A" w:rsidRDefault="00C6423D" w:rsidP="00C6423D">
      <w:pPr>
        <w:pStyle w:val="OT"/>
        <w:spacing w:after="0"/>
        <w:ind w:firstLine="709"/>
        <w:rPr>
          <w:sz w:val="24"/>
          <w:szCs w:val="24"/>
        </w:rPr>
      </w:pPr>
      <w:r w:rsidRPr="0021251A">
        <w:rPr>
          <w:sz w:val="24"/>
          <w:szCs w:val="24"/>
        </w:rPr>
        <w:t xml:space="preserve">Для изучения </w:t>
      </w:r>
      <w:r>
        <w:rPr>
          <w:color w:val="000000"/>
          <w:sz w:val="24"/>
          <w:szCs w:val="24"/>
        </w:rPr>
        <w:t>эверолимуса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эверолимуса</w:t>
      </w:r>
      <w:r w:rsidRPr="0021251A">
        <w:rPr>
          <w:sz w:val="24"/>
          <w:szCs w:val="24"/>
        </w:rPr>
        <w:t>.</w:t>
      </w:r>
    </w:p>
    <w:p w14:paraId="4322F392" w14:textId="77777777" w:rsidR="00C6423D" w:rsidRDefault="00C6423D" w:rsidP="00C6423D">
      <w:pPr>
        <w:spacing w:after="0" w:line="240" w:lineRule="auto"/>
        <w:ind w:firstLine="709"/>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эверолимуса включала исследования фармакокинетики однократных и многократных доз у здоровых добровольцев, пациентов с распространенными солидными опухолями и реципиентов трансплантатов органов, исследования фармакокинетики у пациентов с нарушением функции почек, многочисленные исследования фармакокинетических лекарственных взаимодействий и влияния пищи у здоровых добровольцев, исследования </w:t>
      </w:r>
      <w:r>
        <w:rPr>
          <w:bCs/>
          <w:color w:val="000000" w:themeColor="text1"/>
          <w:lang w:val="en-US" w:eastAsia="ru-RU" w:bidi="ru-RU"/>
        </w:rPr>
        <w:t>II</w:t>
      </w:r>
      <w:r w:rsidRPr="0011373C">
        <w:rPr>
          <w:bCs/>
          <w:color w:val="000000" w:themeColor="text1"/>
          <w:lang w:eastAsia="ru-RU" w:bidi="ru-RU"/>
        </w:rPr>
        <w:t xml:space="preserve"> </w:t>
      </w:r>
      <w:r>
        <w:rPr>
          <w:bCs/>
          <w:color w:val="000000" w:themeColor="text1"/>
          <w:lang w:eastAsia="ru-RU" w:bidi="ru-RU"/>
        </w:rPr>
        <w:t xml:space="preserve">фазы для подбора дозы препарата, а также ключевые исследования </w:t>
      </w:r>
      <w:r>
        <w:rPr>
          <w:bCs/>
          <w:color w:val="000000" w:themeColor="text1"/>
          <w:lang w:val="en-US" w:eastAsia="ru-RU" w:bidi="ru-RU"/>
        </w:rPr>
        <w:t>III</w:t>
      </w:r>
      <w:r>
        <w:rPr>
          <w:bCs/>
          <w:color w:val="000000" w:themeColor="text1"/>
          <w:lang w:eastAsia="ru-RU" w:bidi="ru-RU"/>
        </w:rPr>
        <w:t xml:space="preserve"> фазы у реципиентов трансплантатов органов, на основании результатов которых </w:t>
      </w:r>
      <w:r>
        <w:rPr>
          <w:bCs/>
          <w:color w:val="000000" w:themeColor="text1"/>
          <w:lang w:eastAsia="ru-RU" w:bidi="ru-RU"/>
        </w:rPr>
        <w:lastRenderedPageBreak/>
        <w:t>были утверждены настоящие показания для медицинского применения эверолимуса.</w:t>
      </w:r>
    </w:p>
    <w:p w14:paraId="2EE70759" w14:textId="77777777" w:rsidR="00C6423D" w:rsidRDefault="00C6423D" w:rsidP="00C6423D">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w:t>
      </w:r>
      <w:r w:rsidRPr="00343AC2">
        <w:rPr>
          <w:bCs/>
          <w:color w:val="000000" w:themeColor="text1"/>
          <w:lang w:eastAsia="ru-RU" w:bidi="ru-RU"/>
        </w:rPr>
        <w:t xml:space="preserve"> </w:t>
      </w:r>
      <w:r>
        <w:rPr>
          <w:bCs/>
          <w:color w:val="000000" w:themeColor="text1"/>
          <w:lang w:eastAsia="ru-RU" w:bidi="ru-RU"/>
        </w:rPr>
        <w:t>эверолимус</w:t>
      </w:r>
      <w:r w:rsidRPr="00343AC2">
        <w:rPr>
          <w:bCs/>
          <w:color w:val="000000" w:themeColor="text1"/>
          <w:lang w:eastAsia="ru-RU" w:bidi="ru-RU"/>
        </w:rPr>
        <w:t xml:space="preserve"> </w:t>
      </w:r>
      <w:r>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Pr>
          <w:bCs/>
          <w:color w:val="000000" w:themeColor="text1"/>
          <w:lang w:eastAsia="ru-RU" w:bidi="ru-RU"/>
        </w:rPr>
        <w:t>1-2 ч</w:t>
      </w:r>
      <w:r w:rsidRPr="00343AC2">
        <w:rPr>
          <w:bCs/>
          <w:color w:val="000000" w:themeColor="text1"/>
          <w:lang w:eastAsia="ru-RU" w:bidi="ru-RU"/>
        </w:rPr>
        <w:t xml:space="preserve">. </w:t>
      </w:r>
      <w:r w:rsidRPr="00530B28">
        <w:rPr>
          <w:bCs/>
          <w:color w:val="000000" w:themeColor="text1"/>
          <w:lang w:eastAsia="ru-RU" w:bidi="ru-RU"/>
        </w:rPr>
        <w:t xml:space="preserve">Всасывание </w:t>
      </w:r>
      <w:r>
        <w:rPr>
          <w:bCs/>
          <w:color w:val="000000" w:themeColor="text1"/>
          <w:lang w:eastAsia="ru-RU" w:bidi="ru-RU"/>
        </w:rPr>
        <w:t>эверолимуса</w:t>
      </w:r>
      <w:r w:rsidRPr="00530B28">
        <w:rPr>
          <w:bCs/>
          <w:color w:val="000000" w:themeColor="text1"/>
          <w:lang w:eastAsia="ru-RU" w:bidi="ru-RU"/>
        </w:rPr>
        <w:t xml:space="preserve"> </w:t>
      </w:r>
      <w:r>
        <w:rPr>
          <w:bCs/>
          <w:color w:val="000000" w:themeColor="text1"/>
          <w:lang w:eastAsia="ru-RU" w:bidi="ru-RU"/>
        </w:rPr>
        <w:t xml:space="preserve">зависит от условий приема – натощак или с пищей, </w:t>
      </w:r>
      <w:r>
        <w:rPr>
          <w:rFonts w:eastAsia="Calibri"/>
          <w:color w:val="000000" w:themeColor="text1"/>
          <w:szCs w:val="28"/>
        </w:rPr>
        <w:t>о</w:t>
      </w:r>
      <w:r w:rsidRPr="00707D60">
        <w:rPr>
          <w:rFonts w:eastAsia="Calibri"/>
          <w:color w:val="000000" w:themeColor="text1"/>
          <w:szCs w:val="28"/>
        </w:rPr>
        <w:t>дновременный прием пищи с низким содержание жиров снижал AUC и С</w:t>
      </w:r>
      <w:r w:rsidRPr="00BF6DD4">
        <w:rPr>
          <w:rFonts w:eastAsia="Calibri"/>
          <w:color w:val="000000" w:themeColor="text1"/>
          <w:szCs w:val="28"/>
          <w:vertAlign w:val="subscript"/>
        </w:rPr>
        <w:t>mах</w:t>
      </w:r>
      <w:r>
        <w:rPr>
          <w:rFonts w:eastAsia="Calibri"/>
          <w:color w:val="000000" w:themeColor="text1"/>
          <w:szCs w:val="28"/>
        </w:rPr>
        <w:t xml:space="preserve"> на 32% и 42%, соответственно</w:t>
      </w:r>
      <w:r w:rsidRPr="00343AC2">
        <w:rPr>
          <w:bCs/>
          <w:color w:val="000000" w:themeColor="text1"/>
          <w:lang w:eastAsia="ru-RU" w:bidi="ru-RU"/>
        </w:rPr>
        <w:t xml:space="preserve">. </w:t>
      </w:r>
      <w:r w:rsidRPr="00707D60">
        <w:rPr>
          <w:rFonts w:eastAsia="Calibri"/>
          <w:color w:val="000000" w:themeColor="text1"/>
          <w:szCs w:val="28"/>
        </w:rPr>
        <w:t xml:space="preserve">Процентное отношение концентрации эверолимуса в </w:t>
      </w:r>
      <w:r>
        <w:rPr>
          <w:rFonts w:eastAsia="Calibri"/>
          <w:color w:val="000000" w:themeColor="text1"/>
          <w:szCs w:val="28"/>
        </w:rPr>
        <w:t xml:space="preserve">цельной </w:t>
      </w:r>
      <w:r w:rsidRPr="00707D60">
        <w:rPr>
          <w:rFonts w:eastAsia="Calibri"/>
          <w:color w:val="000000" w:themeColor="text1"/>
          <w:szCs w:val="28"/>
        </w:rPr>
        <w:t>крови и плазме крови, которое является зависимым от концентрации соединения в диапазоне от 5 до 5000 нг/мл, изменяется от 17% до 73%. Связь с белками плазмы крови составляет примерно 74% как у здоровых добровольцев, так и у пациентов с нарушением функции печени средней степени тяжести.</w:t>
      </w:r>
      <w:r w:rsidRPr="00BF6DD4">
        <w:rPr>
          <w:rFonts w:eastAsia="Calibri"/>
          <w:color w:val="000000" w:themeColor="text1"/>
          <w:szCs w:val="28"/>
        </w:rPr>
        <w:t xml:space="preserve"> </w:t>
      </w:r>
      <w:r w:rsidRPr="00707D60">
        <w:rPr>
          <w:rFonts w:eastAsia="Calibri"/>
          <w:color w:val="000000" w:themeColor="text1"/>
        </w:rPr>
        <w:t>Эверолимус является субстратом изофермента CYP3A4 и Р-гликопротеина. После приема препарата внутрь в крови эверолимус циркулирует в основном в неизмененном виде. В крови человека определены шесть основных метаболитов эверолимуса, уступа</w:t>
      </w:r>
      <w:r>
        <w:rPr>
          <w:rFonts w:eastAsia="Calibri"/>
          <w:color w:val="000000" w:themeColor="text1"/>
        </w:rPr>
        <w:t>ющих</w:t>
      </w:r>
      <w:r w:rsidRPr="00707D60">
        <w:rPr>
          <w:rFonts w:eastAsia="Calibri"/>
          <w:color w:val="000000" w:themeColor="text1"/>
        </w:rPr>
        <w:t xml:space="preserve"> </w:t>
      </w:r>
      <w:r>
        <w:rPr>
          <w:rFonts w:eastAsia="Calibri"/>
          <w:color w:val="000000" w:themeColor="text1"/>
        </w:rPr>
        <w:t>исходному соединению по фармакологической активности</w:t>
      </w:r>
      <w:r w:rsidRPr="00707D60">
        <w:rPr>
          <w:rFonts w:eastAsia="Calibri"/>
          <w:color w:val="000000" w:themeColor="text1"/>
        </w:rPr>
        <w:t xml:space="preserve"> примерно в 100 раз. </w:t>
      </w:r>
      <w:r w:rsidRPr="00074C25">
        <w:rPr>
          <w:rFonts w:eastAsia="Calibri"/>
          <w:color w:val="000000" w:themeColor="text1"/>
          <w:szCs w:val="28"/>
        </w:rPr>
        <w:t>Средний период полувыведения эверолимуса составляет примерно 30 часов</w:t>
      </w:r>
      <w:r>
        <w:rPr>
          <w:rFonts w:eastAsia="TimesNewRomanPS-BoldMT"/>
          <w:bCs/>
          <w:color w:val="000000" w:themeColor="text1"/>
        </w:rPr>
        <w:t>. Препарат выводится с калом в виде метаболитов.</w:t>
      </w:r>
    </w:p>
    <w:p w14:paraId="7011BCF7" w14:textId="77777777" w:rsidR="00C6423D" w:rsidRDefault="00C6423D" w:rsidP="00C6423D">
      <w:pPr>
        <w:autoSpaceDE w:val="0"/>
        <w:autoSpaceDN w:val="0"/>
        <w:adjustRightInd w:val="0"/>
        <w:spacing w:after="0" w:line="240" w:lineRule="auto"/>
        <w:ind w:firstLine="743"/>
        <w:rPr>
          <w:color w:val="000000"/>
          <w:lang w:eastAsia="ru-RU"/>
        </w:rPr>
      </w:pPr>
      <w:r w:rsidRPr="00B83064">
        <w:rPr>
          <w:rFonts w:eastAsia="Times New Roman"/>
          <w:color w:val="000000" w:themeColor="text1"/>
          <w:lang w:eastAsia="ru-RU"/>
        </w:rPr>
        <w:t xml:space="preserve">Регистрационные исследования эффективности и безопасности </w:t>
      </w:r>
      <w:r>
        <w:rPr>
          <w:rFonts w:eastAsia="Times New Roman"/>
          <w:color w:val="000000" w:themeColor="text1"/>
          <w:lang w:eastAsia="ru-RU"/>
        </w:rPr>
        <w:t>эверолимуса</w:t>
      </w:r>
      <w:r w:rsidRPr="00B83064">
        <w:rPr>
          <w:rFonts w:eastAsia="Times New Roman"/>
          <w:color w:val="000000" w:themeColor="text1"/>
          <w:lang w:eastAsia="ru-RU"/>
        </w:rPr>
        <w:t xml:space="preserve"> (</w:t>
      </w:r>
      <w:r>
        <w:rPr>
          <w:rFonts w:eastAsia="Calibri"/>
          <w:color w:val="000000" w:themeColor="text1"/>
          <w:lang w:eastAsia="ru-RU"/>
        </w:rPr>
        <w:t>Сертикан</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 xml:space="preserve">были проведены у </w:t>
      </w:r>
      <w:r>
        <w:rPr>
          <w:rFonts w:eastAsia="Times New Roman"/>
          <w:color w:val="000000" w:themeColor="text1"/>
          <w:lang w:eastAsia="ru-RU"/>
        </w:rPr>
        <w:t>реципиентов трансплантата почки, сердца и печени.</w:t>
      </w:r>
    </w:p>
    <w:p w14:paraId="738B558D" w14:textId="77777777" w:rsidR="00C6423D" w:rsidRPr="00DA0DA9" w:rsidRDefault="00C6423D" w:rsidP="00C6423D">
      <w:pPr>
        <w:spacing w:after="0" w:line="240" w:lineRule="auto"/>
        <w:ind w:firstLine="709"/>
      </w:pP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о участие в общей сложности 4449 пациентов. Х</w:t>
      </w:r>
      <w:r w:rsidRPr="00DA0DA9">
        <w:t>отя бы од</w:t>
      </w:r>
      <w:r>
        <w:t>ну дозу эверолимуса приняли 2825</w:t>
      </w:r>
      <w:r w:rsidRPr="00DA0DA9">
        <w:t xml:space="preserve"> пациентов, из них </w:t>
      </w:r>
      <w:r>
        <w:t>1622 пациента получали иммуносупрессивную терапию как реципиенты трансплантата почки, 958 пациентов – как реципиенты трансплантата сердца и 245 пациентов – как реципиенты трансплантата печени.</w:t>
      </w:r>
      <w:r w:rsidRPr="00DA0DA9">
        <w:t xml:space="preserve"> </w:t>
      </w:r>
      <w:r>
        <w:t>Наблюдение за субъектами исследования составляло от 6 до 36 месяцев.</w:t>
      </w:r>
    </w:p>
    <w:p w14:paraId="435DEBCC" w14:textId="77777777" w:rsidR="00C6423D" w:rsidRDefault="00C6423D" w:rsidP="00C6423D">
      <w:pPr>
        <w:spacing w:after="0" w:line="240" w:lineRule="auto"/>
        <w:ind w:firstLine="709"/>
      </w:pPr>
      <w:r w:rsidRPr="00DA0DA9">
        <w:t>В большинстве исследований</w:t>
      </w:r>
      <w:r>
        <w:t xml:space="preserve"> первичной конечной точкой был комбинированный показатель: неэффективности трансплантата, смерть или утрата контакта для дальнейшего наблюдения. В ряде исследований в качестве первичной конечной точки фигурировали параметры безопасности (например, оценка функции почек или частота развития инфекций), а оценка эффективности трансплантата выступала в качестве вторичной конечной точки</w:t>
      </w:r>
      <w:r w:rsidRPr="00695000">
        <w:t xml:space="preserve"> </w:t>
      </w:r>
    </w:p>
    <w:p w14:paraId="052BC868" w14:textId="13BBC055" w:rsidR="00C6423D" w:rsidRPr="002E4B25" w:rsidRDefault="00C6423D" w:rsidP="00C6423D">
      <w:pPr>
        <w:spacing w:after="0" w:line="240" w:lineRule="auto"/>
        <w:ind w:firstLine="709"/>
        <w:rPr>
          <w:color w:val="000000"/>
          <w:lang w:eastAsia="ru-RU"/>
        </w:rPr>
      </w:pPr>
      <w:r w:rsidRPr="001B72F5">
        <w:rPr>
          <w:color w:val="000000"/>
          <w:lang w:eastAsia="ru-RU"/>
        </w:rPr>
        <w:t>К настоящему моменту доступны данные о безопасности эверолимуса, полученные в ходе клинических исследований эверолимуса и в ходе постмаркетингового наблюдения.  Профиль безопасности</w:t>
      </w:r>
      <w:r w:rsidR="0032006A">
        <w:rPr>
          <w:color w:val="000000"/>
          <w:lang w:eastAsia="ru-RU"/>
        </w:rPr>
        <w:t xml:space="preserve"> основан на объединенных данных</w:t>
      </w:r>
      <w:r w:rsidRPr="001B72F5">
        <w:rPr>
          <w:color w:val="000000"/>
          <w:lang w:eastAsia="ru-RU"/>
        </w:rPr>
        <w:t xml:space="preserve"> пациентов, получавших </w:t>
      </w:r>
      <w:r>
        <w:rPr>
          <w:color w:val="000000"/>
          <w:lang w:eastAsia="ru-RU"/>
        </w:rPr>
        <w:t>эверолимус</w:t>
      </w:r>
      <w:r w:rsidRPr="001B72F5">
        <w:rPr>
          <w:color w:val="000000"/>
          <w:lang w:eastAsia="ru-RU"/>
        </w:rPr>
        <w:t xml:space="preserve"> в </w:t>
      </w:r>
      <w:r>
        <w:rPr>
          <w:color w:val="000000"/>
          <w:lang w:eastAsia="ru-RU"/>
        </w:rPr>
        <w:t>семи клинических исследованиях</w:t>
      </w:r>
      <w:r w:rsidRPr="001B72F5">
        <w:rPr>
          <w:color w:val="000000"/>
          <w:lang w:eastAsia="ru-RU"/>
        </w:rPr>
        <w:t xml:space="preserve"> фазы III и </w:t>
      </w:r>
      <w:r>
        <w:rPr>
          <w:color w:val="000000"/>
          <w:lang w:eastAsia="ru-RU"/>
        </w:rPr>
        <w:t>двух</w:t>
      </w:r>
      <w:r w:rsidRPr="001B72F5">
        <w:rPr>
          <w:color w:val="000000"/>
          <w:lang w:eastAsia="ru-RU"/>
        </w:rPr>
        <w:t xml:space="preserve"> открыты</w:t>
      </w:r>
      <w:r>
        <w:rPr>
          <w:color w:val="000000"/>
          <w:lang w:eastAsia="ru-RU"/>
        </w:rPr>
        <w:t>х исследований фазы I</w:t>
      </w:r>
      <w:r>
        <w:rPr>
          <w:color w:val="000000"/>
          <w:lang w:val="en-US" w:eastAsia="ru-RU"/>
        </w:rPr>
        <w:t>I</w:t>
      </w:r>
      <w:r>
        <w:rPr>
          <w:color w:val="000000"/>
          <w:lang w:eastAsia="ru-RU"/>
        </w:rPr>
        <w:t>I у пациентов с нозологиями, относящимися к утвержденным показаниям</w:t>
      </w:r>
      <w:r w:rsidRPr="001B72F5">
        <w:rPr>
          <w:color w:val="000000"/>
          <w:lang w:eastAsia="ru-RU"/>
        </w:rPr>
        <w:t>.</w:t>
      </w:r>
      <w:r w:rsidRPr="002E4B25">
        <w:rPr>
          <w:color w:val="000000"/>
          <w:lang w:eastAsia="ru-RU"/>
        </w:rPr>
        <w:t xml:space="preserve"> </w:t>
      </w:r>
      <w:r w:rsidRPr="00E03613">
        <w:rPr>
          <w:bCs/>
        </w:rPr>
        <w:t xml:space="preserve">Все испытания, кроме двух (с трансплантацией почки), включали группы стандартной терапии, не содержащие </w:t>
      </w:r>
      <w:r>
        <w:rPr>
          <w:bCs/>
        </w:rPr>
        <w:t>эверолимус</w:t>
      </w:r>
      <w:r w:rsidRPr="00E03613">
        <w:rPr>
          <w:bCs/>
        </w:rPr>
        <w:t xml:space="preserve">, на основе ингибиторов кальциневрина. </w:t>
      </w:r>
      <w:r>
        <w:rPr>
          <w:bCs/>
        </w:rPr>
        <w:t>Эверолимус</w:t>
      </w:r>
      <w:r w:rsidRPr="00E03613">
        <w:rPr>
          <w:bCs/>
        </w:rPr>
        <w:t xml:space="preserve"> в комбинации с циклоспорином изучался в пяти исследованиях у реципиентов почечного трансплантата с общим числом пациентов 2497 (включая два исследования без контрольной группы, не получавшей </w:t>
      </w:r>
      <w:r>
        <w:rPr>
          <w:bCs/>
        </w:rPr>
        <w:t>эверолимус</w:t>
      </w:r>
      <w:r w:rsidRPr="00E03613">
        <w:rPr>
          <w:bCs/>
        </w:rPr>
        <w:t>), и в трех исследованиях с участием реципиентов трансплантированного сердц</w:t>
      </w:r>
      <w:r>
        <w:rPr>
          <w:bCs/>
        </w:rPr>
        <w:t xml:space="preserve">а с общим числом </w:t>
      </w:r>
      <w:r>
        <w:rPr>
          <w:bCs/>
        </w:rPr>
        <w:lastRenderedPageBreak/>
        <w:t>пациентов 1531. Эверолимус</w:t>
      </w:r>
      <w:r w:rsidRPr="00E03613">
        <w:rPr>
          <w:bCs/>
        </w:rPr>
        <w:t xml:space="preserve"> в комбинации с такролимусом изучали в одном исследовании, вк</w:t>
      </w:r>
      <w:r>
        <w:rPr>
          <w:bCs/>
        </w:rPr>
        <w:t>лючавшем 719 реципиентов печени</w:t>
      </w:r>
      <w:r w:rsidRPr="002E4B25">
        <w:rPr>
          <w:bCs/>
        </w:rPr>
        <w:t>.</w:t>
      </w:r>
    </w:p>
    <w:p w14:paraId="3EFF3C62" w14:textId="1F9B21C4" w:rsidR="00C6423D" w:rsidRPr="003D31EB" w:rsidRDefault="00C6423D" w:rsidP="00C6423D">
      <w:pPr>
        <w:spacing w:after="0" w:line="240" w:lineRule="auto"/>
        <w:ind w:firstLine="709"/>
        <w:rPr>
          <w:color w:val="000000"/>
          <w:lang w:eastAsia="ru-RU"/>
        </w:rPr>
      </w:pPr>
      <w:r w:rsidRPr="001B72F5">
        <w:rPr>
          <w:color w:val="000000"/>
          <w:lang w:eastAsia="ru-RU"/>
        </w:rPr>
        <w:t xml:space="preserve">Наиболее частыми побочными реакциями (частота ≥1/10) из объединенных данных </w:t>
      </w:r>
      <w:r>
        <w:rPr>
          <w:color w:val="000000"/>
          <w:lang w:eastAsia="ru-RU"/>
        </w:rPr>
        <w:t>по безопасности были (</w:t>
      </w:r>
      <w:r w:rsidRPr="001B72F5">
        <w:rPr>
          <w:color w:val="000000"/>
          <w:lang w:eastAsia="ru-RU"/>
        </w:rPr>
        <w:t xml:space="preserve">в порядке убывания): </w:t>
      </w:r>
      <w:r w:rsidRPr="00E03613">
        <w:rPr>
          <w:bCs/>
        </w:rPr>
        <w:t>инфекции, анемия, гиперлипиде</w:t>
      </w:r>
      <w:r>
        <w:rPr>
          <w:bCs/>
        </w:rPr>
        <w:t>мия, вновь выявленный сахарный диабет</w:t>
      </w:r>
      <w:r w:rsidRPr="00E03613">
        <w:rPr>
          <w:bCs/>
        </w:rPr>
        <w:t xml:space="preserve">, бессонница, головная боль, артериальная гипертензия, кашель, запор, тошнота, периферические отеки, нарушение </w:t>
      </w:r>
      <w:r w:rsidR="00174C26">
        <w:rPr>
          <w:bCs/>
        </w:rPr>
        <w:t>восстановления тканей</w:t>
      </w:r>
      <w:r w:rsidRPr="00E03613">
        <w:rPr>
          <w:bCs/>
        </w:rPr>
        <w:t xml:space="preserve"> (включая плевральный и перикардиальный выпот).</w:t>
      </w:r>
    </w:p>
    <w:p w14:paraId="60BC6387" w14:textId="71331CB5" w:rsidR="00C6423D" w:rsidRPr="002558B3" w:rsidRDefault="00C6423D" w:rsidP="00C6423D">
      <w:pPr>
        <w:spacing w:after="0" w:line="240" w:lineRule="auto"/>
        <w:ind w:firstLine="709"/>
        <w:rPr>
          <w:color w:val="000000"/>
        </w:rPr>
      </w:pPr>
      <w:r w:rsidRPr="002558B3">
        <w:rPr>
          <w:lang w:val="en-US"/>
        </w:rPr>
        <w:t>DT</w:t>
      </w:r>
      <w:r w:rsidRPr="002558B3">
        <w:t>-</w:t>
      </w:r>
      <w:r>
        <w:rPr>
          <w:lang w:val="en-US"/>
        </w:rPr>
        <w:t>EVR</w:t>
      </w:r>
      <w:r>
        <w:rPr>
          <w:bCs/>
          <w:lang w:eastAsia="ru-RU"/>
        </w:rPr>
        <w:t>, таблетки, 0,25 мг, 0,5 мг и 0,75 мг</w:t>
      </w:r>
      <w:r w:rsidRPr="002558B3">
        <w:rPr>
          <w:bCs/>
          <w:lang w:eastAsia="ru-RU"/>
        </w:rPr>
        <w:t xml:space="preserve"> - воспроизведенный препарат </w:t>
      </w:r>
      <w:r>
        <w:rPr>
          <w:bCs/>
          <w:lang w:eastAsia="ru-RU"/>
        </w:rPr>
        <w:t>эверолимуса</w:t>
      </w:r>
      <w:r w:rsidRPr="002558B3">
        <w:rPr>
          <w:bCs/>
          <w:lang w:eastAsia="ru-RU"/>
        </w:rPr>
        <w:t>, разработанный</w:t>
      </w:r>
      <w:r>
        <w:rPr>
          <w:bCs/>
          <w:lang w:eastAsia="ru-RU"/>
        </w:rPr>
        <w:t xml:space="preserve"> дочерним подразделением ГК</w:t>
      </w:r>
      <w:r w:rsidRPr="002558B3">
        <w:rPr>
          <w:bCs/>
          <w:lang w:eastAsia="ru-RU"/>
        </w:rPr>
        <w:t xml:space="preserve"> «Р-Фарм», Россия</w:t>
      </w:r>
      <w:r>
        <w:rPr>
          <w:bCs/>
          <w:lang w:eastAsia="ru-RU"/>
        </w:rPr>
        <w:t xml:space="preserve"> – </w:t>
      </w:r>
      <w:r w:rsidR="00086396">
        <w:rPr>
          <w:bCs/>
          <w:lang w:eastAsia="ru-RU"/>
        </w:rPr>
        <w:t xml:space="preserve">ООО </w:t>
      </w:r>
      <w:r>
        <w:rPr>
          <w:bCs/>
          <w:lang w:eastAsia="ru-RU"/>
        </w:rPr>
        <w:t>«</w:t>
      </w:r>
      <w:r w:rsidR="00086396">
        <w:rPr>
          <w:bCs/>
          <w:lang w:eastAsia="ru-RU"/>
        </w:rPr>
        <w:t>Технология Лекарств</w:t>
      </w:r>
      <w:r>
        <w:rPr>
          <w:bCs/>
          <w:lang w:eastAsia="ru-RU"/>
        </w:rPr>
        <w:t>», по заказу АО «Р-Фарм»</w:t>
      </w:r>
      <w:r w:rsidRPr="002558B3">
        <w:rPr>
          <w:bCs/>
          <w:lang w:eastAsia="ru-RU"/>
        </w:rPr>
        <w:t xml:space="preserve">. </w:t>
      </w:r>
      <w:r w:rsidR="0032006A">
        <w:rPr>
          <w:color w:val="000000"/>
        </w:rPr>
        <w:t>Он 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препарату эверолимуса Сертикан</w:t>
      </w:r>
      <w:r w:rsidR="0032006A">
        <w:rPr>
          <w:color w:val="000000"/>
          <w:vertAlign w:val="superscript"/>
        </w:rPr>
        <w:t>®</w:t>
      </w:r>
      <w:r w:rsidR="0032006A">
        <w:rPr>
          <w:color w:val="000000"/>
        </w:rPr>
        <w:t xml:space="preserve"> </w:t>
      </w:r>
      <w:r w:rsidR="0032006A">
        <w:rPr>
          <w:lang w:eastAsia="ru-RU"/>
        </w:rPr>
        <w:t xml:space="preserve">(владелец РУ - </w:t>
      </w:r>
      <w:r w:rsidR="0032006A">
        <w:rPr>
          <w:rFonts w:eastAsia="Calibri"/>
        </w:rPr>
        <w:t>Новартис Фарма АГ, Швейцария</w:t>
      </w:r>
      <w:r w:rsidR="0032006A">
        <w:rPr>
          <w:lang w:eastAsia="ru-RU"/>
        </w:rPr>
        <w:t>), имея минимальные отличия в качественном и количественном составе вспомогательных веществ.</w:t>
      </w:r>
      <w:r>
        <w:rPr>
          <w:color w:val="000000"/>
        </w:rPr>
        <w:t xml:space="preserve"> Для доказательства эквивалентности препарата </w:t>
      </w:r>
      <w:r>
        <w:rPr>
          <w:color w:val="000000"/>
          <w:lang w:val="en-US"/>
        </w:rPr>
        <w:t>DT</w:t>
      </w:r>
      <w:r>
        <w:rPr>
          <w:color w:val="000000"/>
        </w:rPr>
        <w:t>-</w:t>
      </w:r>
      <w:r>
        <w:rPr>
          <w:color w:val="000000"/>
          <w:lang w:val="en-US"/>
        </w:rPr>
        <w:t>EVR</w:t>
      </w:r>
      <w:r>
        <w:rPr>
          <w:color w:val="000000"/>
        </w:rPr>
        <w:t xml:space="preserve"> были проведены исследования сравнительной кинетики растворения в сравнении с референтным препаратом Сертикан</w:t>
      </w:r>
      <w:r>
        <w:rPr>
          <w:color w:val="000000"/>
          <w:vertAlign w:val="superscript"/>
        </w:rPr>
        <w:t>®</w:t>
      </w:r>
      <w:r>
        <w:rPr>
          <w:color w:val="000000"/>
        </w:rPr>
        <w:t xml:space="preserve"> (Новартис Фарма АГ, Швейцария)</w:t>
      </w:r>
      <w:r>
        <w:rPr>
          <w:rFonts w:eastAsia="Calibri"/>
          <w:color w:val="000000"/>
        </w:rPr>
        <w:t xml:space="preserve"> в дозировке 0,75 мг </w:t>
      </w:r>
      <w:r>
        <w:rPr>
          <w:color w:val="000000"/>
        </w:rPr>
        <w:t xml:space="preserve">(в трех модельных средах с рН 1,2; 4,5, 6,8, а также в среде по НД (0,4% раствор натрия лаурилсульфата). Согласно полученным данным, кинетика растворения </w:t>
      </w:r>
      <w:r>
        <w:rPr>
          <w:color w:val="000000"/>
          <w:lang w:val="en-US"/>
        </w:rPr>
        <w:t>DT</w:t>
      </w:r>
      <w:r>
        <w:rPr>
          <w:color w:val="000000"/>
        </w:rPr>
        <w:t>-</w:t>
      </w:r>
      <w:r>
        <w:rPr>
          <w:color w:val="000000"/>
          <w:lang w:val="en-US"/>
        </w:rPr>
        <w:t>EVR</w:t>
      </w:r>
      <w:r>
        <w:rPr>
          <w:color w:val="000000"/>
        </w:rPr>
        <w:t>, таблетки, эквивалентна кинетике растворения референтного препарата Сертикан</w:t>
      </w:r>
      <w:r>
        <w:rPr>
          <w:color w:val="000000"/>
          <w:vertAlign w:val="superscript"/>
        </w:rPr>
        <w:t>®</w:t>
      </w:r>
      <w:r>
        <w:rPr>
          <w:color w:val="000000"/>
        </w:rPr>
        <w:t>, таблетки, что позволяет предполагать также эквивалентность фармакологических свойств обоих препаратов</w:t>
      </w:r>
      <w:r>
        <w:rPr>
          <w:color w:val="000000" w:themeColor="text1"/>
        </w:rPr>
        <w:t>.</w:t>
      </w:r>
    </w:p>
    <w:p w14:paraId="36430969" w14:textId="77777777" w:rsidR="00C6423D" w:rsidRPr="00DA75AA" w:rsidRDefault="00C6423D" w:rsidP="00C6423D">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Pr>
          <w:rFonts w:eastAsia="Calibri"/>
          <w:lang w:eastAsia="ar-SA"/>
        </w:rPr>
        <w:t>эверолимуса</w:t>
      </w:r>
      <w:r w:rsidRPr="00BA0F9F">
        <w:rPr>
          <w:bCs/>
          <w:lang w:eastAsia="ru-RU"/>
        </w:rPr>
        <w:t xml:space="preserve"> позволит снизить цену современной </w:t>
      </w:r>
      <w:r>
        <w:rPr>
          <w:bCs/>
          <w:lang w:eastAsia="ru-RU"/>
        </w:rPr>
        <w:t xml:space="preserve">иммуносупрессивной </w:t>
      </w:r>
      <w:r w:rsidRPr="00BA0F9F">
        <w:rPr>
          <w:bCs/>
          <w:lang w:eastAsia="ru-RU"/>
        </w:rPr>
        <w:t>терапии</w:t>
      </w:r>
      <w:r>
        <w:rPr>
          <w:bCs/>
          <w:lang w:eastAsia="ru-RU"/>
        </w:rPr>
        <w:t xml:space="preserve"> у реципиентов почки, сердца и печени, </w:t>
      </w:r>
      <w:r w:rsidRPr="00BA0F9F">
        <w:rPr>
          <w:bCs/>
          <w:lang w:eastAsia="ru-RU"/>
        </w:rPr>
        <w:t>и повысить её доступность.</w:t>
      </w:r>
    </w:p>
    <w:p w14:paraId="460F1AA6" w14:textId="070D7E37" w:rsidR="00B93177" w:rsidRPr="00DA75AA" w:rsidRDefault="00B93177" w:rsidP="00926AEF">
      <w:pPr>
        <w:spacing w:after="0" w:line="240" w:lineRule="auto"/>
        <w:rPr>
          <w:color w:val="000000"/>
        </w:rPr>
      </w:pPr>
    </w:p>
    <w:p w14:paraId="26C75CF6" w14:textId="77777777" w:rsidR="00B93177" w:rsidRPr="00707D60" w:rsidRDefault="00B93177" w:rsidP="00707D60">
      <w:pPr>
        <w:spacing w:after="0" w:line="240" w:lineRule="auto"/>
        <w:ind w:firstLine="708"/>
        <w:rPr>
          <w:lang w:eastAsia="ru-RU"/>
        </w:rPr>
      </w:pPr>
    </w:p>
    <w:p w14:paraId="6D1587A1" w14:textId="77777777" w:rsidR="00D070EA" w:rsidRPr="00707D60" w:rsidRDefault="00D070EA" w:rsidP="009B0942">
      <w:r w:rsidRPr="00707D60">
        <w:br w:type="page"/>
      </w:r>
    </w:p>
    <w:p w14:paraId="4B841755" w14:textId="168AFCEB" w:rsidR="003C2C65" w:rsidRPr="00707D60" w:rsidRDefault="003C2C65" w:rsidP="00707D60">
      <w:pPr>
        <w:pStyle w:val="12"/>
        <w:tabs>
          <w:tab w:val="left" w:pos="142"/>
          <w:tab w:val="left" w:pos="284"/>
        </w:tabs>
        <w:spacing w:line="240" w:lineRule="auto"/>
        <w:rPr>
          <w:rFonts w:cs="Times New Roman"/>
          <w:color w:val="000000" w:themeColor="text1"/>
          <w:szCs w:val="24"/>
        </w:rPr>
      </w:pPr>
      <w:bookmarkStart w:id="21" w:name="_Toc115217903"/>
      <w:bookmarkStart w:id="22" w:name="_Toc118124134"/>
      <w:bookmarkStart w:id="23" w:name="_Toc119313708"/>
      <w:r w:rsidRPr="00707D60">
        <w:rPr>
          <w:rFonts w:cs="Times New Roman"/>
          <w:color w:val="000000" w:themeColor="text1"/>
          <w:szCs w:val="24"/>
        </w:rPr>
        <w:lastRenderedPageBreak/>
        <w:t>1. ВВЕДЕНИЕ</w:t>
      </w:r>
      <w:bookmarkEnd w:id="20"/>
      <w:bookmarkEnd w:id="21"/>
      <w:bookmarkEnd w:id="22"/>
      <w:bookmarkEnd w:id="23"/>
    </w:p>
    <w:p w14:paraId="257FEAE7" w14:textId="77777777" w:rsidR="003C2C65" w:rsidRPr="00707D60" w:rsidRDefault="003C2C65" w:rsidP="00707D60">
      <w:pPr>
        <w:pStyle w:val="2"/>
        <w:spacing w:line="240" w:lineRule="auto"/>
        <w:rPr>
          <w:color w:val="000000" w:themeColor="text1"/>
          <w:szCs w:val="24"/>
        </w:rPr>
      </w:pPr>
      <w:bookmarkStart w:id="24" w:name="_Toc415001066"/>
      <w:bookmarkStart w:id="25" w:name="_Toc115217904"/>
      <w:bookmarkStart w:id="26" w:name="_Toc118124135"/>
      <w:bookmarkStart w:id="27" w:name="_Toc119313709"/>
      <w:r w:rsidRPr="00707D60">
        <w:rPr>
          <w:color w:val="000000" w:themeColor="text1"/>
          <w:szCs w:val="24"/>
        </w:rPr>
        <w:t>1.1. Химическое название</w:t>
      </w:r>
      <w:bookmarkEnd w:id="24"/>
      <w:bookmarkEnd w:id="25"/>
      <w:bookmarkEnd w:id="26"/>
      <w:bookmarkEnd w:id="27"/>
    </w:p>
    <w:p w14:paraId="37635D49" w14:textId="0DF8C6BF" w:rsidR="004708F5" w:rsidRPr="00707D60" w:rsidRDefault="00285651" w:rsidP="00556C9C">
      <w:pPr>
        <w:spacing w:after="0" w:line="240" w:lineRule="auto"/>
        <w:ind w:left="709"/>
        <w:rPr>
          <w:b/>
        </w:rPr>
      </w:pPr>
      <w:bookmarkStart w:id="28" w:name="_Toc415001067"/>
      <w:r w:rsidRPr="00707D60">
        <w:rPr>
          <w:rStyle w:val="afff1"/>
          <w:rFonts w:eastAsia="MS Mincho"/>
          <w:b w:val="0"/>
        </w:rPr>
        <w:t>(1R,9S,12S,15R,16E,18R,19R,21R,23S,24E,26E,28E,30S,32S,35R)-1,18-дигидрокси-12-[(2R)-1-[(1S ,3R,4R)-4-(2-гидроксиэтокси)-3-метоксициклогексил]пропан-2-ил]-19,30-диметокси-15,17,21,23,29,35-гексаметил-11,36-диокса-4-азатрицикло[30.3.1.04,9]гексатриаконта-16,24,26,28-тетраен-2,3,10,14,20-пентон</w:t>
      </w:r>
      <w:r w:rsidR="00B804A9" w:rsidRPr="00707D60">
        <w:rPr>
          <w:rStyle w:val="afff1"/>
          <w:rFonts w:eastAsia="MS Mincho"/>
          <w:b w:val="0"/>
        </w:rPr>
        <w:t xml:space="preserve">, </w:t>
      </w:r>
    </w:p>
    <w:p w14:paraId="79FE8A4A" w14:textId="77777777" w:rsidR="003C2C65" w:rsidRPr="00707D60" w:rsidRDefault="003C2C65" w:rsidP="00707D60">
      <w:pPr>
        <w:pStyle w:val="2"/>
        <w:spacing w:line="240" w:lineRule="auto"/>
        <w:rPr>
          <w:color w:val="000000" w:themeColor="text1"/>
          <w:szCs w:val="24"/>
        </w:rPr>
      </w:pPr>
      <w:bookmarkStart w:id="29" w:name="_Toc115217905"/>
      <w:bookmarkStart w:id="30" w:name="_Toc118124136"/>
      <w:bookmarkStart w:id="31" w:name="_Toc119313710"/>
      <w:r w:rsidRPr="00707D60">
        <w:rPr>
          <w:color w:val="000000" w:themeColor="text1"/>
          <w:szCs w:val="24"/>
        </w:rPr>
        <w:t>1.2. Международное непатентованное название</w:t>
      </w:r>
      <w:bookmarkEnd w:id="28"/>
      <w:bookmarkEnd w:id="29"/>
      <w:bookmarkEnd w:id="30"/>
      <w:bookmarkEnd w:id="31"/>
    </w:p>
    <w:p w14:paraId="5759CB08" w14:textId="77777777" w:rsidR="00285651" w:rsidRPr="00707D60" w:rsidRDefault="00285651" w:rsidP="00556C9C">
      <w:pPr>
        <w:spacing w:line="240" w:lineRule="auto"/>
        <w:ind w:left="709"/>
        <w:rPr>
          <w:b/>
          <w:bCs/>
          <w:iCs/>
        </w:rPr>
      </w:pPr>
      <w:bookmarkStart w:id="32" w:name="_Toc415001068"/>
      <w:r w:rsidRPr="00707D60">
        <w:t xml:space="preserve">Эверолимус </w:t>
      </w:r>
    </w:p>
    <w:p w14:paraId="2FDD1F6A" w14:textId="68992CD5" w:rsidR="003C2C65" w:rsidRPr="00707D60" w:rsidRDefault="003C2C65" w:rsidP="00707D60">
      <w:pPr>
        <w:pStyle w:val="2"/>
        <w:spacing w:line="240" w:lineRule="auto"/>
        <w:rPr>
          <w:color w:val="000000" w:themeColor="text1"/>
          <w:szCs w:val="24"/>
        </w:rPr>
      </w:pPr>
      <w:bookmarkStart w:id="33" w:name="_Toc115217906"/>
      <w:bookmarkStart w:id="34" w:name="_Toc118124137"/>
      <w:bookmarkStart w:id="35" w:name="_Toc119313711"/>
      <w:r w:rsidRPr="00556C9C">
        <w:rPr>
          <w:color w:val="000000" w:themeColor="text1"/>
          <w:szCs w:val="24"/>
        </w:rPr>
        <w:t>1.3. Торговое</w:t>
      </w:r>
      <w:r w:rsidRPr="00707D60">
        <w:rPr>
          <w:color w:val="000000" w:themeColor="text1"/>
          <w:szCs w:val="24"/>
        </w:rPr>
        <w:t xml:space="preserve"> название</w:t>
      </w:r>
      <w:bookmarkEnd w:id="32"/>
      <w:bookmarkEnd w:id="33"/>
      <w:bookmarkEnd w:id="34"/>
      <w:bookmarkEnd w:id="35"/>
    </w:p>
    <w:p w14:paraId="7F1FE59A" w14:textId="3CF7329F" w:rsidR="00556C9C" w:rsidRPr="00284823" w:rsidRDefault="006443FB" w:rsidP="00556C9C">
      <w:pPr>
        <w:spacing w:after="0" w:line="240" w:lineRule="auto"/>
        <w:ind w:firstLine="709"/>
        <w:rPr>
          <w:color w:val="000000" w:themeColor="text1"/>
        </w:rPr>
      </w:pPr>
      <w:bookmarkStart w:id="36" w:name="_Toc415001069"/>
      <w:r>
        <w:rPr>
          <w:color w:val="000000" w:themeColor="text1"/>
        </w:rPr>
        <w:t xml:space="preserve">Торговое название – </w:t>
      </w:r>
      <w:r w:rsidR="00A650F3">
        <w:rPr>
          <w:color w:val="000000" w:themeColor="text1"/>
        </w:rPr>
        <w:t>ТРАНСАКСЕПТ</w:t>
      </w:r>
      <w:r>
        <w:rPr>
          <w:color w:val="000000" w:themeColor="text1"/>
        </w:rPr>
        <w:t>.</w:t>
      </w:r>
    </w:p>
    <w:p w14:paraId="05B83A96" w14:textId="64E9E9B6" w:rsidR="00556C9C" w:rsidRDefault="00556C9C" w:rsidP="00556C9C">
      <w:pPr>
        <w:spacing w:after="0" w:line="240" w:lineRule="auto"/>
        <w:ind w:firstLine="709"/>
        <w:rPr>
          <w:color w:val="000000" w:themeColor="text1"/>
        </w:rPr>
      </w:pPr>
      <w:r>
        <w:rPr>
          <w:color w:val="000000" w:themeColor="text1"/>
        </w:rPr>
        <w:t xml:space="preserve">Внутреннее название </w:t>
      </w:r>
      <w:r w:rsidRPr="00284823">
        <w:rPr>
          <w:color w:val="000000" w:themeColor="text1"/>
        </w:rPr>
        <w:t xml:space="preserve">- </w:t>
      </w:r>
      <w:r>
        <w:rPr>
          <w:color w:val="000000" w:themeColor="text1"/>
          <w:lang w:val="en-US"/>
        </w:rPr>
        <w:t>DT</w:t>
      </w:r>
      <w:r w:rsidRPr="00001C80">
        <w:rPr>
          <w:color w:val="000000" w:themeColor="text1"/>
        </w:rPr>
        <w:t>-</w:t>
      </w:r>
      <w:r>
        <w:rPr>
          <w:color w:val="000000" w:themeColor="text1"/>
          <w:lang w:val="en-US"/>
        </w:rPr>
        <w:t>EVR</w:t>
      </w:r>
      <w:r>
        <w:rPr>
          <w:color w:val="000000" w:themeColor="text1"/>
        </w:rPr>
        <w:t>.</w:t>
      </w:r>
    </w:p>
    <w:p w14:paraId="07AC46DD" w14:textId="43526A52" w:rsidR="00556C9C" w:rsidRPr="001A477D" w:rsidRDefault="00556C9C" w:rsidP="00556C9C">
      <w:pPr>
        <w:spacing w:after="0" w:line="240" w:lineRule="auto"/>
        <w:ind w:firstLine="709"/>
        <w:rPr>
          <w:color w:val="000000" w:themeColor="text1"/>
        </w:rPr>
      </w:pPr>
      <w:r>
        <w:rPr>
          <w:color w:val="000000" w:themeColor="text1"/>
        </w:rPr>
        <w:t xml:space="preserve">Код продукта - </w:t>
      </w:r>
      <w:r w:rsidRPr="004A3748">
        <w:t>L04629</w:t>
      </w:r>
      <w:r>
        <w:rPr>
          <w:color w:val="000000" w:themeColor="text1"/>
        </w:rPr>
        <w:t>.</w:t>
      </w:r>
    </w:p>
    <w:p w14:paraId="11C0A1B4" w14:textId="77777777" w:rsidR="003C2C65" w:rsidRPr="00A650F3" w:rsidRDefault="003C2C65" w:rsidP="00707D60">
      <w:pPr>
        <w:pStyle w:val="2"/>
        <w:spacing w:line="240" w:lineRule="auto"/>
        <w:rPr>
          <w:color w:val="000000" w:themeColor="text1"/>
          <w:szCs w:val="24"/>
        </w:rPr>
      </w:pPr>
      <w:bookmarkStart w:id="37" w:name="_Toc115217907"/>
      <w:bookmarkStart w:id="38" w:name="_Toc118124138"/>
      <w:bookmarkStart w:id="39" w:name="_Toc119313712"/>
      <w:r w:rsidRPr="00A650F3">
        <w:rPr>
          <w:color w:val="000000" w:themeColor="text1"/>
          <w:szCs w:val="24"/>
        </w:rPr>
        <w:t>1.4. Активные ингредиенты</w:t>
      </w:r>
      <w:bookmarkEnd w:id="36"/>
      <w:bookmarkEnd w:id="37"/>
      <w:bookmarkEnd w:id="38"/>
      <w:bookmarkEnd w:id="39"/>
    </w:p>
    <w:p w14:paraId="260830E9" w14:textId="20BA8980" w:rsidR="003C2C65" w:rsidRPr="00A650F3" w:rsidRDefault="0085541F" w:rsidP="00707D60">
      <w:pPr>
        <w:spacing w:after="0" w:line="240" w:lineRule="auto"/>
        <w:ind w:firstLine="709"/>
        <w:rPr>
          <w:color w:val="000000" w:themeColor="text1"/>
        </w:rPr>
      </w:pPr>
      <w:r w:rsidRPr="00A650F3">
        <w:rPr>
          <w:color w:val="000000" w:themeColor="text1"/>
        </w:rPr>
        <w:t xml:space="preserve">Действующее вещество - </w:t>
      </w:r>
      <w:r w:rsidR="00285651" w:rsidRPr="00A650F3">
        <w:t>эверолимус</w:t>
      </w:r>
      <w:r w:rsidRPr="00A650F3">
        <w:rPr>
          <w:color w:val="000000" w:themeColor="text1"/>
          <w:lang w:eastAsia="ru-RU"/>
        </w:rPr>
        <w:t>.</w:t>
      </w:r>
    </w:p>
    <w:p w14:paraId="23492F2A" w14:textId="77777777" w:rsidR="003C2C65" w:rsidRPr="00A650F3" w:rsidRDefault="003C2C65" w:rsidP="00707D60">
      <w:pPr>
        <w:pStyle w:val="2"/>
        <w:spacing w:line="240" w:lineRule="auto"/>
        <w:rPr>
          <w:color w:val="000000" w:themeColor="text1"/>
          <w:szCs w:val="24"/>
        </w:rPr>
      </w:pPr>
      <w:bookmarkStart w:id="40" w:name="_Toc415001070"/>
      <w:bookmarkStart w:id="41" w:name="_Toc115217908"/>
      <w:bookmarkStart w:id="42" w:name="_Toc118124139"/>
      <w:bookmarkStart w:id="43" w:name="_Toc119313713"/>
      <w:r w:rsidRPr="00A650F3">
        <w:rPr>
          <w:color w:val="000000" w:themeColor="text1"/>
          <w:szCs w:val="24"/>
        </w:rPr>
        <w:t>1.5. Фармакологическая группа</w:t>
      </w:r>
      <w:bookmarkEnd w:id="40"/>
      <w:bookmarkEnd w:id="41"/>
      <w:bookmarkEnd w:id="42"/>
      <w:bookmarkEnd w:id="43"/>
    </w:p>
    <w:p w14:paraId="49A333E7" w14:textId="29824E3C" w:rsidR="00F8554A" w:rsidRPr="00A650F3" w:rsidRDefault="001D2376" w:rsidP="00707D60">
      <w:pPr>
        <w:pStyle w:val="af3"/>
        <w:spacing w:after="0" w:line="240" w:lineRule="auto"/>
        <w:ind w:left="0" w:firstLine="709"/>
        <w:contextualSpacing w:val="0"/>
        <w:rPr>
          <w:b/>
          <w:color w:val="000000" w:themeColor="text1"/>
          <w:lang w:eastAsia="ru-RU"/>
        </w:rPr>
      </w:pPr>
      <w:bookmarkStart w:id="44" w:name="_Toc415001071"/>
      <w:r w:rsidRPr="00A650F3">
        <w:rPr>
          <w:iCs/>
          <w:color w:val="000000" w:themeColor="text1"/>
          <w:lang w:eastAsia="en-US"/>
        </w:rPr>
        <w:t>Иммунодепрессанты. Селективные иммунодепрессанты.</w:t>
      </w:r>
    </w:p>
    <w:p w14:paraId="150AF000" w14:textId="77777777" w:rsidR="003C2C65" w:rsidRPr="00A650F3" w:rsidRDefault="003C2C65" w:rsidP="00707D60">
      <w:pPr>
        <w:pStyle w:val="2"/>
        <w:spacing w:line="240" w:lineRule="auto"/>
        <w:rPr>
          <w:color w:val="000000" w:themeColor="text1"/>
          <w:szCs w:val="24"/>
        </w:rPr>
      </w:pPr>
      <w:bookmarkStart w:id="45" w:name="_Toc115217909"/>
      <w:bookmarkStart w:id="46" w:name="_Toc118124140"/>
      <w:bookmarkStart w:id="47" w:name="_Toc119313714"/>
      <w:r w:rsidRPr="00A650F3">
        <w:rPr>
          <w:color w:val="000000" w:themeColor="text1"/>
          <w:szCs w:val="24"/>
        </w:rPr>
        <w:t>1.6. Код по АТХ</w:t>
      </w:r>
      <w:bookmarkEnd w:id="44"/>
      <w:bookmarkEnd w:id="45"/>
      <w:bookmarkEnd w:id="46"/>
      <w:bookmarkEnd w:id="47"/>
    </w:p>
    <w:p w14:paraId="5FA5E3A0" w14:textId="13FA6ADB" w:rsidR="004541CE" w:rsidRPr="00837ED4" w:rsidRDefault="001D2376" w:rsidP="00707D60">
      <w:pPr>
        <w:pStyle w:val="af3"/>
        <w:spacing w:after="0" w:line="240" w:lineRule="auto"/>
        <w:contextualSpacing w:val="0"/>
        <w:rPr>
          <w:rStyle w:val="afff1"/>
          <w:rFonts w:eastAsia="MS Mincho"/>
          <w:b w:val="0"/>
          <w:sz w:val="22"/>
        </w:rPr>
      </w:pPr>
      <w:bookmarkStart w:id="48" w:name="_Toc415001072"/>
      <w:r w:rsidRPr="00A650F3">
        <w:rPr>
          <w:rFonts w:eastAsia="Times New Roman"/>
          <w:color w:val="000000"/>
          <w:lang w:eastAsia="ru-RU"/>
        </w:rPr>
        <w:t>L04AA18</w:t>
      </w:r>
    </w:p>
    <w:p w14:paraId="5F95F029" w14:textId="27D31042" w:rsidR="00332DCB" w:rsidRPr="00780410" w:rsidRDefault="003C2C65" w:rsidP="00780410">
      <w:pPr>
        <w:pStyle w:val="2"/>
        <w:numPr>
          <w:ilvl w:val="1"/>
          <w:numId w:val="1"/>
        </w:numPr>
        <w:tabs>
          <w:tab w:val="left" w:pos="284"/>
          <w:tab w:val="left" w:pos="426"/>
        </w:tabs>
        <w:spacing w:line="240" w:lineRule="auto"/>
        <w:ind w:left="0" w:firstLine="0"/>
        <w:rPr>
          <w:color w:val="000000" w:themeColor="text1"/>
          <w:szCs w:val="24"/>
        </w:rPr>
      </w:pPr>
      <w:bookmarkStart w:id="49" w:name="_Toc115217910"/>
      <w:bookmarkStart w:id="50" w:name="_Toc118124141"/>
      <w:bookmarkStart w:id="51" w:name="_Toc119313715"/>
      <w:r w:rsidRPr="00707D60">
        <w:rPr>
          <w:color w:val="000000" w:themeColor="text1"/>
          <w:szCs w:val="24"/>
        </w:rPr>
        <w:t>Обоснование для изучения исследуемого препарата</w:t>
      </w:r>
      <w:bookmarkEnd w:id="48"/>
      <w:bookmarkEnd w:id="49"/>
      <w:bookmarkEnd w:id="50"/>
      <w:bookmarkEnd w:id="51"/>
    </w:p>
    <w:p w14:paraId="2EAC1BC4" w14:textId="77777777" w:rsidR="00780410" w:rsidRPr="00707D60" w:rsidRDefault="00780410" w:rsidP="00780410">
      <w:pPr>
        <w:pStyle w:val="3"/>
        <w:spacing w:after="240" w:line="240" w:lineRule="auto"/>
        <w:contextualSpacing/>
        <w:rPr>
          <w:rFonts w:ascii="Times New Roman" w:hAnsi="Times New Roman"/>
          <w:color w:val="000000" w:themeColor="text1"/>
          <w:szCs w:val="24"/>
        </w:rPr>
      </w:pPr>
      <w:bookmarkStart w:id="52" w:name="_Toc115217911"/>
      <w:bookmarkStart w:id="53" w:name="_Toc118124142"/>
      <w:bookmarkStart w:id="54" w:name="_Toc119313716"/>
      <w:r w:rsidRPr="00707D60">
        <w:rPr>
          <w:rFonts w:ascii="Times New Roman" w:hAnsi="Times New Roman"/>
          <w:color w:val="000000" w:themeColor="text1"/>
          <w:szCs w:val="24"/>
        </w:rPr>
        <w:t>1.7.1. Общие сведения о заболевании</w:t>
      </w:r>
      <w:bookmarkEnd w:id="52"/>
      <w:bookmarkEnd w:id="53"/>
      <w:bookmarkEnd w:id="54"/>
    </w:p>
    <w:p w14:paraId="1BB1F22A" w14:textId="77777777" w:rsidR="00780410" w:rsidRDefault="00780410" w:rsidP="00780410">
      <w:pPr>
        <w:spacing w:after="0" w:line="240" w:lineRule="auto"/>
        <w:ind w:firstLine="709"/>
        <w:contextualSpacing/>
        <w:rPr>
          <w:color w:val="000000"/>
        </w:rPr>
      </w:pPr>
      <w:r>
        <w:t>Известно, что потребность в трансплантации почки составляет около 40 операций на 1 млн. населения. По данным за 2012 год в России данный показатель составил 5,5 трансплантаций на 1 млн. населения, что отражает ощутимую потребность в донорских органах.</w:t>
      </w:r>
      <w:r w:rsidRPr="00707D60">
        <w:rPr>
          <w:color w:val="000000"/>
        </w:rPr>
        <w:t xml:space="preserve"> </w:t>
      </w:r>
      <w:r>
        <w:t>Помимо низких показателей, определяющих качество жизни, пациенты на заместительной диализной терапии имеют значительно меньшую прогнозируемую продолжительность жизни, чем реципиенты трансплантируемой почки. Так, пациенты, получающие гемодиализ в возрасте 40-59 лет, живут в среднем на 11 лет меньше по сравнению с теми, кому выполнена трансплантация. Для больных, находящихся в возрастной группе 20-39 лет эта разница составляет уже 17 лет. Прогрессирующий дефицит донорских органов привел к тому, что с целью увеличения количества проводимых операций в последнее время повсеместно наблюдается тенденция к развитию прижизненного донорства.</w:t>
      </w:r>
      <w:r w:rsidRPr="00707D60">
        <w:rPr>
          <w:color w:val="000000"/>
        </w:rPr>
        <w:t xml:space="preserve"> </w:t>
      </w:r>
    </w:p>
    <w:p w14:paraId="14A4056F" w14:textId="77777777" w:rsidR="00780410" w:rsidRPr="00905433" w:rsidRDefault="00780410" w:rsidP="00780410">
      <w:pPr>
        <w:spacing w:after="0" w:line="240" w:lineRule="auto"/>
        <w:ind w:firstLine="709"/>
        <w:contextualSpacing/>
        <w:rPr>
          <w:color w:val="000000"/>
        </w:rPr>
      </w:pPr>
      <w:r>
        <w:lastRenderedPageBreak/>
        <w:t xml:space="preserve">Соблюдение протокола иммуносупрессии, т.е. определенного единообразия в лечении пациентов после трансплантации почки имеет большое значение в повседневной клинической практике, поскольку позволяет полагаться на результаты крупных клинических исследований и существующих рекомендаций. Соблюдение иммуносупрессивного протокола обеспечивает адекватную и воспроизводимую эффективность терапии. В то же время, всегда существует возможность отклонения от протокола и выбора нестандартного подхода в лечении для минимизации НПР у конкретного пациента. Использование индивидуального подхода у отдельных категорий реципиентов должно основываться на общепринятых международных рекомендациях и собственном опыте трансплантационного центра </w:t>
      </w:r>
      <w:r w:rsidRPr="00621697">
        <w:t>[1].</w:t>
      </w:r>
    </w:p>
    <w:p w14:paraId="7371346F" w14:textId="77777777" w:rsidR="00780410" w:rsidRDefault="00780410" w:rsidP="00780410">
      <w:pPr>
        <w:spacing w:after="0" w:line="240" w:lineRule="auto"/>
        <w:ind w:firstLine="709"/>
        <w:contextualSpacing/>
      </w:pPr>
      <w:r>
        <w:t>В настоящее время, несмотря на достижения в области фармакотерапии сердечнососудистых заболеваний, операция ортотопической трансплантации сердца (ОТТС) является общепризнанным золотым стандартом лечения терминальной сердечной недостаточности (СН), существенно улучшающим прогноз и качество жизни [1,2,3]. Ежегодно в мире выполняется более 4000 трансплантаций сердца, подавляющее большинство вмешательств - в странах Европы и Северной Америки.</w:t>
      </w:r>
    </w:p>
    <w:p w14:paraId="58F5809B" w14:textId="77777777" w:rsidR="00780410" w:rsidRDefault="00780410" w:rsidP="00780410">
      <w:pPr>
        <w:spacing w:after="0" w:line="240" w:lineRule="auto"/>
        <w:ind w:firstLine="709"/>
        <w:contextualSpacing/>
      </w:pPr>
      <w:r>
        <w:t>Основным показанием к трансплантации сердца и имплантации устройств механической поддержки кровообращения является критическая острая или декомпенсированная хроническая сердечная недостаточность, развившаяся у пациентов с кардиомиопатией, ишемической болезнью сердца, тяжелыми декомпенсированными заболеваниями клапанов сердца (при невозможности выполнения иных методов хирургического лечения), миокардитами, врожденными пороками сердца, а также другими заболеваниями сердца, которые существенно ограничивают физическую активность и сопровождаются риском смерти в течение года, превышающим 50%.</w:t>
      </w:r>
    </w:p>
    <w:p w14:paraId="5D53A4EE" w14:textId="77777777" w:rsidR="00780410" w:rsidRPr="00905433" w:rsidRDefault="00780410" w:rsidP="00780410">
      <w:pPr>
        <w:spacing w:after="0" w:line="240" w:lineRule="auto"/>
        <w:ind w:firstLine="709"/>
        <w:contextualSpacing/>
      </w:pPr>
      <w:r>
        <w:t>В последние годы отмечается значительное улучшение выживаемости без нежелательных событий у реципиентов сердца, обусловленное, в первую очередь, снижением периоперационной и ранней послеоперационной смертности. Риск отторжения сердечного трансплантата наибольший в течение первого года, но сохраняется пожизненно</w:t>
      </w:r>
      <w:r w:rsidRPr="00905433">
        <w:t xml:space="preserve"> [2].</w:t>
      </w:r>
    </w:p>
    <w:p w14:paraId="6CEB2A81" w14:textId="77777777" w:rsidR="00780410" w:rsidRDefault="00780410" w:rsidP="00780410">
      <w:pPr>
        <w:spacing w:after="0" w:line="240" w:lineRule="auto"/>
        <w:ind w:firstLine="709"/>
        <w:contextualSpacing/>
      </w:pPr>
      <w:r>
        <w:t>Трансплантация печени является наиболее эффективным и часто единственным радикальным методом лечения больных с терминальной стадией хронических диффузных болезней печени, фульминантной печеночной недостаточностью, злокачественными и доброкачественными опухолями печени.</w:t>
      </w:r>
    </w:p>
    <w:p w14:paraId="14CA9439" w14:textId="77777777" w:rsidR="00780410" w:rsidRPr="00905433" w:rsidRDefault="00780410" w:rsidP="00780410">
      <w:pPr>
        <w:spacing w:after="0" w:line="240" w:lineRule="auto"/>
        <w:ind w:firstLine="709"/>
        <w:contextualSpacing/>
      </w:pPr>
      <w:r>
        <w:t>Увеличивающееся с каждым годом количество выполняемых операций (ежегодно около 25000 во всем мире) служит свидетельством успешности данного метода. Потребность в трансплантации печени составляет ежегодно не менее, чем 20 на 1 000 000 населения. В 2015 г. в РФ всего было выполнено 325 трансплантаций печени (2,2 на 1 млн населения), это больше, чем в предыдущие годы, в частности в 2014 г. (302, +7,6%) [9]. После трансплантации печени выживаемость реципиентов в течение года составляет 85%- 90%, пятилетняя – 70%-75%, десятилетняя - 60%, двадцатилетняя – 40%. Наилучший прогноз – у больных холестатическими заболеваниями. При злокачественных опухолях печени пятилетняя выживаемость больных составляет 50-70% в зависимости от характера опухоли и стадии</w:t>
      </w:r>
      <w:r w:rsidRPr="00905433">
        <w:t xml:space="preserve"> [3].</w:t>
      </w:r>
    </w:p>
    <w:p w14:paraId="3AA4FDD6" w14:textId="77777777" w:rsidR="00780410" w:rsidRPr="00707D60" w:rsidRDefault="00780410" w:rsidP="00780410">
      <w:pPr>
        <w:pStyle w:val="3"/>
        <w:spacing w:after="240" w:line="240" w:lineRule="auto"/>
        <w:contextualSpacing/>
        <w:rPr>
          <w:rFonts w:ascii="Times New Roman" w:hAnsi="Times New Roman"/>
          <w:color w:val="000000" w:themeColor="text1"/>
          <w:szCs w:val="24"/>
        </w:rPr>
      </w:pPr>
      <w:bookmarkStart w:id="55" w:name="_Toc395011863"/>
      <w:bookmarkStart w:id="56" w:name="_Toc115217912"/>
      <w:bookmarkStart w:id="57" w:name="_Toc118124143"/>
      <w:bookmarkStart w:id="58" w:name="_Toc119313717"/>
      <w:r w:rsidRPr="00707D60">
        <w:rPr>
          <w:rFonts w:ascii="Times New Roman" w:hAnsi="Times New Roman"/>
          <w:color w:val="000000" w:themeColor="text1"/>
          <w:szCs w:val="24"/>
        </w:rPr>
        <w:lastRenderedPageBreak/>
        <w:t>1.7.2. Существующие варианты терапии</w:t>
      </w:r>
      <w:bookmarkStart w:id="59" w:name="_Hlk521882537"/>
      <w:bookmarkEnd w:id="55"/>
      <w:bookmarkEnd w:id="56"/>
      <w:bookmarkEnd w:id="57"/>
      <w:bookmarkEnd w:id="58"/>
    </w:p>
    <w:p w14:paraId="66AADE3F" w14:textId="77777777" w:rsidR="00780410" w:rsidRPr="00BD74D0" w:rsidRDefault="00780410" w:rsidP="00780410">
      <w:pPr>
        <w:spacing w:after="0" w:line="240" w:lineRule="auto"/>
        <w:contextualSpacing/>
        <w:rPr>
          <w:b/>
          <w:i/>
          <w:color w:val="000000"/>
        </w:rPr>
      </w:pPr>
      <w:r w:rsidRPr="00BD74D0">
        <w:rPr>
          <w:b/>
          <w:i/>
          <w:color w:val="000000"/>
        </w:rPr>
        <w:t>Трансплантация почки</w:t>
      </w:r>
    </w:p>
    <w:p w14:paraId="441CF91E" w14:textId="2AE147BD" w:rsidR="00780410" w:rsidRDefault="00780410" w:rsidP="00780410">
      <w:pPr>
        <w:spacing w:after="0" w:line="240" w:lineRule="auto"/>
        <w:ind w:firstLine="709"/>
        <w:contextualSpacing/>
      </w:pPr>
      <w:r>
        <w:t>Все пациенты различаются по риску развития отторжения или потери трансплантата, и с учетом этого обстоятельства протоколы иммуносупрессии должны быть индивидуализированными. Дети и подростки, пациенты после одномоментной трансплантации почки и поджелудочной железы или имеющие высокий уровень предсуществующих антител, как и перенесшие неудачные трансплантации в прошлом, нуждаются в более интенсивной иммуносупрессии. Реципиенты с отсроченной функцией трансплантата также имеют повышенный риск развития острого отторжения. Пожилые реципиенты могут плохо переносить усиленную иммуносупрессию, а почка от пожилых доноров может быть менее толерантной к иммунологическому и другим повреждениям. Реципиенты трансплантатов от хорошо совместимых трупных доноров или от живых родственных доноров, особенно от доноров, совпадающих по двум гаплотипам, нуждаются в существенно менее интенсивной иммуносупрессии.</w:t>
      </w:r>
    </w:p>
    <w:p w14:paraId="268DD2C2" w14:textId="77777777" w:rsidR="00780410" w:rsidRDefault="00780410" w:rsidP="00780410">
      <w:pPr>
        <w:spacing w:after="0" w:line="240" w:lineRule="auto"/>
        <w:ind w:firstLine="709"/>
        <w:contextualSpacing/>
      </w:pPr>
      <w:r>
        <w:t>Основной целью любого протокола иммуносупрессии остается профилактика острого отторжения, то есть снижение его риска до минимального уровня. Современным стандартом признается частота острого отторжения в течение первого года не более 10– 20%, а годичное выживание трансплантата — не менее 90%. Субклиническое отторжение, выявляемое при протокольных биопсиях, достигает 9% к 6 мес после трансплантации.</w:t>
      </w:r>
    </w:p>
    <w:p w14:paraId="29DB34AB" w14:textId="762578BE" w:rsidR="00780410" w:rsidRDefault="00780410" w:rsidP="00780410">
      <w:pPr>
        <w:spacing w:after="0" w:line="240" w:lineRule="auto"/>
        <w:ind w:firstLine="709"/>
        <w:contextualSpacing/>
      </w:pPr>
      <w:r>
        <w:t>Современные начальные иммуносупрессивные протоколы состоят из глюкок</w:t>
      </w:r>
      <w:r w:rsidR="005F6AE7">
        <w:t>о</w:t>
      </w:r>
      <w:r>
        <w:t>ртикоидов, ингибитора кальциневрина, дополнительного препарата (трехкомпонентный протокол) и,</w:t>
      </w:r>
      <w:r w:rsidR="0032006A">
        <w:t xml:space="preserve"> </w:t>
      </w:r>
      <w:r>
        <w:t>возможно, индукции антителами. Компоненты иммуносупрессивных протоколов начальной иммуносупрессии:</w:t>
      </w:r>
    </w:p>
    <w:p w14:paraId="598055F1" w14:textId="77777777" w:rsidR="00780410" w:rsidRDefault="00780410" w:rsidP="00780410">
      <w:pPr>
        <w:spacing w:after="0" w:line="240" w:lineRule="auto"/>
        <w:ind w:firstLine="709"/>
        <w:contextualSpacing/>
      </w:pPr>
      <w:r>
        <w:t>- Циклоспорин + глюкокортикоиды + микофенолаты</w:t>
      </w:r>
    </w:p>
    <w:p w14:paraId="2B6DE5E1" w14:textId="77777777" w:rsidR="00780410" w:rsidRDefault="00780410" w:rsidP="00780410">
      <w:pPr>
        <w:spacing w:after="0" w:line="240" w:lineRule="auto"/>
        <w:ind w:firstLine="709"/>
        <w:contextualSpacing/>
      </w:pPr>
      <w:r>
        <w:t>- Такролимус + глюкокортикоиды + микофенолаты</w:t>
      </w:r>
    </w:p>
    <w:p w14:paraId="3218AEB9" w14:textId="77777777" w:rsidR="00780410" w:rsidRDefault="00780410" w:rsidP="00780410">
      <w:pPr>
        <w:spacing w:after="0" w:line="240" w:lineRule="auto"/>
        <w:ind w:firstLine="709"/>
        <w:contextualSpacing/>
      </w:pPr>
      <w:r>
        <w:t>- Такролимус + микофенолаты</w:t>
      </w:r>
    </w:p>
    <w:p w14:paraId="77F3BBB5" w14:textId="15130805" w:rsidR="00780410" w:rsidRDefault="00780410" w:rsidP="00780410">
      <w:pPr>
        <w:spacing w:after="0" w:line="240" w:lineRule="auto"/>
        <w:ind w:firstLine="709"/>
        <w:contextualSpacing/>
      </w:pPr>
      <w:r>
        <w:t xml:space="preserve">- Циклоспорин + эверолимус </w:t>
      </w:r>
      <w:r w:rsidR="005F6AE7">
        <w:t xml:space="preserve">+ </w:t>
      </w:r>
      <w:r>
        <w:t>глюкокортикоиды</w:t>
      </w:r>
    </w:p>
    <w:p w14:paraId="5C74FA0D" w14:textId="4DE4F310" w:rsidR="00780410" w:rsidRDefault="00780410" w:rsidP="00780410">
      <w:pPr>
        <w:spacing w:after="0" w:line="240" w:lineRule="auto"/>
        <w:ind w:firstLine="709"/>
        <w:contextualSpacing/>
      </w:pPr>
      <w:r>
        <w:t>- Такролимус + эверолимус</w:t>
      </w:r>
      <w:r w:rsidR="005F6AE7">
        <w:t xml:space="preserve"> +</w:t>
      </w:r>
      <w:r>
        <w:t xml:space="preserve"> глюкокортикоиды</w:t>
      </w:r>
    </w:p>
    <w:p w14:paraId="0EA9A2C3" w14:textId="77777777" w:rsidR="00780410" w:rsidRDefault="00780410" w:rsidP="00780410">
      <w:pPr>
        <w:spacing w:after="0" w:line="240" w:lineRule="auto"/>
        <w:ind w:firstLine="709"/>
        <w:contextualSpacing/>
      </w:pPr>
      <w:r>
        <w:t xml:space="preserve">Ингибиторы </w:t>
      </w:r>
      <w:r>
        <w:rPr>
          <w:lang w:val="en-US"/>
        </w:rPr>
        <w:t>mTOR</w:t>
      </w:r>
      <w:r w:rsidRPr="00BD74D0">
        <w:t xml:space="preserve"> </w:t>
      </w:r>
      <w:r>
        <w:t>могут применяться вместо микофенолатов с первого дня после операции со сниженной дозой ингибиторов кальциневрина. На основании рандомизированных клинических исследований было установлено, что поддержание С</w:t>
      </w:r>
      <w:r w:rsidRPr="00360E2C">
        <w:rPr>
          <w:vertAlign w:val="subscript"/>
        </w:rPr>
        <w:t>0</w:t>
      </w:r>
      <w:r>
        <w:t xml:space="preserve"> эверолимуса в диапазоне 3–8 нг/мл достаточно для эффективной безопасной иммуносупрессии, эквивалентной приему микофенолата мофетила в суточной дозе 2 г в сочетании с циклоспорином и глюкокортикоидами. Вместе с тем также было установлено, что прием эверолимуса одновременно с общепринятыми дозами циклоспорина сопровождается увеличением среднего уровня креатинина по сравнению с группой пациентов, получавших микофенолата мофетил. Снижение дозы циклоспорина в среднем на 30–50% в группе эверолимуса не приводило к повышению уровня креатинина и не сопровождалось увеличением частоты острых отторжений, подтвержденных биопсией. Поскольку известно, что у эверолимуса отсутствует какой-либо нефротоксический эффект, снижение СКФ, по мнению исследователей, обусловлено потенцированием нефротоксического действия циклоспорина.</w:t>
      </w:r>
    </w:p>
    <w:p w14:paraId="1CD5C4BF" w14:textId="77777777" w:rsidR="00780410" w:rsidRPr="00905433" w:rsidRDefault="00780410" w:rsidP="00780410">
      <w:pPr>
        <w:spacing w:after="0" w:line="240" w:lineRule="auto"/>
        <w:ind w:firstLine="709"/>
        <w:contextualSpacing/>
      </w:pPr>
      <w:r>
        <w:lastRenderedPageBreak/>
        <w:t>Поддерживающая иммуносупрессия должна обеспечивать максимальную продолжительность жизни реципиента с функционирующим трансплантатом, что определяется адекватностью подавления аллоиммунного ответа, с одной стороны, и минимизацией риска побочных эффектов иммунодепрессантов, с другой стороны. После успешной трансплантации почки поддерживающая иммуносупрессивная терапия в подавляющем большинстве случаев включает три компонента, причем ее базисным препаратом, как правило, является ингибитор кальциневрина (циклоспорин или такролимус), в сочетании с микофенолатами, реже азатиоприном, и глюкокортикоидами в минимальной дозе. В последние годы для поддерживающей иммуносупрессии применяются также ингибиторы пролиферативного сигнала (ингибиторы mTOR)</w:t>
      </w:r>
      <w:r w:rsidRPr="00905433">
        <w:t xml:space="preserve"> [1].</w:t>
      </w:r>
    </w:p>
    <w:p w14:paraId="4FE985D0" w14:textId="77777777" w:rsidR="00780410" w:rsidRPr="00905433" w:rsidRDefault="00780410" w:rsidP="00780410">
      <w:pPr>
        <w:spacing w:after="0" w:line="240" w:lineRule="auto"/>
        <w:ind w:firstLine="709"/>
        <w:contextualSpacing/>
      </w:pPr>
    </w:p>
    <w:p w14:paraId="4CBF5FC4" w14:textId="77777777" w:rsidR="00780410" w:rsidRDefault="00780410" w:rsidP="00780410">
      <w:pPr>
        <w:spacing w:after="0" w:line="240" w:lineRule="auto"/>
        <w:contextualSpacing/>
        <w:rPr>
          <w:b/>
          <w:i/>
          <w:color w:val="000000"/>
        </w:rPr>
      </w:pPr>
      <w:r w:rsidRPr="00BD74D0">
        <w:rPr>
          <w:b/>
          <w:i/>
          <w:color w:val="000000"/>
        </w:rPr>
        <w:t xml:space="preserve">Трансплантация </w:t>
      </w:r>
      <w:r>
        <w:rPr>
          <w:b/>
          <w:i/>
          <w:color w:val="000000"/>
        </w:rPr>
        <w:t>сердца</w:t>
      </w:r>
    </w:p>
    <w:p w14:paraId="64C9CEEC" w14:textId="77777777" w:rsidR="00780410" w:rsidRDefault="00780410" w:rsidP="00780410">
      <w:pPr>
        <w:spacing w:after="0" w:line="240" w:lineRule="auto"/>
        <w:ind w:firstLine="709"/>
        <w:contextualSpacing/>
      </w:pPr>
      <w:r>
        <w:t>Целью комбинированной иммуносупрессивной медикаментозной терапии у пациентов после трансплантации сердца является профилактика острого отторжения трансплантата, васкулопатии, инфекционных и неинфекционных осложнений послеоперационного периода. Современный трехкомпонентный подход к иммуносупрессивной терапии вошел в клиническую практику с появлением в 80-х годах прошлого столетия циклоспорина. Иммуносупрессивную терапию реципиентов сердца можно условно разделить на индукционную, поддерживающую и терапию при отторжении.</w:t>
      </w:r>
    </w:p>
    <w:p w14:paraId="2D142314" w14:textId="77777777" w:rsidR="00780410" w:rsidRPr="00905433" w:rsidRDefault="00780410" w:rsidP="00780410">
      <w:pPr>
        <w:spacing w:after="0" w:line="240" w:lineRule="auto"/>
        <w:ind w:firstLine="709"/>
        <w:contextualSpacing/>
      </w:pPr>
      <w:r>
        <w:t>В отдаленном периоде после трансплантации сердца у лиц с низким риском развития отторжения трансплантата замена ингибиторов кальциневрина или микофенолата мофетила на сиролимус или эверолимус и снижение дозы ингибиторов кальциневрина способствуют улучшению почечной функции и снижению риска васкулопатии, не сопровождаясь повышением риска развития отторжения трансплантата</w:t>
      </w:r>
      <w:r w:rsidRPr="00905433">
        <w:t xml:space="preserve"> [2].</w:t>
      </w:r>
    </w:p>
    <w:p w14:paraId="78928CF4" w14:textId="77777777" w:rsidR="00780410" w:rsidRDefault="00780410" w:rsidP="00780410">
      <w:pPr>
        <w:spacing w:after="0" w:line="240" w:lineRule="auto"/>
        <w:contextualSpacing/>
        <w:rPr>
          <w:b/>
          <w:i/>
          <w:color w:val="000000"/>
        </w:rPr>
      </w:pPr>
      <w:bookmarkStart w:id="60" w:name="_Toc484086226"/>
      <w:bookmarkStart w:id="61" w:name="_Toc115217913"/>
      <w:bookmarkEnd w:id="59"/>
    </w:p>
    <w:p w14:paraId="293672EA" w14:textId="77777777" w:rsidR="00780410" w:rsidRPr="00621697" w:rsidRDefault="00780410" w:rsidP="00780410">
      <w:pPr>
        <w:spacing w:after="0" w:line="240" w:lineRule="auto"/>
        <w:contextualSpacing/>
        <w:rPr>
          <w:b/>
          <w:i/>
          <w:color w:val="000000"/>
        </w:rPr>
      </w:pPr>
      <w:r w:rsidRPr="00BD74D0">
        <w:rPr>
          <w:b/>
          <w:i/>
          <w:color w:val="000000"/>
        </w:rPr>
        <w:t xml:space="preserve">Трансплантация </w:t>
      </w:r>
      <w:r>
        <w:rPr>
          <w:b/>
          <w:i/>
          <w:color w:val="000000"/>
        </w:rPr>
        <w:t>печени</w:t>
      </w:r>
    </w:p>
    <w:p w14:paraId="28E341AB" w14:textId="77777777" w:rsidR="00780410" w:rsidRDefault="00780410" w:rsidP="00780410">
      <w:pPr>
        <w:spacing w:line="240" w:lineRule="auto"/>
        <w:ind w:firstLine="709"/>
        <w:contextualSpacing/>
      </w:pPr>
      <w:r>
        <w:t>Иммуносупрессия при трансплантации печени основана главным образом на ингибиторах кальциневрина. Однако при всех преимуществах трансплантации печени, связанных с высокой устойчивостью трансплантата к иммунной реакции организма реципиента, проведение медикаментозной иммуносупрессии является решающим компонентом лечения реципиентов, поскольку риск потери трансплантата в результате острого или хронического отторжения существует всегда и представляет угрозу для жизни больного. Использование различных комбинаций препаратов обеспечивает индивидуальный подбор иммуносупрессии, соответствующей функции трансплантата, заболеванию реципиента и его коморбидному статусу, а также степени выраженности побочных эффектов.</w:t>
      </w:r>
    </w:p>
    <w:p w14:paraId="315AFB9D" w14:textId="77777777" w:rsidR="00780410" w:rsidRDefault="00780410" w:rsidP="00780410">
      <w:pPr>
        <w:spacing w:line="240" w:lineRule="auto"/>
        <w:ind w:firstLine="709"/>
        <w:contextualSpacing/>
      </w:pPr>
      <w:r>
        <w:t>В схемы иммуносупрессии при трансплантации печени входят следующие препараты: Базиликсимаб, Метилпреднизолон, Такролимус, Микофенолаты.</w:t>
      </w:r>
    </w:p>
    <w:p w14:paraId="0B7237EF" w14:textId="244C3C92" w:rsidR="00780410" w:rsidRPr="00621697" w:rsidRDefault="00780410" w:rsidP="00302036">
      <w:pPr>
        <w:spacing w:after="0" w:line="240" w:lineRule="auto"/>
        <w:ind w:firstLine="709"/>
        <w:contextualSpacing/>
      </w:pPr>
      <w:r>
        <w:t xml:space="preserve">Сиролимус и эверолимус ингибируют рост ряда опухолей, в частности, гепатоцеллюлярной карциномы, что делает их применение особенно привлекательным после трансплантации печени по поводу онкологических заболеваний. </w:t>
      </w:r>
      <w:r>
        <w:lastRenderedPageBreak/>
        <w:t>Несмотря на то, что некоторые первоначальные исследования показали, что ингибиторы mTOR могут использоваться в качестве основных препаратов с целью элиминации ингибиторов кальциневрина, сегодня данные препараты применяются в комбинации с последними в низких дозах для уменьшения нефротоксичности. Основные ограничения к применению данных препаратов в ранние сроки после трансплантации печени включают нарушение заживления раны и развитие артериального тромбоза. Их не рекомендуется вводить в схему иммуносупрессии ранее 2-го месяца после трансплантации</w:t>
      </w:r>
      <w:r w:rsidR="00302036">
        <w:t xml:space="preserve"> [3].</w:t>
      </w:r>
    </w:p>
    <w:p w14:paraId="37D88465" w14:textId="77777777" w:rsidR="00780410" w:rsidRPr="00707D60" w:rsidRDefault="00780410" w:rsidP="00780410">
      <w:pPr>
        <w:pStyle w:val="3"/>
        <w:spacing w:after="240" w:line="240" w:lineRule="auto"/>
        <w:rPr>
          <w:rFonts w:ascii="Times New Roman" w:hAnsi="Times New Roman"/>
          <w:color w:val="000000" w:themeColor="text1"/>
          <w:szCs w:val="24"/>
        </w:rPr>
      </w:pPr>
      <w:bookmarkStart w:id="62" w:name="_Toc118124144"/>
      <w:bookmarkStart w:id="63" w:name="_Toc119313718"/>
      <w:r w:rsidRPr="00707D60">
        <w:rPr>
          <w:rFonts w:ascii="Times New Roman" w:hAnsi="Times New Roman"/>
          <w:color w:val="000000" w:themeColor="text1"/>
          <w:szCs w:val="24"/>
        </w:rPr>
        <w:t>1.7.3.</w:t>
      </w:r>
      <w:r w:rsidRPr="00707D60">
        <w:rPr>
          <w:rFonts w:ascii="Times New Roman" w:hAnsi="Times New Roman"/>
          <w:color w:val="000000" w:themeColor="text1"/>
          <w:szCs w:val="24"/>
        </w:rPr>
        <w:tab/>
        <w:t>Вводная информация по исследуемой терапии</w:t>
      </w:r>
      <w:bookmarkStart w:id="64" w:name="_Hlk521882563"/>
      <w:bookmarkEnd w:id="60"/>
      <w:bookmarkEnd w:id="61"/>
      <w:bookmarkEnd w:id="62"/>
      <w:bookmarkEnd w:id="63"/>
    </w:p>
    <w:p w14:paraId="085BF5DB" w14:textId="77777777" w:rsidR="00780410" w:rsidRPr="00707D60" w:rsidRDefault="00780410" w:rsidP="00780410">
      <w:pPr>
        <w:pStyle w:val="ab"/>
        <w:spacing w:before="0" w:beforeAutospacing="0" w:after="0" w:afterAutospacing="0"/>
        <w:ind w:firstLine="709"/>
        <w:contextualSpacing/>
        <w:jc w:val="both"/>
        <w:textAlignment w:val="top"/>
        <w:rPr>
          <w:color w:val="000000"/>
          <w:szCs w:val="23"/>
        </w:rPr>
      </w:pPr>
      <w:bookmarkStart w:id="65" w:name="_Hlk113007242"/>
      <w:r w:rsidRPr="00707D60">
        <w:rPr>
          <w:color w:val="000000"/>
          <w:szCs w:val="23"/>
        </w:rPr>
        <w:t xml:space="preserve">Эверолимус </w:t>
      </w:r>
      <w:r>
        <w:rPr>
          <w:color w:val="000000"/>
          <w:szCs w:val="23"/>
        </w:rPr>
        <w:t xml:space="preserve">– </w:t>
      </w:r>
      <w:r w:rsidRPr="00707D60">
        <w:rPr>
          <w:color w:val="000000"/>
          <w:szCs w:val="23"/>
        </w:rPr>
        <w:t xml:space="preserve">пероральный препарат, относящийся к группе ингибиторов mTOR. Эверолимус </w:t>
      </w:r>
      <w:r>
        <w:rPr>
          <w:color w:val="000000"/>
          <w:szCs w:val="23"/>
        </w:rPr>
        <w:t xml:space="preserve">– </w:t>
      </w:r>
      <w:r w:rsidRPr="00707D60">
        <w:rPr>
          <w:color w:val="000000"/>
          <w:szCs w:val="23"/>
        </w:rPr>
        <w:t xml:space="preserve">аналог рапамицина, выделенного из бактерий </w:t>
      </w:r>
      <w:r w:rsidRPr="009C29AA">
        <w:rPr>
          <w:i/>
          <w:color w:val="000000"/>
          <w:szCs w:val="23"/>
        </w:rPr>
        <w:t>Streptomyces hygroscopicus</w:t>
      </w:r>
      <w:r w:rsidRPr="00707D60">
        <w:rPr>
          <w:color w:val="000000"/>
          <w:szCs w:val="23"/>
        </w:rPr>
        <w:t xml:space="preserve"> и обладающего иммуно-супрессивной, противомикробной и противоопухолевой активностью. Мишень рапамицина у млекопитающих, mTOR, представляет собой серин-треониновую киназу, которая играет важную роль в регуляции клеточного роста и пролиферации, а также увеличивает экспрессию гена HIFla, в результате чего происходит стимуляция ангиогенеза </w:t>
      </w:r>
      <w:bookmarkEnd w:id="65"/>
      <w:r w:rsidRPr="00707D60">
        <w:rPr>
          <w:color w:val="000000"/>
          <w:szCs w:val="23"/>
        </w:rPr>
        <w:t>[</w:t>
      </w:r>
      <w:r>
        <w:rPr>
          <w:color w:val="000000"/>
          <w:szCs w:val="23"/>
        </w:rPr>
        <w:t>другой источник</w:t>
      </w:r>
      <w:r w:rsidRPr="00707D60">
        <w:rPr>
          <w:color w:val="000000"/>
          <w:szCs w:val="23"/>
        </w:rPr>
        <w:t>]. </w:t>
      </w:r>
      <w:r w:rsidRPr="00707D60">
        <w:rPr>
          <w:color w:val="000000"/>
          <w:szCs w:val="23"/>
        </w:rPr>
        <w:tab/>
      </w:r>
    </w:p>
    <w:p w14:paraId="4AF379E5" w14:textId="77777777" w:rsidR="00780410" w:rsidRPr="00905433" w:rsidRDefault="00780410" w:rsidP="00780410">
      <w:pPr>
        <w:pStyle w:val="af3"/>
        <w:tabs>
          <w:tab w:val="left" w:pos="142"/>
        </w:tabs>
        <w:spacing w:after="0" w:line="240" w:lineRule="auto"/>
        <w:ind w:left="0" w:firstLine="709"/>
        <w:rPr>
          <w:color w:val="000000" w:themeColor="text1"/>
          <w:szCs w:val="28"/>
          <w:highlight w:val="green"/>
        </w:rPr>
      </w:pPr>
      <w:r w:rsidRPr="00707D60">
        <w:rPr>
          <w:color w:val="000000"/>
          <w:szCs w:val="23"/>
        </w:rPr>
        <w:t xml:space="preserve">Фермент mTOR (mammalian target of rapamycin) относится к семейству серин-треониновых киназ. Считается, что mTOR участвует в поддержании жизнеспособности клеток. В неблагополучных физиологических условиях </w:t>
      </w:r>
      <w:r>
        <w:rPr>
          <w:color w:val="000000"/>
          <w:szCs w:val="23"/>
        </w:rPr>
        <w:t xml:space="preserve">– </w:t>
      </w:r>
      <w:r w:rsidRPr="00707D60">
        <w:rPr>
          <w:color w:val="000000"/>
          <w:szCs w:val="23"/>
        </w:rPr>
        <w:t xml:space="preserve">при недостатке питательных веществ, нарушении баланса регуляторных сигналов, воздействии вредных факторов </w:t>
      </w:r>
      <w:r>
        <w:rPr>
          <w:color w:val="000000"/>
          <w:szCs w:val="23"/>
        </w:rPr>
        <w:t xml:space="preserve">– </w:t>
      </w:r>
      <w:r w:rsidRPr="00707D60">
        <w:rPr>
          <w:color w:val="000000"/>
          <w:szCs w:val="23"/>
        </w:rPr>
        <w:t xml:space="preserve">клетки запускают программу самоустранения. mTOR выступает в качестве противовеса процессам клеточной гибели, поддерживая жизнеспособность клетки даже в стрессовых обстоятельствах. Патогенез </w:t>
      </w:r>
      <w:r>
        <w:rPr>
          <w:color w:val="000000"/>
          <w:szCs w:val="23"/>
        </w:rPr>
        <w:t>процесса отторжения трансплантата</w:t>
      </w:r>
      <w:r w:rsidRPr="00707D60">
        <w:rPr>
          <w:color w:val="000000"/>
          <w:szCs w:val="23"/>
        </w:rPr>
        <w:t xml:space="preserve"> напрямую сопряжен с гиперактивацией этой киназы,</w:t>
      </w:r>
      <w:r>
        <w:rPr>
          <w:color w:val="000000"/>
          <w:szCs w:val="23"/>
        </w:rPr>
        <w:t xml:space="preserve"> как и процесс злокачественной трансформации</w:t>
      </w:r>
      <w:r w:rsidRPr="00707D60">
        <w:rPr>
          <w:color w:val="000000"/>
          <w:szCs w:val="23"/>
        </w:rPr>
        <w:t xml:space="preserve"> поэтому применение ингибиторов mTOR </w:t>
      </w:r>
      <w:r>
        <w:rPr>
          <w:color w:val="000000"/>
          <w:szCs w:val="23"/>
        </w:rPr>
        <w:t xml:space="preserve">в большей дозе </w:t>
      </w:r>
      <w:r w:rsidRPr="00707D60">
        <w:rPr>
          <w:color w:val="000000"/>
          <w:szCs w:val="23"/>
        </w:rPr>
        <w:t xml:space="preserve">зачастую сопровождается противоопухолевым эффектом </w:t>
      </w:r>
      <w:r w:rsidRPr="00905433">
        <w:rPr>
          <w:color w:val="000000"/>
          <w:szCs w:val="23"/>
        </w:rPr>
        <w:t>[4].</w:t>
      </w:r>
    </w:p>
    <w:p w14:paraId="79982DE4" w14:textId="77777777" w:rsidR="00780410" w:rsidRPr="00905433" w:rsidRDefault="00780410" w:rsidP="00780410">
      <w:pPr>
        <w:pStyle w:val="af3"/>
        <w:tabs>
          <w:tab w:val="left" w:pos="142"/>
        </w:tabs>
        <w:spacing w:after="0" w:line="240" w:lineRule="auto"/>
        <w:ind w:left="0" w:firstLine="709"/>
        <w:rPr>
          <w:color w:val="000000" w:themeColor="text1"/>
          <w:szCs w:val="28"/>
          <w:highlight w:val="green"/>
        </w:rPr>
      </w:pPr>
      <w:r w:rsidRPr="00707D60">
        <w:rPr>
          <w:color w:val="000000"/>
          <w:szCs w:val="23"/>
        </w:rPr>
        <w:t xml:space="preserve">Первоначально эверолимус был зарегистрирован как иммунодепрессант и использовался для профилактики отторжения пересаженных органов </w:t>
      </w:r>
      <w:r w:rsidRPr="00905433">
        <w:rPr>
          <w:color w:val="000000"/>
          <w:szCs w:val="23"/>
        </w:rPr>
        <w:t>[5].</w:t>
      </w:r>
    </w:p>
    <w:p w14:paraId="5E256CA7" w14:textId="77777777" w:rsidR="00780410" w:rsidRPr="00905433" w:rsidRDefault="00780410" w:rsidP="00780410">
      <w:pPr>
        <w:pStyle w:val="ab"/>
        <w:spacing w:before="0" w:beforeAutospacing="0" w:after="0" w:afterAutospacing="0"/>
        <w:ind w:firstLine="709"/>
        <w:contextualSpacing/>
        <w:jc w:val="both"/>
        <w:textAlignment w:val="top"/>
        <w:rPr>
          <w:color w:val="000000"/>
          <w:szCs w:val="23"/>
        </w:rPr>
      </w:pPr>
      <w:r w:rsidRPr="00E74E9F">
        <w:rPr>
          <w:color w:val="000000"/>
          <w:szCs w:val="23"/>
        </w:rPr>
        <w:t xml:space="preserve">С внедрением в клиническую практику новых препаратов, в частности ингибиторов </w:t>
      </w:r>
      <w:r w:rsidRPr="00E74E9F">
        <w:rPr>
          <w:color w:val="000000"/>
          <w:szCs w:val="23"/>
          <w:lang w:val="en-US"/>
        </w:rPr>
        <w:t>mTOR</w:t>
      </w:r>
      <w:r w:rsidRPr="00E74E9F">
        <w:rPr>
          <w:color w:val="000000"/>
          <w:szCs w:val="23"/>
        </w:rPr>
        <w:t xml:space="preserve">, для </w:t>
      </w:r>
      <w:r>
        <w:rPr>
          <w:color w:val="000000"/>
          <w:szCs w:val="23"/>
        </w:rPr>
        <w:t>иммуносупрессиии у реципиентов почки, сердца и печени, появилась новая возможность снижения дозировок ингибиторов кальциневрина, что помогает снизить нефротоксичность для всех групп реципиентов, а для реципиентов почки это имеет решающее значение в профилактике отторжения трансплантата.</w:t>
      </w:r>
    </w:p>
    <w:p w14:paraId="5CC62100" w14:textId="77777777" w:rsidR="00780410" w:rsidRDefault="00780410" w:rsidP="00780410">
      <w:pPr>
        <w:pStyle w:val="ab"/>
        <w:spacing w:before="0" w:beforeAutospacing="0" w:after="0" w:afterAutospacing="0"/>
        <w:ind w:firstLine="709"/>
        <w:jc w:val="both"/>
        <w:textAlignment w:val="top"/>
      </w:pPr>
      <w:bookmarkStart w:id="66" w:name="_Hlk113007320"/>
      <w:r w:rsidRPr="00707D60">
        <w:t xml:space="preserve">Эверолимус – пероральный ингибитор mTOR, который зарегистрирован для </w:t>
      </w:r>
      <w:bookmarkEnd w:id="66"/>
      <w:r>
        <w:t>иммуносупрессивной терапии для реципиентов трансплантата почки, сердца и печени</w:t>
      </w:r>
      <w:r>
        <w:rPr>
          <w:bCs/>
        </w:rPr>
        <w:t xml:space="preserve">, эффективность которого по каждому из перечисленных показаний была продемонстрирована в клинических исследованиях </w:t>
      </w:r>
      <w:r>
        <w:rPr>
          <w:bCs/>
          <w:lang w:val="en-US"/>
        </w:rPr>
        <w:t>III</w:t>
      </w:r>
      <w:r w:rsidRPr="009C29AA">
        <w:rPr>
          <w:bCs/>
        </w:rPr>
        <w:t xml:space="preserve"> </w:t>
      </w:r>
      <w:r>
        <w:rPr>
          <w:bCs/>
        </w:rPr>
        <w:t>фазы</w:t>
      </w:r>
      <w:r w:rsidRPr="00707D60">
        <w:t>.</w:t>
      </w:r>
    </w:p>
    <w:p w14:paraId="37ECF124" w14:textId="77777777" w:rsidR="00780410" w:rsidRPr="003E7920" w:rsidRDefault="00780410" w:rsidP="003E7920">
      <w:pPr>
        <w:pStyle w:val="ab"/>
        <w:spacing w:before="0" w:beforeAutospacing="0" w:after="0" w:afterAutospacing="0"/>
        <w:ind w:firstLine="709"/>
        <w:contextualSpacing/>
        <w:jc w:val="both"/>
        <w:textAlignment w:val="top"/>
        <w:rPr>
          <w:color w:val="000000"/>
          <w:szCs w:val="23"/>
        </w:rPr>
      </w:pPr>
      <w:r w:rsidRPr="003E7920">
        <w:rPr>
          <w:color w:val="000000"/>
          <w:szCs w:val="23"/>
        </w:rPr>
        <w:t xml:space="preserve">По результатам данных исследований эверолимус был впервые одобрен FDA как иммуносупрессант для реципиентов трансплантата почки 22 апреля 2010 года [6]. </w:t>
      </w:r>
    </w:p>
    <w:p w14:paraId="17EBBA63" w14:textId="76A57AF0" w:rsidR="00780410" w:rsidRPr="003E7920" w:rsidRDefault="00780410" w:rsidP="003E7920">
      <w:pPr>
        <w:pStyle w:val="ab"/>
        <w:spacing w:before="0" w:beforeAutospacing="0" w:after="0" w:afterAutospacing="0"/>
        <w:ind w:firstLine="709"/>
        <w:contextualSpacing/>
        <w:jc w:val="both"/>
        <w:textAlignment w:val="top"/>
        <w:rPr>
          <w:color w:val="000000"/>
          <w:szCs w:val="23"/>
        </w:rPr>
      </w:pPr>
      <w:r w:rsidRPr="003E7920">
        <w:rPr>
          <w:color w:val="000000"/>
          <w:szCs w:val="23"/>
        </w:rPr>
        <w:t xml:space="preserve">В России оригинальный препарат Сертикан® был впервые зарегистрирован 29 июля 2011 года [7]. </w:t>
      </w:r>
    </w:p>
    <w:p w14:paraId="495A264E" w14:textId="77777777" w:rsidR="00780410" w:rsidRDefault="00780410" w:rsidP="003E7920">
      <w:pPr>
        <w:pStyle w:val="ab"/>
        <w:spacing w:before="0" w:beforeAutospacing="0" w:after="0" w:afterAutospacing="0"/>
        <w:ind w:firstLine="709"/>
        <w:contextualSpacing/>
        <w:jc w:val="both"/>
        <w:textAlignment w:val="top"/>
        <w:rPr>
          <w:color w:val="000000"/>
        </w:rPr>
      </w:pPr>
      <w:r w:rsidRPr="003E7920">
        <w:rPr>
          <w:color w:val="000000"/>
          <w:szCs w:val="23"/>
        </w:rPr>
        <w:lastRenderedPageBreak/>
        <w:t>Регистрационные</w:t>
      </w:r>
      <w:r w:rsidRPr="00B83064">
        <w:rPr>
          <w:color w:val="000000" w:themeColor="text1"/>
        </w:rPr>
        <w:t xml:space="preserve"> исследования эффективности и безопасности </w:t>
      </w:r>
      <w:r>
        <w:rPr>
          <w:color w:val="000000" w:themeColor="text1"/>
        </w:rPr>
        <w:t>эверолимуса</w:t>
      </w:r>
      <w:r w:rsidRPr="00B83064">
        <w:rPr>
          <w:color w:val="000000" w:themeColor="text1"/>
        </w:rPr>
        <w:t xml:space="preserve"> (</w:t>
      </w:r>
      <w:r>
        <w:rPr>
          <w:rFonts w:eastAsia="Calibri"/>
          <w:color w:val="000000" w:themeColor="text1"/>
        </w:rPr>
        <w:t>Сертикан</w:t>
      </w:r>
      <w:r w:rsidRPr="00B83064">
        <w:rPr>
          <w:bCs/>
          <w:color w:val="000000" w:themeColor="text1"/>
          <w:vertAlign w:val="superscript"/>
        </w:rPr>
        <w:t>®</w:t>
      </w:r>
      <w:r w:rsidRPr="00B83064">
        <w:rPr>
          <w:rFonts w:eastAsia="Calibri"/>
          <w:color w:val="000000" w:themeColor="text1"/>
        </w:rPr>
        <w:t xml:space="preserve">) </w:t>
      </w:r>
      <w:r w:rsidRPr="00B83064">
        <w:rPr>
          <w:color w:val="000000" w:themeColor="text1"/>
        </w:rPr>
        <w:t xml:space="preserve">были проведены у </w:t>
      </w:r>
      <w:r>
        <w:rPr>
          <w:color w:val="000000" w:themeColor="text1"/>
        </w:rPr>
        <w:t>реципиентов трансплантата почки, сердца и печени.</w:t>
      </w:r>
    </w:p>
    <w:p w14:paraId="227C5CF9" w14:textId="77777777" w:rsidR="00780410" w:rsidRPr="00007348" w:rsidRDefault="00780410" w:rsidP="00780410">
      <w:pPr>
        <w:spacing w:after="0" w:line="240" w:lineRule="auto"/>
        <w:ind w:firstLine="709"/>
      </w:pP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о участие в общей сложности 4449 пациентов. Х</w:t>
      </w:r>
      <w:r w:rsidRPr="00DA0DA9">
        <w:t>отя бы од</w:t>
      </w:r>
      <w:r>
        <w:t>ну дозу эверолимуса приняли 2825</w:t>
      </w:r>
      <w:r w:rsidRPr="00DA0DA9">
        <w:t xml:space="preserve"> пациентов, из них </w:t>
      </w:r>
      <w:r>
        <w:t>1622 пациента получали иммуносупрессивную терапию как реципиенты трансплантата почки, 958 пациентов – как реципиенты трансплантата сердца и 245 пациентов – как реципиенты трансплантата печени.</w:t>
      </w:r>
      <w:r w:rsidRPr="00DA0DA9">
        <w:t xml:space="preserve"> </w:t>
      </w:r>
      <w:r>
        <w:t>Наблюдение за субъектами исследования составляло от 6 до 36 месяцев.</w:t>
      </w:r>
    </w:p>
    <w:p w14:paraId="18077FBF" w14:textId="77777777" w:rsidR="00780410" w:rsidRPr="00905433" w:rsidRDefault="00780410">
      <w:pPr>
        <w:spacing w:after="0" w:line="240" w:lineRule="auto"/>
        <w:ind w:firstLine="709"/>
        <w:rPr>
          <w:color w:val="000000"/>
          <w:lang w:eastAsia="ru-RU"/>
        </w:rPr>
      </w:pPr>
      <w:r w:rsidRPr="001B72F5">
        <w:rPr>
          <w:color w:val="000000"/>
          <w:lang w:eastAsia="ru-RU"/>
        </w:rPr>
        <w:t xml:space="preserve">Наиболее частыми побочными реакциями (частота ≥1/10) из объединенных данных </w:t>
      </w:r>
      <w:r>
        <w:rPr>
          <w:color w:val="000000"/>
          <w:lang w:eastAsia="ru-RU"/>
        </w:rPr>
        <w:t>по безопасности были (</w:t>
      </w:r>
      <w:r w:rsidRPr="001B72F5">
        <w:rPr>
          <w:color w:val="000000"/>
          <w:lang w:eastAsia="ru-RU"/>
        </w:rPr>
        <w:t xml:space="preserve">в порядке убывания): </w:t>
      </w:r>
      <w:r w:rsidRPr="00E03613">
        <w:rPr>
          <w:bCs/>
        </w:rPr>
        <w:t>инфекции, анемия, гиперлипиде</w:t>
      </w:r>
      <w:r>
        <w:rPr>
          <w:bCs/>
        </w:rPr>
        <w:t>мия, вновь выявленный сахарный диабет</w:t>
      </w:r>
      <w:r w:rsidRPr="00E03613">
        <w:rPr>
          <w:bCs/>
        </w:rPr>
        <w:t>, бессонница, головная боль, артериальная гипертензия, кашель, запор, тошнота, периферические отеки, нарушение заживления</w:t>
      </w:r>
      <w:r>
        <w:rPr>
          <w:bCs/>
        </w:rPr>
        <w:t xml:space="preserve"> ран</w:t>
      </w:r>
      <w:r w:rsidRPr="00E03613">
        <w:rPr>
          <w:bCs/>
        </w:rPr>
        <w:t xml:space="preserve"> (включая плевр</w:t>
      </w:r>
      <w:r>
        <w:rPr>
          <w:bCs/>
        </w:rPr>
        <w:t>альный и перикардиальный выпот)</w:t>
      </w:r>
      <w:r w:rsidRPr="00905433">
        <w:rPr>
          <w:bCs/>
        </w:rPr>
        <w:t xml:space="preserve"> [8].</w:t>
      </w:r>
    </w:p>
    <w:p w14:paraId="72BC7A35" w14:textId="75715917" w:rsidR="00780410" w:rsidRPr="00AC7A0D" w:rsidRDefault="00780410" w:rsidP="003E7920">
      <w:pPr>
        <w:pStyle w:val="af3"/>
        <w:spacing w:after="0" w:line="240" w:lineRule="auto"/>
        <w:ind w:left="0" w:firstLine="720"/>
      </w:pPr>
      <w:r w:rsidRPr="00DA75AA">
        <w:rPr>
          <w:lang w:val="en-US"/>
        </w:rPr>
        <w:t>DT</w:t>
      </w:r>
      <w:r w:rsidRPr="00DA75AA">
        <w:t>-</w:t>
      </w:r>
      <w:r>
        <w:rPr>
          <w:lang w:val="en-US"/>
        </w:rPr>
        <w:t>EVR</w:t>
      </w:r>
      <w:r>
        <w:rPr>
          <w:bCs/>
          <w:lang w:eastAsia="ru-RU"/>
        </w:rPr>
        <w:t>, таблетки, 0,</w:t>
      </w:r>
      <w:r>
        <w:t>2</w:t>
      </w:r>
      <w:r w:rsidRPr="00707D60">
        <w:t>5</w:t>
      </w:r>
      <w:r>
        <w:t xml:space="preserve"> мг</w:t>
      </w:r>
      <w:r w:rsidRPr="00707D60">
        <w:t xml:space="preserve">, </w:t>
      </w:r>
      <w:r>
        <w:t xml:space="preserve">0,5 мг, </w:t>
      </w:r>
      <w:r w:rsidRPr="00707D60">
        <w:t>0</w:t>
      </w:r>
      <w:r>
        <w:t>,75</w:t>
      </w:r>
      <w:r w:rsidRPr="00707D60">
        <w:t xml:space="preserve"> мг </w:t>
      </w:r>
      <w:r>
        <w:rPr>
          <w:bCs/>
          <w:lang w:eastAsia="ru-RU"/>
        </w:rPr>
        <w:t xml:space="preserve">– </w:t>
      </w:r>
      <w:r w:rsidRPr="00DA75AA">
        <w:rPr>
          <w:bCs/>
          <w:lang w:eastAsia="ru-RU"/>
        </w:rPr>
        <w:t xml:space="preserve">воспроизведенный препарат </w:t>
      </w:r>
      <w:r>
        <w:rPr>
          <w:bCs/>
          <w:lang w:eastAsia="ru-RU"/>
        </w:rPr>
        <w:t>эверолимуса</w:t>
      </w:r>
      <w:r w:rsidRPr="00DA75AA">
        <w:rPr>
          <w:bCs/>
          <w:lang w:eastAsia="ru-RU"/>
        </w:rPr>
        <w:t xml:space="preserve">, разработанный </w:t>
      </w:r>
      <w:r>
        <w:rPr>
          <w:bCs/>
          <w:lang w:eastAsia="ru-RU"/>
        </w:rPr>
        <w:t>дочерним подразделением ГК «Р-Фарм», Россия – ООО «</w:t>
      </w:r>
      <w:r w:rsidR="00086396">
        <w:rPr>
          <w:bCs/>
          <w:lang w:eastAsia="ru-RU"/>
        </w:rPr>
        <w:t>Технология Лекарств</w:t>
      </w:r>
      <w:r>
        <w:rPr>
          <w:bCs/>
          <w:lang w:eastAsia="ru-RU"/>
        </w:rPr>
        <w:t>»</w:t>
      </w:r>
      <w:r w:rsidRPr="00DA75AA">
        <w:rPr>
          <w:bCs/>
          <w:lang w:eastAsia="ru-RU"/>
        </w:rPr>
        <w:t xml:space="preserve">. </w:t>
      </w:r>
      <w:r w:rsidR="00086396">
        <w:rPr>
          <w:color w:val="000000"/>
        </w:rPr>
        <w:t>Он 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препарату эверолимуса Сертикан</w:t>
      </w:r>
      <w:r w:rsidR="00086396">
        <w:rPr>
          <w:color w:val="000000"/>
          <w:vertAlign w:val="superscript"/>
        </w:rPr>
        <w:t>®</w:t>
      </w:r>
      <w:r w:rsidR="00086396">
        <w:rPr>
          <w:color w:val="000000"/>
        </w:rPr>
        <w:t xml:space="preserve"> </w:t>
      </w:r>
      <w:r w:rsidR="00086396">
        <w:rPr>
          <w:lang w:eastAsia="ru-RU"/>
        </w:rPr>
        <w:t xml:space="preserve">(владелец РУ - </w:t>
      </w:r>
      <w:r w:rsidR="00086396">
        <w:rPr>
          <w:rFonts w:eastAsia="Calibri"/>
        </w:rPr>
        <w:t>Новартис Фарма АГ, Швейцария</w:t>
      </w:r>
      <w:r w:rsidR="00086396">
        <w:rPr>
          <w:lang w:eastAsia="ru-RU"/>
        </w:rPr>
        <w:t xml:space="preserve">), имея минимальные отличия в качественном и количественном составе вспомогательных веществ. </w:t>
      </w:r>
      <w:r>
        <w:rPr>
          <w:color w:val="000000" w:themeColor="text1"/>
        </w:rPr>
        <w:t xml:space="preserve">Результаты теста сравнительной кинетики растворения, проведенного в нескольких средах с использованием </w:t>
      </w:r>
      <w:r>
        <w:rPr>
          <w:color w:val="000000" w:themeColor="text1"/>
          <w:lang w:val="en-US"/>
        </w:rPr>
        <w:t>DT</w:t>
      </w:r>
      <w:r>
        <w:rPr>
          <w:color w:val="000000" w:themeColor="text1"/>
        </w:rPr>
        <w:t>-</w:t>
      </w:r>
      <w:r>
        <w:rPr>
          <w:color w:val="000000" w:themeColor="text1"/>
          <w:lang w:val="en-US"/>
        </w:rPr>
        <w:t>EVR</w:t>
      </w:r>
      <w:r>
        <w:rPr>
          <w:color w:val="000000" w:themeColor="text1"/>
        </w:rPr>
        <w:t xml:space="preserve"> в сравнении с референтным препаратом Сертикан</w:t>
      </w:r>
      <w:r>
        <w:rPr>
          <w:color w:val="000000" w:themeColor="text1"/>
          <w:vertAlign w:val="superscript"/>
        </w:rPr>
        <w:t>®</w:t>
      </w:r>
      <w:r>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Pr="00AC7A0D">
        <w:t>В связи с этим представляется целесообразным проведение клинического исследования биоэквивалентности</w:t>
      </w:r>
      <w:r w:rsidRPr="00AC7A0D">
        <w:rPr>
          <w:bCs/>
          <w:lang w:eastAsia="ru-RU"/>
        </w:rPr>
        <w:t xml:space="preserve"> лекарственного препарата </w:t>
      </w:r>
      <w:r>
        <w:rPr>
          <w:lang w:val="en-US"/>
        </w:rPr>
        <w:t>DT</w:t>
      </w:r>
      <w:r w:rsidRPr="003C5D89">
        <w:t>-</w:t>
      </w:r>
      <w:r>
        <w:rPr>
          <w:lang w:val="en-US"/>
        </w:rPr>
        <w:t>EVR</w:t>
      </w:r>
      <w:r>
        <w:t xml:space="preserve">, таблетки </w:t>
      </w:r>
      <w:r w:rsidRPr="00AC7A0D">
        <w:t>0</w:t>
      </w:r>
      <w:r>
        <w:t>,75</w:t>
      </w:r>
      <w:r w:rsidRPr="00AC7A0D">
        <w:t xml:space="preserve"> мг (АО «Р-Фарм», Россия) </w:t>
      </w:r>
      <w:r w:rsidRPr="00AC7A0D">
        <w:rPr>
          <w:lang w:eastAsia="ru-RU"/>
        </w:rPr>
        <w:t xml:space="preserve">в сравнении с оригинальным препаратом </w:t>
      </w:r>
      <w:r>
        <w:t>Сертикан</w:t>
      </w:r>
      <w:r w:rsidRPr="003C5D89">
        <w:rPr>
          <w:vertAlign w:val="superscript"/>
        </w:rPr>
        <w:t>®</w:t>
      </w:r>
      <w:r>
        <w:t xml:space="preserve">, таблетки </w:t>
      </w:r>
      <w:r w:rsidRPr="00AC7A0D">
        <w:t>0</w:t>
      </w:r>
      <w:r>
        <w:t>,75</w:t>
      </w:r>
      <w:r w:rsidRPr="00AC7A0D">
        <w:t xml:space="preserve"> мг (Новартис Фарма АГ, Швейцария)</w:t>
      </w:r>
      <w:r w:rsidRPr="00AC7A0D">
        <w:rPr>
          <w:bCs/>
          <w:lang w:eastAsia="ru-RU"/>
        </w:rPr>
        <w:t>.</w:t>
      </w:r>
    </w:p>
    <w:p w14:paraId="43A92975" w14:textId="77777777" w:rsidR="00780410" w:rsidRPr="000E3A76" w:rsidRDefault="00780410" w:rsidP="00086396">
      <w:pPr>
        <w:autoSpaceDE w:val="0"/>
        <w:autoSpaceDN w:val="0"/>
        <w:adjustRightInd w:val="0"/>
        <w:spacing w:after="0" w:line="240" w:lineRule="auto"/>
        <w:ind w:firstLine="720"/>
        <w:rPr>
          <w:bCs/>
          <w:lang w:eastAsia="ru-RU"/>
        </w:rPr>
      </w:pPr>
      <w:r w:rsidRPr="00AC7A0D">
        <w:rPr>
          <w:bCs/>
          <w:lang w:eastAsia="ru-RU"/>
        </w:rPr>
        <w:t xml:space="preserve">Внедрение в клиническую практику нового воспроизведенного препарата </w:t>
      </w:r>
      <w:r w:rsidRPr="00AC7A0D">
        <w:rPr>
          <w:rFonts w:eastAsia="Calibri"/>
          <w:lang w:eastAsia="ar-SA"/>
        </w:rPr>
        <w:t>эверолимуса</w:t>
      </w:r>
      <w:r w:rsidRPr="00AC7A0D">
        <w:rPr>
          <w:bCs/>
          <w:lang w:eastAsia="ru-RU"/>
        </w:rPr>
        <w:t xml:space="preserve"> позволит снизить </w:t>
      </w:r>
      <w:r w:rsidRPr="00BA0F9F">
        <w:rPr>
          <w:bCs/>
          <w:lang w:eastAsia="ru-RU"/>
        </w:rPr>
        <w:t xml:space="preserve">цену современной </w:t>
      </w:r>
      <w:r>
        <w:rPr>
          <w:bCs/>
          <w:lang w:eastAsia="ru-RU"/>
        </w:rPr>
        <w:t>иммуносупрессивной терапии для реципиентов трансплантата почки, сердца и печени</w:t>
      </w:r>
      <w:r w:rsidRPr="00AC7A0D">
        <w:rPr>
          <w:bCs/>
          <w:lang w:eastAsia="ru-RU"/>
        </w:rPr>
        <w:t>.</w:t>
      </w:r>
    </w:p>
    <w:p w14:paraId="4BA83E0D" w14:textId="77777777" w:rsidR="00780410" w:rsidRPr="00707D60" w:rsidRDefault="00780410" w:rsidP="00780410">
      <w:pPr>
        <w:pStyle w:val="2"/>
        <w:numPr>
          <w:ilvl w:val="1"/>
          <w:numId w:val="5"/>
        </w:numPr>
        <w:spacing w:line="240" w:lineRule="auto"/>
        <w:ind w:left="0" w:firstLine="0"/>
        <w:rPr>
          <w:color w:val="000000" w:themeColor="text1"/>
          <w:szCs w:val="24"/>
        </w:rPr>
      </w:pPr>
      <w:bookmarkStart w:id="67" w:name="_Toc535339329"/>
      <w:bookmarkStart w:id="68" w:name="_Toc115217914"/>
      <w:bookmarkStart w:id="69" w:name="_Toc118124145"/>
      <w:bookmarkStart w:id="70" w:name="_Toc119313719"/>
      <w:bookmarkEnd w:id="64"/>
      <w:bookmarkEnd w:id="67"/>
      <w:r w:rsidRPr="00707D60">
        <w:rPr>
          <w:color w:val="000000" w:themeColor="text1"/>
          <w:szCs w:val="24"/>
        </w:rPr>
        <w:t>Ожидаемые показания к применению</w:t>
      </w:r>
      <w:bookmarkEnd w:id="68"/>
      <w:bookmarkEnd w:id="69"/>
      <w:bookmarkEnd w:id="70"/>
    </w:p>
    <w:p w14:paraId="10615CAE" w14:textId="77777777" w:rsidR="00780410" w:rsidRPr="00A650F3" w:rsidRDefault="00780410" w:rsidP="00780410">
      <w:pPr>
        <w:pStyle w:val="af3"/>
        <w:numPr>
          <w:ilvl w:val="0"/>
          <w:numId w:val="24"/>
        </w:numPr>
        <w:spacing w:after="0" w:line="240" w:lineRule="auto"/>
        <w:ind w:left="709" w:hanging="283"/>
        <w:rPr>
          <w:lang w:eastAsia="ru-RU"/>
        </w:rPr>
      </w:pPr>
      <w:r w:rsidRPr="00A650F3">
        <w:rPr>
          <w:lang w:eastAsia="ru-RU"/>
        </w:rPr>
        <w:t>Трансплантация почки и сердца.</w:t>
      </w:r>
    </w:p>
    <w:p w14:paraId="022D3E88" w14:textId="77777777" w:rsidR="00780410" w:rsidRPr="00A650F3" w:rsidRDefault="00780410" w:rsidP="00780410">
      <w:pPr>
        <w:spacing w:after="0" w:line="240" w:lineRule="auto"/>
        <w:ind w:left="66"/>
        <w:contextualSpacing/>
        <w:rPr>
          <w:lang w:eastAsia="ru-RU"/>
        </w:rPr>
      </w:pPr>
      <w:r w:rsidRPr="00A650F3">
        <w:rPr>
          <w:lang w:eastAsia="ru-RU"/>
        </w:rPr>
        <w:t>Профилактика отторжения трансплантата у взрослых реципиентов почки и сердца с низким и средним иммунологическим риском, получающих базовую иммуносупрессивную терапия циклоспорином в форме микроэмульсии и глюкокортикостероидами.</w:t>
      </w:r>
    </w:p>
    <w:p w14:paraId="1CC4872E" w14:textId="77777777" w:rsidR="00780410" w:rsidRPr="00A650F3" w:rsidRDefault="00780410" w:rsidP="00780410">
      <w:pPr>
        <w:pStyle w:val="af3"/>
        <w:numPr>
          <w:ilvl w:val="0"/>
          <w:numId w:val="24"/>
        </w:numPr>
        <w:spacing w:after="0" w:line="240" w:lineRule="auto"/>
        <w:ind w:left="709" w:hanging="283"/>
        <w:rPr>
          <w:lang w:eastAsia="ru-RU"/>
        </w:rPr>
      </w:pPr>
      <w:r w:rsidRPr="00A650F3">
        <w:rPr>
          <w:lang w:eastAsia="ru-RU"/>
        </w:rPr>
        <w:t>Трансплантация печени.</w:t>
      </w:r>
    </w:p>
    <w:p w14:paraId="3A82A3CA" w14:textId="77777777" w:rsidR="00780410" w:rsidRPr="00780410" w:rsidRDefault="00780410" w:rsidP="00780410">
      <w:pPr>
        <w:spacing w:after="0" w:line="240" w:lineRule="auto"/>
        <w:ind w:left="66"/>
        <w:contextualSpacing/>
        <w:rPr>
          <w:lang w:eastAsia="ru-RU"/>
        </w:rPr>
      </w:pPr>
      <w:r w:rsidRPr="00A650F3">
        <w:rPr>
          <w:lang w:eastAsia="ru-RU"/>
        </w:rPr>
        <w:lastRenderedPageBreak/>
        <w:t>Профилактика отторжения трансплантата у реципиентов печени с низки и средним иммунологическим риском, получающих базовую иммуносупрессивную терапия такролимусом и глюкокортикостероидами.</w:t>
      </w:r>
    </w:p>
    <w:p w14:paraId="40D25014" w14:textId="77777777" w:rsidR="00780410" w:rsidRPr="00780410" w:rsidRDefault="00780410" w:rsidP="00780410">
      <w:pPr>
        <w:spacing w:after="0" w:line="240" w:lineRule="auto"/>
        <w:ind w:left="66"/>
        <w:contextualSpacing/>
        <w:rPr>
          <w:lang w:eastAsia="ru-RU"/>
        </w:rPr>
      </w:pPr>
    </w:p>
    <w:p w14:paraId="5F56E4FB" w14:textId="77777777" w:rsidR="00780410" w:rsidRPr="00EE5BB3" w:rsidRDefault="00780410" w:rsidP="00780410">
      <w:pPr>
        <w:pStyle w:val="2"/>
        <w:spacing w:before="0" w:after="0" w:line="240" w:lineRule="auto"/>
        <w:rPr>
          <w:color w:val="000000" w:themeColor="text1"/>
          <w:szCs w:val="24"/>
          <w:lang w:val="en-US"/>
        </w:rPr>
      </w:pPr>
      <w:bookmarkStart w:id="71" w:name="_Toc32336729"/>
      <w:bookmarkStart w:id="72" w:name="_Toc115217915"/>
      <w:bookmarkStart w:id="73" w:name="_Toc118124146"/>
      <w:bookmarkStart w:id="74" w:name="_Toc119313720"/>
      <w:r w:rsidRPr="00707D60">
        <w:rPr>
          <w:color w:val="000000" w:themeColor="text1"/>
          <w:szCs w:val="24"/>
        </w:rPr>
        <w:t>Список</w:t>
      </w:r>
      <w:r w:rsidRPr="00EE5BB3">
        <w:rPr>
          <w:color w:val="000000" w:themeColor="text1"/>
          <w:szCs w:val="24"/>
          <w:lang w:val="en-US"/>
        </w:rPr>
        <w:t xml:space="preserve"> </w:t>
      </w:r>
      <w:r w:rsidRPr="00707D60">
        <w:rPr>
          <w:color w:val="000000" w:themeColor="text1"/>
          <w:szCs w:val="24"/>
        </w:rPr>
        <w:t>литературы</w:t>
      </w:r>
      <w:bookmarkEnd w:id="71"/>
      <w:bookmarkEnd w:id="72"/>
      <w:bookmarkEnd w:id="73"/>
      <w:bookmarkEnd w:id="74"/>
    </w:p>
    <w:p w14:paraId="239B6998" w14:textId="77777777" w:rsidR="00780410" w:rsidRPr="00EE5BB3" w:rsidRDefault="00780410" w:rsidP="00780410">
      <w:pPr>
        <w:spacing w:after="0" w:line="240" w:lineRule="auto"/>
        <w:rPr>
          <w:lang w:val="en-US"/>
        </w:rPr>
      </w:pPr>
    </w:p>
    <w:p w14:paraId="1C2EC217" w14:textId="77777777" w:rsidR="00780410" w:rsidRPr="000E059D" w:rsidRDefault="00780410" w:rsidP="00360E2C">
      <w:pPr>
        <w:pStyle w:val="af3"/>
        <w:numPr>
          <w:ilvl w:val="0"/>
          <w:numId w:val="7"/>
        </w:numPr>
        <w:ind w:left="567" w:hanging="283"/>
        <w:rPr>
          <w:color w:val="000000"/>
          <w:lang w:val="en-US"/>
        </w:rPr>
      </w:pPr>
      <w:r w:rsidRPr="000E059D">
        <w:rPr>
          <w:color w:val="000000"/>
        </w:rPr>
        <w:t>Национальные клинические рекомендации. Трансплантация почки. 2013 г.</w:t>
      </w:r>
    </w:p>
    <w:p w14:paraId="48D8A5FA" w14:textId="77777777" w:rsidR="00780410" w:rsidRPr="000E059D" w:rsidRDefault="00780410" w:rsidP="00360E2C">
      <w:pPr>
        <w:pStyle w:val="af3"/>
        <w:numPr>
          <w:ilvl w:val="0"/>
          <w:numId w:val="7"/>
        </w:numPr>
        <w:tabs>
          <w:tab w:val="left" w:pos="142"/>
        </w:tabs>
        <w:spacing w:after="0" w:line="240" w:lineRule="auto"/>
        <w:ind w:left="567" w:hanging="283"/>
        <w:contextualSpacing w:val="0"/>
        <w:rPr>
          <w:color w:val="000000" w:themeColor="text1"/>
          <w:szCs w:val="28"/>
        </w:rPr>
      </w:pPr>
      <w:r w:rsidRPr="000E059D">
        <w:t>Клинические рекомендации. Трансплантация сердца, наличие трансплантированного сердца, отмирание и отторжение трансплантата сердца. 2020 г.</w:t>
      </w:r>
    </w:p>
    <w:p w14:paraId="3A643572" w14:textId="77777777" w:rsidR="00780410" w:rsidRPr="000E059D" w:rsidRDefault="00780410" w:rsidP="00360E2C">
      <w:pPr>
        <w:pStyle w:val="af3"/>
        <w:numPr>
          <w:ilvl w:val="0"/>
          <w:numId w:val="7"/>
        </w:numPr>
        <w:tabs>
          <w:tab w:val="left" w:pos="142"/>
        </w:tabs>
        <w:spacing w:after="0" w:line="240" w:lineRule="auto"/>
        <w:ind w:left="567" w:hanging="283"/>
        <w:contextualSpacing w:val="0"/>
        <w:rPr>
          <w:color w:val="000000" w:themeColor="text1"/>
          <w:szCs w:val="28"/>
          <w:lang w:val="en-US"/>
        </w:rPr>
      </w:pPr>
      <w:r w:rsidRPr="000E059D">
        <w:t xml:space="preserve">Клинические рекомендации. Трансплантация печени, наличие трансплантированной печени, отмирание и отторжение трансплантата печени. </w:t>
      </w:r>
      <w:r w:rsidRPr="000E059D">
        <w:rPr>
          <w:lang w:val="en-US"/>
        </w:rPr>
        <w:t xml:space="preserve">2020 </w:t>
      </w:r>
      <w:r w:rsidRPr="000E059D">
        <w:t>г</w:t>
      </w:r>
      <w:r w:rsidRPr="000E059D">
        <w:rPr>
          <w:lang w:val="en-US"/>
        </w:rPr>
        <w:t>.</w:t>
      </w:r>
    </w:p>
    <w:p w14:paraId="31633726" w14:textId="77777777" w:rsidR="00780410" w:rsidRPr="000E059D" w:rsidRDefault="00780410" w:rsidP="00360E2C">
      <w:pPr>
        <w:pStyle w:val="af3"/>
        <w:numPr>
          <w:ilvl w:val="0"/>
          <w:numId w:val="7"/>
        </w:numPr>
        <w:tabs>
          <w:tab w:val="left" w:pos="142"/>
        </w:tabs>
        <w:spacing w:after="0" w:line="240" w:lineRule="auto"/>
        <w:ind w:left="567" w:hanging="283"/>
        <w:contextualSpacing w:val="0"/>
        <w:rPr>
          <w:szCs w:val="28"/>
        </w:rPr>
      </w:pPr>
      <w:r w:rsidRPr="000E059D">
        <w:rPr>
          <w:szCs w:val="28"/>
          <w:lang w:val="en-US"/>
        </w:rPr>
        <w:t>Chong Z.Z. mTOR: a novel therapeutic target for diseases of multiple systems. Curr Drug Targets 2015;16(10):1107-32.</w:t>
      </w:r>
    </w:p>
    <w:p w14:paraId="46477363" w14:textId="77777777" w:rsidR="00780410" w:rsidRPr="000E059D" w:rsidRDefault="00780410" w:rsidP="00360E2C">
      <w:pPr>
        <w:pStyle w:val="af3"/>
        <w:numPr>
          <w:ilvl w:val="0"/>
          <w:numId w:val="7"/>
        </w:numPr>
        <w:tabs>
          <w:tab w:val="left" w:pos="142"/>
        </w:tabs>
        <w:spacing w:after="0" w:line="240" w:lineRule="auto"/>
        <w:ind w:left="567" w:hanging="283"/>
        <w:contextualSpacing w:val="0"/>
        <w:rPr>
          <w:szCs w:val="28"/>
          <w:lang w:val="en-US"/>
        </w:rPr>
      </w:pPr>
      <w:r w:rsidRPr="000E059D">
        <w:rPr>
          <w:color w:val="000000" w:themeColor="text1"/>
          <w:szCs w:val="28"/>
          <w:lang w:val="en-US"/>
        </w:rPr>
        <w:t>Pascual J. Everolimus in clinical practice-renal transplantation. Nephrol Dial Transplant 2006;21(Suppl 3):18—23.</w:t>
      </w:r>
    </w:p>
    <w:p w14:paraId="3E227ADA" w14:textId="77777777" w:rsidR="00780410" w:rsidRPr="000E059D" w:rsidRDefault="00780410" w:rsidP="00360E2C">
      <w:pPr>
        <w:pStyle w:val="af3"/>
        <w:numPr>
          <w:ilvl w:val="0"/>
          <w:numId w:val="7"/>
        </w:numPr>
        <w:tabs>
          <w:tab w:val="left" w:pos="142"/>
        </w:tabs>
        <w:spacing w:after="0" w:line="240" w:lineRule="auto"/>
        <w:ind w:left="567" w:hanging="283"/>
        <w:contextualSpacing w:val="0"/>
        <w:rPr>
          <w:szCs w:val="28"/>
          <w:lang w:val="en-US"/>
        </w:rPr>
      </w:pPr>
      <w:r w:rsidRPr="000E059D">
        <w:rPr>
          <w:color w:val="000000" w:themeColor="text1"/>
          <w:lang w:val="en-US"/>
        </w:rPr>
        <w:t xml:space="preserve">CENTER FOR DRUG EVALUATION AND RESEARCH APPLICATION NUMBER: 21-560 PHARMACOLOGY REVIEW(S) </w:t>
      </w:r>
      <w:r w:rsidRPr="00905433">
        <w:rPr>
          <w:color w:val="000000" w:themeColor="text1"/>
          <w:lang w:val="en-US"/>
        </w:rPr>
        <w:t>https://www.accessdata.fda.gov/drugsatfda_docs/nda/2010/021560s000pharmr.pdf</w:t>
      </w:r>
    </w:p>
    <w:p w14:paraId="4BCFC786" w14:textId="77777777" w:rsidR="00780410" w:rsidRPr="000E059D" w:rsidRDefault="00780410" w:rsidP="00360E2C">
      <w:pPr>
        <w:pStyle w:val="af3"/>
        <w:numPr>
          <w:ilvl w:val="0"/>
          <w:numId w:val="7"/>
        </w:numPr>
        <w:tabs>
          <w:tab w:val="left" w:pos="142"/>
        </w:tabs>
        <w:spacing w:after="0" w:line="240" w:lineRule="auto"/>
        <w:ind w:left="567"/>
        <w:rPr>
          <w:color w:val="000000" w:themeColor="text1"/>
        </w:rPr>
      </w:pPr>
      <w:r w:rsidRPr="000E059D">
        <w:rPr>
          <w:color w:val="000000" w:themeColor="text1"/>
        </w:rPr>
        <w:t>Официальная инструкция на оригинальный препарат Сертикан. 2019.</w:t>
      </w:r>
    </w:p>
    <w:p w14:paraId="7D2640B5" w14:textId="77777777" w:rsidR="00780410" w:rsidRPr="000E059D" w:rsidRDefault="00780410" w:rsidP="00360E2C">
      <w:pPr>
        <w:pStyle w:val="af3"/>
        <w:tabs>
          <w:tab w:val="left" w:pos="142"/>
        </w:tabs>
        <w:spacing w:after="0" w:line="240" w:lineRule="auto"/>
        <w:ind w:left="567"/>
        <w:rPr>
          <w:color w:val="000000" w:themeColor="text1"/>
        </w:rPr>
      </w:pPr>
      <w:r w:rsidRPr="000E059D">
        <w:rPr>
          <w:color w:val="000000" w:themeColor="text1"/>
        </w:rPr>
        <w:t>https://grls.rosminzdrav.ru/Grls_View_v2.aspx?routingGuid=aa52a60e-c1e1-4bbc-8bed-ad19f1b29960</w:t>
      </w:r>
    </w:p>
    <w:p w14:paraId="3F8D6893" w14:textId="77777777" w:rsidR="00780410" w:rsidRPr="007E3E4B" w:rsidRDefault="00780410" w:rsidP="00360E2C">
      <w:pPr>
        <w:pStyle w:val="af3"/>
        <w:numPr>
          <w:ilvl w:val="0"/>
          <w:numId w:val="7"/>
        </w:numPr>
        <w:tabs>
          <w:tab w:val="left" w:pos="142"/>
        </w:tabs>
        <w:spacing w:after="0" w:line="240" w:lineRule="auto"/>
        <w:ind w:left="567"/>
        <w:contextualSpacing w:val="0"/>
        <w:rPr>
          <w:color w:val="000000" w:themeColor="text1"/>
          <w:lang w:val="en-US"/>
        </w:rPr>
      </w:pPr>
      <w:r>
        <w:rPr>
          <w:color w:val="000000" w:themeColor="text1"/>
          <w:lang w:val="en-US"/>
        </w:rPr>
        <w:t>Ceritican tablets. Summary of product characteristics updated 15-Jun-2022</w:t>
      </w:r>
      <w:r w:rsidRPr="007E3E4B">
        <w:rPr>
          <w:color w:val="000000" w:themeColor="text1"/>
          <w:lang w:val="en-US"/>
        </w:rPr>
        <w:t xml:space="preserve">. </w:t>
      </w:r>
      <w:r w:rsidRPr="00D0135A">
        <w:rPr>
          <w:lang w:val="en-US"/>
        </w:rPr>
        <w:t>https://www.medicines.org.uk/emc/product/1920/smpc#gref</w:t>
      </w:r>
    </w:p>
    <w:p w14:paraId="2EF19CCE" w14:textId="77777777" w:rsidR="00780410" w:rsidRPr="00905433" w:rsidRDefault="00780410" w:rsidP="00780410">
      <w:pPr>
        <w:spacing w:after="0" w:line="240" w:lineRule="auto"/>
        <w:ind w:left="66"/>
        <w:contextualSpacing/>
        <w:rPr>
          <w:lang w:val="en-US" w:eastAsia="ru-RU"/>
        </w:rPr>
      </w:pPr>
    </w:p>
    <w:p w14:paraId="061956AB" w14:textId="77777777" w:rsidR="00780410" w:rsidRPr="00905433" w:rsidRDefault="00780410" w:rsidP="00780410">
      <w:pPr>
        <w:rPr>
          <w:lang w:val="en-US"/>
        </w:rPr>
      </w:pPr>
    </w:p>
    <w:p w14:paraId="27C4C9F2" w14:textId="77777777" w:rsidR="00780410" w:rsidRPr="00780410" w:rsidRDefault="00780410" w:rsidP="00707D60">
      <w:pPr>
        <w:spacing w:after="0" w:line="240" w:lineRule="auto"/>
        <w:rPr>
          <w:rFonts w:eastAsia="Times New Roman"/>
          <w:color w:val="000000" w:themeColor="text1"/>
          <w:highlight w:val="yellow"/>
          <w:lang w:val="en-US" w:eastAsia="ru-RU"/>
        </w:rPr>
        <w:sectPr w:rsidR="00780410" w:rsidRPr="00780410" w:rsidSect="001B1959">
          <w:pgSz w:w="11906" w:h="16838"/>
          <w:pgMar w:top="993" w:right="849" w:bottom="1134" w:left="1701" w:header="708" w:footer="708" w:gutter="0"/>
          <w:cols w:space="708"/>
          <w:docGrid w:linePitch="360"/>
        </w:sectPr>
      </w:pPr>
    </w:p>
    <w:p w14:paraId="162B2C90" w14:textId="77777777" w:rsidR="00425C04" w:rsidRPr="00707D60" w:rsidRDefault="00425C04" w:rsidP="00707D60">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75" w:name="_Toc115217916"/>
      <w:bookmarkStart w:id="76" w:name="_Toc118124147"/>
      <w:bookmarkStart w:id="77" w:name="_Toc119313721"/>
      <w:r w:rsidRPr="00707D60">
        <w:rPr>
          <w:rFonts w:cs="Times New Roman"/>
          <w:color w:val="000000" w:themeColor="text1"/>
          <w:szCs w:val="24"/>
        </w:rPr>
        <w:lastRenderedPageBreak/>
        <w:t>ФИЗИЧЕСКИЕ, ХИМИЧЕСКИЕ И ФАРМАЦЕВТИЧЕСКИЕ СВОЙСТВА И ЛЕКАРСТВЕННАЯ ФОРМА</w:t>
      </w:r>
      <w:bookmarkEnd w:id="75"/>
      <w:bookmarkEnd w:id="76"/>
      <w:bookmarkEnd w:id="77"/>
    </w:p>
    <w:p w14:paraId="115957B9" w14:textId="77777777" w:rsidR="00A1083A" w:rsidRPr="00707D60" w:rsidRDefault="00A1083A" w:rsidP="00707D60">
      <w:pPr>
        <w:pStyle w:val="2"/>
        <w:spacing w:line="240" w:lineRule="auto"/>
        <w:rPr>
          <w:color w:val="000000" w:themeColor="text1"/>
          <w:szCs w:val="24"/>
        </w:rPr>
      </w:pPr>
      <w:bookmarkStart w:id="78" w:name="_Toc415001079"/>
      <w:bookmarkStart w:id="79" w:name="_Toc115217917"/>
      <w:bookmarkStart w:id="80" w:name="_Toc118124148"/>
      <w:bookmarkStart w:id="81" w:name="_Toc119313722"/>
      <w:r w:rsidRPr="00707D60">
        <w:rPr>
          <w:color w:val="000000" w:themeColor="text1"/>
          <w:szCs w:val="24"/>
        </w:rPr>
        <w:t>2.1</w:t>
      </w:r>
      <w:r w:rsidR="00CF2256" w:rsidRPr="00707D60">
        <w:rPr>
          <w:color w:val="000000" w:themeColor="text1"/>
          <w:szCs w:val="24"/>
        </w:rPr>
        <w:t>.</w:t>
      </w:r>
      <w:r w:rsidRPr="00707D60">
        <w:rPr>
          <w:color w:val="000000" w:themeColor="text1"/>
          <w:szCs w:val="24"/>
        </w:rPr>
        <w:t xml:space="preserve"> Описание свойств исследуемого препарата</w:t>
      </w:r>
      <w:bookmarkEnd w:id="78"/>
      <w:bookmarkEnd w:id="79"/>
      <w:bookmarkEnd w:id="80"/>
      <w:bookmarkEnd w:id="81"/>
    </w:p>
    <w:p w14:paraId="2B870BA8" w14:textId="77777777" w:rsidR="00A1083A" w:rsidRPr="00707D60" w:rsidRDefault="00A1083A" w:rsidP="00707D60">
      <w:pPr>
        <w:pStyle w:val="3"/>
        <w:spacing w:after="240" w:line="240" w:lineRule="auto"/>
        <w:rPr>
          <w:rFonts w:ascii="Times New Roman" w:hAnsi="Times New Roman"/>
          <w:color w:val="000000" w:themeColor="text1"/>
          <w:szCs w:val="24"/>
        </w:rPr>
      </w:pPr>
      <w:bookmarkStart w:id="82" w:name="_Toc415001080"/>
      <w:bookmarkStart w:id="83" w:name="_Toc115217918"/>
      <w:bookmarkStart w:id="84" w:name="_Toc118124149"/>
      <w:bookmarkStart w:id="85" w:name="_Toc119313723"/>
      <w:r w:rsidRPr="00707D60">
        <w:rPr>
          <w:rFonts w:ascii="Times New Roman" w:hAnsi="Times New Roman"/>
          <w:color w:val="000000" w:themeColor="text1"/>
          <w:szCs w:val="24"/>
        </w:rPr>
        <w:t>2.1.1</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Химическая формула</w:t>
      </w:r>
      <w:bookmarkEnd w:id="82"/>
      <w:bookmarkEnd w:id="83"/>
      <w:bookmarkEnd w:id="84"/>
      <w:bookmarkEnd w:id="85"/>
    </w:p>
    <w:bookmarkStart w:id="86" w:name="_Toc415001081"/>
    <w:p w14:paraId="0DFFCB49" w14:textId="7425F173" w:rsidR="006041B4" w:rsidRPr="00707D60" w:rsidRDefault="00A30418" w:rsidP="00707D60">
      <w:pPr>
        <w:spacing w:line="240" w:lineRule="auto"/>
        <w:rPr>
          <w:color w:val="000000" w:themeColor="text1"/>
          <w:szCs w:val="28"/>
        </w:rPr>
      </w:pPr>
      <w:r w:rsidRPr="00707D60">
        <w:rPr>
          <w:color w:val="000000" w:themeColor="text1"/>
          <w:szCs w:val="28"/>
        </w:rPr>
        <w:fldChar w:fldCharType="begin"/>
      </w:r>
      <w:r w:rsidRPr="00707D60">
        <w:rPr>
          <w:color w:val="000000" w:themeColor="text1"/>
          <w:szCs w:val="28"/>
        </w:rPr>
        <w:instrText xml:space="preserve"> HYPERLINK "https://pubchem.ncbi.nlm.nih.gov/" \l "query=C53H83NO14" \o "Find all compounds that have this formula" </w:instrText>
      </w:r>
      <w:r w:rsidRPr="00707D60">
        <w:rPr>
          <w:color w:val="000000" w:themeColor="text1"/>
          <w:szCs w:val="28"/>
        </w:rPr>
        <w:fldChar w:fldCharType="separate"/>
      </w:r>
      <w:r w:rsidRPr="00707D60">
        <w:rPr>
          <w:rStyle w:val="aa"/>
          <w:color w:val="000000" w:themeColor="text1"/>
          <w:szCs w:val="28"/>
          <w:u w:val="none"/>
        </w:rPr>
        <w:t>C</w:t>
      </w:r>
      <w:r w:rsidRPr="00707D60">
        <w:rPr>
          <w:rStyle w:val="aa"/>
          <w:color w:val="000000" w:themeColor="text1"/>
          <w:szCs w:val="28"/>
          <w:u w:val="none"/>
          <w:vertAlign w:val="subscript"/>
        </w:rPr>
        <w:t>53</w:t>
      </w:r>
      <w:r w:rsidRPr="00707D60">
        <w:rPr>
          <w:rStyle w:val="aa"/>
          <w:color w:val="000000" w:themeColor="text1"/>
          <w:szCs w:val="28"/>
          <w:u w:val="none"/>
        </w:rPr>
        <w:t>H</w:t>
      </w:r>
      <w:r w:rsidRPr="00707D60">
        <w:rPr>
          <w:rStyle w:val="aa"/>
          <w:color w:val="000000" w:themeColor="text1"/>
          <w:szCs w:val="28"/>
          <w:u w:val="none"/>
          <w:vertAlign w:val="subscript"/>
        </w:rPr>
        <w:t>83</w:t>
      </w:r>
      <w:r w:rsidRPr="00707D60">
        <w:rPr>
          <w:rStyle w:val="aa"/>
          <w:color w:val="000000" w:themeColor="text1"/>
          <w:szCs w:val="28"/>
          <w:u w:val="none"/>
        </w:rPr>
        <w:t>NO</w:t>
      </w:r>
      <w:r w:rsidRPr="00707D60">
        <w:rPr>
          <w:rStyle w:val="aa"/>
          <w:color w:val="000000" w:themeColor="text1"/>
          <w:szCs w:val="28"/>
          <w:u w:val="none"/>
          <w:vertAlign w:val="subscript"/>
        </w:rPr>
        <w:t>14</w:t>
      </w:r>
      <w:r w:rsidRPr="00707D60">
        <w:rPr>
          <w:color w:val="000000" w:themeColor="text1"/>
          <w:szCs w:val="28"/>
        </w:rPr>
        <w:fldChar w:fldCharType="end"/>
      </w:r>
    </w:p>
    <w:p w14:paraId="2EAAB47C" w14:textId="346E7EB6" w:rsidR="00A1083A" w:rsidRPr="00707D60" w:rsidRDefault="00A1083A" w:rsidP="00707D60">
      <w:pPr>
        <w:pStyle w:val="3"/>
        <w:spacing w:after="240" w:line="240" w:lineRule="auto"/>
        <w:rPr>
          <w:rFonts w:ascii="Times New Roman" w:hAnsi="Times New Roman"/>
          <w:color w:val="000000" w:themeColor="text1"/>
          <w:szCs w:val="24"/>
        </w:rPr>
      </w:pPr>
      <w:bookmarkStart w:id="87" w:name="_Toc115217919"/>
      <w:bookmarkStart w:id="88" w:name="_Toc118124150"/>
      <w:bookmarkStart w:id="89" w:name="_Toc119313724"/>
      <w:r w:rsidRPr="00707D60">
        <w:rPr>
          <w:rFonts w:ascii="Times New Roman" w:hAnsi="Times New Roman"/>
          <w:color w:val="000000" w:themeColor="text1"/>
          <w:szCs w:val="24"/>
        </w:rPr>
        <w:t>2.1.2</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Структурная формула</w:t>
      </w:r>
      <w:bookmarkEnd w:id="86"/>
      <w:bookmarkEnd w:id="87"/>
      <w:bookmarkEnd w:id="88"/>
      <w:bookmarkEnd w:id="89"/>
    </w:p>
    <w:p w14:paraId="65DAB4EA" w14:textId="5D51950A" w:rsidR="00BD4C8F" w:rsidRPr="00707D60" w:rsidRDefault="00BD4C8F" w:rsidP="00707D60">
      <w:pPr>
        <w:spacing w:after="0" w:line="240" w:lineRule="auto"/>
        <w:rPr>
          <w:color w:val="000000" w:themeColor="text1"/>
        </w:rPr>
      </w:pPr>
      <w:r w:rsidRPr="00707D60">
        <w:rPr>
          <w:b/>
          <w:color w:val="000000" w:themeColor="text1"/>
        </w:rPr>
        <w:t xml:space="preserve">Рисунок </w:t>
      </w:r>
      <w:r w:rsidR="008F42EE" w:rsidRPr="00707D60">
        <w:rPr>
          <w:b/>
          <w:color w:val="000000" w:themeColor="text1"/>
        </w:rPr>
        <w:t>2</w:t>
      </w:r>
      <w:r w:rsidR="00AB01E2" w:rsidRPr="00707D60">
        <w:rPr>
          <w:b/>
          <w:color w:val="000000" w:themeColor="text1"/>
        </w:rPr>
        <w:t>-</w:t>
      </w:r>
      <w:r w:rsidR="00B042F3" w:rsidRPr="00707D60">
        <w:rPr>
          <w:b/>
          <w:color w:val="000000" w:themeColor="text1"/>
        </w:rPr>
        <w:t>1.</w:t>
      </w:r>
      <w:r w:rsidRPr="00707D60">
        <w:rPr>
          <w:color w:val="000000" w:themeColor="text1"/>
        </w:rPr>
        <w:t xml:space="preserve"> Структурная формула </w:t>
      </w:r>
      <w:r w:rsidR="006041B4" w:rsidRPr="00707D60">
        <w:rPr>
          <w:rFonts w:eastAsia="Times New Roman"/>
          <w:bCs/>
          <w:lang w:eastAsia="ru-RU"/>
        </w:rPr>
        <w:t>эверолимуса</w:t>
      </w:r>
      <w:r w:rsidRPr="00707D60">
        <w:rPr>
          <w:color w:val="000000" w:themeColor="text1"/>
        </w:rPr>
        <w:t>.</w:t>
      </w:r>
    </w:p>
    <w:p w14:paraId="125B53DF" w14:textId="266AF959" w:rsidR="009B0091" w:rsidRPr="00707D60" w:rsidRDefault="00FD0B41" w:rsidP="00707D60">
      <w:pPr>
        <w:spacing w:line="240" w:lineRule="auto"/>
        <w:rPr>
          <w:b/>
        </w:rPr>
      </w:pPr>
      <w:r w:rsidRPr="00707D60">
        <w:t xml:space="preserve"> </w:t>
      </w:r>
      <w:r w:rsidR="003C5D89">
        <w:rPr>
          <w:noProof/>
          <w:lang w:eastAsia="ru-RU"/>
        </w:rPr>
        <w:drawing>
          <wp:inline distT="0" distB="0" distL="0" distR="0" wp14:anchorId="2FC4C4A6" wp14:editId="4C0E274B">
            <wp:extent cx="3329284" cy="2603500"/>
            <wp:effectExtent l="0" t="0" r="5080" b="6350"/>
            <wp:docPr id="1" name="Рисунок 1" descr="Эверолимус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веролимус — Википед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640" cy="2606906"/>
                    </a:xfrm>
                    <a:prstGeom prst="rect">
                      <a:avLst/>
                    </a:prstGeom>
                    <a:noFill/>
                    <a:ln>
                      <a:noFill/>
                    </a:ln>
                  </pic:spPr>
                </pic:pic>
              </a:graphicData>
            </a:graphic>
          </wp:inline>
        </w:drawing>
      </w:r>
    </w:p>
    <w:p w14:paraId="161060EE" w14:textId="5BB07578" w:rsidR="003B15F3" w:rsidRPr="00707D60" w:rsidRDefault="003B15F3" w:rsidP="00707D60">
      <w:pPr>
        <w:spacing w:after="0" w:line="240" w:lineRule="auto"/>
        <w:rPr>
          <w:rFonts w:eastAsiaTheme="minorHAnsi"/>
          <w:color w:val="000000" w:themeColor="text1"/>
          <w:lang w:eastAsia="en-US"/>
        </w:rPr>
      </w:pPr>
      <w:r w:rsidRPr="00707D60">
        <w:rPr>
          <w:rStyle w:val="lrzxr"/>
          <w:b/>
        </w:rPr>
        <w:t xml:space="preserve">Молекулярная масса: </w:t>
      </w:r>
      <w:r w:rsidR="006041B4" w:rsidRPr="00707D60">
        <w:t xml:space="preserve">958,224 </w:t>
      </w:r>
      <w:r w:rsidR="00EC7281" w:rsidRPr="00707D60">
        <w:t>г/моль</w:t>
      </w:r>
    </w:p>
    <w:p w14:paraId="0D634B6D" w14:textId="77777777" w:rsidR="00E30437" w:rsidRPr="00707D60" w:rsidRDefault="00E30437" w:rsidP="00707D60">
      <w:pPr>
        <w:pStyle w:val="3"/>
        <w:spacing w:after="240" w:line="240" w:lineRule="auto"/>
        <w:rPr>
          <w:rFonts w:ascii="Times New Roman" w:hAnsi="Times New Roman"/>
          <w:color w:val="000000" w:themeColor="text1"/>
          <w:szCs w:val="24"/>
        </w:rPr>
      </w:pPr>
      <w:bookmarkStart w:id="90" w:name="_Toc323751672"/>
      <w:bookmarkStart w:id="91" w:name="_Toc115217920"/>
      <w:bookmarkStart w:id="92" w:name="_Toc118124151"/>
      <w:bookmarkStart w:id="93" w:name="_Toc119313725"/>
      <w:r w:rsidRPr="00707D60">
        <w:rPr>
          <w:rFonts w:ascii="Times New Roman" w:hAnsi="Times New Roman"/>
          <w:color w:val="000000" w:themeColor="text1"/>
          <w:szCs w:val="24"/>
        </w:rPr>
        <w:t>2.1.</w:t>
      </w:r>
      <w:r w:rsidR="00225ABA" w:rsidRPr="00707D60">
        <w:rPr>
          <w:rFonts w:ascii="Times New Roman" w:hAnsi="Times New Roman"/>
          <w:color w:val="000000" w:themeColor="text1"/>
          <w:szCs w:val="24"/>
        </w:rPr>
        <w:t xml:space="preserve">3. </w:t>
      </w:r>
      <w:r w:rsidRPr="00707D60">
        <w:rPr>
          <w:rFonts w:ascii="Times New Roman" w:hAnsi="Times New Roman"/>
          <w:color w:val="000000" w:themeColor="text1"/>
          <w:szCs w:val="24"/>
        </w:rPr>
        <w:t xml:space="preserve">Физико-химические </w:t>
      </w:r>
      <w:r w:rsidR="00425C04" w:rsidRPr="00707D60">
        <w:rPr>
          <w:rFonts w:ascii="Times New Roman" w:hAnsi="Times New Roman"/>
          <w:color w:val="000000" w:themeColor="text1"/>
          <w:szCs w:val="24"/>
        </w:rPr>
        <w:t xml:space="preserve">и фармацевтические </w:t>
      </w:r>
      <w:r w:rsidRPr="00707D60">
        <w:rPr>
          <w:rFonts w:ascii="Times New Roman" w:hAnsi="Times New Roman"/>
          <w:color w:val="000000" w:themeColor="text1"/>
          <w:szCs w:val="24"/>
        </w:rPr>
        <w:t>свойства</w:t>
      </w:r>
      <w:bookmarkEnd w:id="90"/>
      <w:bookmarkEnd w:id="91"/>
      <w:bookmarkEnd w:id="92"/>
      <w:bookmarkEnd w:id="93"/>
    </w:p>
    <w:p w14:paraId="35515A95" w14:textId="0A41D3D1" w:rsidR="00EC7281" w:rsidRPr="00707D60" w:rsidRDefault="00A30418" w:rsidP="00707D60">
      <w:pPr>
        <w:spacing w:after="0" w:line="240" w:lineRule="auto"/>
        <w:ind w:firstLine="708"/>
      </w:pPr>
      <w:r w:rsidRPr="00707D60">
        <w:t>Эверолимус представляет собой аморфный порошок от белого до бледно-желтого цвета. Он почти нерастворим в воде, нес</w:t>
      </w:r>
      <w:r w:rsidR="00360E2C">
        <w:t>табилен при температуре выше 25</w:t>
      </w:r>
      <w:r w:rsidRPr="00707D60">
        <w:t>°С и чувствителен к свету. Кроме того, была исследована возможная изомерия. Эверолимус содержит 15 асимметричных атомов углерода и 4 замещенных двойных связи. Конфигурация асимметричных атомов углерода и двойных связей гарантируется микробным происхождением рапамицина. Конфигурация не зависит от химического синтеза</w:t>
      </w:r>
      <w:r w:rsidR="00EC7281" w:rsidRPr="00707D60">
        <w:t>.</w:t>
      </w:r>
    </w:p>
    <w:p w14:paraId="0D0CD2A2" w14:textId="77777777" w:rsidR="00E30437" w:rsidRPr="00707D60" w:rsidRDefault="00E30437" w:rsidP="00707D60">
      <w:pPr>
        <w:pStyle w:val="2"/>
        <w:spacing w:line="240" w:lineRule="auto"/>
        <w:rPr>
          <w:color w:val="000000" w:themeColor="text1"/>
          <w:szCs w:val="24"/>
        </w:rPr>
      </w:pPr>
      <w:bookmarkStart w:id="94" w:name="_Toc115217921"/>
      <w:bookmarkStart w:id="95" w:name="_Toc118124152"/>
      <w:bookmarkStart w:id="96" w:name="_Toc119313726"/>
      <w:r w:rsidRPr="00707D60">
        <w:rPr>
          <w:color w:val="000000" w:themeColor="text1"/>
          <w:szCs w:val="24"/>
        </w:rPr>
        <w:t>2.2</w:t>
      </w:r>
      <w:r w:rsidR="00AA7419" w:rsidRPr="00707D60">
        <w:rPr>
          <w:color w:val="000000" w:themeColor="text1"/>
          <w:szCs w:val="24"/>
        </w:rPr>
        <w:t xml:space="preserve">. </w:t>
      </w:r>
      <w:r w:rsidRPr="00707D60">
        <w:rPr>
          <w:color w:val="000000" w:themeColor="text1"/>
          <w:szCs w:val="24"/>
        </w:rPr>
        <w:t>Лекарственная</w:t>
      </w:r>
      <w:r w:rsidR="00C0510B" w:rsidRPr="00707D60">
        <w:rPr>
          <w:color w:val="000000" w:themeColor="text1"/>
          <w:szCs w:val="24"/>
        </w:rPr>
        <w:t xml:space="preserve"> </w:t>
      </w:r>
      <w:r w:rsidRPr="00707D60">
        <w:rPr>
          <w:color w:val="000000" w:themeColor="text1"/>
          <w:szCs w:val="24"/>
        </w:rPr>
        <w:t>форма</w:t>
      </w:r>
      <w:bookmarkEnd w:id="94"/>
      <w:bookmarkEnd w:id="95"/>
      <w:bookmarkEnd w:id="96"/>
    </w:p>
    <w:p w14:paraId="3FF955C9" w14:textId="77777777" w:rsidR="00BB5104" w:rsidRPr="00707D60" w:rsidRDefault="00E30437" w:rsidP="00707D60">
      <w:pPr>
        <w:pStyle w:val="3"/>
        <w:spacing w:after="240" w:line="240" w:lineRule="auto"/>
        <w:rPr>
          <w:rFonts w:ascii="Times New Roman" w:hAnsi="Times New Roman"/>
          <w:color w:val="000000" w:themeColor="text1"/>
          <w:szCs w:val="24"/>
        </w:rPr>
      </w:pPr>
      <w:bookmarkStart w:id="97" w:name="_Toc115217922"/>
      <w:bookmarkStart w:id="98" w:name="_Toc118124153"/>
      <w:bookmarkStart w:id="99" w:name="_Toc119313727"/>
      <w:r w:rsidRPr="00707D60">
        <w:rPr>
          <w:rFonts w:ascii="Times New Roman" w:hAnsi="Times New Roman"/>
          <w:color w:val="000000" w:themeColor="text1"/>
          <w:szCs w:val="24"/>
        </w:rPr>
        <w:t>2.2.1</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Название лекарственной формы</w:t>
      </w:r>
      <w:bookmarkEnd w:id="97"/>
      <w:bookmarkEnd w:id="98"/>
      <w:bookmarkEnd w:id="99"/>
    </w:p>
    <w:p w14:paraId="5B5CDE0E" w14:textId="3D041904" w:rsidR="00E30437" w:rsidRPr="00707D60" w:rsidRDefault="00AE4621" w:rsidP="00707D60">
      <w:pPr>
        <w:spacing w:after="0" w:line="240" w:lineRule="auto"/>
        <w:ind w:firstLine="709"/>
        <w:rPr>
          <w:rFonts w:eastAsia="Calibri"/>
          <w:color w:val="000000" w:themeColor="text1"/>
          <w:lang w:eastAsia="en-US"/>
        </w:rPr>
      </w:pPr>
      <w:r w:rsidRPr="00707D60">
        <w:t>Т</w:t>
      </w:r>
      <w:r w:rsidR="002F2C48" w:rsidRPr="00707D60">
        <w:t>аблетки</w:t>
      </w:r>
      <w:r w:rsidR="00FD0B41" w:rsidRPr="00707D60">
        <w:t>.</w:t>
      </w:r>
    </w:p>
    <w:p w14:paraId="14BF975B" w14:textId="77777777" w:rsidR="00E30437" w:rsidRPr="008F5C61" w:rsidRDefault="00E30437" w:rsidP="00707D60">
      <w:pPr>
        <w:pStyle w:val="3"/>
        <w:spacing w:after="240" w:line="240" w:lineRule="auto"/>
        <w:rPr>
          <w:rFonts w:ascii="Times New Roman" w:hAnsi="Times New Roman"/>
          <w:color w:val="000000" w:themeColor="text1"/>
          <w:szCs w:val="24"/>
        </w:rPr>
      </w:pPr>
      <w:bookmarkStart w:id="100" w:name="_Toc115217923"/>
      <w:bookmarkStart w:id="101" w:name="_Toc118124154"/>
      <w:bookmarkStart w:id="102" w:name="_Toc119313728"/>
      <w:r w:rsidRPr="008F5C61">
        <w:rPr>
          <w:rFonts w:ascii="Times New Roman" w:hAnsi="Times New Roman"/>
          <w:color w:val="000000" w:themeColor="text1"/>
          <w:szCs w:val="24"/>
        </w:rPr>
        <w:lastRenderedPageBreak/>
        <w:t>2.2.2</w:t>
      </w:r>
      <w:r w:rsidR="00CF2256" w:rsidRPr="008F5C61">
        <w:rPr>
          <w:rFonts w:ascii="Times New Roman" w:hAnsi="Times New Roman"/>
          <w:color w:val="000000" w:themeColor="text1"/>
          <w:szCs w:val="24"/>
        </w:rPr>
        <w:t>.</w:t>
      </w:r>
      <w:r w:rsidRPr="008F5C61">
        <w:rPr>
          <w:rFonts w:ascii="Times New Roman" w:hAnsi="Times New Roman"/>
          <w:color w:val="000000" w:themeColor="text1"/>
          <w:szCs w:val="24"/>
        </w:rPr>
        <w:t xml:space="preserve"> Описание лекарственной формы</w:t>
      </w:r>
      <w:bookmarkEnd w:id="100"/>
      <w:bookmarkEnd w:id="101"/>
      <w:bookmarkEnd w:id="102"/>
    </w:p>
    <w:p w14:paraId="151E307D" w14:textId="65BD7510" w:rsidR="005E64A2" w:rsidRPr="008F5C61" w:rsidRDefault="008F5C61" w:rsidP="00707D60">
      <w:pPr>
        <w:spacing w:after="0" w:line="240" w:lineRule="auto"/>
        <w:ind w:firstLine="709"/>
      </w:pPr>
      <w:r w:rsidRPr="008F5C61">
        <w:t xml:space="preserve">Лекарственный препарат </w:t>
      </w:r>
      <w:r w:rsidRPr="008F5C61">
        <w:rPr>
          <w:lang w:val="en-US"/>
        </w:rPr>
        <w:t>DT</w:t>
      </w:r>
      <w:r w:rsidRPr="008F5C61">
        <w:t>-</w:t>
      </w:r>
      <w:r w:rsidRPr="008F5C61">
        <w:rPr>
          <w:lang w:val="en-US"/>
        </w:rPr>
        <w:t>EVR</w:t>
      </w:r>
      <w:r w:rsidRPr="008F5C61">
        <w:t xml:space="preserve"> </w:t>
      </w:r>
      <w:r w:rsidR="00895AFA" w:rsidRPr="008F5C61">
        <w:t xml:space="preserve">планируется выпускать в </w:t>
      </w:r>
      <w:r w:rsidR="00453F4A">
        <w:t>дозировках 0,25</w:t>
      </w:r>
      <w:r w:rsidR="00FE0099">
        <w:t xml:space="preserve"> </w:t>
      </w:r>
      <w:r w:rsidR="00453F4A">
        <w:t>мг, 0,5 мг и</w:t>
      </w:r>
      <w:r w:rsidR="00895AFA" w:rsidRPr="008F5C61">
        <w:t xml:space="preserve"> </w:t>
      </w:r>
      <w:r w:rsidR="00A650F3">
        <w:t>0,75</w:t>
      </w:r>
      <w:r w:rsidR="00895AFA" w:rsidRPr="008F5C61">
        <w:t xml:space="preserve"> мг.</w:t>
      </w:r>
    </w:p>
    <w:p w14:paraId="0A57D231" w14:textId="0AC872B5" w:rsidR="008F5C61" w:rsidRPr="00453F4A" w:rsidRDefault="008F5C61" w:rsidP="00707D60">
      <w:pPr>
        <w:spacing w:after="0" w:line="240" w:lineRule="auto"/>
        <w:ind w:firstLine="709"/>
      </w:pPr>
      <w:r w:rsidRPr="00453F4A">
        <w:rPr>
          <w:rFonts w:eastAsia="Times New Roman"/>
          <w:lang w:eastAsia="ru-RU"/>
        </w:rPr>
        <w:t>Таблетки круглые, двояковыпуклые, белого или почти белого цвета. Допускается наличие мраморности.</w:t>
      </w:r>
    </w:p>
    <w:p w14:paraId="4236E841" w14:textId="77777777" w:rsidR="00E30437" w:rsidRPr="008F5C61" w:rsidRDefault="00E30437" w:rsidP="00707D60">
      <w:pPr>
        <w:pStyle w:val="3"/>
        <w:spacing w:after="240" w:line="240" w:lineRule="auto"/>
        <w:rPr>
          <w:rFonts w:ascii="Times New Roman" w:hAnsi="Times New Roman"/>
          <w:color w:val="000000" w:themeColor="text1"/>
          <w:szCs w:val="24"/>
        </w:rPr>
      </w:pPr>
      <w:bookmarkStart w:id="103" w:name="_Toc115217924"/>
      <w:bookmarkStart w:id="104" w:name="_Toc118124155"/>
      <w:bookmarkStart w:id="105" w:name="_Toc119313729"/>
      <w:r w:rsidRPr="008F5C61">
        <w:rPr>
          <w:rFonts w:ascii="Times New Roman" w:hAnsi="Times New Roman"/>
          <w:color w:val="000000" w:themeColor="text1"/>
          <w:szCs w:val="24"/>
        </w:rPr>
        <w:t>2.2.3</w:t>
      </w:r>
      <w:r w:rsidR="00CF2256" w:rsidRPr="008F5C61">
        <w:rPr>
          <w:rFonts w:ascii="Times New Roman" w:hAnsi="Times New Roman"/>
          <w:color w:val="000000" w:themeColor="text1"/>
          <w:szCs w:val="24"/>
        </w:rPr>
        <w:t>.</w:t>
      </w:r>
      <w:r w:rsidRPr="008F5C61">
        <w:rPr>
          <w:rFonts w:ascii="Times New Roman" w:hAnsi="Times New Roman"/>
          <w:color w:val="000000" w:themeColor="text1"/>
          <w:szCs w:val="24"/>
        </w:rPr>
        <w:t xml:space="preserve"> Состав лекарственной формы</w:t>
      </w:r>
      <w:bookmarkEnd w:id="103"/>
      <w:bookmarkEnd w:id="104"/>
      <w:bookmarkEnd w:id="105"/>
    </w:p>
    <w:p w14:paraId="3E62A8DF" w14:textId="0DA9BC3B" w:rsidR="00D906B3" w:rsidRPr="00F417CF" w:rsidRDefault="000635FB" w:rsidP="00707D60">
      <w:pPr>
        <w:spacing w:after="0" w:line="240" w:lineRule="auto"/>
        <w:rPr>
          <w:shd w:val="clear" w:color="auto" w:fill="FFFFFF"/>
          <w:lang w:eastAsia="ru-RU" w:bidi="ru-RU"/>
        </w:rPr>
      </w:pPr>
      <w:r w:rsidRPr="008F5C61">
        <w:rPr>
          <w:rFonts w:eastAsia="Calibri"/>
          <w:b/>
          <w:lang w:eastAsia="en-US"/>
        </w:rPr>
        <w:t>Таблица 2</w:t>
      </w:r>
      <w:r w:rsidR="000222E6" w:rsidRPr="008F5C61">
        <w:rPr>
          <w:rFonts w:eastAsia="Calibri"/>
          <w:b/>
          <w:lang w:eastAsia="en-US"/>
        </w:rPr>
        <w:t>-</w:t>
      </w:r>
      <w:r w:rsidR="00185F94" w:rsidRPr="008F5C61">
        <w:rPr>
          <w:rFonts w:eastAsia="Calibri"/>
          <w:b/>
          <w:lang w:eastAsia="en-US"/>
        </w:rPr>
        <w:t>1</w:t>
      </w:r>
      <w:r w:rsidR="000222E6" w:rsidRPr="008F5C61">
        <w:rPr>
          <w:rFonts w:eastAsia="Calibri"/>
          <w:b/>
          <w:lang w:eastAsia="en-US"/>
        </w:rPr>
        <w:t>.</w:t>
      </w:r>
      <w:r w:rsidRPr="008F5C61">
        <w:rPr>
          <w:rFonts w:eastAsia="Calibri"/>
          <w:b/>
          <w:lang w:eastAsia="en-US"/>
        </w:rPr>
        <w:t xml:space="preserve"> </w:t>
      </w:r>
      <w:r w:rsidR="00895AFA" w:rsidRPr="008F5C61">
        <w:rPr>
          <w:rFonts w:eastAsia="Times New Roman"/>
          <w:color w:val="000000" w:themeColor="text1"/>
          <w:lang w:eastAsia="ru-RU"/>
        </w:rPr>
        <w:t xml:space="preserve">Состав </w:t>
      </w:r>
      <w:r w:rsidR="008F5C61" w:rsidRPr="00243565">
        <w:t xml:space="preserve">готовой лекарственной формы препарата </w:t>
      </w:r>
      <w:r w:rsidR="008F5C61">
        <w:rPr>
          <w:rFonts w:eastAsiaTheme="minorHAnsi"/>
          <w:color w:val="000000" w:themeColor="text1"/>
          <w:lang w:eastAsia="en-US"/>
        </w:rPr>
        <w:t>DT-</w:t>
      </w:r>
      <w:r w:rsidR="008F5C61">
        <w:rPr>
          <w:rFonts w:eastAsiaTheme="minorHAnsi"/>
          <w:color w:val="000000" w:themeColor="text1"/>
          <w:lang w:val="en-US" w:eastAsia="en-US"/>
        </w:rPr>
        <w:t>EVR</w:t>
      </w:r>
      <w:r w:rsidR="008F5C61">
        <w:rPr>
          <w:rFonts w:eastAsiaTheme="minorHAnsi"/>
          <w:color w:val="000000" w:themeColor="text1"/>
          <w:lang w:eastAsia="en-US"/>
        </w:rPr>
        <w:t xml:space="preserve"> </w:t>
      </w:r>
      <w:r w:rsidR="00A650F3">
        <w:rPr>
          <w:rFonts w:eastAsiaTheme="minorHAnsi"/>
          <w:color w:val="000000" w:themeColor="text1"/>
          <w:lang w:eastAsia="en-US"/>
        </w:rPr>
        <w:t>в</w:t>
      </w:r>
      <w:r w:rsidR="00453F4A">
        <w:rPr>
          <w:rFonts w:eastAsiaTheme="minorHAnsi"/>
          <w:color w:val="000000" w:themeColor="text1"/>
          <w:lang w:eastAsia="en-US"/>
        </w:rPr>
        <w:t>о всех дозировках.</w:t>
      </w:r>
    </w:p>
    <w:tbl>
      <w:tblPr>
        <w:tblW w:w="5000" w:type="pct"/>
        <w:tblInd w:w="-5" w:type="dxa"/>
        <w:tblLook w:val="04A0" w:firstRow="1" w:lastRow="0" w:firstColumn="1" w:lastColumn="0" w:noHBand="0" w:noVBand="1"/>
      </w:tblPr>
      <w:tblGrid>
        <w:gridCol w:w="5529"/>
        <w:gridCol w:w="1306"/>
        <w:gridCol w:w="1264"/>
        <w:gridCol w:w="1247"/>
      </w:tblGrid>
      <w:tr w:rsidR="00FE0099" w:rsidRPr="00FE0099" w14:paraId="117E0978" w14:textId="77777777" w:rsidTr="008A7500">
        <w:trPr>
          <w:trHeight w:val="20"/>
          <w:tblHeader/>
        </w:trPr>
        <w:tc>
          <w:tcPr>
            <w:tcW w:w="552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BB9272"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Компонент</w:t>
            </w:r>
          </w:p>
        </w:tc>
        <w:tc>
          <w:tcPr>
            <w:tcW w:w="3817" w:type="dxa"/>
            <w:gridSpan w:val="3"/>
            <w:tcBorders>
              <w:top w:val="single" w:sz="4" w:space="0" w:color="auto"/>
              <w:left w:val="nil"/>
              <w:bottom w:val="single" w:sz="4" w:space="0" w:color="auto"/>
              <w:right w:val="single" w:sz="4" w:space="0" w:color="000000"/>
            </w:tcBorders>
            <w:shd w:val="clear" w:color="000000" w:fill="D9D9D9"/>
            <w:noWrap/>
            <w:hideMark/>
          </w:tcPr>
          <w:p w14:paraId="7AEDD7D5"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Все дозировки</w:t>
            </w:r>
          </w:p>
        </w:tc>
      </w:tr>
      <w:tr w:rsidR="00FE0099" w:rsidRPr="00FE0099" w14:paraId="50D4F488" w14:textId="77777777" w:rsidTr="008A7500">
        <w:trPr>
          <w:trHeight w:val="20"/>
          <w:tblHeader/>
        </w:trPr>
        <w:tc>
          <w:tcPr>
            <w:tcW w:w="5529" w:type="dxa"/>
            <w:vMerge/>
            <w:tcBorders>
              <w:top w:val="single" w:sz="4" w:space="0" w:color="auto"/>
              <w:left w:val="single" w:sz="4" w:space="0" w:color="auto"/>
              <w:bottom w:val="single" w:sz="4" w:space="0" w:color="auto"/>
              <w:right w:val="single" w:sz="4" w:space="0" w:color="auto"/>
            </w:tcBorders>
            <w:vAlign w:val="center"/>
            <w:hideMark/>
          </w:tcPr>
          <w:p w14:paraId="2B3DFEDC" w14:textId="77777777" w:rsidR="00FE0099" w:rsidRPr="00FE0099" w:rsidRDefault="00FE0099" w:rsidP="00FE0099">
            <w:pPr>
              <w:spacing w:after="0" w:line="240" w:lineRule="auto"/>
              <w:jc w:val="left"/>
              <w:rPr>
                <w:rFonts w:eastAsia="Times New Roman"/>
                <w:b/>
                <w:bCs/>
                <w:color w:val="000000"/>
                <w:lang w:eastAsia="ru-RU"/>
              </w:rPr>
            </w:pPr>
          </w:p>
        </w:tc>
        <w:tc>
          <w:tcPr>
            <w:tcW w:w="1306" w:type="dxa"/>
            <w:tcBorders>
              <w:top w:val="nil"/>
              <w:left w:val="nil"/>
              <w:bottom w:val="single" w:sz="4" w:space="0" w:color="auto"/>
              <w:right w:val="single" w:sz="4" w:space="0" w:color="auto"/>
            </w:tcBorders>
            <w:shd w:val="clear" w:color="000000" w:fill="D9D9D9"/>
            <w:vAlign w:val="center"/>
            <w:hideMark/>
          </w:tcPr>
          <w:p w14:paraId="04671598"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0,25 мг</w:t>
            </w:r>
          </w:p>
        </w:tc>
        <w:tc>
          <w:tcPr>
            <w:tcW w:w="1264" w:type="dxa"/>
            <w:tcBorders>
              <w:top w:val="nil"/>
              <w:left w:val="nil"/>
              <w:bottom w:val="single" w:sz="4" w:space="0" w:color="auto"/>
              <w:right w:val="single" w:sz="4" w:space="0" w:color="auto"/>
            </w:tcBorders>
            <w:shd w:val="clear" w:color="000000" w:fill="D9D9D9"/>
            <w:vAlign w:val="center"/>
            <w:hideMark/>
          </w:tcPr>
          <w:p w14:paraId="01B40944"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0,5 мг</w:t>
            </w:r>
          </w:p>
        </w:tc>
        <w:tc>
          <w:tcPr>
            <w:tcW w:w="1247" w:type="dxa"/>
            <w:tcBorders>
              <w:top w:val="nil"/>
              <w:left w:val="nil"/>
              <w:bottom w:val="single" w:sz="4" w:space="0" w:color="auto"/>
              <w:right w:val="single" w:sz="4" w:space="0" w:color="auto"/>
            </w:tcBorders>
            <w:shd w:val="clear" w:color="000000" w:fill="D9D9D9"/>
            <w:noWrap/>
            <w:vAlign w:val="bottom"/>
            <w:hideMark/>
          </w:tcPr>
          <w:p w14:paraId="72D42D26"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0,75 мг</w:t>
            </w:r>
          </w:p>
        </w:tc>
      </w:tr>
      <w:tr w:rsidR="00FE0099" w:rsidRPr="00FE0099" w14:paraId="1FA70C8B" w14:textId="77777777" w:rsidTr="008A7500">
        <w:trPr>
          <w:trHeight w:val="20"/>
        </w:trPr>
        <w:tc>
          <w:tcPr>
            <w:tcW w:w="934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4B5DB34" w14:textId="77777777" w:rsidR="00FE0099" w:rsidRPr="00FE0099" w:rsidRDefault="00FE0099" w:rsidP="00FE0099">
            <w:pPr>
              <w:spacing w:after="0" w:line="240" w:lineRule="auto"/>
              <w:jc w:val="left"/>
              <w:rPr>
                <w:rFonts w:eastAsia="Times New Roman"/>
                <w:i/>
                <w:iCs/>
                <w:color w:val="000000"/>
                <w:lang w:eastAsia="ru-RU"/>
              </w:rPr>
            </w:pPr>
            <w:r w:rsidRPr="00FE0099">
              <w:rPr>
                <w:rFonts w:eastAsia="Times New Roman"/>
                <w:i/>
                <w:iCs/>
                <w:color w:val="000000"/>
                <w:lang w:eastAsia="ru-RU"/>
              </w:rPr>
              <w:t>Действующее вещество:</w:t>
            </w:r>
          </w:p>
        </w:tc>
      </w:tr>
      <w:tr w:rsidR="00FE0099" w:rsidRPr="00FE0099" w14:paraId="30537D0F"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6699023E" w14:textId="09FC042B" w:rsidR="00FE0099" w:rsidRPr="00FE0099" w:rsidRDefault="00FE0099" w:rsidP="0032006A">
            <w:pPr>
              <w:spacing w:after="0" w:line="240" w:lineRule="auto"/>
              <w:ind w:left="619"/>
              <w:rPr>
                <w:rFonts w:eastAsia="Times New Roman"/>
                <w:color w:val="000000"/>
                <w:lang w:eastAsia="ru-RU"/>
              </w:rPr>
            </w:pPr>
            <w:r w:rsidRPr="00FE0099">
              <w:rPr>
                <w:rFonts w:eastAsia="Times New Roman"/>
                <w:color w:val="000000"/>
                <w:lang w:eastAsia="ru-RU"/>
              </w:rPr>
              <w:t>Эверолимус</w:t>
            </w:r>
            <w:r w:rsidR="008A7500">
              <w:rPr>
                <w:rFonts w:eastAsia="Times New Roman"/>
                <w:color w:val="000000"/>
                <w:lang w:eastAsia="ru-RU"/>
              </w:rPr>
              <w:t>, в виде субстанции-смеси (2 %)</w:t>
            </w:r>
          </w:p>
        </w:tc>
        <w:tc>
          <w:tcPr>
            <w:tcW w:w="1306" w:type="dxa"/>
            <w:tcBorders>
              <w:top w:val="nil"/>
              <w:left w:val="nil"/>
              <w:bottom w:val="single" w:sz="4" w:space="0" w:color="auto"/>
              <w:right w:val="single" w:sz="4" w:space="0" w:color="auto"/>
            </w:tcBorders>
            <w:shd w:val="clear" w:color="auto" w:fill="auto"/>
            <w:vAlign w:val="center"/>
            <w:hideMark/>
          </w:tcPr>
          <w:p w14:paraId="16F7E4E2"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0,25 мг</w:t>
            </w:r>
          </w:p>
        </w:tc>
        <w:tc>
          <w:tcPr>
            <w:tcW w:w="1264" w:type="dxa"/>
            <w:tcBorders>
              <w:top w:val="nil"/>
              <w:left w:val="nil"/>
              <w:bottom w:val="single" w:sz="4" w:space="0" w:color="auto"/>
              <w:right w:val="single" w:sz="4" w:space="0" w:color="auto"/>
            </w:tcBorders>
            <w:shd w:val="clear" w:color="auto" w:fill="auto"/>
            <w:vAlign w:val="center"/>
            <w:hideMark/>
          </w:tcPr>
          <w:p w14:paraId="3F147C35"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0,50 мг</w:t>
            </w:r>
          </w:p>
        </w:tc>
        <w:tc>
          <w:tcPr>
            <w:tcW w:w="1247" w:type="dxa"/>
            <w:tcBorders>
              <w:top w:val="nil"/>
              <w:left w:val="nil"/>
              <w:bottom w:val="single" w:sz="4" w:space="0" w:color="auto"/>
              <w:right w:val="single" w:sz="4" w:space="0" w:color="auto"/>
            </w:tcBorders>
            <w:shd w:val="clear" w:color="auto" w:fill="auto"/>
            <w:vAlign w:val="center"/>
            <w:hideMark/>
          </w:tcPr>
          <w:p w14:paraId="0FEDC962"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0,75 мг</w:t>
            </w:r>
          </w:p>
        </w:tc>
      </w:tr>
      <w:tr w:rsidR="00FE0099" w:rsidRPr="00FE0099" w14:paraId="0317D9F7" w14:textId="77777777" w:rsidTr="008A7500">
        <w:trPr>
          <w:trHeight w:val="20"/>
        </w:trPr>
        <w:tc>
          <w:tcPr>
            <w:tcW w:w="934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DF174BB" w14:textId="77777777" w:rsidR="00FE0099" w:rsidRPr="00FE0099" w:rsidRDefault="00FE0099" w:rsidP="0071249E">
            <w:pPr>
              <w:spacing w:after="0" w:line="240" w:lineRule="auto"/>
              <w:rPr>
                <w:rFonts w:eastAsia="Times New Roman"/>
                <w:i/>
                <w:iCs/>
                <w:color w:val="000000"/>
                <w:lang w:eastAsia="ru-RU"/>
              </w:rPr>
            </w:pPr>
            <w:r w:rsidRPr="00FE0099">
              <w:rPr>
                <w:rFonts w:eastAsia="Times New Roman"/>
                <w:i/>
                <w:iCs/>
                <w:color w:val="000000"/>
                <w:lang w:eastAsia="ru-RU"/>
              </w:rPr>
              <w:t>Вспомогательные вещества, входящие в состав субстанции - смеси (2 %):</w:t>
            </w:r>
          </w:p>
        </w:tc>
      </w:tr>
      <w:tr w:rsidR="00FE0099" w:rsidRPr="00FE0099" w14:paraId="237C01F3"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45119CC4" w14:textId="44D30E47"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Гипромеллоза </w:t>
            </w:r>
          </w:p>
        </w:tc>
        <w:tc>
          <w:tcPr>
            <w:tcW w:w="1306" w:type="dxa"/>
            <w:tcBorders>
              <w:top w:val="nil"/>
              <w:left w:val="nil"/>
              <w:bottom w:val="single" w:sz="4" w:space="0" w:color="auto"/>
              <w:right w:val="single" w:sz="4" w:space="0" w:color="auto"/>
            </w:tcBorders>
            <w:shd w:val="clear" w:color="auto" w:fill="auto"/>
            <w:vAlign w:val="center"/>
            <w:hideMark/>
          </w:tcPr>
          <w:p w14:paraId="4FB7E259"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10,00 мг</w:t>
            </w:r>
          </w:p>
        </w:tc>
        <w:tc>
          <w:tcPr>
            <w:tcW w:w="1264" w:type="dxa"/>
            <w:tcBorders>
              <w:top w:val="nil"/>
              <w:left w:val="nil"/>
              <w:bottom w:val="single" w:sz="4" w:space="0" w:color="auto"/>
              <w:right w:val="single" w:sz="4" w:space="0" w:color="auto"/>
            </w:tcBorders>
            <w:shd w:val="clear" w:color="auto" w:fill="auto"/>
            <w:vAlign w:val="center"/>
            <w:hideMark/>
          </w:tcPr>
          <w:p w14:paraId="5C734453"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20,00 мг</w:t>
            </w:r>
          </w:p>
        </w:tc>
        <w:tc>
          <w:tcPr>
            <w:tcW w:w="1247" w:type="dxa"/>
            <w:tcBorders>
              <w:top w:val="nil"/>
              <w:left w:val="nil"/>
              <w:bottom w:val="single" w:sz="4" w:space="0" w:color="auto"/>
              <w:right w:val="single" w:sz="4" w:space="0" w:color="auto"/>
            </w:tcBorders>
            <w:shd w:val="clear" w:color="auto" w:fill="auto"/>
            <w:vAlign w:val="center"/>
            <w:hideMark/>
          </w:tcPr>
          <w:p w14:paraId="4D1115BE"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30,00 мг</w:t>
            </w:r>
          </w:p>
        </w:tc>
      </w:tr>
      <w:tr w:rsidR="00FE0099" w:rsidRPr="00FE0099" w14:paraId="46822703"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67639EA4" w14:textId="6FD797C1"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Лактоза безводная </w:t>
            </w:r>
          </w:p>
        </w:tc>
        <w:tc>
          <w:tcPr>
            <w:tcW w:w="1306" w:type="dxa"/>
            <w:tcBorders>
              <w:top w:val="nil"/>
              <w:left w:val="nil"/>
              <w:bottom w:val="single" w:sz="4" w:space="0" w:color="auto"/>
              <w:right w:val="single" w:sz="4" w:space="0" w:color="auto"/>
            </w:tcBorders>
            <w:shd w:val="clear" w:color="auto" w:fill="auto"/>
            <w:vAlign w:val="center"/>
            <w:hideMark/>
          </w:tcPr>
          <w:p w14:paraId="73C9F1D6"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2,16 мг</w:t>
            </w:r>
          </w:p>
        </w:tc>
        <w:tc>
          <w:tcPr>
            <w:tcW w:w="1264" w:type="dxa"/>
            <w:tcBorders>
              <w:top w:val="nil"/>
              <w:left w:val="nil"/>
              <w:bottom w:val="single" w:sz="4" w:space="0" w:color="auto"/>
              <w:right w:val="single" w:sz="4" w:space="0" w:color="auto"/>
            </w:tcBorders>
            <w:shd w:val="clear" w:color="auto" w:fill="auto"/>
            <w:vAlign w:val="center"/>
            <w:hideMark/>
          </w:tcPr>
          <w:p w14:paraId="254F8D0A"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4,32 мг</w:t>
            </w:r>
          </w:p>
        </w:tc>
        <w:tc>
          <w:tcPr>
            <w:tcW w:w="1247" w:type="dxa"/>
            <w:tcBorders>
              <w:top w:val="nil"/>
              <w:left w:val="nil"/>
              <w:bottom w:val="single" w:sz="4" w:space="0" w:color="auto"/>
              <w:right w:val="single" w:sz="4" w:space="0" w:color="auto"/>
            </w:tcBorders>
            <w:shd w:val="clear" w:color="auto" w:fill="auto"/>
            <w:vAlign w:val="center"/>
            <w:hideMark/>
          </w:tcPr>
          <w:p w14:paraId="77E27A7E"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6,48 мг</w:t>
            </w:r>
          </w:p>
        </w:tc>
      </w:tr>
      <w:tr w:rsidR="00FE0099" w:rsidRPr="00FE0099" w14:paraId="22E55482"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0A1F85DF" w14:textId="3CE5AF6A"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Бутилгидрокситолуол </w:t>
            </w:r>
          </w:p>
        </w:tc>
        <w:tc>
          <w:tcPr>
            <w:tcW w:w="1306" w:type="dxa"/>
            <w:tcBorders>
              <w:top w:val="nil"/>
              <w:left w:val="nil"/>
              <w:bottom w:val="single" w:sz="4" w:space="0" w:color="auto"/>
              <w:right w:val="single" w:sz="4" w:space="0" w:color="auto"/>
            </w:tcBorders>
            <w:shd w:val="clear" w:color="auto" w:fill="auto"/>
            <w:vAlign w:val="center"/>
            <w:hideMark/>
          </w:tcPr>
          <w:p w14:paraId="765F5F13"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0,09 мг</w:t>
            </w:r>
          </w:p>
        </w:tc>
        <w:tc>
          <w:tcPr>
            <w:tcW w:w="1264" w:type="dxa"/>
            <w:tcBorders>
              <w:top w:val="nil"/>
              <w:left w:val="nil"/>
              <w:bottom w:val="single" w:sz="4" w:space="0" w:color="auto"/>
              <w:right w:val="single" w:sz="4" w:space="0" w:color="auto"/>
            </w:tcBorders>
            <w:shd w:val="clear" w:color="auto" w:fill="auto"/>
            <w:vAlign w:val="center"/>
            <w:hideMark/>
          </w:tcPr>
          <w:p w14:paraId="43CF5C68"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0,18 мг</w:t>
            </w:r>
          </w:p>
        </w:tc>
        <w:tc>
          <w:tcPr>
            <w:tcW w:w="1247" w:type="dxa"/>
            <w:tcBorders>
              <w:top w:val="nil"/>
              <w:left w:val="nil"/>
              <w:bottom w:val="single" w:sz="4" w:space="0" w:color="auto"/>
              <w:right w:val="single" w:sz="4" w:space="0" w:color="auto"/>
            </w:tcBorders>
            <w:shd w:val="clear" w:color="auto" w:fill="auto"/>
            <w:vAlign w:val="center"/>
            <w:hideMark/>
          </w:tcPr>
          <w:p w14:paraId="0518C90B"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0,27 мг</w:t>
            </w:r>
          </w:p>
        </w:tc>
      </w:tr>
      <w:tr w:rsidR="00FE0099" w:rsidRPr="00FE0099" w14:paraId="215D0B6C" w14:textId="77777777" w:rsidTr="008A7500">
        <w:trPr>
          <w:trHeight w:val="20"/>
        </w:trPr>
        <w:tc>
          <w:tcPr>
            <w:tcW w:w="934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2E7CAD4" w14:textId="77777777" w:rsidR="00FE0099" w:rsidRPr="00FE0099" w:rsidRDefault="00FE0099" w:rsidP="00FE0099">
            <w:pPr>
              <w:spacing w:after="0" w:line="240" w:lineRule="auto"/>
              <w:jc w:val="left"/>
              <w:rPr>
                <w:rFonts w:eastAsia="Times New Roman"/>
                <w:i/>
                <w:iCs/>
                <w:color w:val="000000"/>
                <w:lang w:eastAsia="ru-RU"/>
              </w:rPr>
            </w:pPr>
            <w:r w:rsidRPr="00FE0099">
              <w:rPr>
                <w:rFonts w:eastAsia="Times New Roman"/>
                <w:i/>
                <w:iCs/>
                <w:color w:val="000000"/>
                <w:lang w:eastAsia="ru-RU"/>
              </w:rPr>
              <w:t>Вспомогательные вещества, входящие в состав таблетки:</w:t>
            </w:r>
          </w:p>
        </w:tc>
      </w:tr>
      <w:tr w:rsidR="00FE0099" w:rsidRPr="00FE0099" w14:paraId="1D436D90"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098BF100" w14:textId="5287495A"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Лактоза безводная </w:t>
            </w:r>
          </w:p>
        </w:tc>
        <w:tc>
          <w:tcPr>
            <w:tcW w:w="1306" w:type="dxa"/>
            <w:tcBorders>
              <w:top w:val="nil"/>
              <w:left w:val="nil"/>
              <w:bottom w:val="single" w:sz="4" w:space="0" w:color="auto"/>
              <w:right w:val="single" w:sz="4" w:space="0" w:color="auto"/>
            </w:tcBorders>
            <w:shd w:val="clear" w:color="auto" w:fill="auto"/>
            <w:vAlign w:val="center"/>
            <w:hideMark/>
          </w:tcPr>
          <w:p w14:paraId="58A93A68"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67,00 мг</w:t>
            </w:r>
          </w:p>
        </w:tc>
        <w:tc>
          <w:tcPr>
            <w:tcW w:w="1264" w:type="dxa"/>
            <w:tcBorders>
              <w:top w:val="nil"/>
              <w:left w:val="nil"/>
              <w:bottom w:val="single" w:sz="4" w:space="0" w:color="auto"/>
              <w:right w:val="single" w:sz="4" w:space="0" w:color="auto"/>
            </w:tcBorders>
            <w:shd w:val="clear" w:color="auto" w:fill="auto"/>
            <w:vAlign w:val="center"/>
            <w:hideMark/>
          </w:tcPr>
          <w:p w14:paraId="6F328477"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134,00 мг</w:t>
            </w:r>
          </w:p>
        </w:tc>
        <w:tc>
          <w:tcPr>
            <w:tcW w:w="1247" w:type="dxa"/>
            <w:tcBorders>
              <w:top w:val="nil"/>
              <w:left w:val="nil"/>
              <w:bottom w:val="single" w:sz="4" w:space="0" w:color="auto"/>
              <w:right w:val="single" w:sz="4" w:space="0" w:color="auto"/>
            </w:tcBorders>
            <w:shd w:val="clear" w:color="auto" w:fill="auto"/>
            <w:vAlign w:val="center"/>
            <w:hideMark/>
          </w:tcPr>
          <w:p w14:paraId="0010BD86"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201,0 мг</w:t>
            </w:r>
          </w:p>
        </w:tc>
      </w:tr>
      <w:tr w:rsidR="00FE0099" w:rsidRPr="00FE0099" w14:paraId="5229906E"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3ECEE36A" w14:textId="2B15E55A"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Кросповидон </w:t>
            </w:r>
          </w:p>
        </w:tc>
        <w:tc>
          <w:tcPr>
            <w:tcW w:w="1306" w:type="dxa"/>
            <w:tcBorders>
              <w:top w:val="nil"/>
              <w:left w:val="nil"/>
              <w:bottom w:val="single" w:sz="4" w:space="0" w:color="auto"/>
              <w:right w:val="single" w:sz="4" w:space="0" w:color="auto"/>
            </w:tcBorders>
            <w:shd w:val="clear" w:color="auto" w:fill="auto"/>
            <w:vAlign w:val="center"/>
            <w:hideMark/>
          </w:tcPr>
          <w:p w14:paraId="21F7202B"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20,0 мг</w:t>
            </w:r>
          </w:p>
        </w:tc>
        <w:tc>
          <w:tcPr>
            <w:tcW w:w="1264" w:type="dxa"/>
            <w:tcBorders>
              <w:top w:val="nil"/>
              <w:left w:val="nil"/>
              <w:bottom w:val="single" w:sz="4" w:space="0" w:color="auto"/>
              <w:right w:val="single" w:sz="4" w:space="0" w:color="auto"/>
            </w:tcBorders>
            <w:shd w:val="clear" w:color="auto" w:fill="auto"/>
            <w:vAlign w:val="center"/>
            <w:hideMark/>
          </w:tcPr>
          <w:p w14:paraId="2099D01D"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40,00 мг</w:t>
            </w:r>
          </w:p>
        </w:tc>
        <w:tc>
          <w:tcPr>
            <w:tcW w:w="1247" w:type="dxa"/>
            <w:tcBorders>
              <w:top w:val="nil"/>
              <w:left w:val="nil"/>
              <w:bottom w:val="single" w:sz="4" w:space="0" w:color="auto"/>
              <w:right w:val="single" w:sz="4" w:space="0" w:color="auto"/>
            </w:tcBorders>
            <w:shd w:val="clear" w:color="auto" w:fill="auto"/>
            <w:vAlign w:val="center"/>
            <w:hideMark/>
          </w:tcPr>
          <w:p w14:paraId="47D1AEBE"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60,0 мг</w:t>
            </w:r>
          </w:p>
        </w:tc>
      </w:tr>
      <w:tr w:rsidR="00FE0099" w:rsidRPr="00FE0099" w14:paraId="21E33B07"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1F96AAE6" w14:textId="020C7781" w:rsidR="00FE0099" w:rsidRPr="00FE0099" w:rsidRDefault="00FE0099" w:rsidP="0071249E">
            <w:pPr>
              <w:spacing w:after="0" w:line="240" w:lineRule="auto"/>
              <w:ind w:left="619"/>
              <w:rPr>
                <w:rFonts w:eastAsia="Times New Roman"/>
                <w:color w:val="000000"/>
                <w:lang w:eastAsia="ru-RU"/>
              </w:rPr>
            </w:pPr>
            <w:r w:rsidRPr="00FE0099">
              <w:rPr>
                <w:rFonts w:eastAsia="Times New Roman"/>
                <w:color w:val="000000"/>
                <w:lang w:eastAsia="ru-RU"/>
              </w:rPr>
              <w:t xml:space="preserve">Магния стеарат </w:t>
            </w:r>
          </w:p>
        </w:tc>
        <w:tc>
          <w:tcPr>
            <w:tcW w:w="1306" w:type="dxa"/>
            <w:tcBorders>
              <w:top w:val="nil"/>
              <w:left w:val="nil"/>
              <w:bottom w:val="single" w:sz="4" w:space="0" w:color="auto"/>
              <w:right w:val="single" w:sz="4" w:space="0" w:color="auto"/>
            </w:tcBorders>
            <w:shd w:val="clear" w:color="auto" w:fill="auto"/>
            <w:vAlign w:val="center"/>
            <w:hideMark/>
          </w:tcPr>
          <w:p w14:paraId="7226F259"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0,5 мг</w:t>
            </w:r>
          </w:p>
        </w:tc>
        <w:tc>
          <w:tcPr>
            <w:tcW w:w="1264" w:type="dxa"/>
            <w:tcBorders>
              <w:top w:val="nil"/>
              <w:left w:val="nil"/>
              <w:bottom w:val="single" w:sz="4" w:space="0" w:color="auto"/>
              <w:right w:val="single" w:sz="4" w:space="0" w:color="auto"/>
            </w:tcBorders>
            <w:shd w:val="clear" w:color="auto" w:fill="auto"/>
            <w:vAlign w:val="center"/>
            <w:hideMark/>
          </w:tcPr>
          <w:p w14:paraId="5B2C3465"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1,00 мг</w:t>
            </w:r>
          </w:p>
        </w:tc>
        <w:tc>
          <w:tcPr>
            <w:tcW w:w="1247" w:type="dxa"/>
            <w:tcBorders>
              <w:top w:val="nil"/>
              <w:left w:val="nil"/>
              <w:bottom w:val="single" w:sz="4" w:space="0" w:color="auto"/>
              <w:right w:val="single" w:sz="4" w:space="0" w:color="auto"/>
            </w:tcBorders>
            <w:shd w:val="clear" w:color="auto" w:fill="auto"/>
            <w:vAlign w:val="center"/>
            <w:hideMark/>
          </w:tcPr>
          <w:p w14:paraId="49E2EE78" w14:textId="77777777" w:rsidR="00FE0099" w:rsidRPr="00FE0099" w:rsidRDefault="00FE0099" w:rsidP="00FE0099">
            <w:pPr>
              <w:spacing w:after="0" w:line="240" w:lineRule="auto"/>
              <w:jc w:val="center"/>
              <w:rPr>
                <w:rFonts w:eastAsia="Times New Roman"/>
                <w:color w:val="000000"/>
                <w:lang w:eastAsia="ru-RU"/>
              </w:rPr>
            </w:pPr>
            <w:r w:rsidRPr="00FE0099">
              <w:rPr>
                <w:rFonts w:eastAsia="Times New Roman"/>
                <w:color w:val="000000"/>
                <w:lang w:eastAsia="ru-RU"/>
              </w:rPr>
              <w:t>1,5 мг</w:t>
            </w:r>
          </w:p>
        </w:tc>
      </w:tr>
      <w:tr w:rsidR="00FE0099" w:rsidRPr="00FE0099" w14:paraId="2D251242" w14:textId="77777777" w:rsidTr="008A7500">
        <w:trPr>
          <w:trHeight w:val="20"/>
        </w:trPr>
        <w:tc>
          <w:tcPr>
            <w:tcW w:w="5529" w:type="dxa"/>
            <w:tcBorders>
              <w:top w:val="nil"/>
              <w:left w:val="single" w:sz="4" w:space="0" w:color="auto"/>
              <w:bottom w:val="single" w:sz="4" w:space="0" w:color="auto"/>
              <w:right w:val="single" w:sz="4" w:space="0" w:color="auto"/>
            </w:tcBorders>
            <w:shd w:val="clear" w:color="auto" w:fill="auto"/>
            <w:vAlign w:val="center"/>
            <w:hideMark/>
          </w:tcPr>
          <w:p w14:paraId="255C2F52" w14:textId="77777777" w:rsidR="00FE0099" w:rsidRPr="00FE0099" w:rsidRDefault="00FE0099" w:rsidP="00FE0099">
            <w:pPr>
              <w:spacing w:after="0" w:line="240" w:lineRule="auto"/>
              <w:jc w:val="left"/>
              <w:rPr>
                <w:rFonts w:eastAsia="Times New Roman"/>
                <w:b/>
                <w:bCs/>
                <w:color w:val="000000"/>
                <w:lang w:eastAsia="ru-RU"/>
              </w:rPr>
            </w:pPr>
            <w:r w:rsidRPr="00FE0099">
              <w:rPr>
                <w:rFonts w:eastAsia="Times New Roman"/>
                <w:b/>
                <w:bCs/>
                <w:color w:val="000000"/>
                <w:lang w:eastAsia="ru-RU"/>
              </w:rPr>
              <w:t>Масса таблетки:</w:t>
            </w:r>
          </w:p>
        </w:tc>
        <w:tc>
          <w:tcPr>
            <w:tcW w:w="1306" w:type="dxa"/>
            <w:tcBorders>
              <w:top w:val="nil"/>
              <w:left w:val="nil"/>
              <w:bottom w:val="single" w:sz="4" w:space="0" w:color="auto"/>
              <w:right w:val="single" w:sz="4" w:space="0" w:color="auto"/>
            </w:tcBorders>
            <w:shd w:val="clear" w:color="auto" w:fill="auto"/>
            <w:vAlign w:val="center"/>
            <w:hideMark/>
          </w:tcPr>
          <w:p w14:paraId="5C9023F8"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100,00 мг</w:t>
            </w:r>
          </w:p>
        </w:tc>
        <w:tc>
          <w:tcPr>
            <w:tcW w:w="1264" w:type="dxa"/>
            <w:tcBorders>
              <w:top w:val="nil"/>
              <w:left w:val="nil"/>
              <w:bottom w:val="single" w:sz="4" w:space="0" w:color="auto"/>
              <w:right w:val="single" w:sz="4" w:space="0" w:color="auto"/>
            </w:tcBorders>
            <w:shd w:val="clear" w:color="auto" w:fill="auto"/>
            <w:vAlign w:val="center"/>
            <w:hideMark/>
          </w:tcPr>
          <w:p w14:paraId="20C0D05D"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200,00 мг</w:t>
            </w:r>
          </w:p>
        </w:tc>
        <w:tc>
          <w:tcPr>
            <w:tcW w:w="1247" w:type="dxa"/>
            <w:tcBorders>
              <w:top w:val="nil"/>
              <w:left w:val="nil"/>
              <w:bottom w:val="single" w:sz="4" w:space="0" w:color="auto"/>
              <w:right w:val="single" w:sz="4" w:space="0" w:color="auto"/>
            </w:tcBorders>
            <w:shd w:val="clear" w:color="auto" w:fill="auto"/>
            <w:vAlign w:val="center"/>
            <w:hideMark/>
          </w:tcPr>
          <w:p w14:paraId="20064F83" w14:textId="77777777" w:rsidR="00FE0099" w:rsidRPr="00FE0099" w:rsidRDefault="00FE0099" w:rsidP="00FE0099">
            <w:pPr>
              <w:spacing w:after="0" w:line="240" w:lineRule="auto"/>
              <w:jc w:val="center"/>
              <w:rPr>
                <w:rFonts w:eastAsia="Times New Roman"/>
                <w:b/>
                <w:bCs/>
                <w:color w:val="000000"/>
                <w:lang w:eastAsia="ru-RU"/>
              </w:rPr>
            </w:pPr>
            <w:r w:rsidRPr="00FE0099">
              <w:rPr>
                <w:rFonts w:eastAsia="Times New Roman"/>
                <w:b/>
                <w:bCs/>
                <w:color w:val="000000"/>
                <w:lang w:eastAsia="ru-RU"/>
              </w:rPr>
              <w:t>300,00 мг</w:t>
            </w:r>
          </w:p>
        </w:tc>
      </w:tr>
    </w:tbl>
    <w:p w14:paraId="71CEFD08" w14:textId="7B491975" w:rsidR="00195552" w:rsidRPr="00F417CF" w:rsidRDefault="00195552" w:rsidP="00FE0099">
      <w:pPr>
        <w:spacing w:after="0" w:line="240" w:lineRule="auto"/>
        <w:contextualSpacing/>
        <w:rPr>
          <w:shd w:val="clear" w:color="auto" w:fill="FFFFFF"/>
          <w:lang w:eastAsia="ru-RU" w:bidi="ru-RU"/>
        </w:rPr>
      </w:pPr>
    </w:p>
    <w:p w14:paraId="664248CB" w14:textId="445FE0B0" w:rsidR="006D718A" w:rsidRDefault="008F5C61" w:rsidP="00FE0099">
      <w:pPr>
        <w:spacing w:after="0" w:line="240" w:lineRule="auto"/>
        <w:ind w:firstLine="709"/>
        <w:contextualSpacing/>
        <w:rPr>
          <w:lang w:eastAsia="ru-RU"/>
        </w:rPr>
      </w:pPr>
      <w:r w:rsidRPr="00BB6CED">
        <w:rPr>
          <w:rFonts w:eastAsia="Calibri"/>
          <w:color w:val="000000" w:themeColor="text1"/>
          <w:lang w:eastAsia="ru-RU"/>
        </w:rPr>
        <w:t>Препарат</w:t>
      </w:r>
      <w:r w:rsidR="006D718A">
        <w:rPr>
          <w:rFonts w:eastAsia="Calibri"/>
          <w:color w:val="000000" w:themeColor="text1"/>
          <w:lang w:eastAsia="ru-RU"/>
        </w:rPr>
        <w:t xml:space="preserve"> </w:t>
      </w:r>
      <w:r w:rsidRPr="00BB6CED">
        <w:rPr>
          <w:color w:val="000000" w:themeColor="text1"/>
          <w:lang w:val="en-US"/>
        </w:rPr>
        <w:t>DT</w:t>
      </w:r>
      <w:r w:rsidRPr="00BB6CED">
        <w:rPr>
          <w:color w:val="000000" w:themeColor="text1"/>
        </w:rPr>
        <w:t>-</w:t>
      </w:r>
      <w:r w:rsidR="006D718A">
        <w:rPr>
          <w:color w:val="000000" w:themeColor="text1"/>
          <w:lang w:val="en-US"/>
        </w:rPr>
        <w:t>EVR</w:t>
      </w:r>
      <w:r w:rsidRPr="00BB6CED">
        <w:rPr>
          <w:color w:val="000000" w:themeColor="text1"/>
        </w:rPr>
        <w:t>,</w:t>
      </w:r>
      <w:r w:rsidR="006443FB">
        <w:rPr>
          <w:color w:val="000000" w:themeColor="text1"/>
        </w:rPr>
        <w:t xml:space="preserve"> </w:t>
      </w:r>
      <w:r w:rsidR="006443FB">
        <w:rPr>
          <w:bCs/>
          <w:lang w:eastAsia="ru-RU"/>
        </w:rPr>
        <w:t xml:space="preserve">таблетки, </w:t>
      </w:r>
      <w:r w:rsidR="00FE0099">
        <w:rPr>
          <w:bCs/>
          <w:lang w:eastAsia="ru-RU"/>
        </w:rPr>
        <w:t xml:space="preserve">0,25 мг, 0,5 мг и </w:t>
      </w:r>
      <w:r w:rsidR="00D906B3">
        <w:rPr>
          <w:bCs/>
          <w:lang w:eastAsia="ru-RU"/>
        </w:rPr>
        <w:t>0,75</w:t>
      </w:r>
      <w:r w:rsidR="006443FB">
        <w:rPr>
          <w:bCs/>
          <w:lang w:eastAsia="ru-RU"/>
        </w:rPr>
        <w:t xml:space="preserve"> мг,</w:t>
      </w:r>
      <w:r w:rsidRPr="00BB6CED">
        <w:rPr>
          <w:color w:val="000000" w:themeColor="text1"/>
        </w:rPr>
        <w:t xml:space="preserve"> разработанный </w:t>
      </w:r>
      <w:r>
        <w:rPr>
          <w:bCs/>
          <w:lang w:eastAsia="ru-RU"/>
        </w:rPr>
        <w:t xml:space="preserve">дочерним подразделением ГК «Р-Фарм», Россия – </w:t>
      </w:r>
      <w:r w:rsidR="00086396">
        <w:rPr>
          <w:bCs/>
          <w:lang w:eastAsia="ru-RU"/>
        </w:rPr>
        <w:t>ООО</w:t>
      </w:r>
      <w:r>
        <w:rPr>
          <w:bCs/>
          <w:lang w:eastAsia="ru-RU"/>
        </w:rPr>
        <w:t xml:space="preserve"> «</w:t>
      </w:r>
      <w:r w:rsidR="00086396">
        <w:rPr>
          <w:bCs/>
          <w:lang w:eastAsia="ru-RU"/>
        </w:rPr>
        <w:t>Технология Лекарств</w:t>
      </w:r>
      <w:r>
        <w:rPr>
          <w:bCs/>
          <w:lang w:eastAsia="ru-RU"/>
        </w:rPr>
        <w:t>»</w:t>
      </w:r>
      <w:r w:rsidRPr="00BB6CED">
        <w:rPr>
          <w:color w:val="000000" w:themeColor="text1"/>
        </w:rPr>
        <w:t xml:space="preserve">, </w:t>
      </w:r>
      <w:r w:rsidR="0032006A">
        <w:rPr>
          <w:color w:val="000000"/>
        </w:rPr>
        <w:t>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препарату эверолимуса Сертикан</w:t>
      </w:r>
      <w:r w:rsidR="0032006A">
        <w:rPr>
          <w:color w:val="000000"/>
          <w:vertAlign w:val="superscript"/>
        </w:rPr>
        <w:t>®</w:t>
      </w:r>
      <w:r w:rsidR="0032006A">
        <w:rPr>
          <w:color w:val="000000"/>
        </w:rPr>
        <w:t xml:space="preserve"> </w:t>
      </w:r>
      <w:r w:rsidR="0032006A">
        <w:rPr>
          <w:lang w:eastAsia="ru-RU"/>
        </w:rPr>
        <w:t xml:space="preserve">(владелец РУ - </w:t>
      </w:r>
      <w:r w:rsidR="0032006A">
        <w:rPr>
          <w:rFonts w:eastAsia="Calibri"/>
        </w:rPr>
        <w:t>Новартис Фарма АГ, Швейцария</w:t>
      </w:r>
      <w:r w:rsidR="0032006A">
        <w:rPr>
          <w:lang w:eastAsia="ru-RU"/>
        </w:rPr>
        <w:t>), имея минимальные отличия в качественном и количественном составе вспомогательных веществ</w:t>
      </w:r>
      <w:r w:rsidR="006D718A" w:rsidRPr="00B275E3">
        <w:rPr>
          <w:lang w:eastAsia="ru-RU"/>
        </w:rPr>
        <w:t>.</w:t>
      </w:r>
    </w:p>
    <w:p w14:paraId="3D176C17" w14:textId="2759C61E" w:rsidR="006D718A" w:rsidRDefault="006D718A" w:rsidP="00FE0099">
      <w:pPr>
        <w:spacing w:after="0" w:line="240" w:lineRule="auto"/>
        <w:ind w:firstLine="709"/>
        <w:contextualSpacing/>
        <w:rPr>
          <w:color w:val="000000" w:themeColor="text1"/>
        </w:rPr>
      </w:pPr>
      <w:r>
        <w:rPr>
          <w:color w:val="000000" w:themeColor="text1"/>
        </w:rPr>
        <w:t xml:space="preserve">В планируемом клиническом исследовании биоэквивалентности будет использоваться дозировка </w:t>
      </w:r>
      <w:r w:rsidR="00D906B3">
        <w:rPr>
          <w:color w:val="000000" w:themeColor="text1"/>
        </w:rPr>
        <w:t>0,75</w:t>
      </w:r>
      <w:r>
        <w:rPr>
          <w:color w:val="000000" w:themeColor="text1"/>
        </w:rPr>
        <w:t xml:space="preserve"> мг. Сопоставление </w:t>
      </w:r>
      <w:r w:rsidRPr="00243565">
        <w:rPr>
          <w:color w:val="000000" w:themeColor="text1"/>
        </w:rPr>
        <w:t xml:space="preserve">составов </w:t>
      </w:r>
      <w:r>
        <w:rPr>
          <w:rFonts w:eastAsiaTheme="minorHAnsi"/>
          <w:color w:val="000000" w:themeColor="text1"/>
          <w:lang w:eastAsia="en-US"/>
        </w:rPr>
        <w:t>DT-</w:t>
      </w:r>
      <w:r>
        <w:rPr>
          <w:rFonts w:eastAsiaTheme="minorHAnsi"/>
          <w:color w:val="000000" w:themeColor="text1"/>
          <w:lang w:val="en-US" w:eastAsia="en-US"/>
        </w:rPr>
        <w:t>EVR</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00D906B3">
        <w:rPr>
          <w:color w:val="000000" w:themeColor="text1"/>
        </w:rPr>
        <w:t>Сертикан</w:t>
      </w:r>
      <w:r w:rsidRPr="00ED15AE">
        <w:rPr>
          <w:color w:val="000000" w:themeColor="text1"/>
          <w:vertAlign w:val="superscript"/>
        </w:rPr>
        <w:t>®</w:t>
      </w:r>
      <w:r w:rsidRPr="00ED15AE">
        <w:rPr>
          <w:color w:val="000000" w:themeColor="text1"/>
        </w:rPr>
        <w:t xml:space="preserve"> (</w:t>
      </w:r>
      <w:r w:rsidRPr="00DA75AA">
        <w:rPr>
          <w:rFonts w:eastAsia="Calibri"/>
        </w:rPr>
        <w:t>Новартис Фарма АГ, Швейцария</w:t>
      </w:r>
      <w:r w:rsidRPr="00ED15AE">
        <w:rPr>
          <w:color w:val="000000" w:themeColor="text1"/>
        </w:rPr>
        <w:t>)</w:t>
      </w:r>
      <w:r w:rsidRPr="00243565">
        <w:rPr>
          <w:rFonts w:eastAsiaTheme="minorHAnsi"/>
          <w:color w:val="000000" w:themeColor="text1"/>
          <w:lang w:eastAsia="en-US"/>
        </w:rPr>
        <w:t xml:space="preserve"> представлено в табл. 2</w:t>
      </w:r>
      <w:r>
        <w:rPr>
          <w:rFonts w:eastAsiaTheme="minorHAnsi"/>
          <w:color w:val="000000" w:themeColor="text1"/>
          <w:lang w:eastAsia="en-US"/>
        </w:rPr>
        <w:t>-</w:t>
      </w:r>
      <w:r w:rsidRPr="00243565">
        <w:rPr>
          <w:rFonts w:eastAsiaTheme="minorHAnsi"/>
          <w:color w:val="000000" w:themeColor="text1"/>
          <w:lang w:eastAsia="en-US"/>
        </w:rPr>
        <w:t>2. ниже.</w:t>
      </w:r>
      <w:r>
        <w:rPr>
          <w:rFonts w:eastAsiaTheme="minorHAnsi"/>
          <w:color w:val="000000" w:themeColor="text1"/>
          <w:lang w:eastAsia="en-US"/>
        </w:rPr>
        <w:t xml:space="preserve"> </w:t>
      </w:r>
    </w:p>
    <w:p w14:paraId="4CDFA329" w14:textId="77777777" w:rsidR="006D718A" w:rsidRDefault="006D718A" w:rsidP="00FE0099">
      <w:pPr>
        <w:spacing w:after="0" w:line="240" w:lineRule="auto"/>
        <w:contextualSpacing/>
        <w:rPr>
          <w:b/>
        </w:rPr>
      </w:pPr>
    </w:p>
    <w:p w14:paraId="5B6F5D26" w14:textId="4C9EA790" w:rsidR="006D718A" w:rsidRDefault="006D718A" w:rsidP="00FE0099">
      <w:pPr>
        <w:spacing w:after="0" w:line="240" w:lineRule="auto"/>
        <w:contextualSpacing/>
        <w:rPr>
          <w:rFonts w:eastAsia="Times New Roman"/>
          <w:lang w:eastAsia="ru-RU"/>
        </w:rPr>
      </w:pPr>
      <w:r>
        <w:rPr>
          <w:b/>
        </w:rPr>
        <w:t>Таблица 2-2.</w:t>
      </w:r>
      <w:r>
        <w:t xml:space="preserve"> Сопоставление составов препарата </w:t>
      </w:r>
      <w:r>
        <w:rPr>
          <w:rFonts w:eastAsiaTheme="minorHAnsi"/>
          <w:color w:val="000000" w:themeColor="text1"/>
          <w:lang w:eastAsia="en-US"/>
        </w:rPr>
        <w:t>DT-</w:t>
      </w:r>
      <w:r>
        <w:rPr>
          <w:rFonts w:eastAsiaTheme="minorHAnsi"/>
          <w:color w:val="000000" w:themeColor="text1"/>
          <w:lang w:val="en-US" w:eastAsia="en-US"/>
        </w:rPr>
        <w:t>EVR</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00B275E3">
        <w:rPr>
          <w:color w:val="000000" w:themeColor="text1"/>
        </w:rPr>
        <w:t>Сертикан</w:t>
      </w:r>
      <w:r w:rsidRPr="00ED15AE">
        <w:rPr>
          <w:color w:val="000000" w:themeColor="text1"/>
          <w:vertAlign w:val="superscript"/>
        </w:rPr>
        <w:t>®</w:t>
      </w:r>
      <w:r w:rsidRPr="00ED15AE">
        <w:rPr>
          <w:color w:val="000000" w:themeColor="text1"/>
        </w:rPr>
        <w:t xml:space="preserve"> (</w:t>
      </w:r>
      <w:r w:rsidRPr="00DA75AA">
        <w:rPr>
          <w:rFonts w:eastAsia="Calibri"/>
        </w:rPr>
        <w:t>Новартис Фарма АГ, Швейцария</w:t>
      </w:r>
      <w:r w:rsidRPr="00ED15AE">
        <w:rPr>
          <w:color w:val="000000" w:themeColor="text1"/>
        </w:rPr>
        <w:t>)</w:t>
      </w:r>
      <w:r w:rsidR="00B275E3">
        <w:rPr>
          <w:color w:val="000000" w:themeColor="text1"/>
        </w:rPr>
        <w:t xml:space="preserve"> в дозировке </w:t>
      </w:r>
      <w:r>
        <w:rPr>
          <w:color w:val="000000" w:themeColor="text1"/>
        </w:rPr>
        <w:t>0</w:t>
      </w:r>
      <w:r w:rsidR="00B275E3">
        <w:rPr>
          <w:color w:val="000000" w:themeColor="text1"/>
        </w:rPr>
        <w:t>,75</w:t>
      </w:r>
      <w:r>
        <w:rPr>
          <w:color w:val="000000" w:themeColor="text1"/>
        </w:rPr>
        <w:t xml:space="preserve"> мг.</w:t>
      </w:r>
      <w:r>
        <w:rPr>
          <w:lang w:eastAsia="ru-RU"/>
        </w:rPr>
        <w:t xml:space="preserve"> </w:t>
      </w:r>
    </w:p>
    <w:tbl>
      <w:tblPr>
        <w:tblStyle w:val="a8"/>
        <w:tblW w:w="9356" w:type="dxa"/>
        <w:tblInd w:w="-5" w:type="dxa"/>
        <w:tblLook w:val="04A0" w:firstRow="1" w:lastRow="0" w:firstColumn="1" w:lastColumn="0" w:noHBand="0" w:noVBand="1"/>
      </w:tblPr>
      <w:tblGrid>
        <w:gridCol w:w="5385"/>
        <w:gridCol w:w="1843"/>
        <w:gridCol w:w="2128"/>
      </w:tblGrid>
      <w:tr w:rsidR="003D4A3E" w14:paraId="4AE52135" w14:textId="77777777" w:rsidTr="008A7500">
        <w:trPr>
          <w:trHeight w:val="339"/>
          <w:tblHeader/>
        </w:trPr>
        <w:tc>
          <w:tcPr>
            <w:tcW w:w="5385" w:type="dxa"/>
            <w:vMerge w:val="restart"/>
            <w:shd w:val="clear" w:color="auto" w:fill="D9D9D9" w:themeFill="background1" w:themeFillShade="D9"/>
            <w:vAlign w:val="center"/>
          </w:tcPr>
          <w:p w14:paraId="1E948A50" w14:textId="252303AD" w:rsidR="003D4A3E" w:rsidRPr="003D4A3E" w:rsidRDefault="003D4A3E" w:rsidP="00FE0099">
            <w:pPr>
              <w:contextualSpacing/>
              <w:jc w:val="center"/>
              <w:rPr>
                <w:b/>
                <w:color w:val="000000" w:themeColor="text1"/>
                <w:lang w:eastAsia="ru-RU"/>
              </w:rPr>
            </w:pPr>
            <w:r w:rsidRPr="003D4A3E">
              <w:rPr>
                <w:b/>
                <w:color w:val="000000" w:themeColor="text1"/>
                <w:lang w:eastAsia="ru-RU"/>
              </w:rPr>
              <w:t>Компонент</w:t>
            </w:r>
          </w:p>
        </w:tc>
        <w:tc>
          <w:tcPr>
            <w:tcW w:w="3971" w:type="dxa"/>
            <w:gridSpan w:val="2"/>
            <w:shd w:val="clear" w:color="auto" w:fill="D9D9D9" w:themeFill="background1" w:themeFillShade="D9"/>
            <w:vAlign w:val="center"/>
          </w:tcPr>
          <w:p w14:paraId="43D7DA79" w14:textId="39754D74" w:rsidR="003D4A3E" w:rsidRPr="003D4A3E" w:rsidRDefault="003D4A3E" w:rsidP="00FE0099">
            <w:pPr>
              <w:contextualSpacing/>
              <w:jc w:val="center"/>
              <w:rPr>
                <w:b/>
                <w:color w:val="000000" w:themeColor="text1"/>
                <w:lang w:eastAsia="ru-RU"/>
              </w:rPr>
            </w:pPr>
            <w:r w:rsidRPr="003D4A3E">
              <w:rPr>
                <w:b/>
                <w:color w:val="000000" w:themeColor="text1"/>
                <w:lang w:eastAsia="ru-RU"/>
              </w:rPr>
              <w:t>Дозировка</w:t>
            </w:r>
            <w:r>
              <w:rPr>
                <w:b/>
                <w:color w:val="000000" w:themeColor="text1"/>
                <w:lang w:val="en-US" w:eastAsia="ru-RU"/>
              </w:rPr>
              <w:t xml:space="preserve"> </w:t>
            </w:r>
            <w:r w:rsidRPr="003D4A3E">
              <w:rPr>
                <w:b/>
                <w:color w:val="000000" w:themeColor="text1"/>
                <w:lang w:eastAsia="ru-RU"/>
              </w:rPr>
              <w:t>0</w:t>
            </w:r>
            <w:r w:rsidR="00B275E3">
              <w:rPr>
                <w:b/>
                <w:color w:val="000000" w:themeColor="text1"/>
                <w:lang w:eastAsia="ru-RU"/>
              </w:rPr>
              <w:t>,75</w:t>
            </w:r>
            <w:r w:rsidRPr="003D4A3E">
              <w:rPr>
                <w:b/>
                <w:color w:val="000000" w:themeColor="text1"/>
                <w:lang w:eastAsia="ru-RU"/>
              </w:rPr>
              <w:t xml:space="preserve"> мг</w:t>
            </w:r>
          </w:p>
        </w:tc>
      </w:tr>
      <w:tr w:rsidR="003D4A3E" w14:paraId="0D1233E4" w14:textId="77777777" w:rsidTr="008A7500">
        <w:trPr>
          <w:tblHeader/>
        </w:trPr>
        <w:tc>
          <w:tcPr>
            <w:tcW w:w="5385" w:type="dxa"/>
            <w:vMerge/>
            <w:shd w:val="clear" w:color="auto" w:fill="D9D9D9" w:themeFill="background1" w:themeFillShade="D9"/>
            <w:vAlign w:val="center"/>
          </w:tcPr>
          <w:p w14:paraId="6AB542A8" w14:textId="77777777" w:rsidR="003D4A3E" w:rsidRPr="003D4A3E" w:rsidRDefault="003D4A3E" w:rsidP="00FE0099">
            <w:pPr>
              <w:contextualSpacing/>
              <w:jc w:val="center"/>
              <w:rPr>
                <w:b/>
                <w:color w:val="000000" w:themeColor="text1"/>
                <w:lang w:eastAsia="ru-RU"/>
              </w:rPr>
            </w:pPr>
          </w:p>
        </w:tc>
        <w:tc>
          <w:tcPr>
            <w:tcW w:w="1843" w:type="dxa"/>
            <w:shd w:val="clear" w:color="auto" w:fill="D9D9D9" w:themeFill="background1" w:themeFillShade="D9"/>
            <w:vAlign w:val="center"/>
          </w:tcPr>
          <w:p w14:paraId="46CB0717" w14:textId="59EAFE61" w:rsidR="003D4A3E" w:rsidRPr="003D4A3E" w:rsidRDefault="003D4A3E" w:rsidP="00FE0099">
            <w:pPr>
              <w:contextualSpacing/>
              <w:jc w:val="center"/>
              <w:rPr>
                <w:b/>
                <w:color w:val="000000" w:themeColor="text1"/>
                <w:lang w:val="en-US" w:eastAsia="ru-RU"/>
              </w:rPr>
            </w:pPr>
            <w:r w:rsidRPr="003D4A3E">
              <w:rPr>
                <w:b/>
                <w:color w:val="000000" w:themeColor="text1"/>
                <w:lang w:val="en-US" w:eastAsia="ru-RU"/>
              </w:rPr>
              <w:t>DT-EVR</w:t>
            </w:r>
          </w:p>
        </w:tc>
        <w:tc>
          <w:tcPr>
            <w:tcW w:w="2128" w:type="dxa"/>
            <w:shd w:val="clear" w:color="auto" w:fill="D9D9D9" w:themeFill="background1" w:themeFillShade="D9"/>
            <w:vAlign w:val="center"/>
          </w:tcPr>
          <w:p w14:paraId="75DBD1F2" w14:textId="0428A832" w:rsidR="003D4A3E" w:rsidRPr="003D4A3E" w:rsidRDefault="00B275E3" w:rsidP="00FE0099">
            <w:pPr>
              <w:contextualSpacing/>
              <w:jc w:val="center"/>
              <w:rPr>
                <w:b/>
                <w:color w:val="000000" w:themeColor="text1"/>
                <w:lang w:eastAsia="ru-RU"/>
              </w:rPr>
            </w:pPr>
            <w:r>
              <w:rPr>
                <w:b/>
                <w:color w:val="000000" w:themeColor="text1"/>
              </w:rPr>
              <w:t>Сертикан</w:t>
            </w:r>
            <w:r w:rsidR="003D4A3E" w:rsidRPr="003D4A3E">
              <w:rPr>
                <w:b/>
                <w:color w:val="000000" w:themeColor="text1"/>
                <w:vertAlign w:val="superscript"/>
              </w:rPr>
              <w:t>®</w:t>
            </w:r>
          </w:p>
        </w:tc>
      </w:tr>
      <w:tr w:rsidR="003D4A3E" w14:paraId="15F09AD9" w14:textId="77777777" w:rsidTr="008A7500">
        <w:tc>
          <w:tcPr>
            <w:tcW w:w="9356" w:type="dxa"/>
            <w:gridSpan w:val="3"/>
            <w:vAlign w:val="center"/>
          </w:tcPr>
          <w:p w14:paraId="2BA938B1" w14:textId="50FD5C74" w:rsidR="003D4A3E" w:rsidRDefault="003D4A3E" w:rsidP="00FE0099">
            <w:pPr>
              <w:contextualSpacing/>
              <w:rPr>
                <w:color w:val="000000" w:themeColor="text1"/>
                <w:lang w:eastAsia="ru-RU"/>
              </w:rPr>
            </w:pPr>
            <w:r w:rsidRPr="008F5C61">
              <w:rPr>
                <w:i/>
                <w:iCs/>
                <w:lang w:eastAsia="en-US"/>
              </w:rPr>
              <w:t>Действующее вещество:</w:t>
            </w:r>
          </w:p>
        </w:tc>
      </w:tr>
      <w:tr w:rsidR="003D4A3E" w14:paraId="3AC82EE3" w14:textId="77777777" w:rsidTr="008A7500">
        <w:tc>
          <w:tcPr>
            <w:tcW w:w="5385" w:type="dxa"/>
            <w:vAlign w:val="center"/>
          </w:tcPr>
          <w:p w14:paraId="4A712151" w14:textId="01867629" w:rsidR="003D4A3E" w:rsidRDefault="003D4A3E" w:rsidP="00FE0099">
            <w:pPr>
              <w:ind w:left="601"/>
              <w:contextualSpacing/>
              <w:rPr>
                <w:color w:val="000000" w:themeColor="text1"/>
                <w:lang w:eastAsia="ru-RU"/>
              </w:rPr>
            </w:pPr>
            <w:r w:rsidRPr="008F5C61">
              <w:rPr>
                <w:color w:val="000000" w:themeColor="text1"/>
              </w:rPr>
              <w:t>Эверолимус, в</w:t>
            </w:r>
            <w:r w:rsidR="00B275E3">
              <w:rPr>
                <w:color w:val="000000" w:themeColor="text1"/>
              </w:rPr>
              <w:t xml:space="preserve"> виде субстанции - смеси (2</w:t>
            </w:r>
            <w:r w:rsidRPr="008F5C61">
              <w:rPr>
                <w:color w:val="000000" w:themeColor="text1"/>
              </w:rPr>
              <w:t xml:space="preserve"> %)</w:t>
            </w:r>
          </w:p>
        </w:tc>
        <w:tc>
          <w:tcPr>
            <w:tcW w:w="1843" w:type="dxa"/>
            <w:vAlign w:val="center"/>
          </w:tcPr>
          <w:p w14:paraId="7117F9E3" w14:textId="5709CCA8" w:rsidR="003D4A3E" w:rsidRDefault="00B275E3" w:rsidP="00FE0099">
            <w:pPr>
              <w:contextualSpacing/>
              <w:jc w:val="center"/>
              <w:rPr>
                <w:color w:val="000000" w:themeColor="text1"/>
                <w:lang w:eastAsia="ru-RU"/>
              </w:rPr>
            </w:pPr>
            <w:r>
              <w:rPr>
                <w:color w:val="000000" w:themeColor="text1"/>
              </w:rPr>
              <w:t>0,75</w:t>
            </w:r>
            <w:r w:rsidR="003D4A3E" w:rsidRPr="008F5C61">
              <w:rPr>
                <w:color w:val="000000" w:themeColor="text1"/>
              </w:rPr>
              <w:t xml:space="preserve"> мг</w:t>
            </w:r>
          </w:p>
        </w:tc>
        <w:tc>
          <w:tcPr>
            <w:tcW w:w="2128" w:type="dxa"/>
            <w:vAlign w:val="center"/>
          </w:tcPr>
          <w:p w14:paraId="3FDA7506" w14:textId="5359F50E" w:rsidR="003D4A3E" w:rsidRDefault="0010702B" w:rsidP="00FE0099">
            <w:pPr>
              <w:contextualSpacing/>
              <w:jc w:val="center"/>
              <w:rPr>
                <w:color w:val="000000" w:themeColor="text1"/>
                <w:lang w:eastAsia="ru-RU"/>
              </w:rPr>
            </w:pPr>
            <w:r>
              <w:t>0</w:t>
            </w:r>
            <w:r w:rsidR="00B275E3">
              <w:t>,75</w:t>
            </w:r>
            <w:r>
              <w:t xml:space="preserve"> </w:t>
            </w:r>
            <w:r w:rsidRPr="003852EE">
              <w:t>мг</w:t>
            </w:r>
          </w:p>
        </w:tc>
      </w:tr>
      <w:tr w:rsidR="003D4A3E" w14:paraId="070ECF7D" w14:textId="77777777" w:rsidTr="008A7500">
        <w:tc>
          <w:tcPr>
            <w:tcW w:w="9356" w:type="dxa"/>
            <w:gridSpan w:val="3"/>
            <w:vAlign w:val="center"/>
          </w:tcPr>
          <w:p w14:paraId="23DD97A1" w14:textId="5D7B791A" w:rsidR="003D4A3E" w:rsidRDefault="003D4A3E" w:rsidP="003D4A3E">
            <w:pPr>
              <w:rPr>
                <w:color w:val="000000" w:themeColor="text1"/>
                <w:lang w:eastAsia="ru-RU"/>
              </w:rPr>
            </w:pPr>
            <w:r>
              <w:rPr>
                <w:i/>
                <w:iCs/>
                <w:lang w:eastAsia="en-US"/>
              </w:rPr>
              <w:t xml:space="preserve">Вспомогательные </w:t>
            </w:r>
            <w:r w:rsidRPr="008F5C61">
              <w:rPr>
                <w:i/>
                <w:iCs/>
                <w:lang w:eastAsia="en-US"/>
              </w:rPr>
              <w:t xml:space="preserve">вещества, </w:t>
            </w:r>
            <w:r w:rsidRPr="008F5C61">
              <w:rPr>
                <w:i/>
                <w:lang w:eastAsia="ru-RU"/>
              </w:rPr>
              <w:t>входящие в</w:t>
            </w:r>
            <w:r w:rsidR="00B275E3">
              <w:rPr>
                <w:i/>
                <w:lang w:eastAsia="ru-RU"/>
              </w:rPr>
              <w:t xml:space="preserve"> состав субстанции - смеси (2</w:t>
            </w:r>
            <w:r w:rsidRPr="008F5C61">
              <w:rPr>
                <w:i/>
                <w:lang w:eastAsia="ru-RU"/>
              </w:rPr>
              <w:t xml:space="preserve"> %):</w:t>
            </w:r>
          </w:p>
        </w:tc>
      </w:tr>
      <w:tr w:rsidR="003D4A3E" w14:paraId="0AC3A57F" w14:textId="77777777" w:rsidTr="008A7500">
        <w:tc>
          <w:tcPr>
            <w:tcW w:w="5385" w:type="dxa"/>
            <w:vAlign w:val="center"/>
          </w:tcPr>
          <w:p w14:paraId="5E3A9346" w14:textId="3874228E" w:rsidR="003D4A3E" w:rsidRDefault="003D4A3E" w:rsidP="003D4A3E">
            <w:pPr>
              <w:ind w:left="601"/>
              <w:rPr>
                <w:color w:val="000000" w:themeColor="text1"/>
                <w:lang w:eastAsia="ru-RU"/>
              </w:rPr>
            </w:pPr>
            <w:r w:rsidRPr="008F5C61">
              <w:rPr>
                <w:lang w:eastAsia="ru-RU"/>
              </w:rPr>
              <w:t xml:space="preserve">Гипромеллоза </w:t>
            </w:r>
          </w:p>
        </w:tc>
        <w:tc>
          <w:tcPr>
            <w:tcW w:w="1843" w:type="dxa"/>
            <w:vAlign w:val="center"/>
          </w:tcPr>
          <w:p w14:paraId="0830CC5C" w14:textId="2BBFFEB1" w:rsidR="003D4A3E" w:rsidRDefault="00B275E3" w:rsidP="003D4A3E">
            <w:pPr>
              <w:jc w:val="center"/>
              <w:rPr>
                <w:color w:val="000000" w:themeColor="text1"/>
                <w:lang w:eastAsia="ru-RU"/>
              </w:rPr>
            </w:pPr>
            <w:r>
              <w:rPr>
                <w:color w:val="000000" w:themeColor="text1"/>
              </w:rPr>
              <w:t>30,00</w:t>
            </w:r>
            <w:r w:rsidR="003D4A3E" w:rsidRPr="008F5C61">
              <w:rPr>
                <w:color w:val="000000" w:themeColor="text1"/>
              </w:rPr>
              <w:t xml:space="preserve"> мг</w:t>
            </w:r>
          </w:p>
        </w:tc>
        <w:tc>
          <w:tcPr>
            <w:tcW w:w="2128" w:type="dxa"/>
            <w:vAlign w:val="center"/>
          </w:tcPr>
          <w:p w14:paraId="531C966D" w14:textId="5B900829" w:rsidR="003D4A3E" w:rsidRDefault="00B275E3" w:rsidP="0010702B">
            <w:pPr>
              <w:jc w:val="center"/>
              <w:rPr>
                <w:color w:val="000000" w:themeColor="text1"/>
                <w:lang w:eastAsia="ru-RU"/>
              </w:rPr>
            </w:pPr>
            <w:r>
              <w:rPr>
                <w:color w:val="000000" w:themeColor="text1"/>
              </w:rPr>
              <w:t>30,00</w:t>
            </w:r>
            <w:r w:rsidRPr="008F5C61">
              <w:rPr>
                <w:color w:val="000000" w:themeColor="text1"/>
              </w:rPr>
              <w:t xml:space="preserve"> </w:t>
            </w:r>
            <w:r w:rsidR="0010702B">
              <w:t xml:space="preserve"> мг</w:t>
            </w:r>
          </w:p>
        </w:tc>
      </w:tr>
      <w:tr w:rsidR="003D4A3E" w14:paraId="077260CF" w14:textId="77777777" w:rsidTr="008A7500">
        <w:tc>
          <w:tcPr>
            <w:tcW w:w="5385" w:type="dxa"/>
            <w:vAlign w:val="center"/>
          </w:tcPr>
          <w:p w14:paraId="65B647B9" w14:textId="5A5E6DA3" w:rsidR="003D4A3E" w:rsidRDefault="003D4A3E" w:rsidP="003D4A3E">
            <w:pPr>
              <w:ind w:left="601"/>
              <w:rPr>
                <w:color w:val="000000" w:themeColor="text1"/>
                <w:lang w:eastAsia="ru-RU"/>
              </w:rPr>
            </w:pPr>
            <w:r w:rsidRPr="008F5C61">
              <w:rPr>
                <w:lang w:eastAsia="ru-RU"/>
              </w:rPr>
              <w:t xml:space="preserve">Лактоза безводная </w:t>
            </w:r>
          </w:p>
        </w:tc>
        <w:tc>
          <w:tcPr>
            <w:tcW w:w="1843" w:type="dxa"/>
            <w:vAlign w:val="center"/>
          </w:tcPr>
          <w:p w14:paraId="1CEA73A1" w14:textId="56817C83" w:rsidR="003D4A3E" w:rsidRDefault="00B275E3" w:rsidP="003D4A3E">
            <w:pPr>
              <w:jc w:val="center"/>
              <w:rPr>
                <w:color w:val="000000" w:themeColor="text1"/>
                <w:lang w:eastAsia="ru-RU"/>
              </w:rPr>
            </w:pPr>
            <w:r>
              <w:rPr>
                <w:color w:val="000000" w:themeColor="text1"/>
              </w:rPr>
              <w:t>6,48</w:t>
            </w:r>
            <w:r w:rsidR="003D4A3E" w:rsidRPr="008F5C61">
              <w:rPr>
                <w:color w:val="000000" w:themeColor="text1"/>
              </w:rPr>
              <w:t xml:space="preserve"> мг</w:t>
            </w:r>
          </w:p>
        </w:tc>
        <w:tc>
          <w:tcPr>
            <w:tcW w:w="2128" w:type="dxa"/>
            <w:vAlign w:val="center"/>
          </w:tcPr>
          <w:p w14:paraId="69629EC8" w14:textId="3026CB20" w:rsidR="003D4A3E" w:rsidRDefault="0032006A" w:rsidP="0010702B">
            <w:pPr>
              <w:jc w:val="center"/>
              <w:rPr>
                <w:color w:val="000000" w:themeColor="text1"/>
                <w:lang w:eastAsia="ru-RU"/>
              </w:rPr>
            </w:pPr>
            <w:r>
              <w:t>-</w:t>
            </w:r>
          </w:p>
        </w:tc>
      </w:tr>
      <w:tr w:rsidR="0032006A" w14:paraId="635AE1D6" w14:textId="77777777" w:rsidTr="008A7500">
        <w:tc>
          <w:tcPr>
            <w:tcW w:w="5385" w:type="dxa"/>
            <w:vAlign w:val="center"/>
          </w:tcPr>
          <w:p w14:paraId="73B8C2B9" w14:textId="32D35B2E" w:rsidR="0032006A" w:rsidRPr="008F5C61" w:rsidRDefault="0032006A" w:rsidP="0032006A">
            <w:pPr>
              <w:ind w:left="601"/>
              <w:rPr>
                <w:lang w:eastAsia="ru-RU"/>
              </w:rPr>
            </w:pPr>
            <w:r w:rsidRPr="008F5C61">
              <w:rPr>
                <w:lang w:eastAsia="ru-RU"/>
              </w:rPr>
              <w:t>Лактоз</w:t>
            </w:r>
            <w:r>
              <w:rPr>
                <w:lang w:eastAsia="ru-RU"/>
              </w:rPr>
              <w:t>ы</w:t>
            </w:r>
            <w:r w:rsidRPr="008F5C61">
              <w:rPr>
                <w:lang w:eastAsia="ru-RU"/>
              </w:rPr>
              <w:t xml:space="preserve"> </w:t>
            </w:r>
            <w:r>
              <w:rPr>
                <w:lang w:eastAsia="ru-RU"/>
              </w:rPr>
              <w:t>моногидрат</w:t>
            </w:r>
          </w:p>
        </w:tc>
        <w:tc>
          <w:tcPr>
            <w:tcW w:w="1843" w:type="dxa"/>
            <w:vAlign w:val="center"/>
          </w:tcPr>
          <w:p w14:paraId="1213295F" w14:textId="6D43CB28" w:rsidR="0032006A" w:rsidRDefault="0032006A" w:rsidP="003D4A3E">
            <w:pPr>
              <w:jc w:val="center"/>
              <w:rPr>
                <w:color w:val="000000" w:themeColor="text1"/>
              </w:rPr>
            </w:pPr>
            <w:r>
              <w:rPr>
                <w:color w:val="000000" w:themeColor="text1"/>
              </w:rPr>
              <w:t>-</w:t>
            </w:r>
          </w:p>
        </w:tc>
        <w:tc>
          <w:tcPr>
            <w:tcW w:w="2128" w:type="dxa"/>
            <w:vAlign w:val="center"/>
          </w:tcPr>
          <w:p w14:paraId="0426E63A" w14:textId="103C3A70" w:rsidR="0032006A" w:rsidRDefault="0032006A" w:rsidP="0010702B">
            <w:pPr>
              <w:jc w:val="center"/>
            </w:pPr>
            <w:r>
              <w:t xml:space="preserve">6,675 </w:t>
            </w:r>
            <w:r w:rsidRPr="00422969">
              <w:t>мг</w:t>
            </w:r>
          </w:p>
        </w:tc>
      </w:tr>
      <w:tr w:rsidR="003D4A3E" w14:paraId="13B82A1F" w14:textId="77777777" w:rsidTr="008A7500">
        <w:tc>
          <w:tcPr>
            <w:tcW w:w="5385" w:type="dxa"/>
            <w:vAlign w:val="center"/>
          </w:tcPr>
          <w:p w14:paraId="1B7A49E5" w14:textId="73A0EE10" w:rsidR="003D4A3E" w:rsidRDefault="003D4A3E" w:rsidP="003D4A3E">
            <w:pPr>
              <w:ind w:left="601"/>
              <w:rPr>
                <w:color w:val="000000" w:themeColor="text1"/>
                <w:lang w:eastAsia="ru-RU"/>
              </w:rPr>
            </w:pPr>
            <w:r w:rsidRPr="008F5C61">
              <w:rPr>
                <w:lang w:eastAsia="ru-RU"/>
              </w:rPr>
              <w:t xml:space="preserve">Бутилгидрокситолуол </w:t>
            </w:r>
          </w:p>
        </w:tc>
        <w:tc>
          <w:tcPr>
            <w:tcW w:w="1843" w:type="dxa"/>
            <w:vAlign w:val="center"/>
          </w:tcPr>
          <w:p w14:paraId="3D7188FE" w14:textId="5CD777B7" w:rsidR="003D4A3E" w:rsidRDefault="00B275E3" w:rsidP="003D4A3E">
            <w:pPr>
              <w:jc w:val="center"/>
              <w:rPr>
                <w:color w:val="000000" w:themeColor="text1"/>
                <w:lang w:eastAsia="ru-RU"/>
              </w:rPr>
            </w:pPr>
            <w:r>
              <w:rPr>
                <w:color w:val="000000" w:themeColor="text1"/>
              </w:rPr>
              <w:t>0,27</w:t>
            </w:r>
            <w:r w:rsidR="003D4A3E" w:rsidRPr="008F5C61">
              <w:rPr>
                <w:color w:val="000000" w:themeColor="text1"/>
              </w:rPr>
              <w:t xml:space="preserve"> мг</w:t>
            </w:r>
          </w:p>
        </w:tc>
        <w:tc>
          <w:tcPr>
            <w:tcW w:w="2128" w:type="dxa"/>
            <w:vAlign w:val="center"/>
          </w:tcPr>
          <w:p w14:paraId="47A157F5" w14:textId="3F95ED2E" w:rsidR="003D4A3E" w:rsidRDefault="0010702B" w:rsidP="0010702B">
            <w:pPr>
              <w:jc w:val="center"/>
              <w:rPr>
                <w:color w:val="000000" w:themeColor="text1"/>
                <w:lang w:eastAsia="ru-RU"/>
              </w:rPr>
            </w:pPr>
            <w:r>
              <w:t>0,2</w:t>
            </w:r>
            <w:r w:rsidR="00B275E3">
              <w:t>75</w:t>
            </w:r>
            <w:r w:rsidRPr="00422969">
              <w:t xml:space="preserve"> мг</w:t>
            </w:r>
          </w:p>
        </w:tc>
      </w:tr>
      <w:tr w:rsidR="003D4A3E" w14:paraId="61E0A88E" w14:textId="77777777" w:rsidTr="008A7500">
        <w:tc>
          <w:tcPr>
            <w:tcW w:w="9356" w:type="dxa"/>
            <w:gridSpan w:val="3"/>
            <w:vAlign w:val="center"/>
          </w:tcPr>
          <w:p w14:paraId="1233A229" w14:textId="23297186" w:rsidR="003D4A3E" w:rsidRDefault="003D4A3E" w:rsidP="003D4A3E">
            <w:pPr>
              <w:rPr>
                <w:color w:val="000000" w:themeColor="text1"/>
                <w:lang w:eastAsia="ru-RU"/>
              </w:rPr>
            </w:pPr>
            <w:r w:rsidRPr="008F5C61">
              <w:rPr>
                <w:i/>
                <w:lang w:eastAsia="ru-RU"/>
              </w:rPr>
              <w:t>Вспомогательные вещества, входящие в состав таблетки:</w:t>
            </w:r>
          </w:p>
        </w:tc>
      </w:tr>
      <w:tr w:rsidR="003D4A3E" w14:paraId="6F9C08EB" w14:textId="77777777" w:rsidTr="008A7500">
        <w:tc>
          <w:tcPr>
            <w:tcW w:w="5385" w:type="dxa"/>
            <w:vAlign w:val="center"/>
          </w:tcPr>
          <w:p w14:paraId="02AF2921" w14:textId="6270277E" w:rsidR="003D4A3E" w:rsidRDefault="003D4A3E" w:rsidP="003D4A3E">
            <w:pPr>
              <w:ind w:left="601"/>
              <w:rPr>
                <w:color w:val="000000" w:themeColor="text1"/>
                <w:lang w:eastAsia="ru-RU"/>
              </w:rPr>
            </w:pPr>
            <w:r w:rsidRPr="006D718A">
              <w:rPr>
                <w:color w:val="000000" w:themeColor="text1"/>
              </w:rPr>
              <w:t xml:space="preserve">Лактоза безводная </w:t>
            </w:r>
          </w:p>
        </w:tc>
        <w:tc>
          <w:tcPr>
            <w:tcW w:w="1843" w:type="dxa"/>
            <w:vAlign w:val="center"/>
          </w:tcPr>
          <w:p w14:paraId="14C98CCA" w14:textId="62B6EDD8" w:rsidR="003D4A3E" w:rsidRDefault="00B275E3" w:rsidP="003D4A3E">
            <w:pPr>
              <w:jc w:val="center"/>
              <w:rPr>
                <w:color w:val="000000" w:themeColor="text1"/>
                <w:lang w:eastAsia="ru-RU"/>
              </w:rPr>
            </w:pPr>
            <w:r>
              <w:rPr>
                <w:color w:val="000000" w:themeColor="text1"/>
              </w:rPr>
              <w:t>201,00</w:t>
            </w:r>
            <w:r w:rsidR="003D4A3E" w:rsidRPr="006D718A">
              <w:rPr>
                <w:color w:val="000000" w:themeColor="text1"/>
              </w:rPr>
              <w:t xml:space="preserve"> мг</w:t>
            </w:r>
          </w:p>
        </w:tc>
        <w:tc>
          <w:tcPr>
            <w:tcW w:w="2128" w:type="dxa"/>
            <w:vAlign w:val="center"/>
          </w:tcPr>
          <w:p w14:paraId="132AE4E6" w14:textId="154F0F84" w:rsidR="003D4A3E" w:rsidRDefault="00B275E3" w:rsidP="0010702B">
            <w:pPr>
              <w:jc w:val="center"/>
              <w:rPr>
                <w:color w:val="000000" w:themeColor="text1"/>
                <w:lang w:eastAsia="ru-RU"/>
              </w:rPr>
            </w:pPr>
            <w:r>
              <w:t>111,562</w:t>
            </w:r>
            <w:r w:rsidR="0010702B" w:rsidRPr="00422969">
              <w:t xml:space="preserve"> мг</w:t>
            </w:r>
          </w:p>
        </w:tc>
      </w:tr>
      <w:tr w:rsidR="003D4A3E" w14:paraId="6EC79CDD" w14:textId="77777777" w:rsidTr="008A7500">
        <w:tc>
          <w:tcPr>
            <w:tcW w:w="5385" w:type="dxa"/>
            <w:vAlign w:val="center"/>
          </w:tcPr>
          <w:p w14:paraId="500F1682" w14:textId="03A801BE" w:rsidR="003D4A3E" w:rsidRDefault="003D4A3E" w:rsidP="003D4A3E">
            <w:pPr>
              <w:ind w:left="601"/>
              <w:rPr>
                <w:color w:val="000000" w:themeColor="text1"/>
                <w:lang w:eastAsia="ru-RU"/>
              </w:rPr>
            </w:pPr>
            <w:r w:rsidRPr="006D718A">
              <w:rPr>
                <w:color w:val="000000" w:themeColor="text1"/>
              </w:rPr>
              <w:t xml:space="preserve">Кросповидон </w:t>
            </w:r>
          </w:p>
        </w:tc>
        <w:tc>
          <w:tcPr>
            <w:tcW w:w="1843" w:type="dxa"/>
            <w:vAlign w:val="center"/>
          </w:tcPr>
          <w:p w14:paraId="6DDF4BDF" w14:textId="45683C5F" w:rsidR="003D4A3E" w:rsidRDefault="00B275E3" w:rsidP="003D4A3E">
            <w:pPr>
              <w:jc w:val="center"/>
              <w:rPr>
                <w:color w:val="000000" w:themeColor="text1"/>
                <w:lang w:eastAsia="ru-RU"/>
              </w:rPr>
            </w:pPr>
            <w:r>
              <w:rPr>
                <w:color w:val="000000" w:themeColor="text1"/>
              </w:rPr>
              <w:t>60,00</w:t>
            </w:r>
            <w:r w:rsidR="003D4A3E" w:rsidRPr="006D718A">
              <w:rPr>
                <w:color w:val="000000" w:themeColor="text1"/>
              </w:rPr>
              <w:t xml:space="preserve"> мг</w:t>
            </w:r>
          </w:p>
        </w:tc>
        <w:tc>
          <w:tcPr>
            <w:tcW w:w="2128" w:type="dxa"/>
            <w:vAlign w:val="center"/>
          </w:tcPr>
          <w:p w14:paraId="2A6E9144" w14:textId="2FE575E5" w:rsidR="003D4A3E" w:rsidRDefault="00B275E3" w:rsidP="0010702B">
            <w:pPr>
              <w:jc w:val="center"/>
              <w:rPr>
                <w:color w:val="000000" w:themeColor="text1"/>
                <w:lang w:eastAsia="ru-RU"/>
              </w:rPr>
            </w:pPr>
            <w:r>
              <w:t>37,50</w:t>
            </w:r>
            <w:r w:rsidR="0010702B" w:rsidRPr="005A66CF">
              <w:t xml:space="preserve"> мг</w:t>
            </w:r>
          </w:p>
        </w:tc>
      </w:tr>
      <w:tr w:rsidR="003D4A3E" w14:paraId="4FFE4878" w14:textId="77777777" w:rsidTr="008A7500">
        <w:tc>
          <w:tcPr>
            <w:tcW w:w="5385" w:type="dxa"/>
            <w:vAlign w:val="center"/>
          </w:tcPr>
          <w:p w14:paraId="7AD9CF34" w14:textId="5F5777E4" w:rsidR="003D4A3E" w:rsidRDefault="003D4A3E" w:rsidP="003D4A3E">
            <w:pPr>
              <w:ind w:left="601"/>
              <w:rPr>
                <w:color w:val="000000" w:themeColor="text1"/>
                <w:lang w:eastAsia="ru-RU"/>
              </w:rPr>
            </w:pPr>
            <w:r w:rsidRPr="006D718A">
              <w:rPr>
                <w:color w:val="000000" w:themeColor="text1"/>
              </w:rPr>
              <w:t xml:space="preserve">Магния стеарат </w:t>
            </w:r>
          </w:p>
        </w:tc>
        <w:tc>
          <w:tcPr>
            <w:tcW w:w="1843" w:type="dxa"/>
            <w:vAlign w:val="center"/>
          </w:tcPr>
          <w:p w14:paraId="10EF0716" w14:textId="25DD7A82" w:rsidR="003D4A3E" w:rsidRDefault="00B275E3" w:rsidP="003D4A3E">
            <w:pPr>
              <w:jc w:val="center"/>
              <w:rPr>
                <w:color w:val="000000" w:themeColor="text1"/>
                <w:lang w:eastAsia="ru-RU"/>
              </w:rPr>
            </w:pPr>
            <w:r>
              <w:rPr>
                <w:color w:val="000000" w:themeColor="text1"/>
              </w:rPr>
              <w:t xml:space="preserve">1,50 </w:t>
            </w:r>
            <w:r w:rsidR="003D4A3E" w:rsidRPr="006D718A">
              <w:rPr>
                <w:color w:val="000000" w:themeColor="text1"/>
              </w:rPr>
              <w:t>мг</w:t>
            </w:r>
          </w:p>
        </w:tc>
        <w:tc>
          <w:tcPr>
            <w:tcW w:w="2128" w:type="dxa"/>
            <w:vAlign w:val="center"/>
          </w:tcPr>
          <w:p w14:paraId="3CEFA0F2" w14:textId="3EBDDA2C" w:rsidR="003D4A3E" w:rsidRDefault="00B275E3" w:rsidP="0010702B">
            <w:pPr>
              <w:jc w:val="center"/>
              <w:rPr>
                <w:color w:val="000000" w:themeColor="text1"/>
                <w:lang w:eastAsia="ru-RU"/>
              </w:rPr>
            </w:pPr>
            <w:r>
              <w:t>0,938</w:t>
            </w:r>
            <w:r w:rsidR="0010702B" w:rsidRPr="005A66CF">
              <w:t xml:space="preserve"> мг</w:t>
            </w:r>
          </w:p>
        </w:tc>
      </w:tr>
      <w:tr w:rsidR="003D4A3E" w14:paraId="4EB423E7" w14:textId="77777777" w:rsidTr="008A7500">
        <w:tc>
          <w:tcPr>
            <w:tcW w:w="5385" w:type="dxa"/>
            <w:vAlign w:val="center"/>
          </w:tcPr>
          <w:p w14:paraId="49F8AC3B" w14:textId="399F4390" w:rsidR="003D4A3E" w:rsidRDefault="003D4A3E" w:rsidP="003D4A3E">
            <w:pPr>
              <w:rPr>
                <w:color w:val="000000" w:themeColor="text1"/>
                <w:lang w:eastAsia="ru-RU"/>
              </w:rPr>
            </w:pPr>
            <w:r w:rsidRPr="006D718A">
              <w:rPr>
                <w:b/>
                <w:color w:val="000000" w:themeColor="text1"/>
              </w:rPr>
              <w:t>Масса таблетки:</w:t>
            </w:r>
          </w:p>
        </w:tc>
        <w:tc>
          <w:tcPr>
            <w:tcW w:w="1843" w:type="dxa"/>
            <w:vAlign w:val="center"/>
          </w:tcPr>
          <w:p w14:paraId="63F434C3" w14:textId="13FB5BF3" w:rsidR="003D4A3E" w:rsidRDefault="00B275E3" w:rsidP="003D4A3E">
            <w:pPr>
              <w:jc w:val="center"/>
              <w:rPr>
                <w:color w:val="000000" w:themeColor="text1"/>
                <w:lang w:eastAsia="ru-RU"/>
              </w:rPr>
            </w:pPr>
            <w:r>
              <w:rPr>
                <w:b/>
                <w:color w:val="000000" w:themeColor="text1"/>
              </w:rPr>
              <w:t>300,</w:t>
            </w:r>
            <w:r w:rsidR="003D4A3E" w:rsidRPr="006D718A">
              <w:rPr>
                <w:b/>
                <w:color w:val="000000" w:themeColor="text1"/>
              </w:rPr>
              <w:t>00 мг</w:t>
            </w:r>
          </w:p>
        </w:tc>
        <w:tc>
          <w:tcPr>
            <w:tcW w:w="2128" w:type="dxa"/>
            <w:vAlign w:val="center"/>
          </w:tcPr>
          <w:p w14:paraId="2A991B2C" w14:textId="47FD9100" w:rsidR="003D4A3E" w:rsidRDefault="00B275E3" w:rsidP="0010702B">
            <w:pPr>
              <w:jc w:val="center"/>
              <w:rPr>
                <w:color w:val="000000" w:themeColor="text1"/>
                <w:lang w:eastAsia="ru-RU"/>
              </w:rPr>
            </w:pPr>
            <w:r>
              <w:rPr>
                <w:b/>
                <w:bCs/>
                <w:iCs/>
              </w:rPr>
              <w:t>187,50</w:t>
            </w:r>
            <w:r w:rsidR="0010702B" w:rsidRPr="00745194">
              <w:rPr>
                <w:b/>
                <w:bCs/>
                <w:iCs/>
              </w:rPr>
              <w:t xml:space="preserve"> мг</w:t>
            </w:r>
          </w:p>
        </w:tc>
      </w:tr>
    </w:tbl>
    <w:p w14:paraId="18C2865E" w14:textId="7167678D" w:rsidR="008F5C61" w:rsidRDefault="008F5C61" w:rsidP="0010702B">
      <w:pPr>
        <w:spacing w:after="0" w:line="240" w:lineRule="auto"/>
        <w:rPr>
          <w:rFonts w:eastAsia="Times New Roman"/>
          <w:color w:val="000000" w:themeColor="text1"/>
          <w:lang w:eastAsia="ru-RU"/>
        </w:rPr>
      </w:pPr>
    </w:p>
    <w:p w14:paraId="3FA36424" w14:textId="6E324268" w:rsidR="00195552" w:rsidRPr="0010702B" w:rsidRDefault="0010702B" w:rsidP="0010702B">
      <w:pPr>
        <w:spacing w:after="0" w:line="240" w:lineRule="auto"/>
        <w:ind w:firstLine="709"/>
        <w:rPr>
          <w:color w:val="000000" w:themeColor="text1"/>
        </w:rPr>
      </w:pPr>
      <w:r w:rsidRPr="00D6050D">
        <w:rPr>
          <w:color w:val="000000" w:themeColor="text1"/>
        </w:rPr>
        <w:lastRenderedPageBreak/>
        <w:t xml:space="preserve">Для доказательства эквивалентности препарата </w:t>
      </w:r>
      <w:r w:rsidRPr="00D6050D">
        <w:rPr>
          <w:color w:val="000000" w:themeColor="text1"/>
          <w:lang w:val="en-US"/>
        </w:rPr>
        <w:t>DT</w:t>
      </w:r>
      <w:r w:rsidRPr="00D6050D">
        <w:rPr>
          <w:color w:val="000000" w:themeColor="text1"/>
        </w:rPr>
        <w:t>-</w:t>
      </w:r>
      <w:r>
        <w:rPr>
          <w:color w:val="000000" w:themeColor="text1"/>
          <w:lang w:val="en-US"/>
        </w:rPr>
        <w:t>EVR</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sidR="00B275E3">
        <w:rPr>
          <w:color w:val="000000" w:themeColor="text1"/>
        </w:rPr>
        <w:t>Сертикан</w:t>
      </w:r>
      <w:r w:rsidRPr="00D6050D">
        <w:rPr>
          <w:color w:val="000000" w:themeColor="text1"/>
          <w:vertAlign w:val="superscript"/>
        </w:rPr>
        <w:t>®</w:t>
      </w:r>
      <w:r w:rsidRPr="00D6050D">
        <w:rPr>
          <w:color w:val="000000" w:themeColor="text1"/>
        </w:rPr>
        <w:t xml:space="preserve"> (Новартис Фарма АГ, Швейцария)</w:t>
      </w:r>
      <w:r w:rsidRPr="00D6050D">
        <w:rPr>
          <w:rFonts w:eastAsiaTheme="minorHAnsi"/>
          <w:color w:val="000000" w:themeColor="text1"/>
          <w:lang w:eastAsia="en-US"/>
        </w:rPr>
        <w:t xml:space="preserve"> в дозировке 0</w:t>
      </w:r>
      <w:r w:rsidR="00B275E3">
        <w:rPr>
          <w:rFonts w:eastAsiaTheme="minorHAnsi"/>
          <w:color w:val="000000" w:themeColor="text1"/>
          <w:lang w:eastAsia="en-US"/>
        </w:rPr>
        <w:t>,75</w:t>
      </w:r>
      <w:r w:rsidRPr="00D6050D">
        <w:rPr>
          <w:rFonts w:eastAsiaTheme="minorHAnsi"/>
          <w:color w:val="000000" w:themeColor="text1"/>
          <w:lang w:eastAsia="en-US"/>
        </w:rPr>
        <w:t xml:space="preserve"> мг</w:t>
      </w:r>
      <w:r>
        <w:rPr>
          <w:rFonts w:eastAsiaTheme="minorHAnsi"/>
          <w:color w:val="000000" w:themeColor="text1"/>
          <w:lang w:eastAsia="en-US"/>
        </w:rPr>
        <w:t>.</w:t>
      </w:r>
      <w:r w:rsidRPr="00D6050D">
        <w:rPr>
          <w:rFonts w:eastAsiaTheme="minorHAnsi"/>
          <w:color w:val="000000" w:themeColor="text1"/>
          <w:lang w:eastAsia="en-US"/>
        </w:rPr>
        <w:t xml:space="preserve"> </w:t>
      </w:r>
      <w:r w:rsidR="00195552" w:rsidRPr="0010702B">
        <w:rPr>
          <w:rFonts w:eastAsia="Calibri"/>
          <w:lang w:eastAsia="en-US"/>
        </w:rPr>
        <w:t>Исследование проводили с использованием прибора типа «</w:t>
      </w:r>
      <w:r w:rsidRPr="0010702B">
        <w:rPr>
          <w:rFonts w:eastAsia="Calibri"/>
          <w:lang w:eastAsia="en-US"/>
        </w:rPr>
        <w:t>Лопастная мешалка</w:t>
      </w:r>
      <w:r w:rsidR="00195552" w:rsidRPr="0010702B">
        <w:rPr>
          <w:rFonts w:eastAsia="Calibri"/>
          <w:lang w:eastAsia="en-US"/>
        </w:rPr>
        <w:t xml:space="preserve">» в условиях </w:t>
      </w:r>
      <w:r w:rsidR="000C3608" w:rsidRPr="0010702B">
        <w:rPr>
          <w:rFonts w:eastAsia="Calibri"/>
          <w:lang w:eastAsia="en-US"/>
        </w:rPr>
        <w:t>скорости вращения</w:t>
      </w:r>
      <w:r w:rsidR="00195552" w:rsidRPr="0010702B">
        <w:rPr>
          <w:rFonts w:eastAsia="Calibri"/>
          <w:lang w:eastAsia="en-US"/>
        </w:rPr>
        <w:t xml:space="preserve"> </w:t>
      </w:r>
      <w:r w:rsidRPr="0010702B">
        <w:rPr>
          <w:rFonts w:eastAsia="Calibri"/>
          <w:lang w:eastAsia="en-US"/>
        </w:rPr>
        <w:t>5</w:t>
      </w:r>
      <w:r w:rsidR="000C3608" w:rsidRPr="0010702B">
        <w:rPr>
          <w:rFonts w:eastAsia="Calibri"/>
          <w:lang w:eastAsia="en-US"/>
        </w:rPr>
        <w:t>0</w:t>
      </w:r>
      <w:r w:rsidR="00195552" w:rsidRPr="0010702B">
        <w:rPr>
          <w:rFonts w:eastAsia="Calibri"/>
          <w:lang w:eastAsia="en-US"/>
        </w:rPr>
        <w:t xml:space="preserve"> об/мин, температуре 37 ± 0,5 </w:t>
      </w:r>
      <w:r w:rsidR="00195552" w:rsidRPr="0010702B">
        <w:rPr>
          <w:rFonts w:eastAsia="Calibri"/>
          <w:vertAlign w:val="superscript"/>
          <w:lang w:eastAsia="en-US"/>
        </w:rPr>
        <w:t>о</w:t>
      </w:r>
      <w:r w:rsidR="00195552" w:rsidRPr="0010702B">
        <w:rPr>
          <w:rFonts w:eastAsia="Calibri"/>
          <w:lang w:eastAsia="en-US"/>
        </w:rPr>
        <w:t xml:space="preserve">С и объеме среды – </w:t>
      </w:r>
      <w:r w:rsidRPr="0010702B">
        <w:rPr>
          <w:rFonts w:eastAsia="Calibri"/>
          <w:lang w:eastAsia="en-US"/>
        </w:rPr>
        <w:t>5</w:t>
      </w:r>
      <w:r w:rsidR="00195552" w:rsidRPr="0010702B">
        <w:rPr>
          <w:rFonts w:eastAsia="Calibri"/>
          <w:lang w:eastAsia="en-US"/>
        </w:rPr>
        <w:t xml:space="preserve">00 мл. </w:t>
      </w:r>
    </w:p>
    <w:p w14:paraId="7A457FE2" w14:textId="446F2A8A" w:rsidR="00195552" w:rsidRPr="00051324" w:rsidRDefault="00195552" w:rsidP="00707D60">
      <w:pPr>
        <w:spacing w:after="0" w:line="240" w:lineRule="auto"/>
        <w:ind w:firstLine="709"/>
      </w:pPr>
      <w:r w:rsidRPr="0010702B">
        <w:rPr>
          <w:rFonts w:eastAsia="Calibri"/>
          <w:lang w:eastAsia="en-US"/>
        </w:rPr>
        <w:t xml:space="preserve">Для испытания использовали </w:t>
      </w:r>
      <w:r w:rsidR="000C3608" w:rsidRPr="0010702B">
        <w:rPr>
          <w:rFonts w:eastAsia="Calibri"/>
          <w:lang w:eastAsia="en-US"/>
        </w:rPr>
        <w:t>четыре</w:t>
      </w:r>
      <w:r w:rsidRPr="0010702B">
        <w:rPr>
          <w:rFonts w:eastAsia="Calibri"/>
          <w:lang w:eastAsia="en-US"/>
        </w:rPr>
        <w:t xml:space="preserve"> среды растворения: </w:t>
      </w:r>
      <w:r w:rsidR="0010702B" w:rsidRPr="0010702B">
        <w:rPr>
          <w:rFonts w:eastAsia="Calibri"/>
          <w:lang w:eastAsia="en-US"/>
        </w:rPr>
        <w:t>0</w:t>
      </w:r>
      <w:r w:rsidR="0010702B" w:rsidRPr="0010702B">
        <w:rPr>
          <w:color w:val="000000"/>
        </w:rPr>
        <w:t>,4% раствор натрия лаурилсульфата</w:t>
      </w:r>
      <w:r w:rsidR="0010702B" w:rsidRPr="0010702B">
        <w:t xml:space="preserve"> (среда по НД), солнокислый буферный раствор </w:t>
      </w:r>
      <w:r w:rsidR="0010702B" w:rsidRPr="0010702B">
        <w:rPr>
          <w:lang w:val="en-US"/>
        </w:rPr>
        <w:t>pH</w:t>
      </w:r>
      <w:r w:rsidR="0010702B" w:rsidRPr="0010702B">
        <w:t xml:space="preserve"> 1,2</w:t>
      </w:r>
      <w:r w:rsidR="000C3608" w:rsidRPr="0010702B">
        <w:t xml:space="preserve">, ацетатный буферный раствор </w:t>
      </w:r>
      <w:r w:rsidR="000C3608" w:rsidRPr="0010702B">
        <w:rPr>
          <w:lang w:val="en-US"/>
        </w:rPr>
        <w:t>pH</w:t>
      </w:r>
      <w:r w:rsidR="000C3608" w:rsidRPr="0010702B">
        <w:t xml:space="preserve"> 4,5 и фосфатный буферный раствор </w:t>
      </w:r>
      <w:r w:rsidR="000C3608" w:rsidRPr="0010702B">
        <w:rPr>
          <w:lang w:val="en-US"/>
        </w:rPr>
        <w:t>pH</w:t>
      </w:r>
      <w:r w:rsidR="000C3608" w:rsidRPr="0010702B">
        <w:t xml:space="preserve"> 6,8. </w:t>
      </w:r>
      <w:r w:rsidRPr="0010702B">
        <w:rPr>
          <w:rFonts w:eastAsia="Calibri"/>
          <w:lang w:eastAsia="en-US"/>
        </w:rPr>
        <w:t xml:space="preserve">Анализ проб в точках </w:t>
      </w:r>
      <w:r w:rsidR="0010702B" w:rsidRPr="0010702B">
        <w:rPr>
          <w:rFonts w:eastAsia="Calibri"/>
          <w:lang w:eastAsia="en-US"/>
        </w:rPr>
        <w:t>10</w:t>
      </w:r>
      <w:r w:rsidR="000C3608" w:rsidRPr="0010702B">
        <w:rPr>
          <w:rFonts w:eastAsia="Calibri"/>
          <w:lang w:eastAsia="en-US"/>
        </w:rPr>
        <w:t>, 1</w:t>
      </w:r>
      <w:r w:rsidR="0010702B" w:rsidRPr="0010702B">
        <w:rPr>
          <w:rFonts w:eastAsia="Calibri"/>
          <w:lang w:eastAsia="en-US"/>
        </w:rPr>
        <w:t>5</w:t>
      </w:r>
      <w:r w:rsidR="000C3608" w:rsidRPr="0010702B">
        <w:rPr>
          <w:rFonts w:eastAsia="Calibri"/>
          <w:lang w:eastAsia="en-US"/>
        </w:rPr>
        <w:t>, 20</w:t>
      </w:r>
      <w:r w:rsidR="000C3608" w:rsidRPr="00051324">
        <w:rPr>
          <w:rFonts w:eastAsia="Calibri"/>
          <w:lang w:eastAsia="en-US"/>
        </w:rPr>
        <w:t>, 30, 45</w:t>
      </w:r>
      <w:r w:rsidRPr="00051324">
        <w:rPr>
          <w:rFonts w:eastAsia="Calibri"/>
          <w:lang w:eastAsia="en-US"/>
        </w:rPr>
        <w:t xml:space="preserve"> мин выполняли методом </w:t>
      </w:r>
      <w:r w:rsidR="0010702B" w:rsidRPr="00051324">
        <w:rPr>
          <w:rFonts w:eastAsia="Calibri"/>
          <w:lang w:eastAsia="en-US"/>
        </w:rPr>
        <w:t>ВЭЖК</w:t>
      </w:r>
      <w:r w:rsidRPr="00051324">
        <w:rPr>
          <w:rFonts w:eastAsia="Calibri"/>
          <w:lang w:eastAsia="en-US"/>
        </w:rPr>
        <w:t>.</w:t>
      </w:r>
    </w:p>
    <w:p w14:paraId="49AFBB22" w14:textId="0EDD0DA1" w:rsidR="0010702B" w:rsidRDefault="00195552" w:rsidP="00051324">
      <w:pPr>
        <w:spacing w:after="0" w:line="240" w:lineRule="auto"/>
        <w:ind w:firstLine="708"/>
        <w:rPr>
          <w:color w:val="000000" w:themeColor="text1"/>
        </w:rPr>
      </w:pPr>
      <w:r w:rsidRPr="00051324">
        <w:rPr>
          <w:rFonts w:eastAsia="Calibri"/>
          <w:lang w:eastAsia="en-US"/>
        </w:rPr>
        <w:t xml:space="preserve">В результате исследований как исследуемого, так и референтного препарата, </w:t>
      </w:r>
      <w:r w:rsidR="0010702B" w:rsidRPr="00051324">
        <w:rPr>
          <w:rFonts w:eastAsia="Calibri"/>
          <w:lang w:eastAsia="en-US"/>
        </w:rPr>
        <w:t>в среде</w:t>
      </w:r>
      <w:r w:rsidRPr="00051324">
        <w:rPr>
          <w:rFonts w:eastAsia="Calibri"/>
          <w:lang w:eastAsia="en-US"/>
        </w:rPr>
        <w:t xml:space="preserve"> </w:t>
      </w:r>
      <w:r w:rsidR="0010702B" w:rsidRPr="00051324">
        <w:rPr>
          <w:rFonts w:eastAsia="Calibri"/>
          <w:lang w:eastAsia="en-US"/>
        </w:rPr>
        <w:t>по НД (0</w:t>
      </w:r>
      <w:r w:rsidR="0010702B" w:rsidRPr="00051324">
        <w:rPr>
          <w:color w:val="000000"/>
        </w:rPr>
        <w:t>,4% раствор натрия лаурилсульфата)</w:t>
      </w:r>
      <w:r w:rsidR="0010702B" w:rsidRPr="00051324">
        <w:rPr>
          <w:rFonts w:eastAsia="Calibri"/>
          <w:lang w:eastAsia="en-US"/>
        </w:rPr>
        <w:t xml:space="preserve"> </w:t>
      </w:r>
      <w:r w:rsidRPr="004327EA">
        <w:rPr>
          <w:rFonts w:eastAsia="Calibri"/>
          <w:lang w:eastAsia="en-US"/>
        </w:rPr>
        <w:t>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w:t>
      </w:r>
      <w:r w:rsidRPr="00051324">
        <w:rPr>
          <w:rFonts w:eastAsia="Calibri"/>
          <w:lang w:eastAsia="en-US"/>
        </w:rPr>
        <w:t xml:space="preserve"> </w:t>
      </w:r>
      <w:r w:rsidR="00051324" w:rsidRPr="00051324">
        <w:rPr>
          <w:rFonts w:eastAsia="Calibri"/>
          <w:lang w:eastAsia="en-US"/>
        </w:rPr>
        <w:t>Также, после математической оценки определения фактора подобия, установлено, что кинетика растворения эквивалентна для исследуемого препарата и референтного препарата в</w:t>
      </w:r>
      <w:r w:rsidR="004327EA">
        <w:rPr>
          <w:rFonts w:eastAsia="Calibri"/>
          <w:lang w:eastAsia="en-US"/>
        </w:rPr>
        <w:t>о всех</w:t>
      </w:r>
      <w:r w:rsidR="00051324" w:rsidRPr="00051324">
        <w:rPr>
          <w:rFonts w:eastAsia="Calibri"/>
          <w:lang w:eastAsia="en-US"/>
        </w:rPr>
        <w:t xml:space="preserve"> средах </w:t>
      </w:r>
      <w:r w:rsidR="004327EA">
        <w:rPr>
          <w:rFonts w:eastAsia="Calibri"/>
          <w:lang w:eastAsia="en-US"/>
        </w:rPr>
        <w:t xml:space="preserve">растворения (0,4% раствор натрия лаурилсульфата (среда по НД), буферный раствор </w:t>
      </w:r>
      <w:r w:rsidR="004327EA">
        <w:rPr>
          <w:rFonts w:eastAsia="Calibri"/>
          <w:lang w:val="en-US" w:eastAsia="en-US"/>
        </w:rPr>
        <w:t>pH</w:t>
      </w:r>
      <w:r w:rsidR="004327EA">
        <w:rPr>
          <w:rFonts w:eastAsia="Calibri"/>
          <w:lang w:eastAsia="en-US"/>
        </w:rPr>
        <w:t xml:space="preserve"> 1,2, </w:t>
      </w:r>
      <w:r w:rsidR="00051324" w:rsidRPr="00051324">
        <w:t xml:space="preserve">ацетатный буферный раствор </w:t>
      </w:r>
      <w:r w:rsidR="00051324" w:rsidRPr="00051324">
        <w:rPr>
          <w:lang w:val="en-US"/>
        </w:rPr>
        <w:t>pH</w:t>
      </w:r>
      <w:r w:rsidR="00051324" w:rsidRPr="00051324">
        <w:t xml:space="preserve"> 4,5 и фосфатный буферный раствор </w:t>
      </w:r>
      <w:r w:rsidR="00051324" w:rsidRPr="00051324">
        <w:rPr>
          <w:lang w:val="en-US"/>
        </w:rPr>
        <w:t>pH</w:t>
      </w:r>
      <w:r w:rsidR="00051324" w:rsidRPr="00051324">
        <w:t xml:space="preserve"> 6,8</w:t>
      </w:r>
      <w:r w:rsidR="004327EA">
        <w:t>)</w:t>
      </w:r>
      <w:r w:rsidR="00051324" w:rsidRPr="00051324">
        <w:t xml:space="preserve">. </w:t>
      </w:r>
      <w:r w:rsidR="0010702B" w:rsidRPr="00051324">
        <w:rPr>
          <w:color w:val="000000" w:themeColor="text1"/>
        </w:rPr>
        <w:t xml:space="preserve">Результаты теста сравнительной кинетики растворения (ТСКР) приведены </w:t>
      </w:r>
      <w:r w:rsidR="00051324" w:rsidRPr="00051324">
        <w:rPr>
          <w:color w:val="000000" w:themeColor="text1"/>
        </w:rPr>
        <w:t>в таблице 2-3 и на рисунках 2-2 – 2-5</w:t>
      </w:r>
      <w:r w:rsidR="0010702B" w:rsidRPr="00051324">
        <w:rPr>
          <w:color w:val="000000" w:themeColor="text1"/>
        </w:rPr>
        <w:t>.</w:t>
      </w:r>
    </w:p>
    <w:p w14:paraId="03334D9D" w14:textId="1F2C3F31" w:rsidR="00051324" w:rsidRDefault="00051324" w:rsidP="00051324">
      <w:pPr>
        <w:spacing w:after="0" w:line="240" w:lineRule="auto"/>
        <w:rPr>
          <w:color w:val="000000" w:themeColor="text1"/>
        </w:rPr>
      </w:pPr>
    </w:p>
    <w:p w14:paraId="04929298" w14:textId="2D6D5FD8" w:rsidR="00051324" w:rsidRPr="00D6050D" w:rsidRDefault="00051324" w:rsidP="00051324">
      <w:pPr>
        <w:spacing w:after="0" w:line="240" w:lineRule="auto"/>
        <w:rPr>
          <w:color w:val="000000" w:themeColor="text1"/>
        </w:rPr>
      </w:pPr>
      <w:r w:rsidRPr="00D6050D">
        <w:rPr>
          <w:b/>
        </w:rPr>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sidRPr="00D6050D">
        <w:rPr>
          <w:color w:val="000000" w:themeColor="text1"/>
          <w:lang w:val="en-US"/>
        </w:rPr>
        <w:t>DT</w:t>
      </w:r>
      <w:r w:rsidRPr="00D6050D">
        <w:rPr>
          <w:color w:val="000000" w:themeColor="text1"/>
        </w:rPr>
        <w:t>-</w:t>
      </w:r>
      <w:r>
        <w:rPr>
          <w:color w:val="000000" w:themeColor="text1"/>
          <w:lang w:val="en-US"/>
        </w:rPr>
        <w:t>EVR</w:t>
      </w:r>
      <w:r>
        <w:rPr>
          <w:color w:val="000000" w:themeColor="text1"/>
        </w:rPr>
        <w:t>, таблетки, 0</w:t>
      </w:r>
      <w:r w:rsidR="00B275E3">
        <w:rPr>
          <w:color w:val="000000" w:themeColor="text1"/>
        </w:rPr>
        <w:t>,75</w:t>
      </w:r>
      <w:r>
        <w:rPr>
          <w:color w:val="000000" w:themeColor="text1"/>
        </w:rPr>
        <w:t xml:space="preserve"> мг</w:t>
      </w:r>
      <w:r w:rsidRPr="00D6050D">
        <w:rPr>
          <w:color w:val="000000" w:themeColor="text1"/>
        </w:rPr>
        <w:t xml:space="preserve"> в сравнении с препаратом </w:t>
      </w:r>
      <w:r w:rsidR="00B275E3">
        <w:rPr>
          <w:color w:val="000000" w:themeColor="text1"/>
        </w:rPr>
        <w:t>Сертикан</w:t>
      </w:r>
      <w:r>
        <w:rPr>
          <w:color w:val="000000" w:themeColor="text1"/>
          <w:vertAlign w:val="superscript"/>
        </w:rPr>
        <w:t>®,</w:t>
      </w:r>
      <w:r w:rsidRPr="0026130A">
        <w:rPr>
          <w:color w:val="000000" w:themeColor="text1"/>
        </w:rPr>
        <w:t xml:space="preserve"> </w:t>
      </w:r>
      <w:r w:rsidR="00B275E3">
        <w:rPr>
          <w:color w:val="000000" w:themeColor="text1"/>
        </w:rPr>
        <w:t xml:space="preserve">таблетки, </w:t>
      </w:r>
      <w:r>
        <w:rPr>
          <w:color w:val="000000" w:themeColor="text1"/>
        </w:rPr>
        <w:t>0</w:t>
      </w:r>
      <w:r w:rsidR="00B275E3">
        <w:rPr>
          <w:color w:val="000000" w:themeColor="text1"/>
        </w:rPr>
        <w:t>,75</w:t>
      </w:r>
      <w:r>
        <w:rPr>
          <w:color w:val="000000" w:themeColor="text1"/>
        </w:rPr>
        <w:t xml:space="preserve"> мг</w:t>
      </w:r>
      <w:r w:rsidRPr="00D6050D">
        <w:rPr>
          <w:color w:val="000000" w:themeColor="text1"/>
        </w:rPr>
        <w:t>.</w:t>
      </w:r>
    </w:p>
    <w:tbl>
      <w:tblPr>
        <w:tblStyle w:val="a8"/>
        <w:tblW w:w="9356" w:type="dxa"/>
        <w:tblInd w:w="-5" w:type="dxa"/>
        <w:tblLook w:val="04A0" w:firstRow="1" w:lastRow="0" w:firstColumn="1" w:lastColumn="0" w:noHBand="0" w:noVBand="1"/>
      </w:tblPr>
      <w:tblGrid>
        <w:gridCol w:w="2400"/>
        <w:gridCol w:w="913"/>
        <w:gridCol w:w="2974"/>
        <w:gridCol w:w="3069"/>
      </w:tblGrid>
      <w:tr w:rsidR="00051324" w:rsidRPr="00001701" w14:paraId="7B1AF0CE" w14:textId="77777777" w:rsidTr="008A7500">
        <w:trPr>
          <w:trHeight w:val="255"/>
          <w:tblHeader/>
        </w:trPr>
        <w:tc>
          <w:tcPr>
            <w:tcW w:w="2400" w:type="dxa"/>
            <w:vMerge w:val="restart"/>
            <w:shd w:val="clear" w:color="auto" w:fill="D9D9D9" w:themeFill="background1" w:themeFillShade="D9"/>
            <w:vAlign w:val="center"/>
          </w:tcPr>
          <w:p w14:paraId="060E964E" w14:textId="77777777" w:rsidR="00051324" w:rsidRPr="00D6050D" w:rsidRDefault="00051324" w:rsidP="00E75A3B">
            <w:pPr>
              <w:jc w:val="center"/>
              <w:rPr>
                <w:b/>
              </w:rPr>
            </w:pPr>
            <w:r w:rsidRPr="00D6050D">
              <w:rPr>
                <w:b/>
              </w:rPr>
              <w:t>Среда</w:t>
            </w:r>
          </w:p>
          <w:p w14:paraId="78A8F3F1" w14:textId="77777777" w:rsidR="00051324" w:rsidRPr="00D6050D" w:rsidRDefault="00051324" w:rsidP="00E75A3B">
            <w:pPr>
              <w:jc w:val="center"/>
              <w:rPr>
                <w:b/>
              </w:rPr>
            </w:pPr>
            <w:r w:rsidRPr="00D6050D">
              <w:rPr>
                <w:b/>
              </w:rPr>
              <w:t>растворения</w:t>
            </w:r>
          </w:p>
        </w:tc>
        <w:tc>
          <w:tcPr>
            <w:tcW w:w="913" w:type="dxa"/>
            <w:vMerge w:val="restart"/>
            <w:shd w:val="clear" w:color="auto" w:fill="D9D9D9" w:themeFill="background1" w:themeFillShade="D9"/>
            <w:vAlign w:val="center"/>
          </w:tcPr>
          <w:p w14:paraId="04A35AF1" w14:textId="77777777" w:rsidR="00051324" w:rsidRPr="00D6050D" w:rsidRDefault="00051324" w:rsidP="00E75A3B">
            <w:pPr>
              <w:ind w:left="-57" w:right="-57"/>
              <w:jc w:val="center"/>
              <w:rPr>
                <w:b/>
              </w:rPr>
            </w:pPr>
            <w:r w:rsidRPr="00D6050D">
              <w:rPr>
                <w:b/>
              </w:rPr>
              <w:t>Время. мин</w:t>
            </w:r>
          </w:p>
        </w:tc>
        <w:tc>
          <w:tcPr>
            <w:tcW w:w="6043" w:type="dxa"/>
            <w:gridSpan w:val="2"/>
            <w:shd w:val="clear" w:color="auto" w:fill="D9D9D9" w:themeFill="background1" w:themeFillShade="D9"/>
            <w:vAlign w:val="center"/>
          </w:tcPr>
          <w:p w14:paraId="09E482BB" w14:textId="77777777" w:rsidR="00051324" w:rsidRPr="00D6050D" w:rsidRDefault="00051324" w:rsidP="00E75A3B">
            <w:pPr>
              <w:ind w:left="-57" w:right="-57"/>
              <w:jc w:val="center"/>
              <w:rPr>
                <w:b/>
              </w:rPr>
            </w:pPr>
            <w:r w:rsidRPr="00D6050D">
              <w:rPr>
                <w:b/>
              </w:rPr>
              <w:t>Количество высвободившегося основного</w:t>
            </w:r>
          </w:p>
          <w:p w14:paraId="1E77F5BC" w14:textId="77777777" w:rsidR="00051324" w:rsidRPr="00D6050D" w:rsidRDefault="00051324" w:rsidP="00E75A3B">
            <w:pPr>
              <w:ind w:left="-57" w:right="-57"/>
              <w:jc w:val="center"/>
              <w:rPr>
                <w:b/>
              </w:rPr>
            </w:pPr>
            <w:r w:rsidRPr="00D6050D">
              <w:rPr>
                <w:b/>
              </w:rPr>
              <w:t>вещества, %</w:t>
            </w:r>
          </w:p>
        </w:tc>
      </w:tr>
      <w:tr w:rsidR="00051324" w:rsidRPr="00001701" w14:paraId="169C4532" w14:textId="77777777" w:rsidTr="008A7500">
        <w:trPr>
          <w:trHeight w:val="170"/>
          <w:tblHeader/>
        </w:trPr>
        <w:tc>
          <w:tcPr>
            <w:tcW w:w="2400" w:type="dxa"/>
            <w:vMerge/>
            <w:shd w:val="clear" w:color="auto" w:fill="D9D9D9" w:themeFill="background1" w:themeFillShade="D9"/>
            <w:vAlign w:val="center"/>
          </w:tcPr>
          <w:p w14:paraId="539501ED" w14:textId="77777777" w:rsidR="00051324" w:rsidRPr="00D6050D" w:rsidRDefault="00051324" w:rsidP="00E75A3B">
            <w:pPr>
              <w:spacing w:before="120" w:after="120"/>
              <w:rPr>
                <w:b/>
              </w:rPr>
            </w:pPr>
          </w:p>
        </w:tc>
        <w:tc>
          <w:tcPr>
            <w:tcW w:w="913" w:type="dxa"/>
            <w:vMerge/>
            <w:shd w:val="clear" w:color="auto" w:fill="D9D9D9" w:themeFill="background1" w:themeFillShade="D9"/>
            <w:vAlign w:val="center"/>
          </w:tcPr>
          <w:p w14:paraId="1677BAF1" w14:textId="77777777" w:rsidR="00051324" w:rsidRPr="00D6050D" w:rsidRDefault="00051324" w:rsidP="00E75A3B">
            <w:pPr>
              <w:spacing w:before="120" w:after="120"/>
              <w:rPr>
                <w:b/>
              </w:rPr>
            </w:pPr>
          </w:p>
        </w:tc>
        <w:tc>
          <w:tcPr>
            <w:tcW w:w="2974" w:type="dxa"/>
            <w:shd w:val="clear" w:color="auto" w:fill="D9D9D9" w:themeFill="background1" w:themeFillShade="D9"/>
            <w:vAlign w:val="center"/>
          </w:tcPr>
          <w:p w14:paraId="0A4B5ADD" w14:textId="59A1D569" w:rsidR="00051324" w:rsidRPr="00051324" w:rsidRDefault="00051324" w:rsidP="00E75A3B">
            <w:pPr>
              <w:jc w:val="center"/>
              <w:rPr>
                <w:b/>
                <w:lang w:val="en-US"/>
              </w:rPr>
            </w:pPr>
            <w:r w:rsidRPr="0026130A">
              <w:rPr>
                <w:b/>
              </w:rPr>
              <w:t>DT-</w:t>
            </w:r>
            <w:r>
              <w:rPr>
                <w:b/>
                <w:lang w:val="en-US"/>
              </w:rPr>
              <w:t>EVR</w:t>
            </w:r>
          </w:p>
          <w:p w14:paraId="07E98351" w14:textId="02F9F31D" w:rsidR="00051324" w:rsidRPr="00D6050D" w:rsidRDefault="00051324" w:rsidP="00E75A3B">
            <w:pPr>
              <w:jc w:val="center"/>
              <w:rPr>
                <w:b/>
              </w:rPr>
            </w:pPr>
            <w:r>
              <w:rPr>
                <w:b/>
              </w:rPr>
              <w:t>(серия</w:t>
            </w:r>
            <w:r w:rsidR="004327EA">
              <w:rPr>
                <w:b/>
              </w:rPr>
              <w:t xml:space="preserve"> 011022</w:t>
            </w:r>
            <w:r>
              <w:rPr>
                <w:b/>
              </w:rPr>
              <w:t>)</w:t>
            </w:r>
          </w:p>
        </w:tc>
        <w:tc>
          <w:tcPr>
            <w:tcW w:w="3069" w:type="dxa"/>
            <w:shd w:val="clear" w:color="auto" w:fill="D9D9D9" w:themeFill="background1" w:themeFillShade="D9"/>
            <w:vAlign w:val="center"/>
          </w:tcPr>
          <w:p w14:paraId="245F624A" w14:textId="7E56487B" w:rsidR="00051324" w:rsidRPr="00D6050D" w:rsidRDefault="004327EA" w:rsidP="00E75A3B">
            <w:pPr>
              <w:jc w:val="center"/>
              <w:rPr>
                <w:b/>
              </w:rPr>
            </w:pPr>
            <w:r>
              <w:rPr>
                <w:b/>
              </w:rPr>
              <w:t>Сертикан</w:t>
            </w:r>
            <w:r w:rsidR="00051324" w:rsidRPr="00D6050D">
              <w:rPr>
                <w:b/>
                <w:color w:val="000000" w:themeColor="text1"/>
                <w:vertAlign w:val="superscript"/>
              </w:rPr>
              <w:t>®</w:t>
            </w:r>
            <w:r w:rsidR="00051324" w:rsidRPr="00D6050D">
              <w:rPr>
                <w:b/>
              </w:rPr>
              <w:t xml:space="preserve"> </w:t>
            </w:r>
          </w:p>
          <w:p w14:paraId="7A4A7CA2" w14:textId="7921805F" w:rsidR="00051324" w:rsidRPr="0026130A" w:rsidRDefault="00051324" w:rsidP="00051324">
            <w:pPr>
              <w:jc w:val="center"/>
              <w:rPr>
                <w:b/>
              </w:rPr>
            </w:pPr>
            <w:r>
              <w:rPr>
                <w:b/>
              </w:rPr>
              <w:t>(</w:t>
            </w:r>
            <w:r w:rsidRPr="004327EA">
              <w:rPr>
                <w:b/>
              </w:rPr>
              <w:t xml:space="preserve">серия </w:t>
            </w:r>
            <w:r w:rsidR="004327EA" w:rsidRPr="004327EA">
              <w:rPr>
                <w:b/>
              </w:rPr>
              <w:t>LV18901221</w:t>
            </w:r>
            <w:r w:rsidRPr="004327EA">
              <w:rPr>
                <w:b/>
              </w:rPr>
              <w:t>)</w:t>
            </w:r>
          </w:p>
        </w:tc>
      </w:tr>
      <w:tr w:rsidR="00051324" w:rsidRPr="00001701" w14:paraId="55F27603" w14:textId="77777777" w:rsidTr="008A7500">
        <w:trPr>
          <w:trHeight w:val="240"/>
        </w:trPr>
        <w:tc>
          <w:tcPr>
            <w:tcW w:w="2400" w:type="dxa"/>
            <w:vMerge w:val="restart"/>
            <w:vAlign w:val="center"/>
          </w:tcPr>
          <w:p w14:paraId="041749D6" w14:textId="06679EA3" w:rsidR="00051324" w:rsidRPr="00051324" w:rsidRDefault="00051324" w:rsidP="00051324">
            <w:pPr>
              <w:jc w:val="center"/>
              <w:rPr>
                <w:color w:val="000000"/>
              </w:rPr>
            </w:pPr>
            <w:r w:rsidRPr="00051324">
              <w:rPr>
                <w:color w:val="000000" w:themeColor="text1"/>
              </w:rPr>
              <w:t>0</w:t>
            </w:r>
            <w:r>
              <w:rPr>
                <w:color w:val="000000" w:themeColor="text1"/>
              </w:rPr>
              <w:t>,</w:t>
            </w:r>
            <w:r w:rsidRPr="00051324">
              <w:rPr>
                <w:color w:val="000000" w:themeColor="text1"/>
              </w:rPr>
              <w:t>4</w:t>
            </w:r>
            <w:r w:rsidRPr="00D6050D">
              <w:rPr>
                <w:color w:val="000000" w:themeColor="text1"/>
              </w:rPr>
              <w:t xml:space="preserve">% раствор </w:t>
            </w:r>
            <w:r>
              <w:rPr>
                <w:color w:val="000000" w:themeColor="text1"/>
              </w:rPr>
              <w:t>натрия лаурилсульфата (среда НД)</w:t>
            </w:r>
          </w:p>
        </w:tc>
        <w:tc>
          <w:tcPr>
            <w:tcW w:w="913" w:type="dxa"/>
          </w:tcPr>
          <w:p w14:paraId="0C7852D7" w14:textId="77777777" w:rsidR="00051324" w:rsidRPr="00D6050D" w:rsidRDefault="00051324" w:rsidP="00E75A3B">
            <w:pPr>
              <w:jc w:val="center"/>
              <w:rPr>
                <w:color w:val="000000"/>
              </w:rPr>
            </w:pPr>
            <w:r w:rsidRPr="00D6050D">
              <w:rPr>
                <w:color w:val="000000"/>
              </w:rPr>
              <w:t>10</w:t>
            </w:r>
          </w:p>
        </w:tc>
        <w:tc>
          <w:tcPr>
            <w:tcW w:w="2974" w:type="dxa"/>
          </w:tcPr>
          <w:p w14:paraId="7F0EA924" w14:textId="4E4BEA96" w:rsidR="00051324" w:rsidRPr="00535B9A" w:rsidRDefault="004327EA" w:rsidP="00E75A3B">
            <w:pPr>
              <w:jc w:val="center"/>
              <w:rPr>
                <w:color w:val="000000"/>
              </w:rPr>
            </w:pPr>
            <w:r>
              <w:rPr>
                <w:color w:val="000000"/>
              </w:rPr>
              <w:t>97</w:t>
            </w:r>
          </w:p>
        </w:tc>
        <w:tc>
          <w:tcPr>
            <w:tcW w:w="3069" w:type="dxa"/>
          </w:tcPr>
          <w:p w14:paraId="707BBC44" w14:textId="69ACF8E0" w:rsidR="00051324" w:rsidRPr="00535B9A" w:rsidRDefault="004327EA" w:rsidP="00E75A3B">
            <w:pPr>
              <w:jc w:val="center"/>
              <w:rPr>
                <w:color w:val="000000"/>
              </w:rPr>
            </w:pPr>
            <w:r>
              <w:rPr>
                <w:color w:val="000000"/>
              </w:rPr>
              <w:t>89</w:t>
            </w:r>
          </w:p>
        </w:tc>
      </w:tr>
      <w:tr w:rsidR="00051324" w:rsidRPr="00001701" w14:paraId="5227A3A2" w14:textId="77777777" w:rsidTr="008A7500">
        <w:trPr>
          <w:trHeight w:val="240"/>
        </w:trPr>
        <w:tc>
          <w:tcPr>
            <w:tcW w:w="2400" w:type="dxa"/>
            <w:vMerge/>
            <w:vAlign w:val="center"/>
          </w:tcPr>
          <w:p w14:paraId="51A62DED" w14:textId="77777777" w:rsidR="00051324" w:rsidRPr="00D6050D" w:rsidRDefault="00051324" w:rsidP="00E75A3B">
            <w:pPr>
              <w:jc w:val="center"/>
              <w:rPr>
                <w:color w:val="000000"/>
              </w:rPr>
            </w:pPr>
          </w:p>
        </w:tc>
        <w:tc>
          <w:tcPr>
            <w:tcW w:w="913" w:type="dxa"/>
          </w:tcPr>
          <w:p w14:paraId="6F3CB8F5" w14:textId="77777777" w:rsidR="00051324" w:rsidRPr="00D6050D" w:rsidRDefault="00051324" w:rsidP="00E75A3B">
            <w:pPr>
              <w:jc w:val="center"/>
              <w:rPr>
                <w:color w:val="000000"/>
              </w:rPr>
            </w:pPr>
            <w:r w:rsidRPr="00D6050D">
              <w:rPr>
                <w:color w:val="000000"/>
              </w:rPr>
              <w:t>15</w:t>
            </w:r>
          </w:p>
        </w:tc>
        <w:tc>
          <w:tcPr>
            <w:tcW w:w="2974" w:type="dxa"/>
          </w:tcPr>
          <w:p w14:paraId="0790835F" w14:textId="0BD15836" w:rsidR="00051324" w:rsidRPr="00535B9A" w:rsidRDefault="004327EA" w:rsidP="00E75A3B">
            <w:pPr>
              <w:jc w:val="center"/>
              <w:rPr>
                <w:color w:val="000000"/>
              </w:rPr>
            </w:pPr>
            <w:r>
              <w:rPr>
                <w:color w:val="000000"/>
              </w:rPr>
              <w:t>97</w:t>
            </w:r>
          </w:p>
        </w:tc>
        <w:tc>
          <w:tcPr>
            <w:tcW w:w="3069" w:type="dxa"/>
          </w:tcPr>
          <w:p w14:paraId="4E0C8A6F" w14:textId="42F23E57" w:rsidR="00051324" w:rsidRPr="00535B9A" w:rsidRDefault="004327EA" w:rsidP="00E75A3B">
            <w:pPr>
              <w:jc w:val="center"/>
              <w:rPr>
                <w:color w:val="000000"/>
              </w:rPr>
            </w:pPr>
            <w:r>
              <w:rPr>
                <w:color w:val="000000"/>
              </w:rPr>
              <w:t>95</w:t>
            </w:r>
          </w:p>
        </w:tc>
      </w:tr>
      <w:tr w:rsidR="00051324" w:rsidRPr="00001701" w14:paraId="53E54E0F" w14:textId="77777777" w:rsidTr="008A7500">
        <w:trPr>
          <w:trHeight w:val="240"/>
        </w:trPr>
        <w:tc>
          <w:tcPr>
            <w:tcW w:w="2400" w:type="dxa"/>
            <w:vMerge/>
            <w:vAlign w:val="center"/>
          </w:tcPr>
          <w:p w14:paraId="55BD597D" w14:textId="77777777" w:rsidR="00051324" w:rsidRPr="00D6050D" w:rsidRDefault="00051324" w:rsidP="00E75A3B">
            <w:pPr>
              <w:jc w:val="center"/>
              <w:rPr>
                <w:color w:val="000000"/>
              </w:rPr>
            </w:pPr>
          </w:p>
        </w:tc>
        <w:tc>
          <w:tcPr>
            <w:tcW w:w="913" w:type="dxa"/>
          </w:tcPr>
          <w:p w14:paraId="5C1EEFDE" w14:textId="77777777" w:rsidR="00051324" w:rsidRPr="00D6050D" w:rsidRDefault="00051324" w:rsidP="00E75A3B">
            <w:pPr>
              <w:jc w:val="center"/>
              <w:rPr>
                <w:color w:val="000000"/>
              </w:rPr>
            </w:pPr>
            <w:r w:rsidRPr="00D6050D">
              <w:rPr>
                <w:color w:val="000000"/>
              </w:rPr>
              <w:t>20</w:t>
            </w:r>
          </w:p>
        </w:tc>
        <w:tc>
          <w:tcPr>
            <w:tcW w:w="2974" w:type="dxa"/>
          </w:tcPr>
          <w:p w14:paraId="29E50139" w14:textId="575ED107" w:rsidR="00051324" w:rsidRPr="00535B9A" w:rsidRDefault="004327EA" w:rsidP="00E75A3B">
            <w:pPr>
              <w:jc w:val="center"/>
              <w:rPr>
                <w:color w:val="000000"/>
              </w:rPr>
            </w:pPr>
            <w:r>
              <w:rPr>
                <w:color w:val="000000"/>
              </w:rPr>
              <w:t>97</w:t>
            </w:r>
          </w:p>
        </w:tc>
        <w:tc>
          <w:tcPr>
            <w:tcW w:w="3069" w:type="dxa"/>
          </w:tcPr>
          <w:p w14:paraId="516CBEEC" w14:textId="456CB5BE" w:rsidR="00051324" w:rsidRPr="00535B9A" w:rsidRDefault="004327EA" w:rsidP="00E75A3B">
            <w:pPr>
              <w:jc w:val="center"/>
              <w:rPr>
                <w:color w:val="000000"/>
              </w:rPr>
            </w:pPr>
            <w:r>
              <w:rPr>
                <w:color w:val="000000"/>
              </w:rPr>
              <w:t>97</w:t>
            </w:r>
          </w:p>
        </w:tc>
      </w:tr>
      <w:tr w:rsidR="00051324" w:rsidRPr="00001701" w14:paraId="46996983" w14:textId="77777777" w:rsidTr="008A7500">
        <w:trPr>
          <w:trHeight w:val="225"/>
        </w:trPr>
        <w:tc>
          <w:tcPr>
            <w:tcW w:w="2400" w:type="dxa"/>
            <w:vMerge/>
            <w:vAlign w:val="center"/>
          </w:tcPr>
          <w:p w14:paraId="1EF065A0" w14:textId="77777777" w:rsidR="00051324" w:rsidRPr="00D6050D" w:rsidRDefault="00051324" w:rsidP="00E75A3B">
            <w:pPr>
              <w:jc w:val="center"/>
              <w:rPr>
                <w:color w:val="000000"/>
              </w:rPr>
            </w:pPr>
          </w:p>
        </w:tc>
        <w:tc>
          <w:tcPr>
            <w:tcW w:w="913" w:type="dxa"/>
          </w:tcPr>
          <w:p w14:paraId="07776C3E" w14:textId="77777777" w:rsidR="00051324" w:rsidRPr="00D6050D" w:rsidRDefault="00051324" w:rsidP="00E75A3B">
            <w:pPr>
              <w:jc w:val="center"/>
              <w:rPr>
                <w:color w:val="000000"/>
              </w:rPr>
            </w:pPr>
            <w:r w:rsidRPr="00D6050D">
              <w:rPr>
                <w:color w:val="000000"/>
              </w:rPr>
              <w:t>30</w:t>
            </w:r>
          </w:p>
        </w:tc>
        <w:tc>
          <w:tcPr>
            <w:tcW w:w="2974" w:type="dxa"/>
          </w:tcPr>
          <w:p w14:paraId="0B803415" w14:textId="65AC10DB" w:rsidR="00051324" w:rsidRPr="00535B9A" w:rsidRDefault="004327EA" w:rsidP="00E75A3B">
            <w:pPr>
              <w:jc w:val="center"/>
              <w:rPr>
                <w:color w:val="000000"/>
              </w:rPr>
            </w:pPr>
            <w:r>
              <w:rPr>
                <w:color w:val="000000"/>
              </w:rPr>
              <w:t>97</w:t>
            </w:r>
          </w:p>
        </w:tc>
        <w:tc>
          <w:tcPr>
            <w:tcW w:w="3069" w:type="dxa"/>
          </w:tcPr>
          <w:p w14:paraId="505ACDE3" w14:textId="50DD3724" w:rsidR="00051324" w:rsidRPr="00535B9A" w:rsidRDefault="004327EA" w:rsidP="00E75A3B">
            <w:pPr>
              <w:jc w:val="center"/>
              <w:rPr>
                <w:color w:val="000000"/>
              </w:rPr>
            </w:pPr>
            <w:r>
              <w:rPr>
                <w:color w:val="000000"/>
              </w:rPr>
              <w:t>98</w:t>
            </w:r>
          </w:p>
        </w:tc>
      </w:tr>
      <w:tr w:rsidR="00051324" w:rsidRPr="00001701" w14:paraId="3384927B" w14:textId="77777777" w:rsidTr="008A7500">
        <w:trPr>
          <w:trHeight w:val="315"/>
        </w:trPr>
        <w:tc>
          <w:tcPr>
            <w:tcW w:w="2400" w:type="dxa"/>
            <w:vMerge/>
            <w:vAlign w:val="center"/>
          </w:tcPr>
          <w:p w14:paraId="06719D96" w14:textId="77777777" w:rsidR="00051324" w:rsidRPr="00D6050D" w:rsidRDefault="00051324" w:rsidP="00E75A3B">
            <w:pPr>
              <w:jc w:val="center"/>
              <w:rPr>
                <w:color w:val="000000"/>
              </w:rPr>
            </w:pPr>
          </w:p>
        </w:tc>
        <w:tc>
          <w:tcPr>
            <w:tcW w:w="913" w:type="dxa"/>
          </w:tcPr>
          <w:p w14:paraId="4FB7328C" w14:textId="77777777" w:rsidR="00051324" w:rsidRPr="00D6050D" w:rsidRDefault="00051324" w:rsidP="00E75A3B">
            <w:pPr>
              <w:jc w:val="center"/>
              <w:rPr>
                <w:color w:val="000000"/>
              </w:rPr>
            </w:pPr>
            <w:r w:rsidRPr="00D6050D">
              <w:rPr>
                <w:color w:val="000000"/>
              </w:rPr>
              <w:t>45</w:t>
            </w:r>
          </w:p>
        </w:tc>
        <w:tc>
          <w:tcPr>
            <w:tcW w:w="2974" w:type="dxa"/>
          </w:tcPr>
          <w:p w14:paraId="421B0165" w14:textId="1E6F8286" w:rsidR="00051324" w:rsidRPr="00535B9A" w:rsidRDefault="004327EA" w:rsidP="00E75A3B">
            <w:pPr>
              <w:jc w:val="center"/>
              <w:rPr>
                <w:color w:val="000000"/>
              </w:rPr>
            </w:pPr>
            <w:r>
              <w:rPr>
                <w:color w:val="000000"/>
              </w:rPr>
              <w:t>98</w:t>
            </w:r>
          </w:p>
        </w:tc>
        <w:tc>
          <w:tcPr>
            <w:tcW w:w="3069" w:type="dxa"/>
          </w:tcPr>
          <w:p w14:paraId="2111660C" w14:textId="4E66BC16" w:rsidR="00051324" w:rsidRPr="00535B9A" w:rsidRDefault="004327EA" w:rsidP="00E75A3B">
            <w:pPr>
              <w:jc w:val="center"/>
              <w:rPr>
                <w:color w:val="000000"/>
              </w:rPr>
            </w:pPr>
            <w:r>
              <w:rPr>
                <w:color w:val="000000"/>
              </w:rPr>
              <w:t>99</w:t>
            </w:r>
          </w:p>
        </w:tc>
      </w:tr>
      <w:tr w:rsidR="00051324" w:rsidRPr="00001701" w14:paraId="22709D6E" w14:textId="77777777" w:rsidTr="008A7500">
        <w:trPr>
          <w:trHeight w:val="64"/>
        </w:trPr>
        <w:tc>
          <w:tcPr>
            <w:tcW w:w="3313" w:type="dxa"/>
            <w:gridSpan w:val="2"/>
            <w:vAlign w:val="center"/>
          </w:tcPr>
          <w:p w14:paraId="7FF45464" w14:textId="77777777" w:rsidR="00051324" w:rsidRPr="00D6050D" w:rsidRDefault="00051324" w:rsidP="004327EA">
            <w:pPr>
              <w:jc w:val="right"/>
              <w:rPr>
                <w:b/>
                <w:i/>
                <w:color w:val="000000"/>
              </w:rPr>
            </w:pPr>
            <w:r w:rsidRPr="00D6050D">
              <w:rPr>
                <w:b/>
                <w:i/>
                <w:color w:val="000000"/>
              </w:rPr>
              <w:t>фактор подобия f2</w:t>
            </w:r>
          </w:p>
        </w:tc>
        <w:tc>
          <w:tcPr>
            <w:tcW w:w="6043" w:type="dxa"/>
            <w:gridSpan w:val="2"/>
            <w:vAlign w:val="center"/>
          </w:tcPr>
          <w:p w14:paraId="5B568D1E" w14:textId="3E22BADB" w:rsidR="00051324" w:rsidRPr="00535B9A" w:rsidRDefault="004327EA" w:rsidP="004327EA">
            <w:pPr>
              <w:jc w:val="center"/>
              <w:rPr>
                <w:b/>
              </w:rPr>
            </w:pPr>
            <w:r>
              <w:rPr>
                <w:b/>
              </w:rPr>
              <w:t>эквивалентно</w:t>
            </w:r>
            <w:r w:rsidR="00535B9A" w:rsidRPr="00535B9A">
              <w:rPr>
                <w:b/>
              </w:rPr>
              <w:t xml:space="preserve"> без математической </w:t>
            </w:r>
            <w:r>
              <w:rPr>
                <w:b/>
              </w:rPr>
              <w:t>оценки</w:t>
            </w:r>
          </w:p>
        </w:tc>
      </w:tr>
      <w:tr w:rsidR="00051324" w:rsidRPr="00001701" w14:paraId="14607276" w14:textId="77777777" w:rsidTr="008A7500">
        <w:trPr>
          <w:trHeight w:val="225"/>
        </w:trPr>
        <w:tc>
          <w:tcPr>
            <w:tcW w:w="2400" w:type="dxa"/>
            <w:vMerge w:val="restart"/>
            <w:vAlign w:val="center"/>
          </w:tcPr>
          <w:p w14:paraId="55543D28" w14:textId="77777777" w:rsidR="00051324" w:rsidRPr="00535B9A" w:rsidRDefault="00051324" w:rsidP="00E75A3B">
            <w:pPr>
              <w:jc w:val="center"/>
              <w:rPr>
                <w:color w:val="000000"/>
              </w:rPr>
            </w:pPr>
            <w:r w:rsidRPr="00D6050D">
              <w:rPr>
                <w:color w:val="000000"/>
              </w:rPr>
              <w:t xml:space="preserve">Буферный раствор с </w:t>
            </w:r>
            <w:r w:rsidRPr="00D6050D">
              <w:rPr>
                <w:color w:val="000000"/>
                <w:lang w:val="en-US"/>
              </w:rPr>
              <w:t>pH</w:t>
            </w:r>
            <w:r w:rsidRPr="00535B9A">
              <w:rPr>
                <w:color w:val="000000"/>
              </w:rPr>
              <w:t xml:space="preserve"> 1,2</w:t>
            </w:r>
          </w:p>
        </w:tc>
        <w:tc>
          <w:tcPr>
            <w:tcW w:w="913" w:type="dxa"/>
            <w:vAlign w:val="center"/>
          </w:tcPr>
          <w:p w14:paraId="1BBB0A37" w14:textId="77777777" w:rsidR="00051324" w:rsidRPr="00D6050D" w:rsidRDefault="00051324" w:rsidP="00E75A3B">
            <w:pPr>
              <w:jc w:val="center"/>
              <w:rPr>
                <w:color w:val="000000"/>
              </w:rPr>
            </w:pPr>
            <w:r w:rsidRPr="00D6050D">
              <w:rPr>
                <w:color w:val="000000"/>
              </w:rPr>
              <w:t>10</w:t>
            </w:r>
          </w:p>
        </w:tc>
        <w:tc>
          <w:tcPr>
            <w:tcW w:w="2974" w:type="dxa"/>
            <w:vAlign w:val="center"/>
          </w:tcPr>
          <w:p w14:paraId="71839BEC" w14:textId="0EE3A4F4" w:rsidR="00051324" w:rsidRPr="00535B9A" w:rsidRDefault="004327EA" w:rsidP="00E75A3B">
            <w:pPr>
              <w:jc w:val="center"/>
            </w:pPr>
            <w:r>
              <w:t>13</w:t>
            </w:r>
          </w:p>
        </w:tc>
        <w:tc>
          <w:tcPr>
            <w:tcW w:w="3069" w:type="dxa"/>
            <w:vAlign w:val="center"/>
          </w:tcPr>
          <w:p w14:paraId="6101928F" w14:textId="6062127E" w:rsidR="00051324" w:rsidRPr="00535B9A" w:rsidRDefault="004327EA" w:rsidP="00E75A3B">
            <w:pPr>
              <w:jc w:val="center"/>
            </w:pPr>
            <w:r>
              <w:t>15</w:t>
            </w:r>
          </w:p>
        </w:tc>
      </w:tr>
      <w:tr w:rsidR="00051324" w:rsidRPr="00001701" w14:paraId="260DF84C" w14:textId="77777777" w:rsidTr="008A7500">
        <w:trPr>
          <w:trHeight w:val="195"/>
        </w:trPr>
        <w:tc>
          <w:tcPr>
            <w:tcW w:w="2400" w:type="dxa"/>
            <w:vMerge/>
            <w:vAlign w:val="center"/>
          </w:tcPr>
          <w:p w14:paraId="5313CBAB" w14:textId="77777777" w:rsidR="00051324" w:rsidRPr="00D6050D" w:rsidRDefault="00051324" w:rsidP="00E75A3B">
            <w:pPr>
              <w:jc w:val="center"/>
              <w:rPr>
                <w:color w:val="000000"/>
              </w:rPr>
            </w:pPr>
          </w:p>
        </w:tc>
        <w:tc>
          <w:tcPr>
            <w:tcW w:w="913" w:type="dxa"/>
            <w:vAlign w:val="center"/>
          </w:tcPr>
          <w:p w14:paraId="39793ECE" w14:textId="77777777" w:rsidR="00051324" w:rsidRPr="00D6050D" w:rsidRDefault="00051324" w:rsidP="00E75A3B">
            <w:pPr>
              <w:jc w:val="center"/>
              <w:rPr>
                <w:color w:val="000000"/>
              </w:rPr>
            </w:pPr>
            <w:r w:rsidRPr="00D6050D">
              <w:rPr>
                <w:color w:val="000000"/>
              </w:rPr>
              <w:t>15</w:t>
            </w:r>
          </w:p>
        </w:tc>
        <w:tc>
          <w:tcPr>
            <w:tcW w:w="2974" w:type="dxa"/>
            <w:vAlign w:val="center"/>
          </w:tcPr>
          <w:p w14:paraId="7B6B3CF3" w14:textId="69B37EFF" w:rsidR="00051324" w:rsidRPr="00535B9A" w:rsidRDefault="004327EA" w:rsidP="00E75A3B">
            <w:pPr>
              <w:jc w:val="center"/>
            </w:pPr>
            <w:r>
              <w:t>9</w:t>
            </w:r>
          </w:p>
        </w:tc>
        <w:tc>
          <w:tcPr>
            <w:tcW w:w="3069" w:type="dxa"/>
            <w:vAlign w:val="center"/>
          </w:tcPr>
          <w:p w14:paraId="5C0E277E" w14:textId="4C12262D" w:rsidR="00051324" w:rsidRPr="00535B9A" w:rsidRDefault="004327EA" w:rsidP="00E75A3B">
            <w:pPr>
              <w:jc w:val="center"/>
            </w:pPr>
            <w:r>
              <w:t>10</w:t>
            </w:r>
          </w:p>
        </w:tc>
      </w:tr>
      <w:tr w:rsidR="00051324" w:rsidRPr="00001701" w14:paraId="29493A7D" w14:textId="77777777" w:rsidTr="008A7500">
        <w:trPr>
          <w:trHeight w:val="225"/>
        </w:trPr>
        <w:tc>
          <w:tcPr>
            <w:tcW w:w="2400" w:type="dxa"/>
            <w:vMerge/>
            <w:vAlign w:val="center"/>
          </w:tcPr>
          <w:p w14:paraId="00FB4831" w14:textId="77777777" w:rsidR="00051324" w:rsidRPr="00D6050D" w:rsidRDefault="00051324" w:rsidP="00E75A3B">
            <w:pPr>
              <w:jc w:val="center"/>
              <w:rPr>
                <w:color w:val="000000"/>
              </w:rPr>
            </w:pPr>
          </w:p>
        </w:tc>
        <w:tc>
          <w:tcPr>
            <w:tcW w:w="913" w:type="dxa"/>
            <w:vAlign w:val="center"/>
          </w:tcPr>
          <w:p w14:paraId="430D2557" w14:textId="77777777" w:rsidR="00051324" w:rsidRPr="00D6050D" w:rsidRDefault="00051324" w:rsidP="00E75A3B">
            <w:pPr>
              <w:jc w:val="center"/>
              <w:rPr>
                <w:color w:val="000000"/>
              </w:rPr>
            </w:pPr>
            <w:r w:rsidRPr="00D6050D">
              <w:rPr>
                <w:color w:val="000000"/>
              </w:rPr>
              <w:t>20</w:t>
            </w:r>
          </w:p>
        </w:tc>
        <w:tc>
          <w:tcPr>
            <w:tcW w:w="2974" w:type="dxa"/>
            <w:vAlign w:val="center"/>
          </w:tcPr>
          <w:p w14:paraId="6A5E5485" w14:textId="54FBC681" w:rsidR="00051324" w:rsidRPr="00535B9A" w:rsidRDefault="004327EA" w:rsidP="00E75A3B">
            <w:pPr>
              <w:jc w:val="center"/>
            </w:pPr>
            <w:r>
              <w:t>6</w:t>
            </w:r>
          </w:p>
        </w:tc>
        <w:tc>
          <w:tcPr>
            <w:tcW w:w="3069" w:type="dxa"/>
            <w:vAlign w:val="center"/>
          </w:tcPr>
          <w:p w14:paraId="3FDD566C" w14:textId="0E4A3DC6" w:rsidR="00051324" w:rsidRPr="00535B9A" w:rsidRDefault="004327EA" w:rsidP="00E75A3B">
            <w:pPr>
              <w:jc w:val="center"/>
            </w:pPr>
            <w:r>
              <w:t>7</w:t>
            </w:r>
          </w:p>
        </w:tc>
      </w:tr>
      <w:tr w:rsidR="00051324" w:rsidRPr="00001701" w14:paraId="73793733" w14:textId="77777777" w:rsidTr="008A7500">
        <w:trPr>
          <w:trHeight w:val="315"/>
        </w:trPr>
        <w:tc>
          <w:tcPr>
            <w:tcW w:w="2400" w:type="dxa"/>
            <w:vMerge/>
            <w:vAlign w:val="center"/>
          </w:tcPr>
          <w:p w14:paraId="79558B4C" w14:textId="77777777" w:rsidR="00051324" w:rsidRPr="00D6050D" w:rsidRDefault="00051324" w:rsidP="00E75A3B">
            <w:pPr>
              <w:jc w:val="center"/>
              <w:rPr>
                <w:color w:val="000000"/>
              </w:rPr>
            </w:pPr>
          </w:p>
        </w:tc>
        <w:tc>
          <w:tcPr>
            <w:tcW w:w="913" w:type="dxa"/>
            <w:vAlign w:val="center"/>
          </w:tcPr>
          <w:p w14:paraId="61CDE429" w14:textId="77777777" w:rsidR="00051324" w:rsidRPr="00D6050D" w:rsidRDefault="00051324" w:rsidP="00E75A3B">
            <w:pPr>
              <w:jc w:val="center"/>
              <w:rPr>
                <w:color w:val="000000"/>
              </w:rPr>
            </w:pPr>
            <w:r w:rsidRPr="00D6050D">
              <w:rPr>
                <w:color w:val="000000"/>
              </w:rPr>
              <w:t>30</w:t>
            </w:r>
          </w:p>
        </w:tc>
        <w:tc>
          <w:tcPr>
            <w:tcW w:w="2974" w:type="dxa"/>
            <w:vAlign w:val="center"/>
          </w:tcPr>
          <w:p w14:paraId="32B6D4FC" w14:textId="12916B2B" w:rsidR="00051324" w:rsidRPr="00535B9A" w:rsidRDefault="004327EA" w:rsidP="00E75A3B">
            <w:pPr>
              <w:jc w:val="center"/>
            </w:pPr>
            <w:r>
              <w:t>3</w:t>
            </w:r>
          </w:p>
        </w:tc>
        <w:tc>
          <w:tcPr>
            <w:tcW w:w="3069" w:type="dxa"/>
            <w:vAlign w:val="center"/>
          </w:tcPr>
          <w:p w14:paraId="2B158417" w14:textId="4F01C30A" w:rsidR="00051324" w:rsidRPr="00535B9A" w:rsidRDefault="004327EA" w:rsidP="00E75A3B">
            <w:pPr>
              <w:jc w:val="center"/>
            </w:pPr>
            <w:r>
              <w:t>3</w:t>
            </w:r>
          </w:p>
        </w:tc>
      </w:tr>
      <w:tr w:rsidR="00051324" w:rsidRPr="00001701" w14:paraId="3A665EED" w14:textId="77777777" w:rsidTr="008A7500">
        <w:trPr>
          <w:trHeight w:val="237"/>
        </w:trPr>
        <w:tc>
          <w:tcPr>
            <w:tcW w:w="2400" w:type="dxa"/>
            <w:vMerge/>
            <w:vAlign w:val="center"/>
          </w:tcPr>
          <w:p w14:paraId="0C479F5C" w14:textId="77777777" w:rsidR="00051324" w:rsidRPr="00D6050D" w:rsidRDefault="00051324" w:rsidP="00E75A3B">
            <w:pPr>
              <w:jc w:val="center"/>
              <w:rPr>
                <w:color w:val="000000"/>
              </w:rPr>
            </w:pPr>
          </w:p>
        </w:tc>
        <w:tc>
          <w:tcPr>
            <w:tcW w:w="913" w:type="dxa"/>
            <w:vAlign w:val="center"/>
          </w:tcPr>
          <w:p w14:paraId="32B93B67" w14:textId="77777777" w:rsidR="00051324" w:rsidRPr="00D6050D" w:rsidRDefault="00051324" w:rsidP="00E75A3B">
            <w:pPr>
              <w:jc w:val="center"/>
              <w:rPr>
                <w:color w:val="000000"/>
              </w:rPr>
            </w:pPr>
            <w:r w:rsidRPr="00D6050D">
              <w:rPr>
                <w:color w:val="000000"/>
              </w:rPr>
              <w:t>45</w:t>
            </w:r>
          </w:p>
        </w:tc>
        <w:tc>
          <w:tcPr>
            <w:tcW w:w="2974" w:type="dxa"/>
            <w:vAlign w:val="center"/>
          </w:tcPr>
          <w:p w14:paraId="0728B3FD" w14:textId="2A7B991C" w:rsidR="00051324" w:rsidRPr="00535B9A" w:rsidRDefault="00535B9A" w:rsidP="00E75A3B">
            <w:pPr>
              <w:jc w:val="center"/>
            </w:pPr>
            <w:r>
              <w:t>1</w:t>
            </w:r>
          </w:p>
        </w:tc>
        <w:tc>
          <w:tcPr>
            <w:tcW w:w="3069" w:type="dxa"/>
            <w:vAlign w:val="center"/>
          </w:tcPr>
          <w:p w14:paraId="3F8DB505" w14:textId="4F8AE62F" w:rsidR="00051324" w:rsidRPr="00535B9A" w:rsidRDefault="00535B9A" w:rsidP="00E75A3B">
            <w:pPr>
              <w:jc w:val="center"/>
            </w:pPr>
            <w:r>
              <w:t>1</w:t>
            </w:r>
          </w:p>
        </w:tc>
      </w:tr>
      <w:tr w:rsidR="00051324" w:rsidRPr="00001701" w14:paraId="45761C70" w14:textId="77777777" w:rsidTr="008A7500">
        <w:trPr>
          <w:trHeight w:val="64"/>
        </w:trPr>
        <w:tc>
          <w:tcPr>
            <w:tcW w:w="3313" w:type="dxa"/>
            <w:gridSpan w:val="2"/>
            <w:vAlign w:val="center"/>
          </w:tcPr>
          <w:p w14:paraId="04548956" w14:textId="77777777" w:rsidR="00051324" w:rsidRPr="00D6050D" w:rsidRDefault="00051324" w:rsidP="004327EA">
            <w:pPr>
              <w:jc w:val="right"/>
              <w:rPr>
                <w:b/>
                <w:i/>
                <w:color w:val="000000"/>
              </w:rPr>
            </w:pPr>
            <w:r w:rsidRPr="00D6050D">
              <w:rPr>
                <w:b/>
                <w:i/>
                <w:color w:val="000000"/>
              </w:rPr>
              <w:t>фактор подобия f2</w:t>
            </w:r>
          </w:p>
        </w:tc>
        <w:tc>
          <w:tcPr>
            <w:tcW w:w="6043" w:type="dxa"/>
            <w:gridSpan w:val="2"/>
            <w:vAlign w:val="center"/>
          </w:tcPr>
          <w:p w14:paraId="3A25568C" w14:textId="6D264706" w:rsidR="00051324" w:rsidRPr="00535B9A" w:rsidRDefault="004327EA" w:rsidP="00E75A3B">
            <w:pPr>
              <w:jc w:val="center"/>
              <w:rPr>
                <w:b/>
              </w:rPr>
            </w:pPr>
            <w:r>
              <w:rPr>
                <w:b/>
              </w:rPr>
              <w:t>91</w:t>
            </w:r>
          </w:p>
        </w:tc>
      </w:tr>
      <w:tr w:rsidR="00535B9A" w:rsidRPr="00001701" w14:paraId="4E04724C" w14:textId="77777777" w:rsidTr="008A7500">
        <w:trPr>
          <w:trHeight w:val="225"/>
        </w:trPr>
        <w:tc>
          <w:tcPr>
            <w:tcW w:w="2400" w:type="dxa"/>
            <w:vMerge w:val="restart"/>
            <w:vAlign w:val="center"/>
          </w:tcPr>
          <w:p w14:paraId="5F2DDDE3" w14:textId="77777777" w:rsidR="00535B9A" w:rsidRPr="00D6050D" w:rsidRDefault="00535B9A" w:rsidP="00535B9A">
            <w:pPr>
              <w:jc w:val="center"/>
              <w:rPr>
                <w:color w:val="000000"/>
              </w:rPr>
            </w:pPr>
            <w:r w:rsidRPr="00D6050D">
              <w:rPr>
                <w:color w:val="000000"/>
              </w:rPr>
              <w:t>Ацетатный буферный раствор рН 4,5</w:t>
            </w:r>
          </w:p>
        </w:tc>
        <w:tc>
          <w:tcPr>
            <w:tcW w:w="913" w:type="dxa"/>
            <w:vAlign w:val="center"/>
          </w:tcPr>
          <w:p w14:paraId="7DA62833" w14:textId="77777777" w:rsidR="00535B9A" w:rsidRPr="00D6050D" w:rsidRDefault="00535B9A" w:rsidP="00535B9A">
            <w:pPr>
              <w:jc w:val="center"/>
              <w:rPr>
                <w:color w:val="000000"/>
              </w:rPr>
            </w:pPr>
            <w:r w:rsidRPr="00D6050D">
              <w:rPr>
                <w:color w:val="000000"/>
              </w:rPr>
              <w:t>10</w:t>
            </w:r>
          </w:p>
        </w:tc>
        <w:tc>
          <w:tcPr>
            <w:tcW w:w="2974" w:type="dxa"/>
            <w:vAlign w:val="center"/>
          </w:tcPr>
          <w:p w14:paraId="6A612B74" w14:textId="7EE44EA0" w:rsidR="00535B9A" w:rsidRPr="00D6050D" w:rsidRDefault="004327EA" w:rsidP="00535B9A">
            <w:pPr>
              <w:jc w:val="center"/>
              <w:rPr>
                <w:lang w:val="en-US"/>
              </w:rPr>
            </w:pPr>
            <w:r>
              <w:t>88</w:t>
            </w:r>
          </w:p>
        </w:tc>
        <w:tc>
          <w:tcPr>
            <w:tcW w:w="3069" w:type="dxa"/>
            <w:vAlign w:val="center"/>
          </w:tcPr>
          <w:p w14:paraId="2CCCF5F5" w14:textId="36A0E05C" w:rsidR="00535B9A" w:rsidRPr="00D6050D" w:rsidRDefault="004327EA" w:rsidP="00535B9A">
            <w:pPr>
              <w:jc w:val="center"/>
              <w:rPr>
                <w:lang w:val="en-US"/>
              </w:rPr>
            </w:pPr>
            <w:r>
              <w:t>89</w:t>
            </w:r>
          </w:p>
        </w:tc>
      </w:tr>
      <w:tr w:rsidR="00535B9A" w:rsidRPr="00001701" w14:paraId="5B55925C" w14:textId="77777777" w:rsidTr="008A7500">
        <w:trPr>
          <w:trHeight w:val="240"/>
        </w:trPr>
        <w:tc>
          <w:tcPr>
            <w:tcW w:w="2400" w:type="dxa"/>
            <w:vMerge/>
            <w:vAlign w:val="center"/>
          </w:tcPr>
          <w:p w14:paraId="1BA1B397" w14:textId="77777777" w:rsidR="00535B9A" w:rsidRPr="00D6050D" w:rsidRDefault="00535B9A" w:rsidP="00535B9A">
            <w:pPr>
              <w:jc w:val="center"/>
              <w:rPr>
                <w:color w:val="000000"/>
              </w:rPr>
            </w:pPr>
          </w:p>
        </w:tc>
        <w:tc>
          <w:tcPr>
            <w:tcW w:w="913" w:type="dxa"/>
            <w:vAlign w:val="center"/>
          </w:tcPr>
          <w:p w14:paraId="25736380" w14:textId="77777777" w:rsidR="00535B9A" w:rsidRPr="00D6050D" w:rsidRDefault="00535B9A" w:rsidP="00535B9A">
            <w:pPr>
              <w:jc w:val="center"/>
              <w:rPr>
                <w:color w:val="000000"/>
              </w:rPr>
            </w:pPr>
            <w:r w:rsidRPr="00D6050D">
              <w:rPr>
                <w:color w:val="000000"/>
              </w:rPr>
              <w:t>15</w:t>
            </w:r>
          </w:p>
        </w:tc>
        <w:tc>
          <w:tcPr>
            <w:tcW w:w="2974" w:type="dxa"/>
            <w:vAlign w:val="center"/>
          </w:tcPr>
          <w:p w14:paraId="56BCEF74" w14:textId="359CF00C" w:rsidR="00535B9A" w:rsidRPr="00D6050D" w:rsidRDefault="004327EA" w:rsidP="00535B9A">
            <w:pPr>
              <w:jc w:val="center"/>
              <w:rPr>
                <w:lang w:val="en-US"/>
              </w:rPr>
            </w:pPr>
            <w:r>
              <w:t>92</w:t>
            </w:r>
          </w:p>
        </w:tc>
        <w:tc>
          <w:tcPr>
            <w:tcW w:w="3069" w:type="dxa"/>
            <w:vAlign w:val="center"/>
          </w:tcPr>
          <w:p w14:paraId="293B19B2" w14:textId="5A090DA7" w:rsidR="00535B9A" w:rsidRPr="00D6050D" w:rsidRDefault="004327EA" w:rsidP="00535B9A">
            <w:pPr>
              <w:jc w:val="center"/>
              <w:rPr>
                <w:lang w:val="en-US"/>
              </w:rPr>
            </w:pPr>
            <w:r>
              <w:t>92</w:t>
            </w:r>
          </w:p>
        </w:tc>
      </w:tr>
      <w:tr w:rsidR="00535B9A" w:rsidRPr="00001701" w14:paraId="2A082EBD" w14:textId="77777777" w:rsidTr="008A7500">
        <w:trPr>
          <w:trHeight w:val="237"/>
        </w:trPr>
        <w:tc>
          <w:tcPr>
            <w:tcW w:w="2400" w:type="dxa"/>
            <w:vMerge/>
            <w:vAlign w:val="center"/>
          </w:tcPr>
          <w:p w14:paraId="7CDCC54F" w14:textId="77777777" w:rsidR="00535B9A" w:rsidRPr="00D6050D" w:rsidRDefault="00535B9A" w:rsidP="00535B9A">
            <w:pPr>
              <w:jc w:val="center"/>
              <w:rPr>
                <w:color w:val="000000"/>
              </w:rPr>
            </w:pPr>
          </w:p>
        </w:tc>
        <w:tc>
          <w:tcPr>
            <w:tcW w:w="913" w:type="dxa"/>
            <w:vAlign w:val="center"/>
          </w:tcPr>
          <w:p w14:paraId="3C8A6B80" w14:textId="77777777" w:rsidR="00535B9A" w:rsidRPr="00D6050D" w:rsidRDefault="00535B9A" w:rsidP="00535B9A">
            <w:pPr>
              <w:jc w:val="center"/>
              <w:rPr>
                <w:color w:val="000000"/>
              </w:rPr>
            </w:pPr>
            <w:r w:rsidRPr="00D6050D">
              <w:rPr>
                <w:color w:val="000000"/>
              </w:rPr>
              <w:t>20</w:t>
            </w:r>
          </w:p>
        </w:tc>
        <w:tc>
          <w:tcPr>
            <w:tcW w:w="2974" w:type="dxa"/>
            <w:vAlign w:val="center"/>
          </w:tcPr>
          <w:p w14:paraId="254AD476" w14:textId="7558DF99" w:rsidR="00535B9A" w:rsidRPr="00D6050D" w:rsidRDefault="004327EA" w:rsidP="00535B9A">
            <w:pPr>
              <w:jc w:val="center"/>
              <w:rPr>
                <w:lang w:val="en-US"/>
              </w:rPr>
            </w:pPr>
            <w:r>
              <w:t>93</w:t>
            </w:r>
          </w:p>
        </w:tc>
        <w:tc>
          <w:tcPr>
            <w:tcW w:w="3069" w:type="dxa"/>
            <w:vAlign w:val="center"/>
          </w:tcPr>
          <w:p w14:paraId="42C566DE" w14:textId="512553C2" w:rsidR="00535B9A" w:rsidRPr="00D6050D" w:rsidRDefault="004327EA" w:rsidP="00535B9A">
            <w:pPr>
              <w:jc w:val="center"/>
              <w:rPr>
                <w:lang w:val="en-US"/>
              </w:rPr>
            </w:pPr>
            <w:r>
              <w:t>93</w:t>
            </w:r>
          </w:p>
        </w:tc>
      </w:tr>
      <w:tr w:rsidR="00535B9A" w:rsidRPr="00001701" w14:paraId="3D9087BD" w14:textId="77777777" w:rsidTr="008A7500">
        <w:trPr>
          <w:trHeight w:val="300"/>
        </w:trPr>
        <w:tc>
          <w:tcPr>
            <w:tcW w:w="2400" w:type="dxa"/>
            <w:vMerge/>
            <w:vAlign w:val="center"/>
          </w:tcPr>
          <w:p w14:paraId="16F5C534" w14:textId="77777777" w:rsidR="00535B9A" w:rsidRPr="00D6050D" w:rsidRDefault="00535B9A" w:rsidP="00535B9A">
            <w:pPr>
              <w:jc w:val="center"/>
              <w:rPr>
                <w:color w:val="000000"/>
              </w:rPr>
            </w:pPr>
          </w:p>
        </w:tc>
        <w:tc>
          <w:tcPr>
            <w:tcW w:w="913" w:type="dxa"/>
            <w:vAlign w:val="center"/>
          </w:tcPr>
          <w:p w14:paraId="6D9B2CBC" w14:textId="77777777" w:rsidR="00535B9A" w:rsidRPr="00D6050D" w:rsidRDefault="00535B9A" w:rsidP="00535B9A">
            <w:pPr>
              <w:jc w:val="center"/>
              <w:rPr>
                <w:color w:val="000000"/>
              </w:rPr>
            </w:pPr>
            <w:r w:rsidRPr="00D6050D">
              <w:rPr>
                <w:color w:val="000000"/>
              </w:rPr>
              <w:t>30</w:t>
            </w:r>
          </w:p>
        </w:tc>
        <w:tc>
          <w:tcPr>
            <w:tcW w:w="2974" w:type="dxa"/>
            <w:vAlign w:val="center"/>
          </w:tcPr>
          <w:p w14:paraId="7510281F" w14:textId="50311F29" w:rsidR="00535B9A" w:rsidRPr="00D6050D" w:rsidRDefault="004327EA" w:rsidP="00535B9A">
            <w:pPr>
              <w:jc w:val="center"/>
              <w:rPr>
                <w:lang w:val="en-US"/>
              </w:rPr>
            </w:pPr>
            <w:r>
              <w:t>91</w:t>
            </w:r>
          </w:p>
        </w:tc>
        <w:tc>
          <w:tcPr>
            <w:tcW w:w="3069" w:type="dxa"/>
            <w:vAlign w:val="center"/>
          </w:tcPr>
          <w:p w14:paraId="07E028F9" w14:textId="7917C47B" w:rsidR="00535B9A" w:rsidRPr="00D6050D" w:rsidRDefault="004327EA" w:rsidP="00535B9A">
            <w:pPr>
              <w:jc w:val="center"/>
              <w:rPr>
                <w:lang w:val="en-US"/>
              </w:rPr>
            </w:pPr>
            <w:r>
              <w:t>90</w:t>
            </w:r>
          </w:p>
        </w:tc>
      </w:tr>
      <w:tr w:rsidR="00535B9A" w:rsidRPr="00001701" w14:paraId="664ACC65" w14:textId="77777777" w:rsidTr="008A7500">
        <w:trPr>
          <w:trHeight w:val="195"/>
        </w:trPr>
        <w:tc>
          <w:tcPr>
            <w:tcW w:w="2400" w:type="dxa"/>
            <w:vMerge/>
            <w:vAlign w:val="center"/>
          </w:tcPr>
          <w:p w14:paraId="6CB428BC" w14:textId="77777777" w:rsidR="00535B9A" w:rsidRPr="00D6050D" w:rsidRDefault="00535B9A" w:rsidP="00535B9A">
            <w:pPr>
              <w:jc w:val="center"/>
              <w:rPr>
                <w:color w:val="000000"/>
              </w:rPr>
            </w:pPr>
          </w:p>
        </w:tc>
        <w:tc>
          <w:tcPr>
            <w:tcW w:w="913" w:type="dxa"/>
            <w:vAlign w:val="center"/>
          </w:tcPr>
          <w:p w14:paraId="568BB4A6" w14:textId="77777777" w:rsidR="00535B9A" w:rsidRPr="00D6050D" w:rsidRDefault="00535B9A" w:rsidP="00535B9A">
            <w:pPr>
              <w:jc w:val="center"/>
              <w:rPr>
                <w:color w:val="000000"/>
              </w:rPr>
            </w:pPr>
            <w:r w:rsidRPr="00D6050D">
              <w:rPr>
                <w:color w:val="000000"/>
              </w:rPr>
              <w:t>45</w:t>
            </w:r>
          </w:p>
        </w:tc>
        <w:tc>
          <w:tcPr>
            <w:tcW w:w="2974" w:type="dxa"/>
            <w:vAlign w:val="center"/>
          </w:tcPr>
          <w:p w14:paraId="489E23FD" w14:textId="6E0C8F1A" w:rsidR="00535B9A" w:rsidRPr="00D6050D" w:rsidRDefault="004327EA" w:rsidP="00535B9A">
            <w:pPr>
              <w:jc w:val="center"/>
              <w:rPr>
                <w:lang w:val="en-US"/>
              </w:rPr>
            </w:pPr>
            <w:r>
              <w:t>94</w:t>
            </w:r>
          </w:p>
        </w:tc>
        <w:tc>
          <w:tcPr>
            <w:tcW w:w="3069" w:type="dxa"/>
            <w:vAlign w:val="center"/>
          </w:tcPr>
          <w:p w14:paraId="75D77906" w14:textId="4DE4D302" w:rsidR="00535B9A" w:rsidRPr="00D6050D" w:rsidRDefault="004327EA" w:rsidP="00535B9A">
            <w:pPr>
              <w:jc w:val="center"/>
              <w:rPr>
                <w:lang w:val="en-US"/>
              </w:rPr>
            </w:pPr>
            <w:r>
              <w:t>94</w:t>
            </w:r>
          </w:p>
        </w:tc>
      </w:tr>
      <w:tr w:rsidR="00051324" w:rsidRPr="00001701" w14:paraId="1575D5DB" w14:textId="77777777" w:rsidTr="008A7500">
        <w:trPr>
          <w:trHeight w:val="64"/>
        </w:trPr>
        <w:tc>
          <w:tcPr>
            <w:tcW w:w="3313" w:type="dxa"/>
            <w:gridSpan w:val="2"/>
            <w:vAlign w:val="center"/>
          </w:tcPr>
          <w:p w14:paraId="5E902A36" w14:textId="77777777" w:rsidR="00051324" w:rsidRPr="00D6050D" w:rsidRDefault="00051324" w:rsidP="004327EA">
            <w:pPr>
              <w:jc w:val="right"/>
              <w:rPr>
                <w:b/>
                <w:i/>
                <w:color w:val="000000"/>
              </w:rPr>
            </w:pPr>
            <w:r w:rsidRPr="00D6050D">
              <w:rPr>
                <w:b/>
                <w:i/>
                <w:color w:val="000000"/>
              </w:rPr>
              <w:t>фактор подобия f2</w:t>
            </w:r>
          </w:p>
        </w:tc>
        <w:tc>
          <w:tcPr>
            <w:tcW w:w="6043" w:type="dxa"/>
            <w:gridSpan w:val="2"/>
            <w:vAlign w:val="center"/>
          </w:tcPr>
          <w:p w14:paraId="5BB04C8E" w14:textId="3DDF0A4C" w:rsidR="00051324" w:rsidRPr="00D6050D" w:rsidRDefault="004327EA" w:rsidP="00E75A3B">
            <w:pPr>
              <w:jc w:val="center"/>
              <w:rPr>
                <w:b/>
                <w:i/>
                <w:lang w:val="en-US"/>
              </w:rPr>
            </w:pPr>
            <w:r>
              <w:rPr>
                <w:b/>
              </w:rPr>
              <w:t>эквивалентно</w:t>
            </w:r>
            <w:r w:rsidRPr="00535B9A">
              <w:rPr>
                <w:b/>
              </w:rPr>
              <w:t xml:space="preserve"> без математической </w:t>
            </w:r>
            <w:r>
              <w:rPr>
                <w:b/>
              </w:rPr>
              <w:t>оценки</w:t>
            </w:r>
          </w:p>
        </w:tc>
      </w:tr>
      <w:tr w:rsidR="00051324" w:rsidRPr="00001701" w14:paraId="51CD5228" w14:textId="77777777" w:rsidTr="008A7500">
        <w:trPr>
          <w:trHeight w:val="225"/>
        </w:trPr>
        <w:tc>
          <w:tcPr>
            <w:tcW w:w="2400" w:type="dxa"/>
            <w:vMerge w:val="restart"/>
            <w:vAlign w:val="center"/>
          </w:tcPr>
          <w:p w14:paraId="6499E61B" w14:textId="77777777" w:rsidR="00051324" w:rsidRPr="00D6050D" w:rsidRDefault="00051324" w:rsidP="00E75A3B">
            <w:pPr>
              <w:jc w:val="center"/>
              <w:rPr>
                <w:color w:val="000000"/>
              </w:rPr>
            </w:pPr>
            <w:r w:rsidRPr="00D6050D">
              <w:rPr>
                <w:color w:val="000000"/>
              </w:rPr>
              <w:t>Фосфатный буферный раствор рН 6,8</w:t>
            </w:r>
          </w:p>
        </w:tc>
        <w:tc>
          <w:tcPr>
            <w:tcW w:w="913" w:type="dxa"/>
            <w:vAlign w:val="center"/>
          </w:tcPr>
          <w:p w14:paraId="7F1D98CF" w14:textId="77777777" w:rsidR="00051324" w:rsidRPr="00D6050D" w:rsidRDefault="00051324" w:rsidP="00E75A3B">
            <w:pPr>
              <w:jc w:val="center"/>
              <w:rPr>
                <w:color w:val="000000"/>
              </w:rPr>
            </w:pPr>
            <w:r w:rsidRPr="00D6050D">
              <w:rPr>
                <w:color w:val="000000"/>
              </w:rPr>
              <w:t>10</w:t>
            </w:r>
          </w:p>
        </w:tc>
        <w:tc>
          <w:tcPr>
            <w:tcW w:w="2974" w:type="dxa"/>
            <w:vAlign w:val="center"/>
          </w:tcPr>
          <w:p w14:paraId="2D7C38D5" w14:textId="72E95986" w:rsidR="00051324" w:rsidRPr="00535B9A" w:rsidRDefault="004327EA" w:rsidP="00E75A3B">
            <w:pPr>
              <w:jc w:val="center"/>
            </w:pPr>
            <w:r>
              <w:t>96</w:t>
            </w:r>
          </w:p>
        </w:tc>
        <w:tc>
          <w:tcPr>
            <w:tcW w:w="3069" w:type="dxa"/>
          </w:tcPr>
          <w:p w14:paraId="119D1222" w14:textId="6947C3C3" w:rsidR="00051324" w:rsidRPr="00D6050D" w:rsidRDefault="004327EA" w:rsidP="00E75A3B">
            <w:pPr>
              <w:jc w:val="center"/>
            </w:pPr>
            <w:r>
              <w:t>87</w:t>
            </w:r>
          </w:p>
        </w:tc>
      </w:tr>
      <w:tr w:rsidR="00051324" w:rsidRPr="00001701" w14:paraId="32014BDB" w14:textId="77777777" w:rsidTr="008A7500">
        <w:trPr>
          <w:trHeight w:val="240"/>
        </w:trPr>
        <w:tc>
          <w:tcPr>
            <w:tcW w:w="2400" w:type="dxa"/>
            <w:vMerge/>
            <w:vAlign w:val="center"/>
          </w:tcPr>
          <w:p w14:paraId="4CD59E06" w14:textId="77777777" w:rsidR="00051324" w:rsidRPr="00D6050D" w:rsidRDefault="00051324" w:rsidP="00E75A3B">
            <w:pPr>
              <w:jc w:val="center"/>
              <w:rPr>
                <w:color w:val="000000"/>
              </w:rPr>
            </w:pPr>
          </w:p>
        </w:tc>
        <w:tc>
          <w:tcPr>
            <w:tcW w:w="913" w:type="dxa"/>
            <w:vAlign w:val="center"/>
          </w:tcPr>
          <w:p w14:paraId="3A1C2FAF" w14:textId="77777777" w:rsidR="00051324" w:rsidRPr="00D6050D" w:rsidRDefault="00051324" w:rsidP="00E75A3B">
            <w:pPr>
              <w:jc w:val="center"/>
              <w:rPr>
                <w:color w:val="000000"/>
              </w:rPr>
            </w:pPr>
            <w:r w:rsidRPr="00D6050D">
              <w:rPr>
                <w:color w:val="000000"/>
              </w:rPr>
              <w:t>15</w:t>
            </w:r>
          </w:p>
        </w:tc>
        <w:tc>
          <w:tcPr>
            <w:tcW w:w="2974" w:type="dxa"/>
            <w:vAlign w:val="center"/>
          </w:tcPr>
          <w:p w14:paraId="665E2ECE" w14:textId="30B6E248" w:rsidR="00051324" w:rsidRPr="00535B9A" w:rsidRDefault="004327EA" w:rsidP="00E75A3B">
            <w:pPr>
              <w:jc w:val="center"/>
            </w:pPr>
            <w:r>
              <w:t>98</w:t>
            </w:r>
          </w:p>
        </w:tc>
        <w:tc>
          <w:tcPr>
            <w:tcW w:w="3069" w:type="dxa"/>
          </w:tcPr>
          <w:p w14:paraId="463673B2" w14:textId="318F45BD" w:rsidR="00051324" w:rsidRPr="00D6050D" w:rsidRDefault="004327EA" w:rsidP="00E75A3B">
            <w:pPr>
              <w:jc w:val="center"/>
            </w:pPr>
            <w:r>
              <w:t>91</w:t>
            </w:r>
          </w:p>
        </w:tc>
      </w:tr>
      <w:tr w:rsidR="00051324" w:rsidRPr="00001701" w14:paraId="41A8FB53" w14:textId="77777777" w:rsidTr="008A7500">
        <w:trPr>
          <w:trHeight w:val="300"/>
        </w:trPr>
        <w:tc>
          <w:tcPr>
            <w:tcW w:w="2400" w:type="dxa"/>
            <w:vMerge/>
            <w:vAlign w:val="center"/>
          </w:tcPr>
          <w:p w14:paraId="76C7E261" w14:textId="77777777" w:rsidR="00051324" w:rsidRPr="00D6050D" w:rsidRDefault="00051324" w:rsidP="00E75A3B">
            <w:pPr>
              <w:jc w:val="center"/>
              <w:rPr>
                <w:color w:val="000000"/>
              </w:rPr>
            </w:pPr>
          </w:p>
        </w:tc>
        <w:tc>
          <w:tcPr>
            <w:tcW w:w="913" w:type="dxa"/>
            <w:vAlign w:val="center"/>
          </w:tcPr>
          <w:p w14:paraId="6D448A90" w14:textId="77777777" w:rsidR="00051324" w:rsidRPr="00D6050D" w:rsidRDefault="00051324" w:rsidP="00E75A3B">
            <w:pPr>
              <w:jc w:val="center"/>
              <w:rPr>
                <w:color w:val="000000"/>
              </w:rPr>
            </w:pPr>
            <w:r w:rsidRPr="00D6050D">
              <w:rPr>
                <w:color w:val="000000"/>
              </w:rPr>
              <w:t>20</w:t>
            </w:r>
          </w:p>
        </w:tc>
        <w:tc>
          <w:tcPr>
            <w:tcW w:w="2974" w:type="dxa"/>
            <w:vAlign w:val="center"/>
          </w:tcPr>
          <w:p w14:paraId="7984A2BB" w14:textId="3B38E01D" w:rsidR="00051324" w:rsidRPr="00535B9A" w:rsidRDefault="004327EA" w:rsidP="00E75A3B">
            <w:pPr>
              <w:jc w:val="center"/>
            </w:pPr>
            <w:r>
              <w:t>98</w:t>
            </w:r>
          </w:p>
        </w:tc>
        <w:tc>
          <w:tcPr>
            <w:tcW w:w="3069" w:type="dxa"/>
          </w:tcPr>
          <w:p w14:paraId="7063D9D7" w14:textId="77E118C1" w:rsidR="00051324" w:rsidRPr="00D6050D" w:rsidRDefault="004327EA" w:rsidP="00E75A3B">
            <w:pPr>
              <w:jc w:val="center"/>
            </w:pPr>
            <w:r>
              <w:t>92</w:t>
            </w:r>
          </w:p>
        </w:tc>
      </w:tr>
      <w:tr w:rsidR="00051324" w:rsidRPr="00001701" w14:paraId="0E1768F8" w14:textId="77777777" w:rsidTr="008A7500">
        <w:trPr>
          <w:trHeight w:val="237"/>
        </w:trPr>
        <w:tc>
          <w:tcPr>
            <w:tcW w:w="2400" w:type="dxa"/>
            <w:vMerge/>
            <w:vAlign w:val="center"/>
          </w:tcPr>
          <w:p w14:paraId="0ABE807D" w14:textId="77777777" w:rsidR="00051324" w:rsidRPr="00D6050D" w:rsidRDefault="00051324" w:rsidP="00E75A3B">
            <w:pPr>
              <w:jc w:val="center"/>
              <w:rPr>
                <w:color w:val="000000"/>
              </w:rPr>
            </w:pPr>
          </w:p>
        </w:tc>
        <w:tc>
          <w:tcPr>
            <w:tcW w:w="913" w:type="dxa"/>
            <w:vAlign w:val="center"/>
          </w:tcPr>
          <w:p w14:paraId="4953ED03" w14:textId="77777777" w:rsidR="00051324" w:rsidRPr="00D6050D" w:rsidRDefault="00051324" w:rsidP="00E75A3B">
            <w:pPr>
              <w:jc w:val="center"/>
              <w:rPr>
                <w:color w:val="000000"/>
              </w:rPr>
            </w:pPr>
            <w:r w:rsidRPr="00D6050D">
              <w:rPr>
                <w:color w:val="000000"/>
              </w:rPr>
              <w:t>30</w:t>
            </w:r>
          </w:p>
        </w:tc>
        <w:tc>
          <w:tcPr>
            <w:tcW w:w="2974" w:type="dxa"/>
            <w:vAlign w:val="center"/>
          </w:tcPr>
          <w:p w14:paraId="33B86F5F" w14:textId="75DDEBC8" w:rsidR="00051324" w:rsidRPr="00535B9A" w:rsidRDefault="004327EA" w:rsidP="00E75A3B">
            <w:pPr>
              <w:jc w:val="center"/>
            </w:pPr>
            <w:r>
              <w:t>95</w:t>
            </w:r>
          </w:p>
        </w:tc>
        <w:tc>
          <w:tcPr>
            <w:tcW w:w="3069" w:type="dxa"/>
          </w:tcPr>
          <w:p w14:paraId="45955CD6" w14:textId="05247C3E" w:rsidR="00051324" w:rsidRPr="00D6050D" w:rsidRDefault="004327EA" w:rsidP="00E75A3B">
            <w:pPr>
              <w:jc w:val="center"/>
            </w:pPr>
            <w:r>
              <w:t>91</w:t>
            </w:r>
          </w:p>
        </w:tc>
      </w:tr>
      <w:tr w:rsidR="00051324" w:rsidRPr="00001701" w14:paraId="063C183F" w14:textId="77777777" w:rsidTr="008A7500">
        <w:trPr>
          <w:trHeight w:val="300"/>
        </w:trPr>
        <w:tc>
          <w:tcPr>
            <w:tcW w:w="2400" w:type="dxa"/>
            <w:vMerge/>
            <w:vAlign w:val="center"/>
          </w:tcPr>
          <w:p w14:paraId="3322A2CC" w14:textId="77777777" w:rsidR="00051324" w:rsidRPr="00D6050D" w:rsidRDefault="00051324" w:rsidP="00E75A3B">
            <w:pPr>
              <w:jc w:val="center"/>
              <w:rPr>
                <w:color w:val="000000"/>
              </w:rPr>
            </w:pPr>
          </w:p>
        </w:tc>
        <w:tc>
          <w:tcPr>
            <w:tcW w:w="913" w:type="dxa"/>
            <w:vAlign w:val="center"/>
          </w:tcPr>
          <w:p w14:paraId="52CC487F" w14:textId="77777777" w:rsidR="00051324" w:rsidRPr="00D6050D" w:rsidRDefault="00051324" w:rsidP="00E75A3B">
            <w:pPr>
              <w:jc w:val="center"/>
              <w:rPr>
                <w:color w:val="000000"/>
              </w:rPr>
            </w:pPr>
            <w:r w:rsidRPr="00D6050D">
              <w:rPr>
                <w:color w:val="000000"/>
              </w:rPr>
              <w:t>45</w:t>
            </w:r>
          </w:p>
        </w:tc>
        <w:tc>
          <w:tcPr>
            <w:tcW w:w="2974" w:type="dxa"/>
            <w:vAlign w:val="center"/>
          </w:tcPr>
          <w:p w14:paraId="0206088E" w14:textId="1F43E729" w:rsidR="00051324" w:rsidRPr="00535B9A" w:rsidRDefault="004327EA" w:rsidP="00E75A3B">
            <w:pPr>
              <w:jc w:val="center"/>
            </w:pPr>
            <w:r>
              <w:t>98</w:t>
            </w:r>
          </w:p>
        </w:tc>
        <w:tc>
          <w:tcPr>
            <w:tcW w:w="3069" w:type="dxa"/>
          </w:tcPr>
          <w:p w14:paraId="3C82EFF3" w14:textId="019D1C62" w:rsidR="00051324" w:rsidRPr="00D6050D" w:rsidRDefault="004327EA" w:rsidP="00E75A3B">
            <w:pPr>
              <w:jc w:val="center"/>
            </w:pPr>
            <w:r>
              <w:t>91</w:t>
            </w:r>
          </w:p>
        </w:tc>
      </w:tr>
      <w:tr w:rsidR="00051324" w:rsidRPr="00001701" w14:paraId="4D0CCEA9" w14:textId="77777777" w:rsidTr="008A7500">
        <w:trPr>
          <w:trHeight w:val="64"/>
        </w:trPr>
        <w:tc>
          <w:tcPr>
            <w:tcW w:w="3313" w:type="dxa"/>
            <w:gridSpan w:val="2"/>
            <w:vAlign w:val="center"/>
          </w:tcPr>
          <w:p w14:paraId="4A7AE0A2" w14:textId="77777777" w:rsidR="00051324" w:rsidRPr="00D6050D" w:rsidRDefault="00051324" w:rsidP="004327EA">
            <w:pPr>
              <w:jc w:val="right"/>
              <w:rPr>
                <w:b/>
                <w:i/>
                <w:color w:val="000000"/>
              </w:rPr>
            </w:pPr>
            <w:r w:rsidRPr="00D6050D">
              <w:rPr>
                <w:b/>
                <w:i/>
                <w:color w:val="000000"/>
              </w:rPr>
              <w:t>фактор подобия f2</w:t>
            </w:r>
          </w:p>
        </w:tc>
        <w:tc>
          <w:tcPr>
            <w:tcW w:w="6043" w:type="dxa"/>
            <w:gridSpan w:val="2"/>
            <w:vAlign w:val="center"/>
          </w:tcPr>
          <w:p w14:paraId="67088615" w14:textId="40D9EC2F" w:rsidR="00051324" w:rsidRPr="00535B9A" w:rsidRDefault="004327EA" w:rsidP="00E75A3B">
            <w:pPr>
              <w:jc w:val="center"/>
              <w:rPr>
                <w:b/>
              </w:rPr>
            </w:pPr>
            <w:r>
              <w:rPr>
                <w:b/>
              </w:rPr>
              <w:t>эквивалентно</w:t>
            </w:r>
            <w:r w:rsidRPr="00535B9A">
              <w:rPr>
                <w:b/>
              </w:rPr>
              <w:t xml:space="preserve"> без математической </w:t>
            </w:r>
            <w:r>
              <w:rPr>
                <w:b/>
              </w:rPr>
              <w:t>оценки</w:t>
            </w:r>
          </w:p>
        </w:tc>
      </w:tr>
    </w:tbl>
    <w:p w14:paraId="7F610CF8" w14:textId="77777777" w:rsidR="00051324" w:rsidRPr="00001701" w:rsidRDefault="00051324" w:rsidP="00051324">
      <w:pPr>
        <w:spacing w:after="0" w:line="240" w:lineRule="auto"/>
        <w:rPr>
          <w:color w:val="000000" w:themeColor="text1"/>
          <w:highlight w:val="yellow"/>
        </w:rPr>
      </w:pPr>
    </w:p>
    <w:p w14:paraId="493B95A8" w14:textId="2AEF630B" w:rsidR="00051324" w:rsidRDefault="00051324" w:rsidP="00051324">
      <w:pPr>
        <w:spacing w:after="0" w:line="240" w:lineRule="auto"/>
      </w:pPr>
      <w:r w:rsidRPr="00D6050D">
        <w:rPr>
          <w:b/>
        </w:rPr>
        <w:t>Рисунок 2-</w:t>
      </w:r>
      <w:r w:rsidR="00FD16BE">
        <w:rPr>
          <w:b/>
        </w:rPr>
        <w:t>2</w:t>
      </w:r>
      <w:r w:rsidRPr="00D6050D">
        <w:rPr>
          <w:b/>
        </w:rPr>
        <w:t>.</w:t>
      </w:r>
      <w:r w:rsidRPr="00D6050D">
        <w:t xml:space="preserve"> Усредненные профили высвобождения активного компонента из препаратов </w:t>
      </w:r>
      <w:r w:rsidRPr="00D6050D">
        <w:rPr>
          <w:color w:val="000000" w:themeColor="text1"/>
          <w:lang w:val="en-US"/>
        </w:rPr>
        <w:t>DT</w:t>
      </w:r>
      <w:r w:rsidRPr="00D6050D">
        <w:rPr>
          <w:color w:val="000000" w:themeColor="text1"/>
        </w:rPr>
        <w:t>-</w:t>
      </w:r>
      <w:r w:rsidR="00535B9A">
        <w:rPr>
          <w:color w:val="000000" w:themeColor="text1"/>
          <w:lang w:val="en-US"/>
        </w:rPr>
        <w:t>EVR</w:t>
      </w:r>
      <w:r w:rsidRPr="00D6050D">
        <w:rPr>
          <w:color w:val="000000" w:themeColor="text1"/>
        </w:rPr>
        <w:t xml:space="preserve"> и </w:t>
      </w:r>
      <w:r w:rsidR="004327EA">
        <w:rPr>
          <w:color w:val="000000" w:themeColor="text1"/>
        </w:rPr>
        <w:t>Сертикан</w:t>
      </w:r>
      <w:r w:rsidRPr="00D6050D">
        <w:rPr>
          <w:color w:val="000000" w:themeColor="text1"/>
          <w:vertAlign w:val="superscript"/>
        </w:rPr>
        <w:t xml:space="preserve">® </w:t>
      </w:r>
      <w:r w:rsidRPr="00D6050D">
        <w:rPr>
          <w:color w:val="000000" w:themeColor="text1"/>
        </w:rPr>
        <w:t>в дозировке</w:t>
      </w:r>
      <w:r>
        <w:rPr>
          <w:color w:val="000000" w:themeColor="text1"/>
        </w:rPr>
        <w:t xml:space="preserve"> 0</w:t>
      </w:r>
      <w:r w:rsidR="004327EA">
        <w:rPr>
          <w:color w:val="000000" w:themeColor="text1"/>
        </w:rPr>
        <w:t>,75</w:t>
      </w:r>
      <w:r>
        <w:rPr>
          <w:color w:val="000000" w:themeColor="text1"/>
        </w:rPr>
        <w:t xml:space="preserve"> мг</w:t>
      </w:r>
      <w:r w:rsidRPr="00D6050D">
        <w:rPr>
          <w:color w:val="000000" w:themeColor="text1"/>
        </w:rPr>
        <w:t xml:space="preserve"> </w:t>
      </w:r>
      <w:r w:rsidRPr="00D6050D">
        <w:t xml:space="preserve">в </w:t>
      </w:r>
      <w:r w:rsidR="00535B9A">
        <w:t>0,4</w:t>
      </w:r>
      <w:r w:rsidRPr="00D6050D">
        <w:rPr>
          <w:color w:val="000000" w:themeColor="text1"/>
        </w:rPr>
        <w:t>% раствор</w:t>
      </w:r>
      <w:r w:rsidRPr="00F71560">
        <w:rPr>
          <w:color w:val="000000" w:themeColor="text1"/>
        </w:rPr>
        <w:t>е</w:t>
      </w:r>
      <w:r w:rsidRPr="00D6050D">
        <w:rPr>
          <w:color w:val="000000" w:themeColor="text1"/>
        </w:rPr>
        <w:t xml:space="preserve"> </w:t>
      </w:r>
      <w:r w:rsidR="00115BA3">
        <w:rPr>
          <w:color w:val="000000" w:themeColor="text1"/>
        </w:rPr>
        <w:t>натрия лаурилсульфата</w:t>
      </w:r>
      <w:r w:rsidRPr="00D6050D">
        <w:t>.</w:t>
      </w:r>
    </w:p>
    <w:p w14:paraId="6CF4652D" w14:textId="76DA5DA4" w:rsidR="004327EA" w:rsidRPr="00D6050D" w:rsidRDefault="004327EA" w:rsidP="00051324">
      <w:pPr>
        <w:spacing w:after="0" w:line="240" w:lineRule="auto"/>
      </w:pPr>
      <w:r w:rsidRPr="00C978A8">
        <w:rPr>
          <w:noProof/>
          <w:sz w:val="28"/>
          <w:szCs w:val="28"/>
          <w:lang w:eastAsia="ru-RU"/>
        </w:rPr>
        <w:drawing>
          <wp:inline distT="0" distB="0" distL="0" distR="0" wp14:anchorId="324744CE" wp14:editId="68672AEC">
            <wp:extent cx="5981700" cy="30099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E928C6" w14:textId="6B66BB60" w:rsidR="00051324" w:rsidRPr="00001701" w:rsidRDefault="00051324" w:rsidP="00051324">
      <w:pPr>
        <w:pStyle w:val="Default"/>
        <w:jc w:val="both"/>
        <w:rPr>
          <w:highlight w:val="yellow"/>
        </w:rPr>
      </w:pPr>
    </w:p>
    <w:p w14:paraId="44CDE622" w14:textId="77777777" w:rsidR="00051324" w:rsidRDefault="00051324" w:rsidP="00051324">
      <w:pPr>
        <w:pStyle w:val="Default"/>
        <w:jc w:val="both"/>
        <w:rPr>
          <w:b/>
          <w:highlight w:val="yellow"/>
        </w:rPr>
      </w:pPr>
    </w:p>
    <w:p w14:paraId="78FAAA5B" w14:textId="77777777" w:rsidR="008A7500" w:rsidRDefault="008A7500" w:rsidP="0071249E">
      <w:pPr>
        <w:spacing w:after="0" w:line="240" w:lineRule="auto"/>
        <w:jc w:val="left"/>
        <w:rPr>
          <w:b/>
        </w:rPr>
        <w:sectPr w:rsidR="008A7500" w:rsidSect="00E34EAC">
          <w:pgSz w:w="11906" w:h="16838"/>
          <w:pgMar w:top="1134" w:right="849" w:bottom="1134" w:left="1701" w:header="708" w:footer="708" w:gutter="0"/>
          <w:cols w:space="708"/>
          <w:docGrid w:linePitch="360"/>
        </w:sectPr>
      </w:pPr>
    </w:p>
    <w:p w14:paraId="2A0274A7" w14:textId="0E8AAC24" w:rsidR="00051324" w:rsidRDefault="00051324" w:rsidP="0071249E">
      <w:pPr>
        <w:spacing w:after="0" w:line="240" w:lineRule="auto"/>
        <w:jc w:val="left"/>
      </w:pPr>
      <w:r w:rsidRPr="00D6050D">
        <w:rPr>
          <w:b/>
        </w:rPr>
        <w:lastRenderedPageBreak/>
        <w:t>Рисунок 2-</w:t>
      </w:r>
      <w:r w:rsidR="00FD16BE">
        <w:rPr>
          <w:b/>
        </w:rPr>
        <w:t>3</w:t>
      </w:r>
      <w:r w:rsidRPr="00D6050D">
        <w:rPr>
          <w:b/>
        </w:rPr>
        <w:t>.</w:t>
      </w:r>
      <w:r w:rsidRPr="00D6050D">
        <w:t xml:space="preserve"> Усредненные профили высвобождения активного компонента из препаратов </w:t>
      </w:r>
      <w:r w:rsidRPr="00D6050D">
        <w:rPr>
          <w:color w:val="000000" w:themeColor="text1"/>
          <w:lang w:val="en-US"/>
        </w:rPr>
        <w:t>DT</w:t>
      </w:r>
      <w:r w:rsidRPr="00D6050D">
        <w:rPr>
          <w:color w:val="000000" w:themeColor="text1"/>
        </w:rPr>
        <w:t>-</w:t>
      </w:r>
      <w:r w:rsidR="00FD16BE">
        <w:rPr>
          <w:color w:val="000000" w:themeColor="text1"/>
          <w:lang w:val="en-US"/>
        </w:rPr>
        <w:t>EVR</w:t>
      </w:r>
      <w:r w:rsidRPr="00D6050D">
        <w:rPr>
          <w:color w:val="000000" w:themeColor="text1"/>
        </w:rPr>
        <w:t xml:space="preserve"> и </w:t>
      </w:r>
      <w:r w:rsidR="004327EA">
        <w:rPr>
          <w:color w:val="000000" w:themeColor="text1"/>
        </w:rPr>
        <w:t>Сертикан</w:t>
      </w:r>
      <w:r w:rsidRPr="00D6050D">
        <w:rPr>
          <w:color w:val="000000" w:themeColor="text1"/>
          <w:vertAlign w:val="superscript"/>
        </w:rPr>
        <w:t xml:space="preserve">® </w:t>
      </w:r>
      <w:r w:rsidRPr="00D6050D">
        <w:rPr>
          <w:color w:val="000000" w:themeColor="text1"/>
        </w:rPr>
        <w:t xml:space="preserve">в дозировке </w:t>
      </w:r>
      <w:r w:rsidRPr="00D6050D">
        <w:t>0</w:t>
      </w:r>
      <w:r w:rsidR="004327EA">
        <w:t>,75</w:t>
      </w:r>
      <w:r w:rsidRPr="00D6050D">
        <w:t xml:space="preserve"> мг в буферном растворе с </w:t>
      </w:r>
      <w:r w:rsidRPr="00D6050D">
        <w:rPr>
          <w:lang w:val="en-US"/>
        </w:rPr>
        <w:t>pH</w:t>
      </w:r>
      <w:r w:rsidRPr="00D6050D">
        <w:t xml:space="preserve"> 1,2.</w:t>
      </w:r>
    </w:p>
    <w:p w14:paraId="3B41FD64" w14:textId="2D2AEFCF" w:rsidR="00051324" w:rsidRPr="004327EA" w:rsidRDefault="004327EA" w:rsidP="000D7CCE">
      <w:pPr>
        <w:pStyle w:val="Default"/>
        <w:jc w:val="both"/>
      </w:pPr>
      <w:r w:rsidRPr="00C978A8">
        <w:rPr>
          <w:noProof/>
          <w:sz w:val="28"/>
          <w:szCs w:val="28"/>
        </w:rPr>
        <w:drawing>
          <wp:inline distT="0" distB="0" distL="0" distR="0" wp14:anchorId="4D67181E" wp14:editId="2BC02B45">
            <wp:extent cx="5893435" cy="2362200"/>
            <wp:effectExtent l="0" t="0" r="1206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B9AD0E" w14:textId="77777777" w:rsidR="00FD16BE" w:rsidRDefault="00FD16BE" w:rsidP="003520C2">
      <w:pPr>
        <w:pStyle w:val="Default"/>
        <w:jc w:val="both"/>
        <w:rPr>
          <w:b/>
        </w:rPr>
      </w:pPr>
    </w:p>
    <w:p w14:paraId="6DA2AD2F" w14:textId="225C8BFA" w:rsidR="00051324" w:rsidRDefault="00051324" w:rsidP="00AA5270">
      <w:pPr>
        <w:pStyle w:val="Default"/>
        <w:jc w:val="both"/>
      </w:pPr>
      <w:r w:rsidRPr="00D6050D">
        <w:rPr>
          <w:b/>
        </w:rPr>
        <w:t>Рисунок 2-</w:t>
      </w:r>
      <w:r w:rsidR="00FD16BE">
        <w:rPr>
          <w:b/>
        </w:rPr>
        <w:t>4</w:t>
      </w:r>
      <w:r w:rsidRPr="00D6050D">
        <w:rPr>
          <w:b/>
        </w:rPr>
        <w:t>.</w:t>
      </w:r>
      <w:r w:rsidRPr="00D6050D">
        <w:t xml:space="preserve"> Усредненные профили высвобождения активного компонента из препаратов </w:t>
      </w:r>
      <w:r w:rsidRPr="00D6050D">
        <w:rPr>
          <w:color w:val="000000" w:themeColor="text1"/>
          <w:lang w:val="en-US"/>
        </w:rPr>
        <w:t>DT</w:t>
      </w:r>
      <w:r w:rsidRPr="00D6050D">
        <w:rPr>
          <w:color w:val="000000" w:themeColor="text1"/>
        </w:rPr>
        <w:t>-</w:t>
      </w:r>
      <w:r w:rsidR="007D10C1">
        <w:rPr>
          <w:color w:val="000000" w:themeColor="text1"/>
          <w:lang w:val="en-US"/>
        </w:rPr>
        <w:t>EVR</w:t>
      </w:r>
      <w:r w:rsidRPr="00D6050D">
        <w:rPr>
          <w:color w:val="000000" w:themeColor="text1"/>
        </w:rPr>
        <w:t xml:space="preserve"> и </w:t>
      </w:r>
      <w:r w:rsidR="004327EA">
        <w:rPr>
          <w:color w:val="000000" w:themeColor="text1"/>
        </w:rPr>
        <w:t>Сертикан</w:t>
      </w:r>
      <w:r w:rsidRPr="00D6050D">
        <w:rPr>
          <w:color w:val="000000" w:themeColor="text1"/>
          <w:vertAlign w:val="superscript"/>
        </w:rPr>
        <w:t xml:space="preserve">® </w:t>
      </w:r>
      <w:r w:rsidRPr="00D6050D">
        <w:rPr>
          <w:color w:val="000000" w:themeColor="text1"/>
        </w:rPr>
        <w:t xml:space="preserve">в </w:t>
      </w:r>
      <w:r w:rsidRPr="00D6050D">
        <w:t>дозировке 0</w:t>
      </w:r>
      <w:r w:rsidR="004327EA">
        <w:t>,75</w:t>
      </w:r>
      <w:r w:rsidRPr="00D6050D">
        <w:t xml:space="preserve"> мг в ацетатном буферном растворе рН 4,5.</w:t>
      </w:r>
    </w:p>
    <w:p w14:paraId="14DAC556" w14:textId="4A6943ED" w:rsidR="00051324" w:rsidRPr="004327EA" w:rsidRDefault="004327EA" w:rsidP="00AA5270">
      <w:pPr>
        <w:pStyle w:val="Default"/>
        <w:jc w:val="both"/>
      </w:pPr>
      <w:r w:rsidRPr="00C978A8">
        <w:rPr>
          <w:noProof/>
          <w:sz w:val="28"/>
          <w:szCs w:val="28"/>
        </w:rPr>
        <w:drawing>
          <wp:inline distT="0" distB="0" distL="0" distR="0" wp14:anchorId="7AF259CA" wp14:editId="0F1984E1">
            <wp:extent cx="5905500" cy="234315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D11F07" w14:textId="77777777" w:rsidR="00051324" w:rsidRPr="00001701" w:rsidRDefault="00051324" w:rsidP="0076709F">
      <w:pPr>
        <w:pStyle w:val="Default"/>
        <w:jc w:val="both"/>
        <w:rPr>
          <w:highlight w:val="yellow"/>
        </w:rPr>
      </w:pPr>
    </w:p>
    <w:p w14:paraId="1CA01E85" w14:textId="7B810D0C" w:rsidR="00051324" w:rsidRDefault="00051324" w:rsidP="00A61901">
      <w:pPr>
        <w:pStyle w:val="Default"/>
        <w:jc w:val="both"/>
      </w:pPr>
      <w:r w:rsidRPr="00D6050D">
        <w:rPr>
          <w:b/>
        </w:rPr>
        <w:t>Рисунок 2-</w:t>
      </w:r>
      <w:r w:rsidR="00FD16BE">
        <w:rPr>
          <w:b/>
        </w:rPr>
        <w:t>5</w:t>
      </w:r>
      <w:r w:rsidRPr="00D6050D">
        <w:rPr>
          <w:b/>
        </w:rPr>
        <w:t>.</w:t>
      </w:r>
      <w:r w:rsidRPr="00D6050D">
        <w:t xml:space="preserve"> Усредненные профили высвобождения активного компонента из препаратов </w:t>
      </w:r>
      <w:r w:rsidRPr="00D6050D">
        <w:rPr>
          <w:color w:val="000000" w:themeColor="text1"/>
          <w:lang w:val="en-US"/>
        </w:rPr>
        <w:t>DT</w:t>
      </w:r>
      <w:r w:rsidRPr="00D6050D">
        <w:rPr>
          <w:color w:val="000000" w:themeColor="text1"/>
        </w:rPr>
        <w:t>-</w:t>
      </w:r>
      <w:r w:rsidR="007D10C1">
        <w:rPr>
          <w:color w:val="000000" w:themeColor="text1"/>
          <w:lang w:val="en-US"/>
        </w:rPr>
        <w:t>EVR</w:t>
      </w:r>
      <w:r w:rsidRPr="00D6050D">
        <w:rPr>
          <w:color w:val="000000" w:themeColor="text1"/>
        </w:rPr>
        <w:t xml:space="preserve"> и </w:t>
      </w:r>
      <w:r w:rsidR="004327EA">
        <w:rPr>
          <w:color w:val="000000" w:themeColor="text1"/>
        </w:rPr>
        <w:t>Сертикан</w:t>
      </w:r>
      <w:r w:rsidRPr="00D6050D">
        <w:rPr>
          <w:color w:val="000000" w:themeColor="text1"/>
          <w:vertAlign w:val="superscript"/>
        </w:rPr>
        <w:t xml:space="preserve">® </w:t>
      </w:r>
      <w:r w:rsidRPr="00D6050D">
        <w:rPr>
          <w:color w:val="000000" w:themeColor="text1"/>
        </w:rPr>
        <w:t xml:space="preserve">в </w:t>
      </w:r>
      <w:r w:rsidRPr="00D6050D">
        <w:t>дозировке 0</w:t>
      </w:r>
      <w:r w:rsidR="004327EA">
        <w:t>,75</w:t>
      </w:r>
      <w:r w:rsidRPr="00D6050D">
        <w:t xml:space="preserve"> мг в фосфатном буферном растворе рН 6,8.</w:t>
      </w:r>
    </w:p>
    <w:p w14:paraId="7F8101AE" w14:textId="5B4B5AF2" w:rsidR="00051324" w:rsidRPr="00051324" w:rsidRDefault="004327EA" w:rsidP="0071249E">
      <w:pPr>
        <w:pStyle w:val="Default"/>
        <w:jc w:val="both"/>
        <w:rPr>
          <w:rFonts w:eastAsia="Calibri"/>
        </w:rPr>
      </w:pPr>
      <w:r w:rsidRPr="00C978A8">
        <w:rPr>
          <w:noProof/>
          <w:sz w:val="28"/>
          <w:szCs w:val="28"/>
        </w:rPr>
        <w:drawing>
          <wp:inline distT="0" distB="0" distL="0" distR="0" wp14:anchorId="06C8E9F5" wp14:editId="4633B6E2">
            <wp:extent cx="5867400" cy="230505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534A8F" w14:textId="42ED8ADA" w:rsidR="00195552" w:rsidRPr="00FC4D18" w:rsidRDefault="00DE1BAD" w:rsidP="00FC4D18">
      <w:pPr>
        <w:spacing w:after="0" w:line="240" w:lineRule="auto"/>
        <w:ind w:firstLine="709"/>
        <w:rPr>
          <w:lang w:eastAsia="ru-RU" w:bidi="ru-RU"/>
        </w:rPr>
      </w:pPr>
      <w:r w:rsidRPr="00FC4D18">
        <w:rPr>
          <w:lang w:eastAsia="ru-RU" w:bidi="ru-RU"/>
        </w:rPr>
        <w:t xml:space="preserve">Таким образом, по результатам проведения ТСКР препаратов </w:t>
      </w:r>
      <w:r w:rsidRPr="00FC4D18">
        <w:rPr>
          <w:lang w:val="en-US" w:eastAsia="ru-RU" w:bidi="ru-RU"/>
        </w:rPr>
        <w:t>DT</w:t>
      </w:r>
      <w:r w:rsidRPr="00FC4D18">
        <w:rPr>
          <w:lang w:eastAsia="ru-RU" w:bidi="ru-RU"/>
        </w:rPr>
        <w:t>-</w:t>
      </w:r>
      <w:r w:rsidRPr="00FC4D18">
        <w:rPr>
          <w:lang w:val="en-US" w:eastAsia="ru-RU" w:bidi="ru-RU"/>
        </w:rPr>
        <w:t>EVR</w:t>
      </w:r>
      <w:r w:rsidRPr="00FC4D18">
        <w:rPr>
          <w:lang w:eastAsia="ru-RU" w:bidi="ru-RU"/>
        </w:rPr>
        <w:t xml:space="preserve"> (АО «Р-Фарм») и </w:t>
      </w:r>
      <w:r w:rsidR="004327EA">
        <w:rPr>
          <w:lang w:eastAsia="ru-RU" w:bidi="ru-RU"/>
        </w:rPr>
        <w:t>Сертикан</w:t>
      </w:r>
      <w:r w:rsidRPr="00FC4D18">
        <w:rPr>
          <w:color w:val="000000" w:themeColor="text1"/>
          <w:vertAlign w:val="superscript"/>
        </w:rPr>
        <w:t>®</w:t>
      </w:r>
      <w:r w:rsidRPr="00FC4D18">
        <w:rPr>
          <w:color w:val="000000" w:themeColor="text1"/>
        </w:rPr>
        <w:t xml:space="preserve"> (</w:t>
      </w:r>
      <w:r w:rsidRPr="00FC4D18">
        <w:rPr>
          <w:rFonts w:eastAsia="Calibri"/>
        </w:rPr>
        <w:t>Новартис Фарма АГ, Швейцария</w:t>
      </w:r>
      <w:r w:rsidR="004327EA">
        <w:rPr>
          <w:color w:val="000000" w:themeColor="text1"/>
        </w:rPr>
        <w:t xml:space="preserve">) в дозировке </w:t>
      </w:r>
      <w:r w:rsidRPr="00FC4D18">
        <w:rPr>
          <w:color w:val="000000" w:themeColor="text1"/>
        </w:rPr>
        <w:lastRenderedPageBreak/>
        <w:t>0</w:t>
      </w:r>
      <w:r w:rsidR="004327EA">
        <w:rPr>
          <w:color w:val="000000" w:themeColor="text1"/>
        </w:rPr>
        <w:t>,75</w:t>
      </w:r>
      <w:r w:rsidRPr="00FC4D18">
        <w:rPr>
          <w:color w:val="000000" w:themeColor="text1"/>
        </w:rPr>
        <w:t xml:space="preserve"> мг показана эквивалентность растворения для </w:t>
      </w:r>
      <w:r w:rsidR="004327EA">
        <w:rPr>
          <w:color w:val="000000" w:themeColor="text1"/>
        </w:rPr>
        <w:t>всех</w:t>
      </w:r>
      <w:r w:rsidRPr="00FC4D18">
        <w:rPr>
          <w:color w:val="000000" w:themeColor="text1"/>
        </w:rPr>
        <w:t xml:space="preserve"> 4-х сред растворения, что подтверждает </w:t>
      </w:r>
      <w:r w:rsidR="00FC4D18" w:rsidRPr="00FC4D18">
        <w:rPr>
          <w:color w:val="000000" w:themeColor="text1"/>
        </w:rPr>
        <w:t>эквивалентную кинетику растворения препаратов и позволяет предполагать также эквивалентность фармакологических свойств препаратов.</w:t>
      </w:r>
    </w:p>
    <w:p w14:paraId="2EEEB042" w14:textId="63443939" w:rsidR="00E30437" w:rsidRPr="00FC4D18" w:rsidRDefault="00E30437" w:rsidP="00707D60">
      <w:pPr>
        <w:pStyle w:val="3"/>
        <w:spacing w:after="240" w:line="240" w:lineRule="auto"/>
        <w:rPr>
          <w:rFonts w:ascii="Times New Roman" w:hAnsi="Times New Roman"/>
          <w:color w:val="000000" w:themeColor="text1"/>
          <w:szCs w:val="24"/>
        </w:rPr>
      </w:pPr>
      <w:bookmarkStart w:id="106" w:name="_Toc115217925"/>
      <w:bookmarkStart w:id="107" w:name="_Toc118124156"/>
      <w:bookmarkStart w:id="108" w:name="_Toc119313730"/>
      <w:r w:rsidRPr="00FC4D18">
        <w:rPr>
          <w:rFonts w:ascii="Times New Roman" w:hAnsi="Times New Roman"/>
          <w:color w:val="000000" w:themeColor="text1"/>
          <w:szCs w:val="24"/>
        </w:rPr>
        <w:t>2.2.4 Форма выпуска</w:t>
      </w:r>
      <w:bookmarkEnd w:id="106"/>
      <w:bookmarkEnd w:id="107"/>
      <w:bookmarkEnd w:id="108"/>
    </w:p>
    <w:p w14:paraId="4B541C8B" w14:textId="3DCB19C1" w:rsidR="00FC4D18" w:rsidRPr="00FC4D18" w:rsidRDefault="00FC4D18" w:rsidP="00FC4D18">
      <w:pPr>
        <w:spacing w:after="0" w:line="240" w:lineRule="auto"/>
        <w:ind w:firstLine="709"/>
      </w:pPr>
      <w:r w:rsidRPr="00FC4D18">
        <w:t xml:space="preserve">Таблетки, </w:t>
      </w:r>
      <w:r w:rsidR="00FE0099">
        <w:t xml:space="preserve">0,25 мг, 0,5 мг и </w:t>
      </w:r>
      <w:r w:rsidR="00453F4A">
        <w:t>0,75</w:t>
      </w:r>
      <w:r w:rsidRPr="00FC4D18">
        <w:t xml:space="preserve"> мг.</w:t>
      </w:r>
    </w:p>
    <w:p w14:paraId="28AD2732" w14:textId="77777777" w:rsidR="00FE0099" w:rsidRDefault="00FC4D18" w:rsidP="00FC4D18">
      <w:pPr>
        <w:spacing w:after="0" w:line="240" w:lineRule="auto"/>
        <w:ind w:firstLine="709"/>
        <w:rPr>
          <w:shd w:val="clear" w:color="auto" w:fill="FFFFFF"/>
        </w:rPr>
      </w:pPr>
      <w:r w:rsidRPr="00FC4D18">
        <w:rPr>
          <w:shd w:val="clear" w:color="auto" w:fill="FFFFFF"/>
        </w:rPr>
        <w:t>По 10 таблеток в контурную ячейковую упаковку из фольги алюминиевой (материал комбинированный</w:t>
      </w:r>
      <w:r w:rsidRPr="00FE5D38">
        <w:rPr>
          <w:shd w:val="clear" w:color="auto" w:fill="FFFFFF"/>
        </w:rPr>
        <w:t xml:space="preserve"> для холодной формовки</w:t>
      </w:r>
      <w:r w:rsidR="00FE0099">
        <w:rPr>
          <w:shd w:val="clear" w:color="auto" w:fill="FFFFFF"/>
        </w:rPr>
        <w:t>)</w:t>
      </w:r>
      <w:r w:rsidRPr="00FE5D38">
        <w:rPr>
          <w:shd w:val="clear" w:color="auto" w:fill="FFFFFF"/>
        </w:rPr>
        <w:t xml:space="preserve"> и фольги алю</w:t>
      </w:r>
      <w:r w:rsidR="00FE0099">
        <w:rPr>
          <w:shd w:val="clear" w:color="auto" w:fill="FFFFFF"/>
        </w:rPr>
        <w:t>миниевой печатной лакированной.</w:t>
      </w:r>
    </w:p>
    <w:p w14:paraId="18DC7DF0" w14:textId="2711EBBA" w:rsidR="00FC4D18" w:rsidRPr="00FE5D38" w:rsidRDefault="00FE0099" w:rsidP="00FC4D18">
      <w:pPr>
        <w:spacing w:after="0" w:line="240" w:lineRule="auto"/>
        <w:ind w:firstLine="709"/>
        <w:rPr>
          <w:rFonts w:eastAsiaTheme="minorEastAsia"/>
          <w:highlight w:val="lightGray"/>
        </w:rPr>
      </w:pPr>
      <w:r>
        <w:rPr>
          <w:rFonts w:eastAsiaTheme="minorEastAsia"/>
        </w:rPr>
        <w:t>По 6</w:t>
      </w:r>
      <w:r w:rsidR="00FC4D18" w:rsidRPr="00FE5D38">
        <w:rPr>
          <w:rFonts w:eastAsiaTheme="minorEastAsia"/>
        </w:rPr>
        <w:t>0 таблеток в банку полимерную (из полиэтилена) для лекарственных средств, укупоренную крышкой полимерной (из полипропилена) с контролем первого вскрытия.</w:t>
      </w:r>
    </w:p>
    <w:p w14:paraId="5DD8298A" w14:textId="77777777" w:rsidR="00FC4D18" w:rsidRPr="00FE5D38" w:rsidRDefault="00FC4D18" w:rsidP="00FC4D18">
      <w:pPr>
        <w:spacing w:after="0" w:line="240" w:lineRule="auto"/>
        <w:ind w:firstLine="709"/>
        <w:rPr>
          <w:rFonts w:eastAsiaTheme="minorEastAsia"/>
        </w:rPr>
      </w:pPr>
      <w:r w:rsidRPr="00FE5D38">
        <w:rPr>
          <w:rFonts w:eastAsiaTheme="minorEastAsia"/>
        </w:rPr>
        <w:t>На банку наклеивают этикетку из бумаги этикеточной или писчей, или самоклеящуюся этикетку.</w:t>
      </w:r>
    </w:p>
    <w:p w14:paraId="48BE8CAB" w14:textId="0117E8CB" w:rsidR="00FC4D18" w:rsidRPr="00FE5D38" w:rsidRDefault="00FE0099" w:rsidP="00A4718B">
      <w:pPr>
        <w:spacing w:after="0" w:line="240" w:lineRule="auto"/>
        <w:ind w:firstLine="709"/>
        <w:rPr>
          <w:rFonts w:eastAsiaTheme="minorEastAsia"/>
        </w:rPr>
      </w:pPr>
      <w:r>
        <w:rPr>
          <w:rFonts w:eastAsiaTheme="minorEastAsia"/>
        </w:rPr>
        <w:t>Каждую банку или 6 контурных ячейковых упаковок</w:t>
      </w:r>
      <w:r w:rsidR="00FC4D18" w:rsidRPr="00FE5D38">
        <w:t xml:space="preserve"> </w:t>
      </w:r>
      <w:r w:rsidR="00FC4D18" w:rsidRPr="00FE5D38">
        <w:rPr>
          <w:rFonts w:eastAsiaTheme="minorEastAsia"/>
        </w:rPr>
        <w:t xml:space="preserve">вместе с инструкцией по применению </w:t>
      </w:r>
      <w:r w:rsidR="000D7CCE">
        <w:rPr>
          <w:shd w:val="clear" w:color="auto" w:fill="FFFFFF"/>
        </w:rPr>
        <w:t xml:space="preserve">(листком-вкладышем) </w:t>
      </w:r>
      <w:r w:rsidR="00FC4D18" w:rsidRPr="00FE5D38">
        <w:rPr>
          <w:rFonts w:eastAsiaTheme="minorEastAsia"/>
        </w:rPr>
        <w:t>помещают в пачку из картона коробочного.</w:t>
      </w:r>
    </w:p>
    <w:p w14:paraId="794BA0E9" w14:textId="2B85C9E1" w:rsidR="00FC4D18" w:rsidRPr="00A4718B" w:rsidRDefault="00FC4D18" w:rsidP="00A4718B">
      <w:pPr>
        <w:spacing w:after="0" w:line="240" w:lineRule="auto"/>
        <w:ind w:firstLine="709"/>
      </w:pPr>
      <w:r w:rsidRPr="00A4718B">
        <w:rPr>
          <w:rFonts w:eastAsiaTheme="minorEastAsia"/>
        </w:rPr>
        <w:t>Пачки помещают в групповую упаковку.</w:t>
      </w:r>
    </w:p>
    <w:p w14:paraId="469E983A" w14:textId="77777777" w:rsidR="00A4718B" w:rsidRPr="00A4718B" w:rsidRDefault="00A4718B" w:rsidP="00A4718B">
      <w:pPr>
        <w:spacing w:after="0" w:line="240" w:lineRule="auto"/>
        <w:ind w:firstLine="709"/>
      </w:pPr>
    </w:p>
    <w:p w14:paraId="3356824A" w14:textId="77777777" w:rsidR="00BB5104" w:rsidRPr="00A4718B" w:rsidRDefault="00E30437" w:rsidP="00A4718B">
      <w:pPr>
        <w:pStyle w:val="2"/>
        <w:spacing w:before="0" w:line="240" w:lineRule="auto"/>
        <w:rPr>
          <w:color w:val="000000" w:themeColor="text1"/>
          <w:szCs w:val="24"/>
        </w:rPr>
      </w:pPr>
      <w:bookmarkStart w:id="109" w:name="_Toc115217926"/>
      <w:bookmarkStart w:id="110" w:name="_Toc118124157"/>
      <w:bookmarkStart w:id="111" w:name="_Toc119313731"/>
      <w:r w:rsidRPr="00A4718B">
        <w:rPr>
          <w:color w:val="000000" w:themeColor="text1"/>
          <w:szCs w:val="24"/>
        </w:rPr>
        <w:t>2.3 Правила хранения и обращения</w:t>
      </w:r>
      <w:bookmarkEnd w:id="109"/>
      <w:bookmarkEnd w:id="110"/>
      <w:bookmarkEnd w:id="111"/>
    </w:p>
    <w:p w14:paraId="18D11FC9"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112" w:name="_Toc115217927"/>
      <w:bookmarkStart w:id="113" w:name="_Toc118124158"/>
      <w:bookmarkStart w:id="114" w:name="_Toc119313732"/>
      <w:r w:rsidRPr="00A4718B">
        <w:rPr>
          <w:rFonts w:ascii="Times New Roman" w:hAnsi="Times New Roman"/>
          <w:color w:val="000000" w:themeColor="text1"/>
          <w:szCs w:val="24"/>
        </w:rPr>
        <w:t>2.3.1 Условия хранения и транспортировки</w:t>
      </w:r>
      <w:bookmarkEnd w:id="112"/>
      <w:bookmarkEnd w:id="113"/>
      <w:bookmarkEnd w:id="114"/>
    </w:p>
    <w:p w14:paraId="29BD1FC3" w14:textId="55FB7ACE" w:rsidR="00884C56" w:rsidRDefault="00895AFA" w:rsidP="00A4718B">
      <w:pPr>
        <w:spacing w:after="0" w:line="240" w:lineRule="auto"/>
        <w:ind w:firstLine="709"/>
        <w:rPr>
          <w:iCs/>
          <w:lang w:eastAsia="en-US"/>
        </w:rPr>
      </w:pPr>
      <w:r w:rsidRPr="00A4718B">
        <w:t>Хранить при температуре не выше 25ºС</w:t>
      </w:r>
      <w:r w:rsidR="00884C56" w:rsidRPr="00A4718B">
        <w:rPr>
          <w:iCs/>
          <w:lang w:eastAsia="en-US"/>
        </w:rPr>
        <w:t>.</w:t>
      </w:r>
    </w:p>
    <w:p w14:paraId="11B31153" w14:textId="77777777" w:rsidR="00FE0099" w:rsidRPr="00A4718B" w:rsidRDefault="00FE0099" w:rsidP="00A4718B">
      <w:pPr>
        <w:spacing w:after="0" w:line="240" w:lineRule="auto"/>
        <w:ind w:firstLine="709"/>
        <w:rPr>
          <w:rFonts w:eastAsia="Calibri"/>
          <w:lang w:eastAsia="en-US"/>
        </w:rPr>
      </w:pPr>
    </w:p>
    <w:p w14:paraId="57784917"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115" w:name="_Toc115217928"/>
      <w:bookmarkStart w:id="116" w:name="_Toc118124159"/>
      <w:bookmarkStart w:id="117" w:name="_Toc119313733"/>
      <w:r w:rsidRPr="00A4718B">
        <w:rPr>
          <w:rFonts w:ascii="Times New Roman" w:hAnsi="Times New Roman"/>
          <w:color w:val="000000" w:themeColor="text1"/>
          <w:szCs w:val="24"/>
        </w:rPr>
        <w:t>2.3.2</w:t>
      </w:r>
      <w:r w:rsidR="0003556A" w:rsidRPr="00A4718B">
        <w:rPr>
          <w:rFonts w:ascii="Times New Roman" w:hAnsi="Times New Roman"/>
          <w:color w:val="000000" w:themeColor="text1"/>
          <w:szCs w:val="24"/>
        </w:rPr>
        <w:t>.</w:t>
      </w:r>
      <w:r w:rsidRPr="00A4718B">
        <w:rPr>
          <w:rFonts w:ascii="Times New Roman" w:hAnsi="Times New Roman"/>
          <w:color w:val="000000" w:themeColor="text1"/>
          <w:szCs w:val="24"/>
        </w:rPr>
        <w:t xml:space="preserve"> Срок годности</w:t>
      </w:r>
      <w:bookmarkEnd w:id="115"/>
      <w:bookmarkEnd w:id="116"/>
      <w:bookmarkEnd w:id="117"/>
    </w:p>
    <w:p w14:paraId="3C98DB9C" w14:textId="4385B938" w:rsidR="00884C56" w:rsidRDefault="00895AFA" w:rsidP="00A4718B">
      <w:pPr>
        <w:spacing w:after="0" w:line="240" w:lineRule="auto"/>
        <w:ind w:firstLine="709"/>
        <w:rPr>
          <w:iCs/>
          <w:lang w:eastAsia="en-US"/>
        </w:rPr>
      </w:pPr>
      <w:r w:rsidRPr="00A4718B">
        <w:rPr>
          <w:iCs/>
          <w:lang w:eastAsia="en-US"/>
        </w:rPr>
        <w:t>2 года</w:t>
      </w:r>
      <w:r w:rsidR="00884C56" w:rsidRPr="00A4718B">
        <w:rPr>
          <w:iCs/>
          <w:lang w:eastAsia="en-US"/>
        </w:rPr>
        <w:t>.</w:t>
      </w:r>
    </w:p>
    <w:p w14:paraId="7C1F7F51" w14:textId="77777777" w:rsidR="00A4718B" w:rsidRPr="00A4718B" w:rsidRDefault="00A4718B" w:rsidP="00A4718B">
      <w:pPr>
        <w:spacing w:after="0" w:line="240" w:lineRule="auto"/>
        <w:ind w:firstLine="709"/>
        <w:rPr>
          <w:rFonts w:eastAsia="Calibri"/>
        </w:rPr>
      </w:pPr>
    </w:p>
    <w:p w14:paraId="4F2DCADC"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118" w:name="_Toc115217929"/>
      <w:bookmarkStart w:id="119" w:name="_Toc118124160"/>
      <w:bookmarkStart w:id="120" w:name="_Toc119313734"/>
      <w:r w:rsidRPr="00A4718B">
        <w:rPr>
          <w:rFonts w:ascii="Times New Roman" w:hAnsi="Times New Roman"/>
          <w:color w:val="000000" w:themeColor="text1"/>
          <w:szCs w:val="24"/>
        </w:rPr>
        <w:t>2.3.3</w:t>
      </w:r>
      <w:r w:rsidR="0003556A" w:rsidRPr="00A4718B">
        <w:rPr>
          <w:rFonts w:ascii="Times New Roman" w:hAnsi="Times New Roman"/>
          <w:color w:val="000000" w:themeColor="text1"/>
          <w:szCs w:val="24"/>
        </w:rPr>
        <w:t>.</w:t>
      </w:r>
      <w:r w:rsidRPr="00A4718B">
        <w:rPr>
          <w:rFonts w:ascii="Times New Roman" w:hAnsi="Times New Roman"/>
          <w:color w:val="000000" w:themeColor="text1"/>
          <w:szCs w:val="24"/>
        </w:rPr>
        <w:t xml:space="preserve"> Правила по обращению с препаратом</w:t>
      </w:r>
      <w:bookmarkEnd w:id="118"/>
      <w:bookmarkEnd w:id="119"/>
      <w:bookmarkEnd w:id="120"/>
    </w:p>
    <w:p w14:paraId="17CFF596" w14:textId="6A0ED0C5" w:rsidR="00A4718B" w:rsidRPr="00A4718B" w:rsidRDefault="00895AFA" w:rsidP="00A4718B">
      <w:pPr>
        <w:spacing w:after="0" w:line="240" w:lineRule="auto"/>
        <w:ind w:firstLine="709"/>
        <w:rPr>
          <w:rFonts w:eastAsia="Calibri"/>
          <w:color w:val="000000" w:themeColor="text1"/>
          <w:lang w:eastAsia="en-US"/>
        </w:rPr>
      </w:pPr>
      <w:r w:rsidRPr="00A4718B">
        <w:rPr>
          <w:color w:val="000000" w:themeColor="text1"/>
        </w:rPr>
        <w:t>Не требует особых мер предосторожности при использовании</w:t>
      </w:r>
      <w:r w:rsidRPr="00A4718B">
        <w:rPr>
          <w:rFonts w:eastAsia="Courier New"/>
          <w:lang w:bidi="ru-RU"/>
        </w:rPr>
        <w:t>.</w:t>
      </w:r>
    </w:p>
    <w:p w14:paraId="1163FB91" w14:textId="77777777" w:rsidR="00A4718B" w:rsidRPr="00A3626B" w:rsidRDefault="00A4718B" w:rsidP="00A4718B">
      <w:pPr>
        <w:pStyle w:val="3"/>
        <w:spacing w:after="240" w:line="240" w:lineRule="auto"/>
        <w:rPr>
          <w:rFonts w:ascii="Times New Roman" w:hAnsi="Times New Roman"/>
          <w:color w:val="000000" w:themeColor="text1"/>
          <w:szCs w:val="24"/>
        </w:rPr>
      </w:pPr>
      <w:bookmarkStart w:id="121" w:name="_Toc112014957"/>
      <w:bookmarkStart w:id="122" w:name="_Toc115217930"/>
      <w:bookmarkStart w:id="123" w:name="_Toc118124161"/>
      <w:bookmarkStart w:id="124" w:name="_Toc119313735"/>
      <w:r>
        <w:rPr>
          <w:rFonts w:ascii="Times New Roman" w:hAnsi="Times New Roman"/>
          <w:color w:val="000000" w:themeColor="text1"/>
          <w:szCs w:val="24"/>
        </w:rPr>
        <w:t>Список литературы</w:t>
      </w:r>
      <w:bookmarkEnd w:id="121"/>
      <w:bookmarkEnd w:id="122"/>
      <w:bookmarkEnd w:id="123"/>
      <w:bookmarkEnd w:id="124"/>
    </w:p>
    <w:p w14:paraId="43B6A099" w14:textId="489D1690" w:rsidR="00A4718B" w:rsidRPr="00436348" w:rsidRDefault="00A4718B" w:rsidP="00A4718B">
      <w:pPr>
        <w:tabs>
          <w:tab w:val="left" w:pos="4588"/>
        </w:tabs>
        <w:spacing w:after="0" w:line="240" w:lineRule="auto"/>
        <w:ind w:left="284" w:hanging="284"/>
        <w:rPr>
          <w:color w:val="000000" w:themeColor="text1"/>
        </w:rPr>
        <w:sectPr w:rsidR="00A4718B" w:rsidRPr="00436348" w:rsidSect="00E34EAC">
          <w:pgSz w:w="11906" w:h="16838"/>
          <w:pgMar w:top="1134" w:right="849" w:bottom="1134" w:left="1701" w:header="708" w:footer="708" w:gutter="0"/>
          <w:cols w:space="708"/>
          <w:docGrid w:linePitch="360"/>
        </w:sectPr>
      </w:pPr>
      <w:r>
        <w:rPr>
          <w:color w:val="000000" w:themeColor="text1"/>
        </w:rPr>
        <w:t xml:space="preserve">1. </w:t>
      </w:r>
      <w:r w:rsidRPr="00670BD5">
        <w:rPr>
          <w:color w:val="000000" w:themeColor="text1"/>
        </w:rPr>
        <w:t>Отчет о проведении теста сравнительной кинетики растворения лекарственных препаратов «</w:t>
      </w:r>
      <w:r w:rsidR="00FE0099">
        <w:rPr>
          <w:color w:val="000000" w:themeColor="text1"/>
        </w:rPr>
        <w:t xml:space="preserve">ТРАНСАКСЕПТ таблетки </w:t>
      </w:r>
      <w:r w:rsidRPr="00670BD5">
        <w:rPr>
          <w:color w:val="000000" w:themeColor="text1"/>
        </w:rPr>
        <w:t>0</w:t>
      </w:r>
      <w:r w:rsidR="00FE0099">
        <w:rPr>
          <w:color w:val="000000" w:themeColor="text1"/>
        </w:rPr>
        <w:t>,75</w:t>
      </w:r>
      <w:r w:rsidRPr="00670BD5">
        <w:rPr>
          <w:color w:val="000000" w:themeColor="text1"/>
        </w:rPr>
        <w:t xml:space="preserve"> мг» производства АО «ОРТАТ», Российская Федерация и препарата сравнения «</w:t>
      </w:r>
      <w:r w:rsidR="00FE0099">
        <w:rPr>
          <w:color w:val="000000" w:themeColor="text1"/>
        </w:rPr>
        <w:t>Сертикан</w:t>
      </w:r>
      <w:r w:rsidRPr="00670BD5">
        <w:rPr>
          <w:color w:val="000000" w:themeColor="text1"/>
          <w:vertAlign w:val="superscript"/>
        </w:rPr>
        <w:t>®</w:t>
      </w:r>
      <w:r w:rsidR="00FE0099">
        <w:rPr>
          <w:color w:val="000000" w:themeColor="text1"/>
        </w:rPr>
        <w:t xml:space="preserve"> таблетки </w:t>
      </w:r>
      <w:r w:rsidRPr="00670BD5">
        <w:rPr>
          <w:color w:val="000000" w:themeColor="text1"/>
        </w:rPr>
        <w:t>0</w:t>
      </w:r>
      <w:r w:rsidR="00FE0099">
        <w:rPr>
          <w:color w:val="000000" w:themeColor="text1"/>
        </w:rPr>
        <w:t>,75</w:t>
      </w:r>
      <w:r w:rsidRPr="00670BD5">
        <w:rPr>
          <w:color w:val="000000" w:themeColor="text1"/>
        </w:rPr>
        <w:t xml:space="preserve"> мг» производства </w:t>
      </w:r>
      <w:r w:rsidR="00FE0099">
        <w:rPr>
          <w:color w:val="000000" w:themeColor="text1"/>
        </w:rPr>
        <w:t>ООО «</w:t>
      </w:r>
      <w:r w:rsidRPr="00670BD5">
        <w:rPr>
          <w:color w:val="000000" w:themeColor="text1"/>
        </w:rPr>
        <w:t xml:space="preserve">Новартис </w:t>
      </w:r>
      <w:r w:rsidR="00FE0099">
        <w:rPr>
          <w:color w:val="000000" w:themeColor="text1"/>
        </w:rPr>
        <w:t>Нева</w:t>
      </w:r>
      <w:r w:rsidRPr="00670BD5">
        <w:rPr>
          <w:color w:val="000000" w:themeColor="text1"/>
        </w:rPr>
        <w:t>»,</w:t>
      </w:r>
      <w:r w:rsidR="00FE0099">
        <w:rPr>
          <w:color w:val="000000" w:themeColor="text1"/>
        </w:rPr>
        <w:t xml:space="preserve"> Российская Федерация  от 13 ок</w:t>
      </w:r>
      <w:r w:rsidRPr="00670BD5">
        <w:rPr>
          <w:color w:val="000000" w:themeColor="text1"/>
        </w:rPr>
        <w:t>тября 2022 г.</w:t>
      </w:r>
    </w:p>
    <w:p w14:paraId="61F8AC70" w14:textId="77777777" w:rsidR="00E30437" w:rsidRPr="00F417CF" w:rsidRDefault="00E30437" w:rsidP="00707D60">
      <w:pPr>
        <w:pStyle w:val="12"/>
        <w:tabs>
          <w:tab w:val="left" w:pos="142"/>
          <w:tab w:val="left" w:pos="284"/>
        </w:tabs>
        <w:spacing w:line="240" w:lineRule="auto"/>
        <w:rPr>
          <w:rFonts w:cs="Times New Roman"/>
          <w:color w:val="000000" w:themeColor="text1"/>
          <w:szCs w:val="24"/>
        </w:rPr>
      </w:pPr>
      <w:bookmarkStart w:id="125" w:name="_Toc115217931"/>
      <w:bookmarkStart w:id="126" w:name="_Toc118124162"/>
      <w:bookmarkStart w:id="127" w:name="_Toc119313736"/>
      <w:r w:rsidRPr="00F417CF">
        <w:rPr>
          <w:rFonts w:cs="Times New Roman"/>
          <w:color w:val="000000" w:themeColor="text1"/>
          <w:szCs w:val="24"/>
        </w:rPr>
        <w:lastRenderedPageBreak/>
        <w:t>3. РЕЗУЛЬТАТЫ ДОКЛИНИЧЕСКИХ ИССЛЕДОВАНИЙ</w:t>
      </w:r>
      <w:bookmarkEnd w:id="125"/>
      <w:bookmarkEnd w:id="126"/>
      <w:bookmarkEnd w:id="127"/>
    </w:p>
    <w:p w14:paraId="1BFC2B57" w14:textId="77777777" w:rsidR="00E30437" w:rsidRPr="00F417CF" w:rsidRDefault="00E30437" w:rsidP="00707D60">
      <w:pPr>
        <w:pStyle w:val="2"/>
        <w:spacing w:line="240" w:lineRule="auto"/>
        <w:rPr>
          <w:color w:val="000000" w:themeColor="text1"/>
          <w:szCs w:val="24"/>
        </w:rPr>
      </w:pPr>
      <w:bookmarkStart w:id="128" w:name="_Toc115217932"/>
      <w:bookmarkStart w:id="129" w:name="_Toc118124163"/>
      <w:bookmarkStart w:id="130" w:name="_Toc119313737"/>
      <w:r w:rsidRPr="00F417CF">
        <w:rPr>
          <w:color w:val="000000" w:themeColor="text1"/>
          <w:szCs w:val="24"/>
        </w:rPr>
        <w:t>Введение</w:t>
      </w:r>
      <w:r w:rsidR="00A9714F" w:rsidRPr="00F417CF">
        <w:rPr>
          <w:color w:val="000000" w:themeColor="text1"/>
          <w:szCs w:val="24"/>
        </w:rPr>
        <w:t xml:space="preserve"> и резюме</w:t>
      </w:r>
      <w:bookmarkEnd w:id="128"/>
      <w:bookmarkEnd w:id="129"/>
      <w:bookmarkEnd w:id="130"/>
    </w:p>
    <w:p w14:paraId="417087B1" w14:textId="400CC132" w:rsidR="00BC7E97" w:rsidRPr="00A4718B" w:rsidRDefault="00BC7E97" w:rsidP="004C3C61">
      <w:pPr>
        <w:spacing w:after="0" w:line="240" w:lineRule="auto"/>
        <w:ind w:firstLine="709"/>
      </w:pPr>
      <w:bookmarkStart w:id="131" w:name="_Toc92645858"/>
      <w:bookmarkStart w:id="132" w:name="_Toc484199231"/>
      <w:r w:rsidRPr="00707D60">
        <w:t xml:space="preserve">Доклинических исследований препарата </w:t>
      </w:r>
      <w:r w:rsidR="002547A0">
        <w:rPr>
          <w:lang w:val="en-US"/>
        </w:rPr>
        <w:t>DT</w:t>
      </w:r>
      <w:r w:rsidRPr="00A4718B">
        <w:t>-</w:t>
      </w:r>
      <w:r w:rsidR="00A4718B" w:rsidRPr="00A4718B">
        <w:rPr>
          <w:lang w:val="en-US"/>
        </w:rPr>
        <w:t>EVR</w:t>
      </w:r>
      <w:r w:rsidRPr="00A4718B">
        <w:t xml:space="preserve">, </w:t>
      </w:r>
      <w:r w:rsidR="00A4718B" w:rsidRPr="00A4718B">
        <w:t>таблетки</w:t>
      </w:r>
      <w:r w:rsidRPr="00A4718B">
        <w:t xml:space="preserve"> </w:t>
      </w:r>
      <w:r w:rsidR="00B061A2">
        <w:t>0,2</w:t>
      </w:r>
      <w:r w:rsidR="00321B26" w:rsidRPr="00A4718B">
        <w:t xml:space="preserve">5 мг, </w:t>
      </w:r>
      <w:r w:rsidR="00B061A2">
        <w:t xml:space="preserve">0,5 мг и </w:t>
      </w:r>
      <w:r w:rsidR="00321B26" w:rsidRPr="00A4718B">
        <w:t>0</w:t>
      </w:r>
      <w:r w:rsidR="00B061A2">
        <w:t>,75</w:t>
      </w:r>
      <w:r w:rsidR="00321B26" w:rsidRPr="00A4718B">
        <w:t xml:space="preserve"> мг </w:t>
      </w:r>
      <w:r w:rsidRPr="00A4718B">
        <w:t xml:space="preserve">(АО «Р-Фарм», Россия) не проводилось. Так как препарат </w:t>
      </w:r>
      <w:r w:rsidR="002547A0">
        <w:rPr>
          <w:lang w:val="en-US"/>
        </w:rPr>
        <w:t>DT</w:t>
      </w:r>
      <w:r w:rsidRPr="00A4718B">
        <w:t>-</w:t>
      </w:r>
      <w:r w:rsidR="00A4718B" w:rsidRPr="00A4718B">
        <w:rPr>
          <w:lang w:val="en-US"/>
        </w:rPr>
        <w:t>EVR</w:t>
      </w:r>
      <w:r w:rsidRPr="00A4718B">
        <w:t xml:space="preserve"> </w:t>
      </w:r>
      <w:r w:rsidR="00A4718B" w:rsidRPr="00A4718B">
        <w:t>(</w:t>
      </w:r>
      <w:r w:rsidRPr="00A4718B">
        <w:t>АО «Р-Фарм», Россия</w:t>
      </w:r>
      <w:r w:rsidR="00A4718B" w:rsidRPr="00A4718B">
        <w:t>)</w:t>
      </w:r>
      <w:r w:rsidRPr="00A4718B">
        <w:t xml:space="preserve">, представляет собой воспроизведенный препарат </w:t>
      </w:r>
      <w:r w:rsidR="00425711" w:rsidRPr="00A4718B">
        <w:t>эверолимуса</w:t>
      </w:r>
      <w:r w:rsidRPr="00A4718B">
        <w:t xml:space="preserve">, </w:t>
      </w:r>
      <w:r w:rsidR="00A4718B" w:rsidRPr="00A4718B">
        <w:t xml:space="preserve">который </w:t>
      </w:r>
      <w:r w:rsidR="00A4718B" w:rsidRPr="00A4718B">
        <w:rPr>
          <w:color w:val="000000"/>
        </w:rPr>
        <w:t>полностью соответствует по качественному и количественному составу действующего</w:t>
      </w:r>
      <w:r w:rsidR="00A4718B">
        <w:rPr>
          <w:color w:val="000000"/>
        </w:rPr>
        <w:t xml:space="preserve"> и </w:t>
      </w:r>
      <w:r w:rsidR="000D7CCE">
        <w:rPr>
          <w:color w:val="000000"/>
        </w:rPr>
        <w:t xml:space="preserve">основных </w:t>
      </w:r>
      <w:r w:rsidR="00A4718B">
        <w:rPr>
          <w:color w:val="000000"/>
        </w:rPr>
        <w:t xml:space="preserve">вспомогательных веществ, лекарственной форме и дозировке референтному препарату эверолимуса </w:t>
      </w:r>
      <w:r w:rsidR="00B061A2">
        <w:rPr>
          <w:lang w:eastAsia="ru-RU" w:bidi="ru-RU"/>
        </w:rPr>
        <w:t>Сертикан</w:t>
      </w:r>
      <w:r w:rsidR="00B061A2" w:rsidRPr="00FC4D18">
        <w:rPr>
          <w:color w:val="000000" w:themeColor="text1"/>
          <w:vertAlign w:val="superscript"/>
        </w:rPr>
        <w:t>®</w:t>
      </w:r>
      <w:r w:rsidR="00B061A2" w:rsidRPr="00FC4D18">
        <w:rPr>
          <w:color w:val="000000" w:themeColor="text1"/>
        </w:rPr>
        <w:t xml:space="preserve"> (</w:t>
      </w:r>
      <w:r w:rsidR="00B061A2" w:rsidRPr="00FC4D18">
        <w:rPr>
          <w:rFonts w:eastAsia="Calibri"/>
        </w:rPr>
        <w:t>Новартис Фарма АГ, Швейцария</w:t>
      </w:r>
      <w:r w:rsidR="00B061A2">
        <w:rPr>
          <w:color w:val="000000" w:themeColor="text1"/>
        </w:rPr>
        <w:t xml:space="preserve">), </w:t>
      </w:r>
      <w:r w:rsidR="000D7CCE">
        <w:rPr>
          <w:lang w:eastAsia="ru-RU"/>
        </w:rPr>
        <w:t>имея минимальные отличия в качественном и количественном составе вспомогательных веществ</w:t>
      </w:r>
      <w:r w:rsidR="00A4718B">
        <w:rPr>
          <w:lang w:eastAsia="ru-RU"/>
        </w:rPr>
        <w:t>,</w:t>
      </w:r>
      <w:r w:rsidR="00A4718B">
        <w:t xml:space="preserve"> </w:t>
      </w:r>
      <w:r w:rsidRPr="00707D60">
        <w:t>ожидается, что его свойства будут идентичны свойствам оригинального препарата.</w:t>
      </w:r>
      <w:r w:rsidR="00A4718B" w:rsidRPr="00A4718B">
        <w:t xml:space="preserve"> </w:t>
      </w:r>
      <w:r w:rsidR="00A4718B">
        <w:t xml:space="preserve">Для прогнозирования токсического действия, планируемого к регистрации и коммерческому выпуску препарата </w:t>
      </w:r>
      <w:r w:rsidR="00A4718B">
        <w:rPr>
          <w:color w:val="000000" w:themeColor="text1"/>
          <w:lang w:val="en-US"/>
        </w:rPr>
        <w:t>DT</w:t>
      </w:r>
      <w:r w:rsidR="00A4718B">
        <w:rPr>
          <w:color w:val="000000" w:themeColor="text1"/>
        </w:rPr>
        <w:t>-</w:t>
      </w:r>
      <w:r w:rsidR="004C3C61">
        <w:rPr>
          <w:color w:val="000000" w:themeColor="text1"/>
          <w:lang w:val="en-US"/>
        </w:rPr>
        <w:t>EVR</w:t>
      </w:r>
      <w:r w:rsidR="004C3C61">
        <w:t xml:space="preserve"> </w:t>
      </w:r>
      <w:r w:rsidR="00A4718B">
        <w:t xml:space="preserve">были проанализированы данные исследований по изучению фармакологии и токсикологии оригинального препарата </w:t>
      </w:r>
      <w:r w:rsidR="004C3C61">
        <w:t>эверолимуса</w:t>
      </w:r>
      <w:r w:rsidR="00A4718B">
        <w:t xml:space="preserve">. Поскольку лекарственный препарат </w:t>
      </w:r>
      <w:r w:rsidR="00A4718B">
        <w:rPr>
          <w:color w:val="000000" w:themeColor="text1"/>
          <w:lang w:val="en-US"/>
        </w:rPr>
        <w:t>DT</w:t>
      </w:r>
      <w:r w:rsidR="00A4718B">
        <w:rPr>
          <w:color w:val="000000" w:themeColor="text1"/>
        </w:rPr>
        <w:t>-</w:t>
      </w:r>
      <w:r w:rsidR="004C3C61">
        <w:rPr>
          <w:color w:val="000000" w:themeColor="text1"/>
          <w:lang w:val="en-US"/>
        </w:rPr>
        <w:t>EVR</w:t>
      </w:r>
      <w:r w:rsidR="004C3C61">
        <w:t xml:space="preserve"> </w:t>
      </w:r>
      <w:r w:rsidR="00A4718B">
        <w:t>является воспроизведенным препаратом, собственные доклиническ</w:t>
      </w:r>
      <w:r w:rsidR="004C3C61">
        <w:t>ие исследования не проводились.</w:t>
      </w:r>
    </w:p>
    <w:bookmarkEnd w:id="131"/>
    <w:bookmarkEnd w:id="132"/>
    <w:p w14:paraId="3DF9107D" w14:textId="77777777" w:rsidR="00837ED4" w:rsidRPr="0021251A" w:rsidRDefault="00837ED4" w:rsidP="00837ED4">
      <w:pPr>
        <w:pStyle w:val="OT"/>
        <w:spacing w:after="0"/>
        <w:ind w:firstLine="709"/>
        <w:rPr>
          <w:sz w:val="24"/>
          <w:szCs w:val="24"/>
        </w:rPr>
      </w:pPr>
      <w:r w:rsidRPr="0021251A">
        <w:rPr>
          <w:sz w:val="24"/>
          <w:szCs w:val="24"/>
        </w:rPr>
        <w:t xml:space="preserve">Для изучения </w:t>
      </w:r>
      <w:r>
        <w:rPr>
          <w:color w:val="000000"/>
          <w:sz w:val="24"/>
          <w:szCs w:val="24"/>
        </w:rPr>
        <w:t>эверолимуса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эверолимуса</w:t>
      </w:r>
      <w:r w:rsidRPr="0021251A">
        <w:rPr>
          <w:sz w:val="24"/>
          <w:szCs w:val="24"/>
        </w:rPr>
        <w:t>.</w:t>
      </w:r>
    </w:p>
    <w:p w14:paraId="4B9971F6" w14:textId="05F0AC5F" w:rsidR="00F546CB" w:rsidRPr="00707D60" w:rsidRDefault="00F546CB" w:rsidP="00707D60">
      <w:pPr>
        <w:autoSpaceDE w:val="0"/>
        <w:autoSpaceDN w:val="0"/>
        <w:adjustRightInd w:val="0"/>
        <w:spacing w:after="0" w:line="240" w:lineRule="auto"/>
        <w:ind w:firstLine="708"/>
        <w:rPr>
          <w:lang w:eastAsia="en-US"/>
        </w:rPr>
      </w:pPr>
      <w:r w:rsidRPr="00707D60">
        <w:t>Эверолимус является избирательным ингибитором mTOR, специфически воздействующим на комплекс mTORC1 сигналпреобразующей mTOR-киназы и регуляторного raptor-протеина (regulatory associated protein of mTOR). Комплекс mTORC1 является важнейшим регулятором синтеза белка в дистальной части РI3К/А</w:t>
      </w:r>
      <w:r w:rsidR="00B061A2">
        <w:t>КТ-зависимого каскада, который</w:t>
      </w:r>
      <w:r w:rsidRPr="00707D60">
        <w:t xml:space="preserve"> </w:t>
      </w:r>
      <w:r w:rsidR="00B061A2">
        <w:t>играет ключевую роль в регкляции клеточного цикла</w:t>
      </w:r>
      <w:r w:rsidRPr="00707D60">
        <w:t xml:space="preserve">. Эверолимус проявляет свою активность за счет высокоаффинного взаимодействия с внутриклеточным рецепторным белком FKBP12. Комплекс FKBP12-эверолимус связывается с mTORC1, ингибируя его способность к передаче сигналов. Ингибирование mTORCl нарушает трансляцию </w:t>
      </w:r>
      <w:r w:rsidR="00DF3093" w:rsidRPr="00707D60">
        <w:t xml:space="preserve">мРНК </w:t>
      </w:r>
      <w:r w:rsidR="00DF3093">
        <w:t>при образовании</w:t>
      </w:r>
      <w:r w:rsidRPr="00707D60">
        <w:t xml:space="preserve"> основных протеинов, участвующих в регуляции клеточного цикла, гликолиза и адаптации клеток к низкому уровню кислорода (гипоксии)</w:t>
      </w:r>
      <w:r w:rsidRPr="00707D60">
        <w:rPr>
          <w:lang w:eastAsia="en-US"/>
        </w:rPr>
        <w:t>.</w:t>
      </w:r>
    </w:p>
    <w:p w14:paraId="58B5CF85" w14:textId="7378E050" w:rsidR="00F546CB" w:rsidRPr="00707D60" w:rsidRDefault="00F546CB" w:rsidP="00707D60">
      <w:pPr>
        <w:autoSpaceDE w:val="0"/>
        <w:autoSpaceDN w:val="0"/>
        <w:adjustRightInd w:val="0"/>
        <w:spacing w:after="0" w:line="240" w:lineRule="auto"/>
        <w:ind w:firstLine="708"/>
        <w:rPr>
          <w:color w:val="000000" w:themeColor="text1"/>
        </w:rPr>
      </w:pPr>
      <w:r w:rsidRPr="00707D60">
        <w:rPr>
          <w:color w:val="000000" w:themeColor="text1"/>
          <w:shd w:val="clear" w:color="auto" w:fill="FFFFFF"/>
        </w:rPr>
        <w:t xml:space="preserve">Две клеточных линии человека RCC (786-O и Caki-1) тестировали на чувствительность к эверолимусу </w:t>
      </w:r>
      <w:r w:rsidRPr="004C3C61">
        <w:rPr>
          <w:i/>
          <w:color w:val="000000" w:themeColor="text1"/>
          <w:shd w:val="clear" w:color="auto" w:fill="FFFFFF"/>
        </w:rPr>
        <w:t>in vivo</w:t>
      </w:r>
      <w:r w:rsidRPr="00707D60">
        <w:rPr>
          <w:color w:val="000000" w:themeColor="text1"/>
          <w:shd w:val="clear" w:color="auto" w:fill="FFFFFF"/>
        </w:rPr>
        <w:t xml:space="preserve"> путем выращивания опухоли подкожно у бестимусных лысых мышей. Эверолимус показал значительное дозозависимое ингибирование роста, а в более чувствительной клеточной линии (786-O) вызывал регрессию опухоли. В мышиной нейронной модели </w:t>
      </w:r>
      <w:r w:rsidR="00D77D49">
        <w:rPr>
          <w:color w:val="000000" w:themeColor="text1"/>
          <w:shd w:val="clear" w:color="auto" w:fill="FFFFFF"/>
        </w:rPr>
        <w:t>туберозного склероза (</w:t>
      </w:r>
      <w:r w:rsidRPr="00707D60">
        <w:rPr>
          <w:color w:val="000000" w:themeColor="text1"/>
          <w:shd w:val="clear" w:color="auto" w:fill="FFFFFF"/>
        </w:rPr>
        <w:t>TSC</w:t>
      </w:r>
      <w:r w:rsidR="00D77D49">
        <w:rPr>
          <w:color w:val="000000" w:themeColor="text1"/>
          <w:shd w:val="clear" w:color="auto" w:fill="FFFFFF"/>
        </w:rPr>
        <w:t>)</w:t>
      </w:r>
      <w:r w:rsidRPr="00707D60">
        <w:rPr>
          <w:color w:val="000000" w:themeColor="text1"/>
          <w:shd w:val="clear" w:color="auto" w:fill="FFFFFF"/>
        </w:rPr>
        <w:t>, в которой TSC1 удаляется большинство нейронов, эверолимус улучшил медианное выживание от 33 дней до более чем 100 дней, также улучшились показатели поведения и набора веса</w:t>
      </w:r>
      <w:r w:rsidR="00F90D78">
        <w:rPr>
          <w:color w:val="000000" w:themeColor="text1"/>
          <w:shd w:val="clear" w:color="auto" w:fill="FFFFFF"/>
        </w:rPr>
        <w:t>.</w:t>
      </w:r>
    </w:p>
    <w:p w14:paraId="51E70366" w14:textId="7135BCD4" w:rsidR="00F546CB" w:rsidRPr="00707D60" w:rsidRDefault="00F546CB" w:rsidP="00707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eastAsia="Times New Roman"/>
          <w:color w:val="000000" w:themeColor="text1"/>
          <w:lang w:eastAsia="ru-RU"/>
        </w:rPr>
      </w:pPr>
      <w:r w:rsidRPr="00707D60">
        <w:rPr>
          <w:color w:val="000000" w:themeColor="text1"/>
          <w:shd w:val="clear" w:color="auto" w:fill="FFFFFF"/>
        </w:rPr>
        <w:t>Абсорбция при пероральном введении эверолимуса была низкой у мышей (12%), обезьян (18%) и средней у крыс (~ 40%). Биодоступность неметаболизированного препарата составила 14-26% у крыс и 6% у обезьян</w:t>
      </w:r>
      <w:r w:rsidRPr="00707D60">
        <w:rPr>
          <w:lang w:eastAsia="en-US"/>
        </w:rPr>
        <w:t xml:space="preserve">. </w:t>
      </w:r>
      <w:r w:rsidRPr="00707D60">
        <w:rPr>
          <w:color w:val="000000" w:themeColor="text1"/>
          <w:shd w:val="clear" w:color="auto" w:fill="FFFFFF"/>
        </w:rPr>
        <w:t xml:space="preserve">За исключением </w:t>
      </w:r>
      <w:r w:rsidRPr="00707D60">
        <w:rPr>
          <w:color w:val="000000" w:themeColor="text1"/>
          <w:shd w:val="clear" w:color="auto" w:fill="FFFFFF"/>
        </w:rPr>
        <w:lastRenderedPageBreak/>
        <w:t>данных у мышей, распределение эверолимуса в крови было зависимым от конц</w:t>
      </w:r>
      <w:r w:rsidR="004C3C61">
        <w:rPr>
          <w:color w:val="000000" w:themeColor="text1"/>
          <w:shd w:val="clear" w:color="auto" w:fill="FFFFFF"/>
        </w:rPr>
        <w:t>ентрации. При концентрации 5 нг/</w:t>
      </w:r>
      <w:r w:rsidRPr="00707D60">
        <w:rPr>
          <w:color w:val="000000" w:themeColor="text1"/>
          <w:shd w:val="clear" w:color="auto" w:fill="FFFFFF"/>
        </w:rPr>
        <w:t xml:space="preserve">мл распределение составляло 66%, 79% и 83% у крыс, обезьян и человека, соответственно. В крови мыши большая часть эверолимуса (~ 98%) находилась в плазме. В плазме крови свободная фракция эверолимуса не зависела от концентрации препарата и составляла, в </w:t>
      </w:r>
      <w:r w:rsidR="004C3C61" w:rsidRPr="00707D60">
        <w:rPr>
          <w:color w:val="000000" w:themeColor="text1"/>
          <w:shd w:val="clear" w:color="auto" w:fill="FFFFFF"/>
        </w:rPr>
        <w:t>среднем, 7</w:t>
      </w:r>
      <w:r w:rsidRPr="00707D60">
        <w:rPr>
          <w:color w:val="000000" w:themeColor="text1"/>
          <w:shd w:val="clear" w:color="auto" w:fill="FFFFFF"/>
        </w:rPr>
        <w:t>,6% у крыс</w:t>
      </w:r>
      <w:r w:rsidR="004C3C61" w:rsidRPr="004C3C61">
        <w:rPr>
          <w:color w:val="000000" w:themeColor="text1"/>
          <w:shd w:val="clear" w:color="auto" w:fill="FFFFFF"/>
        </w:rPr>
        <w:t xml:space="preserve"> </w:t>
      </w:r>
      <w:r w:rsidR="004C3C61">
        <w:rPr>
          <w:color w:val="000000" w:themeColor="text1"/>
          <w:shd w:val="clear" w:color="auto" w:fill="FFFFFF"/>
        </w:rPr>
        <w:t>и</w:t>
      </w:r>
      <w:r w:rsidRPr="00707D60">
        <w:rPr>
          <w:color w:val="000000" w:themeColor="text1"/>
          <w:shd w:val="clear" w:color="auto" w:fill="FFFFFF"/>
        </w:rPr>
        <w:t xml:space="preserve"> 16% у обезьян, а у мышей всего 0,1%. </w:t>
      </w:r>
      <w:r w:rsidRPr="00707D60">
        <w:rPr>
          <w:rFonts w:eastAsia="Times New Roman"/>
          <w:color w:val="000000" w:themeColor="text1"/>
          <w:lang w:eastAsia="ru-RU"/>
        </w:rPr>
        <w:t xml:space="preserve">Эверолимус, в основном, инактивируется с помощью метаболизма у мышей, крыс, обезьян. Эверолимус был основным циркулирующим лекарственным компонентом в крови у всех видов животных. Эверолимус метаболизируется с участием CYP3A4 в печени и в небольшой степени в стенке кишечника. Поэтому совместный прием с препаратами, которые являются сильными индукторами CYP3A4, может приводить к снижению метаболизма эверолимуса </w:t>
      </w:r>
      <w:r w:rsidRPr="004C3C61">
        <w:rPr>
          <w:rFonts w:eastAsia="Times New Roman"/>
          <w:i/>
          <w:color w:val="000000" w:themeColor="text1"/>
          <w:lang w:eastAsia="ru-RU"/>
        </w:rPr>
        <w:t>in vivo</w:t>
      </w:r>
      <w:r w:rsidRPr="00707D60">
        <w:rPr>
          <w:rFonts w:eastAsia="Times New Roman"/>
          <w:color w:val="000000" w:themeColor="text1"/>
          <w:lang w:eastAsia="ru-RU"/>
        </w:rPr>
        <w:t xml:space="preserve">. Эверолимус преимущественно выводится через кишечник (билиарно-фекальный </w:t>
      </w:r>
      <w:r w:rsidR="004C3C61" w:rsidRPr="00707D60">
        <w:rPr>
          <w:rFonts w:eastAsia="Times New Roman"/>
          <w:color w:val="000000" w:themeColor="text1"/>
          <w:lang w:eastAsia="ru-RU"/>
        </w:rPr>
        <w:t>клиренс) у</w:t>
      </w:r>
      <w:r w:rsidRPr="00707D60">
        <w:rPr>
          <w:rFonts w:eastAsia="Times New Roman"/>
          <w:color w:val="000000" w:themeColor="text1"/>
          <w:lang w:eastAsia="ru-RU"/>
        </w:rPr>
        <w:t xml:space="preserve"> всех видов животных. Почечная экскреция незначительная (0,7-7%). Не обнаружено неизмененного эверолимуса в моче или фекалиях</w:t>
      </w:r>
      <w:r w:rsidR="00F90D78">
        <w:rPr>
          <w:rFonts w:eastAsia="Times New Roman"/>
          <w:color w:val="000000" w:themeColor="text1"/>
          <w:lang w:eastAsia="ru-RU"/>
        </w:rPr>
        <w:t>.</w:t>
      </w:r>
    </w:p>
    <w:p w14:paraId="267A30FB" w14:textId="247239EA" w:rsidR="00F546CB" w:rsidRPr="00707D60" w:rsidRDefault="00F546CB" w:rsidP="00707D60">
      <w:pPr>
        <w:spacing w:after="0" w:line="240" w:lineRule="auto"/>
        <w:ind w:firstLine="709"/>
        <w:rPr>
          <w:bCs/>
          <w:color w:val="000000" w:themeColor="text1"/>
          <w:lang w:bidi="ru-RU"/>
        </w:rPr>
      </w:pPr>
      <w:r w:rsidRPr="00707D60">
        <w:rPr>
          <w:bCs/>
          <w:color w:val="000000" w:themeColor="text1"/>
          <w:lang w:bidi="ru-RU"/>
        </w:rPr>
        <w:t>Токсикологическая программа исследовани</w:t>
      </w:r>
      <w:r w:rsidR="00DF3093">
        <w:rPr>
          <w:bCs/>
          <w:color w:val="000000" w:themeColor="text1"/>
          <w:lang w:bidi="ru-RU"/>
        </w:rPr>
        <w:t>я</w:t>
      </w:r>
      <w:r w:rsidRPr="00707D60">
        <w:rPr>
          <w:bCs/>
          <w:color w:val="000000" w:themeColor="text1"/>
          <w:lang w:bidi="ru-RU"/>
        </w:rPr>
        <w:t xml:space="preserve"> эверолимуса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38B5C741" w14:textId="77777777" w:rsidR="00F546CB" w:rsidRPr="00707D60" w:rsidRDefault="00F546CB" w:rsidP="00707D60">
      <w:pPr>
        <w:spacing w:after="0" w:line="240" w:lineRule="auto"/>
        <w:ind w:firstLine="708"/>
        <w:rPr>
          <w:color w:val="000000" w:themeColor="text1"/>
          <w:shd w:val="clear" w:color="auto" w:fill="FFFFFF"/>
        </w:rPr>
      </w:pPr>
      <w:r w:rsidRPr="00707D60">
        <w:rPr>
          <w:color w:val="000000" w:themeColor="text1"/>
          <w:shd w:val="clear" w:color="auto" w:fill="FFFFFF"/>
        </w:rPr>
        <w:t xml:space="preserve">Исследования однократной токсичности проводились у крыс и мышей. Эверолимус показал низкий острый токсический потенциал после перорального введения у мышей и крыс. Не наблюдалось летальности или сильной токсичности после однократного перорального введения препарата в дозировке 2000 мг/кг (предельный тест) у мышей или крыс. </w:t>
      </w:r>
    </w:p>
    <w:p w14:paraId="30A9D9B0" w14:textId="47820A45" w:rsidR="00F546CB" w:rsidRPr="00707D60" w:rsidRDefault="00F546CB" w:rsidP="00707D60">
      <w:pPr>
        <w:spacing w:after="0" w:line="240" w:lineRule="auto"/>
        <w:ind w:firstLine="708"/>
        <w:rPr>
          <w:color w:val="000000" w:themeColor="text1"/>
        </w:rPr>
      </w:pPr>
      <w:r w:rsidRPr="00707D60">
        <w:rPr>
          <w:color w:val="000000" w:themeColor="text1"/>
          <w:shd w:val="clear" w:color="auto" w:fill="FFFFFF"/>
        </w:rPr>
        <w:t>Исследования токсичности повторных доз проводились у мышей в течение 13 недель, у крыс до 26 недель, у мини</w:t>
      </w:r>
      <w:r w:rsidR="004C3C61">
        <w:rPr>
          <w:color w:val="000000" w:themeColor="text1"/>
          <w:shd w:val="clear" w:color="auto" w:fill="FFFFFF"/>
        </w:rPr>
        <w:t>-</w:t>
      </w:r>
      <w:r w:rsidRPr="00707D60">
        <w:rPr>
          <w:color w:val="000000" w:themeColor="text1"/>
          <w:shd w:val="clear" w:color="auto" w:fill="FFFFFF"/>
        </w:rPr>
        <w:t>пигов до 4 недель и у обезьян до 52 недель. У мышей отмечалось уменьшение массы тимуса и увеличение веса селезенк</w:t>
      </w:r>
      <w:r w:rsidR="00DF3093">
        <w:rPr>
          <w:color w:val="000000" w:themeColor="text1"/>
          <w:shd w:val="clear" w:color="auto" w:fill="FFFFFF"/>
        </w:rPr>
        <w:t>и</w:t>
      </w:r>
      <w:r w:rsidRPr="00707D60">
        <w:rPr>
          <w:color w:val="000000" w:themeColor="text1"/>
          <w:shd w:val="clear" w:color="auto" w:fill="FFFFFF"/>
        </w:rPr>
        <w:t>, увеличение веса печени, д</w:t>
      </w:r>
      <w:r w:rsidRPr="00707D60">
        <w:rPr>
          <w:color w:val="000000" w:themeColor="text1"/>
        </w:rPr>
        <w:t>егенерация почечных канальцев с кариомегалией и интерстициальным воспалением. У крыс выявлялось увеличение уровня триглицерид</w:t>
      </w:r>
      <w:r w:rsidR="004C3C61">
        <w:rPr>
          <w:color w:val="000000" w:themeColor="text1"/>
        </w:rPr>
        <w:t>ов</w:t>
      </w:r>
      <w:r w:rsidRPr="00707D60">
        <w:rPr>
          <w:color w:val="000000" w:themeColor="text1"/>
        </w:rPr>
        <w:t>; хронический миокардит, поражение тимуса, снижение количества семенных клеток в яичках; атрофия / снижение секреции семенных пузырьков; интерстициальная гипертрофия яичников. Не выявлено генотоксического или канцерогенного потенциала. В исследовании мужской фертильности у крыс было обнаружено при дозировке 0,5 мг/кг и выше: изменение морфологии яичек и подвижности сперматозоидов; количество сперматозоидов и уровень тестостерона в плазме уменьшались при приеме 5 мг/кг, что привело к снижению фертильность у самцов. Имелись свидетельства обратимости данных изменений. У</w:t>
      </w:r>
      <w:r w:rsidR="004C3C61">
        <w:rPr>
          <w:color w:val="000000" w:themeColor="text1"/>
        </w:rPr>
        <w:t xml:space="preserve"> крыс эверолимус вызывал эмбрио-</w:t>
      </w:r>
      <w:r w:rsidRPr="00707D60">
        <w:rPr>
          <w:color w:val="000000" w:themeColor="text1"/>
        </w:rPr>
        <w:t xml:space="preserve"> и фетотоксичность при системном воздействии в дозировках ниже терапевтического уровня. Это проявлялось в увеличении смертности и снижении веса плода.</w:t>
      </w:r>
    </w:p>
    <w:p w14:paraId="7F10FCF1" w14:textId="77777777" w:rsidR="00F546CB" w:rsidRPr="00707D60" w:rsidRDefault="00F546CB" w:rsidP="00707D60">
      <w:pPr>
        <w:spacing w:after="0" w:line="240" w:lineRule="auto"/>
        <w:ind w:firstLine="708"/>
      </w:pPr>
      <w:r w:rsidRPr="00707D60">
        <w:t>Эверолимус не показал способности вызывать контактную гиперчувствительность при нанесении на кожу морских свинок в тесте максимизации.</w:t>
      </w:r>
    </w:p>
    <w:p w14:paraId="49C498BE" w14:textId="77777777" w:rsidR="00F546CB" w:rsidRPr="00707D60" w:rsidRDefault="00F546CB" w:rsidP="00707D60">
      <w:pPr>
        <w:spacing w:after="0" w:line="240" w:lineRule="auto"/>
        <w:ind w:firstLine="708"/>
        <w:rPr>
          <w:color w:val="000000" w:themeColor="text1"/>
          <w:shd w:val="clear" w:color="auto" w:fill="FFFFFF"/>
        </w:rPr>
      </w:pPr>
      <w:r w:rsidRPr="00707D60">
        <w:rPr>
          <w:color w:val="000000" w:themeColor="text1"/>
        </w:rPr>
        <w:t>Эверолимус не вызывал анафилактических реакций у морских свинок и не вызывал кожных реакций у морских свинок или крыс.</w:t>
      </w:r>
    </w:p>
    <w:p w14:paraId="45DFF192" w14:textId="77777777" w:rsidR="000859AF" w:rsidRPr="00F918EE" w:rsidRDefault="000859AF" w:rsidP="000859AF">
      <w:pPr>
        <w:pStyle w:val="2"/>
        <w:tabs>
          <w:tab w:val="left" w:pos="284"/>
          <w:tab w:val="left" w:pos="567"/>
        </w:tabs>
        <w:spacing w:line="240" w:lineRule="auto"/>
        <w:contextualSpacing/>
        <w:rPr>
          <w:color w:val="000000" w:themeColor="text1"/>
        </w:rPr>
      </w:pPr>
      <w:bookmarkStart w:id="133" w:name="_Toc115217933"/>
      <w:bookmarkStart w:id="134" w:name="_Toc118124164"/>
      <w:bookmarkStart w:id="135" w:name="_Toc119313738"/>
      <w:bookmarkStart w:id="136" w:name="_Toc115217938"/>
      <w:r w:rsidRPr="00F918EE">
        <w:rPr>
          <w:color w:val="000000" w:themeColor="text1"/>
        </w:rPr>
        <w:lastRenderedPageBreak/>
        <w:t>3.1 Доклиническая фармакология</w:t>
      </w:r>
      <w:bookmarkEnd w:id="133"/>
      <w:bookmarkEnd w:id="134"/>
      <w:bookmarkEnd w:id="135"/>
    </w:p>
    <w:p w14:paraId="3B4346C1" w14:textId="77777777" w:rsidR="000859AF" w:rsidRPr="00F918EE" w:rsidRDefault="000859AF" w:rsidP="000859AF">
      <w:pPr>
        <w:pStyle w:val="3"/>
        <w:spacing w:after="240" w:line="240" w:lineRule="auto"/>
        <w:contextualSpacing/>
        <w:rPr>
          <w:rFonts w:ascii="Times New Roman" w:hAnsi="Times New Roman"/>
          <w:color w:val="000000" w:themeColor="text1"/>
        </w:rPr>
      </w:pPr>
      <w:bookmarkStart w:id="137" w:name="_Toc115217934"/>
      <w:bookmarkStart w:id="138" w:name="_Toc118124165"/>
      <w:bookmarkStart w:id="139" w:name="_Toc119313739"/>
      <w:r w:rsidRPr="00F918EE">
        <w:rPr>
          <w:rFonts w:ascii="Times New Roman" w:hAnsi="Times New Roman"/>
          <w:color w:val="000000" w:themeColor="text1"/>
        </w:rPr>
        <w:t>3.1.1. Механизм действия</w:t>
      </w:r>
      <w:bookmarkEnd w:id="137"/>
      <w:bookmarkEnd w:id="138"/>
      <w:bookmarkEnd w:id="139"/>
    </w:p>
    <w:p w14:paraId="1EFE365A" w14:textId="361B09AC" w:rsidR="000859AF" w:rsidRPr="00F918EE" w:rsidRDefault="000859AF" w:rsidP="000859AF">
      <w:pPr>
        <w:shd w:val="clear" w:color="auto" w:fill="FFFFFF"/>
        <w:spacing w:after="143" w:line="240" w:lineRule="auto"/>
        <w:ind w:firstLine="709"/>
        <w:contextualSpacing/>
        <w:rPr>
          <w:rFonts w:eastAsia="Times New Roman"/>
          <w:color w:val="000000"/>
          <w:lang w:eastAsia="ru-RU"/>
        </w:rPr>
      </w:pPr>
      <w:bookmarkStart w:id="140" w:name="_Hlk113007399"/>
      <w:bookmarkStart w:id="141" w:name="_Hlk113015460"/>
      <w:bookmarkStart w:id="142" w:name="_Toc499821138"/>
      <w:bookmarkStart w:id="143" w:name="_Toc505020000"/>
      <w:r w:rsidRPr="00F918EE">
        <w:rPr>
          <w:rFonts w:eastAsia="Times New Roman"/>
          <w:color w:val="000000"/>
          <w:lang w:eastAsia="ru-RU"/>
        </w:rPr>
        <w:t xml:space="preserve">Эверолимус, ингибитор сигнала пролиферации, предотвращает отторжение аллотрансплантата на моделях аллотрансплантации у грызунов и нечеловекообразных приматов. Он оказывает иммуносупрессивное действие за счет ингибирования пролиферации и, следовательно, клональной экспансии активированных антигеном Т-клеток, которая стимулируется специфическими для Т-клеток интерлейкинами, </w:t>
      </w:r>
      <w:r w:rsidR="000D7CCE" w:rsidRPr="00F918EE">
        <w:rPr>
          <w:rFonts w:eastAsia="Times New Roman"/>
          <w:color w:val="000000"/>
          <w:lang w:eastAsia="ru-RU"/>
        </w:rPr>
        <w:t>например,</w:t>
      </w:r>
      <w:r w:rsidRPr="00F918EE">
        <w:rPr>
          <w:rFonts w:eastAsia="Times New Roman"/>
          <w:color w:val="000000"/>
          <w:lang w:eastAsia="ru-RU"/>
        </w:rPr>
        <w:t xml:space="preserve"> интерлейкином-2 и интерлейкином-15. Эверолимус ингибирует внутриклеточный сигнальный путь, который запускается при связывании этих факторов роста Т-клеток с их соответствующими рецепторами и который, как правило, приводит к пролиферации клеток. Блокирование этого сигнала под влиянием эверолимуса приводит к остановке клеток на стадии G</w:t>
      </w:r>
      <w:r w:rsidRPr="00F918EE">
        <w:rPr>
          <w:rFonts w:eastAsia="Times New Roman"/>
          <w:color w:val="000000"/>
          <w:vertAlign w:val="subscript"/>
          <w:lang w:eastAsia="ru-RU"/>
        </w:rPr>
        <w:t xml:space="preserve">1 </w:t>
      </w:r>
      <w:r w:rsidRPr="00F918EE">
        <w:rPr>
          <w:rFonts w:eastAsia="Times New Roman"/>
          <w:color w:val="000000"/>
          <w:lang w:eastAsia="ru-RU"/>
        </w:rPr>
        <w:t>клеточного цикла [7].</w:t>
      </w:r>
    </w:p>
    <w:p w14:paraId="1977E52D" w14:textId="77777777" w:rsidR="000859AF" w:rsidRPr="000859AF" w:rsidRDefault="000859AF" w:rsidP="000859AF">
      <w:pPr>
        <w:shd w:val="clear" w:color="auto" w:fill="FFFFFF"/>
        <w:spacing w:after="143" w:line="240" w:lineRule="auto"/>
        <w:ind w:firstLine="709"/>
        <w:contextualSpacing/>
        <w:rPr>
          <w:rFonts w:eastAsia="Times New Roman"/>
          <w:color w:val="000000"/>
          <w:lang w:eastAsia="ru-RU"/>
        </w:rPr>
      </w:pPr>
      <w:r w:rsidRPr="00F918EE">
        <w:rPr>
          <w:lang w:bidi="en-US"/>
        </w:rPr>
        <w:t>Основным иммуносупрессивным действием эверолимуса является ингибирование внутриклеточного пролиферативного сигнала в активированных Т</w:t>
      </w:r>
      <w:r w:rsidRPr="00F918EE">
        <w:rPr>
          <w:lang w:bidi="en-US"/>
        </w:rPr>
        <w:noBreakHyphen/>
        <w:t xml:space="preserve">лимфоцитах на FK-связывающем белке 12 (FKB-12). </w:t>
      </w:r>
      <w:r w:rsidRPr="00F918EE">
        <w:rPr>
          <w:rFonts w:eastAsia="Times New Roman"/>
          <w:color w:val="000000"/>
          <w:lang w:eastAsia="ru-RU"/>
        </w:rPr>
        <w:t xml:space="preserve">В присутствии эверолимуса происходит ингибирование фосфорилирования киназы p70 S6, стимулируемое фактором роста. </w:t>
      </w:r>
      <w:r w:rsidRPr="00F918EE">
        <w:rPr>
          <w:lang w:bidi="en-US"/>
        </w:rPr>
        <w:t xml:space="preserve">Этот вид киназы участвует в инициации синтеза белка. </w:t>
      </w:r>
      <w:r w:rsidRPr="00F918EE">
        <w:rPr>
          <w:rFonts w:eastAsia="Times New Roman"/>
          <w:color w:val="000000"/>
          <w:lang w:eastAsia="ru-RU"/>
        </w:rPr>
        <w:t>Поскольку фосфорилирование киназы p70 S6 находится под контролем FRAP (также называемого mTOR), это наблюдение позволяет предположить, что комплекс эверолимус-FKBP-12 связывается с FRAP и, таким образом, нарушает его функцию. FRAP является ключевым регуляторным белком, который управляет клеточным метаболизмом, ростом и пролиферацией; инактивация функции FRAP, таким образом, объясняет остановку клеточного цикла, вызванную эверолимусом</w:t>
      </w:r>
      <w:r w:rsidRPr="00F918EE">
        <w:rPr>
          <w:lang w:bidi="en-US"/>
        </w:rPr>
        <w:t>. Это задерживает активированные Т-лимфоциты в фазе G1 их клеточного цикла, предотвращая их пролиферацию в ответ на чужеродные антигены трансплантированных тканей. Таким образом, предотвращается клональная экспансия антигенспецифичных Т-клеток в ответ на чужеродный антиген и стимуляцию IL-2</w:t>
      </w:r>
      <w:r w:rsidRPr="000859AF">
        <w:rPr>
          <w:lang w:bidi="en-US"/>
        </w:rPr>
        <w:t xml:space="preserve"> [6,7].</w:t>
      </w:r>
    </w:p>
    <w:p w14:paraId="279FB7F4" w14:textId="77777777" w:rsidR="000859AF" w:rsidRPr="000859AF" w:rsidRDefault="000859AF" w:rsidP="000859AF">
      <w:pPr>
        <w:spacing w:after="120" w:line="240" w:lineRule="auto"/>
        <w:ind w:firstLine="709"/>
        <w:contextualSpacing/>
        <w:rPr>
          <w:lang w:bidi="en-US"/>
        </w:rPr>
      </w:pPr>
      <w:r w:rsidRPr="00F918EE">
        <w:rPr>
          <w:lang w:bidi="en-US"/>
        </w:rPr>
        <w:t xml:space="preserve">Эверолимус ингибирует ответ Т-клеток на антигены аллогенной ткани, участвующей в трансплантации органов, тем самым препятствуя иммунологическому отторжению </w:t>
      </w:r>
      <w:r w:rsidRPr="000859AF">
        <w:rPr>
          <w:lang w:bidi="en-US"/>
        </w:rPr>
        <w:t>[6]</w:t>
      </w:r>
      <w:r w:rsidRPr="00F918EE">
        <w:rPr>
          <w:lang w:bidi="en-US"/>
        </w:rPr>
        <w:t>.</w:t>
      </w:r>
    </w:p>
    <w:p w14:paraId="3560E5DB" w14:textId="77777777" w:rsidR="000859AF" w:rsidRPr="00F918EE" w:rsidRDefault="000859AF" w:rsidP="000859AF">
      <w:pPr>
        <w:shd w:val="clear" w:color="auto" w:fill="FFFFFF"/>
        <w:spacing w:after="143" w:line="240" w:lineRule="auto"/>
        <w:ind w:firstLine="709"/>
        <w:contextualSpacing/>
        <w:rPr>
          <w:rFonts w:eastAsia="Times New Roman"/>
          <w:color w:val="000000"/>
          <w:lang w:eastAsia="ru-RU"/>
        </w:rPr>
      </w:pPr>
      <w:r w:rsidRPr="00F918EE">
        <w:rPr>
          <w:rFonts w:eastAsia="Times New Roman"/>
          <w:color w:val="000000"/>
          <w:lang w:eastAsia="ru-RU"/>
        </w:rPr>
        <w:t>Таким образом, эверолимус обладает механизмом действия, отличным от действия циклоспорина. В доклинических моделях аллотрансплантации комбинация эверолимуса и циклоспорина была более эффективной, чем любой из компонентов по отдельности [3,7].</w:t>
      </w:r>
    </w:p>
    <w:p w14:paraId="615ED0B5" w14:textId="77777777" w:rsidR="000859AF" w:rsidRPr="00F918EE" w:rsidRDefault="000859AF" w:rsidP="000859AF">
      <w:pPr>
        <w:shd w:val="clear" w:color="auto" w:fill="FFFFFF"/>
        <w:spacing w:after="143" w:line="240" w:lineRule="auto"/>
        <w:ind w:firstLine="709"/>
        <w:contextualSpacing/>
        <w:rPr>
          <w:rFonts w:eastAsia="Times New Roman"/>
          <w:color w:val="000000"/>
          <w:lang w:eastAsia="ru-RU"/>
        </w:rPr>
      </w:pPr>
      <w:r w:rsidRPr="00F918EE">
        <w:rPr>
          <w:rFonts w:eastAsia="Times New Roman"/>
          <w:color w:val="000000"/>
          <w:lang w:eastAsia="ru-RU"/>
        </w:rPr>
        <w:t>Действие эверолимуса не ограничивается воздействием на Т-клетки. Он ингибирует стимулируемую фактором роста пролиферацию кроветворных, а также некроветворных клеток в целом, например, клеток гладкой мускулатуры сосудов. Стимулируемая фактором роста пролиферация гладкомышечных клеток сосудов, активируемая повреждением эндотелиальных клеток и приводящая к образованию неоинтимы, играет ключевую роль в патогенезе хронического отторжения. Доклинические исследования эверолимуса показали ингибирование образования неоинтимы на модели аллотрансплантации аорты крысы [7].</w:t>
      </w:r>
    </w:p>
    <w:p w14:paraId="31A3BCDE" w14:textId="1BBC72E0" w:rsidR="00B061A2" w:rsidRDefault="000859AF" w:rsidP="00302036">
      <w:pPr>
        <w:autoSpaceDE w:val="0"/>
        <w:autoSpaceDN w:val="0"/>
        <w:adjustRightInd w:val="0"/>
        <w:spacing w:after="0" w:line="240" w:lineRule="auto"/>
        <w:ind w:firstLine="709"/>
        <w:contextualSpacing/>
      </w:pPr>
      <w:r w:rsidRPr="00F918EE">
        <w:lastRenderedPageBreak/>
        <w:t xml:space="preserve">Комплекс mTORC1 является важнейшим регулятором синтеза белка в дистальной части РI3К/АКТ-зависимого каскада, регуляция которого нарушена в большинстве злокачественных опухолей человека. Эверолимус проявляет свою активность за счет высокоаффинного взаимодействия с внутриклеточным рецепторным белком FKBP12. Комплекс FKBP12-эверолимус связывается с mTORC1, ингибируя его способность к передаче сигналов. Ингибирование mTORCl нарушает трансляцию кодируемых мРНК основных протеинов, участвующих в регуляции клеточного цикла, гликолиза и адаптации клеток к низкому уровню кислорода </w:t>
      </w:r>
      <w:bookmarkEnd w:id="140"/>
      <w:r w:rsidRPr="00F918EE">
        <w:t>(гипоксии)</w:t>
      </w:r>
      <w:bookmarkEnd w:id="141"/>
      <w:r w:rsidRPr="00F918EE">
        <w:t xml:space="preserve"> [1,2].</w:t>
      </w:r>
    </w:p>
    <w:p w14:paraId="1A6253DF" w14:textId="77777777" w:rsidR="00302036" w:rsidRPr="00302036" w:rsidRDefault="00302036" w:rsidP="00302036">
      <w:pPr>
        <w:autoSpaceDE w:val="0"/>
        <w:autoSpaceDN w:val="0"/>
        <w:adjustRightInd w:val="0"/>
        <w:spacing w:after="0" w:line="240" w:lineRule="auto"/>
        <w:ind w:firstLine="709"/>
        <w:contextualSpacing/>
      </w:pPr>
    </w:p>
    <w:p w14:paraId="0D386005" w14:textId="77777777" w:rsidR="000859AF" w:rsidRPr="00F918EE" w:rsidRDefault="000859AF" w:rsidP="000859AF">
      <w:pPr>
        <w:pStyle w:val="3"/>
        <w:spacing w:before="0" w:line="240" w:lineRule="auto"/>
        <w:rPr>
          <w:rFonts w:ascii="Times New Roman" w:hAnsi="Times New Roman"/>
          <w:i/>
          <w:color w:val="000000" w:themeColor="text1"/>
        </w:rPr>
      </w:pPr>
      <w:bookmarkStart w:id="144" w:name="_Toc115217935"/>
      <w:bookmarkStart w:id="145" w:name="_Toc118124166"/>
      <w:bookmarkStart w:id="146" w:name="_Toc119313740"/>
      <w:r w:rsidRPr="00F918EE">
        <w:rPr>
          <w:rFonts w:ascii="Times New Roman" w:eastAsia="Times New Roman" w:hAnsi="Times New Roman"/>
          <w:color w:val="000000" w:themeColor="text1"/>
          <w:lang w:eastAsia="en-US"/>
        </w:rPr>
        <w:t xml:space="preserve">3.1.2. </w:t>
      </w:r>
      <w:bookmarkEnd w:id="142"/>
      <w:bookmarkEnd w:id="143"/>
      <w:r w:rsidRPr="00F918EE">
        <w:rPr>
          <w:rFonts w:ascii="Times New Roman" w:hAnsi="Times New Roman"/>
          <w:color w:val="000000" w:themeColor="text1"/>
        </w:rPr>
        <w:t>Первичная фармакодинамика</w:t>
      </w:r>
      <w:bookmarkEnd w:id="144"/>
      <w:bookmarkEnd w:id="145"/>
      <w:bookmarkEnd w:id="146"/>
    </w:p>
    <w:p w14:paraId="46C859F6" w14:textId="77777777" w:rsidR="000859AF" w:rsidRPr="000859AF" w:rsidRDefault="000859AF" w:rsidP="000859AF">
      <w:pPr>
        <w:pStyle w:val="4"/>
        <w:spacing w:after="240" w:line="240" w:lineRule="auto"/>
        <w:rPr>
          <w:rFonts w:ascii="Times New Roman" w:hAnsi="Times New Roman"/>
          <w:i/>
          <w:color w:val="000000" w:themeColor="text1"/>
          <w:sz w:val="24"/>
          <w:szCs w:val="24"/>
        </w:rPr>
      </w:pPr>
      <w:bookmarkStart w:id="147" w:name="_Toc115217936"/>
      <w:bookmarkStart w:id="148" w:name="_Toc118124167"/>
      <w:bookmarkStart w:id="149" w:name="_Toc119313741"/>
      <w:bookmarkStart w:id="150" w:name="_Hlk521883669"/>
      <w:r w:rsidRPr="000859AF">
        <w:rPr>
          <w:rFonts w:ascii="Times New Roman" w:hAnsi="Times New Roman"/>
          <w:color w:val="000000" w:themeColor="text1"/>
          <w:sz w:val="24"/>
          <w:szCs w:val="24"/>
        </w:rPr>
        <w:t xml:space="preserve">3.1.2.1. Первичная фармакодинамика </w:t>
      </w:r>
      <w:r w:rsidRPr="0071249E">
        <w:rPr>
          <w:rFonts w:ascii="Times New Roman" w:hAnsi="Times New Roman"/>
          <w:i/>
          <w:color w:val="000000" w:themeColor="text1"/>
          <w:sz w:val="24"/>
          <w:szCs w:val="24"/>
        </w:rPr>
        <w:t>in vitro</w:t>
      </w:r>
      <w:bookmarkEnd w:id="147"/>
      <w:bookmarkEnd w:id="148"/>
      <w:bookmarkEnd w:id="149"/>
    </w:p>
    <w:p w14:paraId="0F300A69" w14:textId="77777777" w:rsidR="000859AF" w:rsidRPr="00F918EE" w:rsidRDefault="000859AF" w:rsidP="000859AF">
      <w:pPr>
        <w:autoSpaceDE w:val="0"/>
        <w:autoSpaceDN w:val="0"/>
        <w:adjustRightInd w:val="0"/>
        <w:spacing w:after="0" w:line="240" w:lineRule="auto"/>
        <w:ind w:firstLine="709"/>
        <w:rPr>
          <w:iCs/>
          <w:lang w:eastAsia="en-US"/>
        </w:rPr>
      </w:pPr>
      <w:r w:rsidRPr="00F918EE">
        <w:rPr>
          <w:color w:val="000000" w:themeColor="text1"/>
          <w:shd w:val="clear" w:color="auto" w:fill="FFFFFF"/>
        </w:rPr>
        <w:t>Эверолимус</w:t>
      </w:r>
      <w:r w:rsidRPr="00F918EE">
        <w:rPr>
          <w:color w:val="000000" w:themeColor="text1"/>
        </w:rPr>
        <w:t xml:space="preserve"> </w:t>
      </w:r>
      <w:r w:rsidRPr="00F918EE">
        <w:rPr>
          <w:i/>
          <w:color w:val="000000" w:themeColor="text1"/>
          <w:lang w:val="en-US"/>
        </w:rPr>
        <w:t>i</w:t>
      </w:r>
      <w:r w:rsidRPr="00F918EE">
        <w:rPr>
          <w:i/>
          <w:color w:val="000000" w:themeColor="text1"/>
        </w:rPr>
        <w:t>n vitro</w:t>
      </w:r>
      <w:r w:rsidRPr="00F918EE">
        <w:rPr>
          <w:color w:val="000000" w:themeColor="text1"/>
          <w:shd w:val="clear" w:color="auto" w:fill="FFFFFF"/>
        </w:rPr>
        <w:t>, обладая высокой аффиностью, связывается с внутриклеточным иммунофилином, FKBP-12, что приводит к ингибированию комплекса mTORC1 и, следовательно, подавлению последующих событий – остановку клеточного цикла [1,2,6,7].</w:t>
      </w:r>
    </w:p>
    <w:p w14:paraId="410C2208" w14:textId="77777777" w:rsidR="000859AF" w:rsidRPr="000859AF" w:rsidRDefault="000859AF" w:rsidP="000859AF">
      <w:pPr>
        <w:spacing w:after="0" w:line="240" w:lineRule="auto"/>
        <w:ind w:firstLine="709"/>
        <w:rPr>
          <w:color w:val="000000" w:themeColor="text1"/>
          <w:szCs w:val="28"/>
          <w:shd w:val="clear" w:color="auto" w:fill="FFFFFF"/>
        </w:rPr>
      </w:pPr>
      <w:r w:rsidRPr="00F918EE">
        <w:rPr>
          <w:color w:val="000000" w:themeColor="text1"/>
          <w:szCs w:val="28"/>
          <w:shd w:val="clear" w:color="auto" w:fill="FFFFFF"/>
        </w:rPr>
        <w:t>Эверолимус является производным рапамицина. Подобно рапамицину (сиролимусу) и темсиролимусу, антипролиферативное действие эверолимуса является результатом ингибирования активности mTOR (мишени рапамицина у млекопитающих). mTOR, серин-треонинкиназа, расположенная ниже пути PI3K-AKT, участвует в синтезе белка и контроле клеточного цикла [5].</w:t>
      </w:r>
    </w:p>
    <w:p w14:paraId="0982561D" w14:textId="77777777" w:rsidR="000859AF" w:rsidRPr="00F918EE" w:rsidRDefault="000859AF" w:rsidP="000859AF">
      <w:pPr>
        <w:spacing w:after="120" w:line="240" w:lineRule="auto"/>
        <w:ind w:firstLine="709"/>
        <w:contextualSpacing/>
        <w:rPr>
          <w:color w:val="000000" w:themeColor="text1"/>
          <w:szCs w:val="28"/>
          <w:shd w:val="clear" w:color="auto" w:fill="FFFFFF"/>
        </w:rPr>
      </w:pPr>
      <w:r w:rsidRPr="00F918EE">
        <w:rPr>
          <w:lang w:bidi="en-US"/>
        </w:rPr>
        <w:t xml:space="preserve">Эверолимус ингибирует ответ Т-клеток на антигены аллогенной ткани, участвующей в трансплантации органов, тем самым препятствуя иммунологическому отторжению </w:t>
      </w:r>
      <w:r w:rsidRPr="00F918EE">
        <w:rPr>
          <w:color w:val="000000" w:themeColor="text1"/>
          <w:szCs w:val="28"/>
          <w:shd w:val="clear" w:color="auto" w:fill="FFFFFF"/>
        </w:rPr>
        <w:t>[5].</w:t>
      </w:r>
    </w:p>
    <w:p w14:paraId="682E5BC4" w14:textId="77777777" w:rsidR="000859AF" w:rsidRPr="00AD17A2" w:rsidRDefault="000859AF" w:rsidP="000859AF">
      <w:pPr>
        <w:spacing w:after="120" w:line="240" w:lineRule="auto"/>
        <w:ind w:firstLine="709"/>
        <w:contextualSpacing/>
        <w:rPr>
          <w:lang w:bidi="en-US"/>
        </w:rPr>
      </w:pPr>
      <w:r w:rsidRPr="00F918EE">
        <w:t>Эверолимус ингибировал пролиферацию эндотелиальных клеток (</w:t>
      </w:r>
      <w:r w:rsidRPr="00F918EE">
        <w:rPr>
          <w:lang w:val="en-US"/>
        </w:rPr>
        <w:t>HUVEC</w:t>
      </w:r>
      <w:r w:rsidRPr="00F918EE">
        <w:t xml:space="preserve">) со значениями </w:t>
      </w:r>
      <w:r w:rsidRPr="00F918EE">
        <w:rPr>
          <w:lang w:val="en-US"/>
        </w:rPr>
        <w:t>IC</w:t>
      </w:r>
      <w:r w:rsidRPr="00F918EE">
        <w:rPr>
          <w:vertAlign w:val="subscript"/>
        </w:rPr>
        <w:t xml:space="preserve">50 </w:t>
      </w:r>
      <w:r w:rsidRPr="00F918EE">
        <w:t xml:space="preserve">120 пМ, 841 пМ и &gt; 10 нМ для пролиферации, стимулированной </w:t>
      </w:r>
      <w:r w:rsidRPr="00F918EE">
        <w:rPr>
          <w:lang w:val="en-US"/>
        </w:rPr>
        <w:t>VEGF</w:t>
      </w:r>
      <w:r w:rsidRPr="00F918EE">
        <w:t xml:space="preserve">-, </w:t>
      </w:r>
      <w:r w:rsidRPr="00F918EE">
        <w:rPr>
          <w:lang w:val="en-US"/>
        </w:rPr>
        <w:t>bFGF</w:t>
      </w:r>
      <w:r w:rsidRPr="00F918EE">
        <w:t xml:space="preserve">- и фетальной бычьей сывороткой, соответственно. Нормальные гемопоэтические стволовые клетки не были столь чувствительны к эверолимусу, их </w:t>
      </w:r>
      <w:r w:rsidRPr="00F918EE">
        <w:rPr>
          <w:lang w:val="en-US"/>
        </w:rPr>
        <w:t>IC</w:t>
      </w:r>
      <w:r w:rsidRPr="00F918EE">
        <w:rPr>
          <w:vertAlign w:val="subscript"/>
        </w:rPr>
        <w:t xml:space="preserve">50 </w:t>
      </w:r>
      <w:r w:rsidRPr="00F918EE">
        <w:t>примерно в 15 раз выше, чем у линий опухолевых клеток [8].</w:t>
      </w:r>
    </w:p>
    <w:p w14:paraId="5583681C" w14:textId="77777777" w:rsidR="000859AF" w:rsidRPr="000859AF" w:rsidRDefault="000859AF" w:rsidP="000859AF">
      <w:pPr>
        <w:pStyle w:val="4"/>
        <w:spacing w:after="240" w:line="240" w:lineRule="auto"/>
        <w:rPr>
          <w:rFonts w:ascii="Times New Roman" w:hAnsi="Times New Roman"/>
          <w:i/>
          <w:color w:val="000000" w:themeColor="text1"/>
          <w:sz w:val="24"/>
          <w:szCs w:val="24"/>
        </w:rPr>
      </w:pPr>
      <w:bookmarkStart w:id="151" w:name="_Toc115217937"/>
      <w:bookmarkStart w:id="152" w:name="_Toc118124168"/>
      <w:bookmarkStart w:id="153" w:name="_Toc119313742"/>
      <w:bookmarkEnd w:id="150"/>
      <w:r w:rsidRPr="000859AF">
        <w:rPr>
          <w:rFonts w:ascii="Times New Roman" w:hAnsi="Times New Roman"/>
          <w:color w:val="000000" w:themeColor="text1"/>
          <w:sz w:val="24"/>
          <w:szCs w:val="24"/>
        </w:rPr>
        <w:t xml:space="preserve">3.1.2.2. Первичная фармакодинамика </w:t>
      </w:r>
      <w:r w:rsidRPr="0071249E">
        <w:rPr>
          <w:rFonts w:ascii="Times New Roman" w:hAnsi="Times New Roman"/>
          <w:i/>
          <w:color w:val="000000" w:themeColor="text1"/>
          <w:sz w:val="24"/>
          <w:szCs w:val="24"/>
        </w:rPr>
        <w:t>in vivo</w:t>
      </w:r>
      <w:bookmarkEnd w:id="151"/>
      <w:bookmarkEnd w:id="152"/>
      <w:bookmarkEnd w:id="153"/>
    </w:p>
    <w:p w14:paraId="2D3DE851" w14:textId="77777777" w:rsidR="000859AF" w:rsidRPr="00C25085" w:rsidRDefault="000859AF" w:rsidP="000859AF">
      <w:pPr>
        <w:spacing w:after="0" w:line="240" w:lineRule="auto"/>
        <w:ind w:firstLine="709"/>
        <w:rPr>
          <w:color w:val="000000" w:themeColor="text1"/>
          <w:szCs w:val="28"/>
          <w:shd w:val="clear" w:color="auto" w:fill="FFFFFF"/>
        </w:rPr>
      </w:pPr>
      <w:r w:rsidRPr="00C25085">
        <w:rPr>
          <w:color w:val="000000" w:themeColor="text1"/>
          <w:szCs w:val="28"/>
          <w:shd w:val="clear" w:color="auto" w:fill="FFFFFF"/>
        </w:rPr>
        <w:t xml:space="preserve">Клеточные линии, нечувствительные к эверолимусу </w:t>
      </w:r>
      <w:r w:rsidRPr="00C25085">
        <w:rPr>
          <w:i/>
          <w:color w:val="000000" w:themeColor="text1"/>
          <w:szCs w:val="28"/>
          <w:shd w:val="clear" w:color="auto" w:fill="FFFFFF"/>
        </w:rPr>
        <w:t>in vitro</w:t>
      </w:r>
      <w:r w:rsidRPr="00C25085">
        <w:rPr>
          <w:color w:val="000000" w:themeColor="text1"/>
          <w:szCs w:val="28"/>
          <w:shd w:val="clear" w:color="auto" w:fill="FFFFFF"/>
        </w:rPr>
        <w:t xml:space="preserve">, реагировали на лечение при стимулировании роста опухолей у мышей. Это было установлено по уменьшению объема опухоли, что происходило вследствие значительной антисосудистой/ангиогенной активности эверолимуса, согласующейся со способностью этого препарата уменьшать уровни HIF-1 и VEGF в опухолях </w:t>
      </w:r>
      <w:r w:rsidRPr="00C25085">
        <w:rPr>
          <w:i/>
          <w:color w:val="000000" w:themeColor="text1"/>
          <w:szCs w:val="28"/>
          <w:shd w:val="clear" w:color="auto" w:fill="FFFFFF"/>
        </w:rPr>
        <w:t>in vivo</w:t>
      </w:r>
      <w:r w:rsidRPr="00C25085">
        <w:rPr>
          <w:color w:val="000000" w:themeColor="text1"/>
          <w:szCs w:val="28"/>
          <w:shd w:val="clear" w:color="auto" w:fill="FFFFFF"/>
        </w:rPr>
        <w:t>.</w:t>
      </w:r>
    </w:p>
    <w:p w14:paraId="3B0645B7" w14:textId="77777777" w:rsidR="000859AF" w:rsidRPr="009C0AE4" w:rsidRDefault="000859AF" w:rsidP="000859AF">
      <w:pPr>
        <w:spacing w:after="0" w:line="240" w:lineRule="auto"/>
        <w:ind w:firstLine="709"/>
        <w:rPr>
          <w:color w:val="000000" w:themeColor="text1"/>
          <w:szCs w:val="28"/>
          <w:shd w:val="clear" w:color="auto" w:fill="FFFFFF"/>
        </w:rPr>
      </w:pPr>
      <w:bookmarkStart w:id="154" w:name="_Hlk113015468"/>
      <w:r w:rsidRPr="00C25085">
        <w:rPr>
          <w:color w:val="000000" w:themeColor="text1"/>
          <w:szCs w:val="28"/>
          <w:shd w:val="clear" w:color="auto" w:fill="FFFFFF"/>
        </w:rPr>
        <w:t xml:space="preserve">Две клеточных линии человека RCC (786-O и Caki-1) также тестировали на чувствительность к эверолимусу </w:t>
      </w:r>
      <w:r w:rsidRPr="00C25085">
        <w:rPr>
          <w:i/>
          <w:color w:val="000000" w:themeColor="text1"/>
          <w:szCs w:val="28"/>
          <w:shd w:val="clear" w:color="auto" w:fill="FFFFFF"/>
        </w:rPr>
        <w:t>in vivo</w:t>
      </w:r>
      <w:r w:rsidRPr="00C25085">
        <w:rPr>
          <w:color w:val="000000" w:themeColor="text1"/>
          <w:szCs w:val="28"/>
          <w:shd w:val="clear" w:color="auto" w:fill="FFFFFF"/>
        </w:rPr>
        <w:t xml:space="preserve"> путем выращивания опухоли подкожно у бестимусных лысых мышей. Эверолимус показал значительное дозозависимое ингибирование роста, а в более чувствительной клеточной линии (786-O) вызывал регрессию опухоли. В мышиной нейронной модели TSC, в которой TSC1 удаляется большинство нейронов, эверолимус улучшил медианное </w:t>
      </w:r>
      <w:r w:rsidRPr="00C25085">
        <w:rPr>
          <w:color w:val="000000" w:themeColor="text1"/>
          <w:szCs w:val="28"/>
          <w:shd w:val="clear" w:color="auto" w:fill="FFFFFF"/>
        </w:rPr>
        <w:lastRenderedPageBreak/>
        <w:t xml:space="preserve">выживание от 33 дней до более чем 100 дней, также улучшились показатели поведения и набора веса </w:t>
      </w:r>
      <w:bookmarkEnd w:id="154"/>
      <w:r w:rsidRPr="00C25085">
        <w:rPr>
          <w:color w:val="000000" w:themeColor="text1"/>
          <w:szCs w:val="28"/>
          <w:shd w:val="clear" w:color="auto" w:fill="FFFFFF"/>
        </w:rPr>
        <w:t>[1].</w:t>
      </w:r>
      <w:r>
        <w:rPr>
          <w:color w:val="000000" w:themeColor="text1"/>
          <w:szCs w:val="28"/>
          <w:shd w:val="clear" w:color="auto" w:fill="FFFFFF"/>
        </w:rPr>
        <w:t xml:space="preserve"> </w:t>
      </w:r>
    </w:p>
    <w:p w14:paraId="7AAD5299" w14:textId="77777777" w:rsidR="000859AF" w:rsidRPr="00707D60" w:rsidRDefault="000859AF" w:rsidP="000859AF">
      <w:pPr>
        <w:spacing w:before="240" w:after="240" w:line="240" w:lineRule="auto"/>
        <w:outlineLvl w:val="2"/>
        <w:rPr>
          <w:b/>
          <w:color w:val="000000" w:themeColor="text1"/>
        </w:rPr>
      </w:pPr>
      <w:bookmarkStart w:id="155" w:name="_Toc118124169"/>
      <w:bookmarkStart w:id="156" w:name="_Toc119313743"/>
      <w:r w:rsidRPr="00707D60">
        <w:rPr>
          <w:b/>
          <w:color w:val="000000" w:themeColor="text1"/>
        </w:rPr>
        <w:t>3.1.3.</w:t>
      </w:r>
      <w:bookmarkStart w:id="157" w:name="_Hlk521883759"/>
      <w:r w:rsidRPr="00707D60">
        <w:rPr>
          <w:b/>
          <w:color w:val="000000" w:themeColor="text1"/>
        </w:rPr>
        <w:t xml:space="preserve"> Вторичная фармакодинамика</w:t>
      </w:r>
      <w:bookmarkEnd w:id="136"/>
      <w:bookmarkEnd w:id="155"/>
      <w:bookmarkEnd w:id="156"/>
    </w:p>
    <w:p w14:paraId="66469E9B" w14:textId="77777777" w:rsidR="000859AF" w:rsidRPr="00F918EE" w:rsidRDefault="000859AF" w:rsidP="000859AF">
      <w:pPr>
        <w:spacing w:after="0" w:line="240" w:lineRule="auto"/>
        <w:ind w:firstLine="709"/>
        <w:rPr>
          <w:color w:val="000000" w:themeColor="text1"/>
          <w:shd w:val="clear" w:color="auto" w:fill="FFFFFF"/>
        </w:rPr>
      </w:pPr>
      <w:bookmarkStart w:id="158" w:name="_Toc499821139"/>
      <w:bookmarkEnd w:id="157"/>
      <w:r w:rsidRPr="00F918EE">
        <w:rPr>
          <w:color w:val="000000" w:themeColor="text1"/>
          <w:shd w:val="clear" w:color="auto" w:fill="FFFFFF"/>
        </w:rPr>
        <w:t xml:space="preserve">Иммунодепрессивный эффект эверолимуса был продемонстрирован в исследовании </w:t>
      </w:r>
      <w:r w:rsidRPr="00F918EE">
        <w:rPr>
          <w:i/>
          <w:color w:val="000000" w:themeColor="text1"/>
          <w:shd w:val="clear" w:color="auto" w:fill="FFFFFF"/>
        </w:rPr>
        <w:t>in vitro</w:t>
      </w:r>
      <w:r w:rsidRPr="00F918EE">
        <w:rPr>
          <w:color w:val="000000" w:themeColor="text1"/>
          <w:shd w:val="clear" w:color="auto" w:fill="FFFFFF"/>
        </w:rPr>
        <w:t xml:space="preserve">, где эверолимус блокировал пролиферацию лимфоцитов в ответ на митогенный стимул. В Европе эверолимус используется в качестве иммунодепрессанта у пациентов с пересаженными органами для предотвращения отторжения трансплантата. Кроме того, в исследованиях </w:t>
      </w:r>
      <w:r w:rsidRPr="00F918EE">
        <w:rPr>
          <w:i/>
          <w:color w:val="000000" w:themeColor="text1"/>
          <w:shd w:val="clear" w:color="auto" w:fill="FFFFFF"/>
        </w:rPr>
        <w:t>in vitro</w:t>
      </w:r>
      <w:r w:rsidRPr="00F918EE">
        <w:rPr>
          <w:color w:val="000000" w:themeColor="text1"/>
          <w:shd w:val="clear" w:color="auto" w:fill="FFFFFF"/>
        </w:rPr>
        <w:t xml:space="preserve"> эверолимус проявлял прямое ингибирующее действие на образование и активность остеокластов у мышей и человека и, в меньшей степени, на дифференцировку остеобластов [6].</w:t>
      </w:r>
    </w:p>
    <w:p w14:paraId="3E3F9738" w14:textId="77777777" w:rsidR="000859AF" w:rsidRPr="00F918EE" w:rsidRDefault="000859AF" w:rsidP="000859AF">
      <w:pPr>
        <w:autoSpaceDE w:val="0"/>
        <w:autoSpaceDN w:val="0"/>
        <w:adjustRightInd w:val="0"/>
        <w:spacing w:after="0" w:line="240" w:lineRule="auto"/>
        <w:ind w:firstLine="709"/>
      </w:pPr>
      <w:r w:rsidRPr="00F918EE">
        <w:t xml:space="preserve">Различные механизмы действия эверолимуса и ингибиторов кальциневрина объясняют синергетическое взаимодействие между эверолимусом и циклоспорином, которое было продемонстрировано в доклинических исследованиях как </w:t>
      </w:r>
      <w:r w:rsidRPr="003E7920">
        <w:rPr>
          <w:i/>
          <w:lang w:val="en-US"/>
        </w:rPr>
        <w:t>in</w:t>
      </w:r>
      <w:r w:rsidRPr="003E7920">
        <w:rPr>
          <w:i/>
        </w:rPr>
        <w:t xml:space="preserve"> </w:t>
      </w:r>
      <w:r w:rsidRPr="003E7920">
        <w:rPr>
          <w:i/>
          <w:lang w:val="en-US"/>
        </w:rPr>
        <w:t>vitro</w:t>
      </w:r>
      <w:r w:rsidRPr="00F918EE">
        <w:t xml:space="preserve">, так и </w:t>
      </w:r>
      <w:r w:rsidRPr="003E7920">
        <w:rPr>
          <w:i/>
          <w:lang w:val="en-US"/>
        </w:rPr>
        <w:t>in</w:t>
      </w:r>
      <w:r w:rsidRPr="003E7920">
        <w:rPr>
          <w:i/>
        </w:rPr>
        <w:t xml:space="preserve"> </w:t>
      </w:r>
      <w:r w:rsidRPr="003E7920">
        <w:rPr>
          <w:i/>
          <w:lang w:val="en-US"/>
        </w:rPr>
        <w:t>vivo</w:t>
      </w:r>
      <w:r w:rsidRPr="00F918EE">
        <w:t>. В этих моделях эффективность, эквивалентная любому из препаратов по отдельности, была достигнута при 10–40 % дозы эверолимуса и 20–40 % дозы циклоспорина [3,8]. Эти данные свидетельствуют о том, что эверолимус может позволить снизить дозу циклоспорина у реципиентов трансплантатов органов без ущерба для эффективности или безопасности. Более того, они послужили основой для клинических исследований комбинации эверолимуса и циклоспорином с уменьшением доз у пациентов с трансплантацией почки [4].</w:t>
      </w:r>
    </w:p>
    <w:p w14:paraId="2899234D" w14:textId="127CF561" w:rsidR="000859AF" w:rsidRPr="008A7500" w:rsidRDefault="000859AF" w:rsidP="000859AF">
      <w:pPr>
        <w:autoSpaceDE w:val="0"/>
        <w:autoSpaceDN w:val="0"/>
        <w:adjustRightInd w:val="0"/>
        <w:spacing w:after="0" w:line="240" w:lineRule="auto"/>
        <w:ind w:firstLine="709"/>
        <w:rPr>
          <w:b/>
          <w:i/>
        </w:rPr>
      </w:pPr>
      <w:r w:rsidRPr="008A7500">
        <w:rPr>
          <w:b/>
          <w:i/>
        </w:rPr>
        <w:t xml:space="preserve">Иммунодепрессивная активность </w:t>
      </w:r>
      <w:r w:rsidRPr="008A7500">
        <w:rPr>
          <w:b/>
          <w:i/>
          <w:lang w:val="en-US"/>
        </w:rPr>
        <w:t>in</w:t>
      </w:r>
      <w:r w:rsidRPr="008A7500">
        <w:rPr>
          <w:b/>
          <w:i/>
        </w:rPr>
        <w:t xml:space="preserve"> </w:t>
      </w:r>
      <w:r w:rsidRPr="008A7500">
        <w:rPr>
          <w:b/>
          <w:i/>
          <w:lang w:val="en-US"/>
        </w:rPr>
        <w:t>vitro</w:t>
      </w:r>
    </w:p>
    <w:p w14:paraId="15EC004A" w14:textId="77777777" w:rsidR="000859AF" w:rsidRPr="00F918EE" w:rsidRDefault="000859AF" w:rsidP="000859AF">
      <w:pPr>
        <w:autoSpaceDE w:val="0"/>
        <w:autoSpaceDN w:val="0"/>
        <w:adjustRightInd w:val="0"/>
        <w:spacing w:after="0" w:line="240" w:lineRule="auto"/>
        <w:ind w:firstLine="709"/>
        <w:contextualSpacing/>
      </w:pPr>
      <w:r w:rsidRPr="00F918EE">
        <w:t xml:space="preserve">В крысиной модели эверолимус снижал уровни IgG в ответ на Т-клеточно-зависимый антиген при дозе 2,5 мг/кг ежедневно или 5 мг/кг еженедельно [Исследование RD-2002-01534]. Оба режима показали противоопухолевую активность на крысиной модели (0,5 мг/кг, 6 дней в неделю: T/C=0,3; 5 мг/кг, еженедельно: T/C=0,36) [Исследование RD-2002-03707]. Эверолимус также блокировал пролиферацию лимфоцитов в ответ на митогенный стимул [Исследование RD-2001-01010; Исследование РД-2001-01459; Исследование RD-2004-00475] в анализе MLR </w:t>
      </w:r>
      <w:r w:rsidRPr="00F918EE">
        <w:rPr>
          <w:i/>
        </w:rPr>
        <w:t>in vitro</w:t>
      </w:r>
      <w:r w:rsidRPr="00F918EE">
        <w:t>. Шесть известных метаболитов эверолимуса также обладали фармакологической активностью, но по крайней мере в 100 раз меньшей, чем у эверолимус [5].</w:t>
      </w:r>
    </w:p>
    <w:p w14:paraId="19D3DD05" w14:textId="6A21CEE8" w:rsidR="000859AF" w:rsidRPr="008A7500" w:rsidRDefault="000859AF" w:rsidP="000859AF">
      <w:pPr>
        <w:autoSpaceDE w:val="0"/>
        <w:autoSpaceDN w:val="0"/>
        <w:adjustRightInd w:val="0"/>
        <w:spacing w:after="0" w:line="240" w:lineRule="auto"/>
        <w:ind w:firstLine="709"/>
        <w:contextualSpacing/>
        <w:rPr>
          <w:b/>
          <w:i/>
        </w:rPr>
      </w:pPr>
      <w:r w:rsidRPr="008A7500">
        <w:rPr>
          <w:b/>
          <w:i/>
        </w:rPr>
        <w:t xml:space="preserve">Иммунодепрессивная активность </w:t>
      </w:r>
      <w:r w:rsidRPr="008A7500">
        <w:rPr>
          <w:b/>
          <w:i/>
          <w:lang w:val="en-US"/>
        </w:rPr>
        <w:t>in</w:t>
      </w:r>
      <w:r w:rsidRPr="008A7500">
        <w:rPr>
          <w:b/>
          <w:i/>
        </w:rPr>
        <w:t xml:space="preserve"> </w:t>
      </w:r>
      <w:r w:rsidRPr="008A7500">
        <w:rPr>
          <w:b/>
          <w:i/>
          <w:lang w:val="en-US"/>
        </w:rPr>
        <w:t>vivo</w:t>
      </w:r>
    </w:p>
    <w:p w14:paraId="6FD2BCE4" w14:textId="77777777" w:rsidR="000859AF" w:rsidRPr="00AD17A2" w:rsidRDefault="000859AF" w:rsidP="000859AF">
      <w:pPr>
        <w:spacing w:after="120" w:line="240" w:lineRule="auto"/>
        <w:ind w:firstLine="709"/>
        <w:contextualSpacing/>
        <w:rPr>
          <w:lang w:bidi="en-US"/>
        </w:rPr>
      </w:pPr>
      <w:r w:rsidRPr="00AD17A2">
        <w:rPr>
          <w:lang w:bidi="en-US"/>
        </w:rPr>
        <w:t>За счет антипролиферативного действия эверолимус подавляет стимулируемую фактором роста пролиферацию гладкомышечных клеток сосудов. В пупочной вене человека эверолимус ингибировал пролиферацию, стимулируемую фактором роста эндотелия сосудов. В баллонной модели сонной артерии крыс, подвергнутых ангиопластике сонной артерии, животным вводили эверолимус, с последующим подавлением образования неоинтимы, вызванного повреждением. Аналогичные результаты были получены на модели свиньи с 14</w:t>
      </w:r>
      <w:r w:rsidRPr="00AD17A2">
        <w:rPr>
          <w:lang w:bidi="en-US"/>
        </w:rPr>
        <w:noBreakHyphen/>
        <w:t xml:space="preserve">дневным лечением эверолимусом после коронарного повреждения в баллонной модели. При трансплантации аорты крысам эверолимус ингибирует образование неоинтимы из-за повреждения эндотелиальных клеток. Вероятным </w:t>
      </w:r>
      <w:r w:rsidRPr="00AD17A2">
        <w:rPr>
          <w:lang w:bidi="en-US"/>
        </w:rPr>
        <w:lastRenderedPageBreak/>
        <w:t>применением для этих антипролиферативных исследований является стентирование с лекарственным препаратом. У кроликов стенты, покрытые эверолимусом, были исследованы через 28 дней после имплантации, продемонстрировав отсутствие рестеноза [6].</w:t>
      </w:r>
    </w:p>
    <w:p w14:paraId="02A559E3" w14:textId="77777777" w:rsidR="000859AF" w:rsidRPr="00F918EE" w:rsidRDefault="000859AF" w:rsidP="000859AF">
      <w:pPr>
        <w:spacing w:after="120" w:line="240" w:lineRule="auto"/>
        <w:ind w:firstLine="709"/>
        <w:contextualSpacing/>
        <w:rPr>
          <w:lang w:bidi="en-US"/>
        </w:rPr>
      </w:pPr>
      <w:r w:rsidRPr="00F918EE">
        <w:rPr>
          <w:lang w:bidi="en-US"/>
        </w:rPr>
        <w:t>Иммуносупрессия наблюдалась у всех изученных видов, проявляясь в виде атрофии тимуса, атрофии селезенки и атрофии лимфатических узлов в связи со снижением циркулирующих лимфоидных клеток и лейкоцитов [6].</w:t>
      </w:r>
    </w:p>
    <w:p w14:paraId="1C7611E3" w14:textId="43B56FE2" w:rsidR="000859AF" w:rsidRPr="008A7500" w:rsidRDefault="000859AF" w:rsidP="000859AF">
      <w:pPr>
        <w:autoSpaceDE w:val="0"/>
        <w:autoSpaceDN w:val="0"/>
        <w:adjustRightInd w:val="0"/>
        <w:spacing w:after="0" w:line="240" w:lineRule="auto"/>
        <w:ind w:firstLine="709"/>
        <w:rPr>
          <w:b/>
          <w:i/>
        </w:rPr>
      </w:pPr>
      <w:r w:rsidRPr="008A7500">
        <w:rPr>
          <w:b/>
          <w:i/>
        </w:rPr>
        <w:t xml:space="preserve">Костная активность </w:t>
      </w:r>
      <w:r w:rsidRPr="008A7500">
        <w:rPr>
          <w:b/>
          <w:i/>
          <w:lang w:val="en-US"/>
        </w:rPr>
        <w:t>in</w:t>
      </w:r>
      <w:r w:rsidRPr="008A7500">
        <w:rPr>
          <w:b/>
          <w:i/>
        </w:rPr>
        <w:t xml:space="preserve"> </w:t>
      </w:r>
      <w:r w:rsidRPr="008A7500">
        <w:rPr>
          <w:b/>
          <w:i/>
          <w:lang w:val="en-US"/>
        </w:rPr>
        <w:t>vitro</w:t>
      </w:r>
    </w:p>
    <w:p w14:paraId="789902B0" w14:textId="77777777" w:rsidR="000859AF" w:rsidRPr="00F918EE" w:rsidRDefault="000859AF" w:rsidP="000859AF">
      <w:pPr>
        <w:autoSpaceDE w:val="0"/>
        <w:autoSpaceDN w:val="0"/>
        <w:adjustRightInd w:val="0"/>
        <w:spacing w:after="0" w:line="240" w:lineRule="auto"/>
        <w:ind w:firstLine="709"/>
      </w:pPr>
      <w:r w:rsidRPr="00F918EE">
        <w:t xml:space="preserve">Активность эверолимуса в отношении костной ткани была показана </w:t>
      </w:r>
      <w:r w:rsidRPr="00F918EE">
        <w:rPr>
          <w:i/>
        </w:rPr>
        <w:t>in vitro.</w:t>
      </w:r>
      <w:r w:rsidRPr="00F918EE">
        <w:t xml:space="preserve"> Эверолимус продемонстрировал снижение дифференцировки остеокластов и остеобластов у мышей, а также активность костной резорбции остеокластов </w:t>
      </w:r>
      <w:r w:rsidRPr="00F918EE">
        <w:rPr>
          <w:i/>
        </w:rPr>
        <w:t>in vitro</w:t>
      </w:r>
      <w:r w:rsidRPr="00F918EE">
        <w:t xml:space="preserve"> в концентрациях, сходных с концентрациями чувствительных линий опухолевых клеток человека (от 0,6 до 13,5 нМ) [5].</w:t>
      </w:r>
    </w:p>
    <w:p w14:paraId="210906E3" w14:textId="77777777" w:rsidR="000859AF" w:rsidRPr="00F918EE" w:rsidRDefault="000859AF" w:rsidP="000859AF">
      <w:pPr>
        <w:spacing w:before="240" w:after="240" w:line="240" w:lineRule="auto"/>
        <w:outlineLvl w:val="2"/>
        <w:rPr>
          <w:b/>
          <w:color w:val="000000" w:themeColor="text1"/>
        </w:rPr>
      </w:pPr>
      <w:bookmarkStart w:id="159" w:name="_Toc115217939"/>
      <w:bookmarkStart w:id="160" w:name="_Toc118124170"/>
      <w:bookmarkStart w:id="161" w:name="_Toc119313744"/>
      <w:r w:rsidRPr="00F918EE">
        <w:rPr>
          <w:b/>
          <w:color w:val="000000" w:themeColor="text1"/>
        </w:rPr>
        <w:t>3.1.4. Фармакологическая безопасност</w:t>
      </w:r>
      <w:bookmarkEnd w:id="158"/>
      <w:r w:rsidRPr="00F918EE">
        <w:rPr>
          <w:b/>
          <w:color w:val="000000" w:themeColor="text1"/>
        </w:rPr>
        <w:t>ь</w:t>
      </w:r>
      <w:bookmarkEnd w:id="159"/>
      <w:bookmarkEnd w:id="160"/>
      <w:bookmarkEnd w:id="161"/>
    </w:p>
    <w:p w14:paraId="7259E9FC" w14:textId="77777777" w:rsidR="000859AF" w:rsidRPr="00F918EE" w:rsidRDefault="000859AF" w:rsidP="000859AF">
      <w:pPr>
        <w:spacing w:after="0" w:line="240" w:lineRule="auto"/>
        <w:ind w:firstLine="709"/>
        <w:rPr>
          <w:color w:val="000000" w:themeColor="text1"/>
        </w:rPr>
      </w:pPr>
      <w:r w:rsidRPr="00F918EE">
        <w:rPr>
          <w:color w:val="000000" w:themeColor="text1"/>
        </w:rPr>
        <w:t xml:space="preserve">Исследования в области фармакологической безопасности показали, что эверолимус не оказывает существенного влияния на жизненно важные функции, включая сердечно-сосудистую функцию, функцию дыхания и нервную систему. Эверолимус не вызывал удлинения интервала QT, как показано на изолированных волокнах Пуркинье сердца овцы, в стабильных трансфицированных клетках HEK293 (токи hERG) и при обычном мониторинге ЭКГ у мини-свиней и обезьян </w:t>
      </w:r>
      <w:r w:rsidRPr="00F918EE">
        <w:t>[5].</w:t>
      </w:r>
    </w:p>
    <w:p w14:paraId="7E72593C" w14:textId="77777777" w:rsidR="000859AF" w:rsidRPr="00F918EE" w:rsidRDefault="000859AF" w:rsidP="000859AF">
      <w:pPr>
        <w:spacing w:after="0" w:line="240" w:lineRule="auto"/>
        <w:ind w:firstLine="709"/>
        <w:rPr>
          <w:color w:val="000000" w:themeColor="text1"/>
        </w:rPr>
      </w:pPr>
      <w:r w:rsidRPr="00F918EE">
        <w:rPr>
          <w:color w:val="000000" w:themeColor="text1"/>
        </w:rPr>
        <w:t xml:space="preserve">У мышей при пероральном введении не отмечено влияния на нервную систему и ЖКТ в дозах до 50 мг/кг; у крыс при пероральном введении не отмечено влияния на почечную функцию и нервную систему в дозах до 50 мг/кг </w:t>
      </w:r>
      <w:r w:rsidRPr="00F918EE">
        <w:t>[5].</w:t>
      </w:r>
    </w:p>
    <w:p w14:paraId="03D65A32" w14:textId="77777777" w:rsidR="000859AF" w:rsidRPr="002639AE" w:rsidRDefault="000859AF" w:rsidP="000859AF">
      <w:pPr>
        <w:spacing w:after="0" w:line="240" w:lineRule="auto"/>
        <w:ind w:firstLine="709"/>
        <w:rPr>
          <w:color w:val="000000" w:themeColor="text1"/>
        </w:rPr>
      </w:pPr>
      <w:r w:rsidRPr="00F918EE">
        <w:rPr>
          <w:color w:val="000000" w:themeColor="text1"/>
        </w:rPr>
        <w:t xml:space="preserve">У морских свинок при в/в введении не отмечено влияния на дыхательную систему </w:t>
      </w:r>
      <w:r w:rsidRPr="00F918EE">
        <w:t xml:space="preserve">[5]. </w:t>
      </w:r>
      <w:r w:rsidRPr="00F918EE">
        <w:rPr>
          <w:color w:val="000000" w:themeColor="text1"/>
        </w:rPr>
        <w:t>Значимых изменений в поведении грызунов не наблюдалось даже после однократного перорального введения доз до 2000 мг/кг [5].</w:t>
      </w:r>
    </w:p>
    <w:p w14:paraId="514EEC55" w14:textId="77777777" w:rsidR="000859AF" w:rsidRPr="00F918EE" w:rsidRDefault="000859AF" w:rsidP="000859AF">
      <w:pPr>
        <w:spacing w:after="0" w:line="240" w:lineRule="auto"/>
        <w:ind w:firstLine="709"/>
        <w:rPr>
          <w:color w:val="000000" w:themeColor="text1"/>
        </w:rPr>
      </w:pPr>
      <w:r>
        <w:rPr>
          <w:color w:val="000000" w:themeColor="text1"/>
        </w:rPr>
        <w:t xml:space="preserve">Данные фармакологических исследований безопасности эверолимуса представлены в </w:t>
      </w:r>
      <w:r w:rsidRPr="00F918EE">
        <w:rPr>
          <w:color w:val="000000" w:themeColor="text1"/>
        </w:rPr>
        <w:t>таблице 3-1 [5].</w:t>
      </w:r>
    </w:p>
    <w:p w14:paraId="5BCD4D3F" w14:textId="77777777" w:rsidR="000859AF" w:rsidRDefault="000859AF" w:rsidP="000859AF">
      <w:pPr>
        <w:spacing w:after="0" w:line="240" w:lineRule="auto"/>
        <w:ind w:firstLine="709"/>
        <w:rPr>
          <w:color w:val="000000" w:themeColor="text1"/>
        </w:rPr>
      </w:pPr>
    </w:p>
    <w:p w14:paraId="6E1957F4" w14:textId="77777777" w:rsidR="000859AF" w:rsidRPr="00F918EE" w:rsidRDefault="000859AF" w:rsidP="000859AF">
      <w:pPr>
        <w:spacing w:after="0" w:line="240" w:lineRule="auto"/>
        <w:rPr>
          <w:color w:val="000000" w:themeColor="text1"/>
        </w:rPr>
      </w:pPr>
      <w:r w:rsidRPr="00F918EE">
        <w:rPr>
          <w:b/>
          <w:color w:val="000000" w:themeColor="text1"/>
        </w:rPr>
        <w:t>Таблица 3-1.</w:t>
      </w:r>
      <w:r>
        <w:rPr>
          <w:color w:val="000000" w:themeColor="text1"/>
        </w:rPr>
        <w:t xml:space="preserve"> Фармакологические исследования безопасности эверолимуса</w:t>
      </w:r>
      <w:r w:rsidRPr="00F918EE">
        <w:rPr>
          <w:color w:val="000000" w:themeColor="text1"/>
        </w:rPr>
        <w:t>.</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1176"/>
        <w:gridCol w:w="2044"/>
        <w:gridCol w:w="1085"/>
        <w:gridCol w:w="2149"/>
        <w:gridCol w:w="1418"/>
      </w:tblGrid>
      <w:tr w:rsidR="000859AF" w:rsidRPr="00DA3124" w14:paraId="7F7182F9" w14:textId="77777777" w:rsidTr="008A7500">
        <w:trPr>
          <w:trHeight w:val="1050"/>
          <w:tblHeader/>
        </w:trPr>
        <w:tc>
          <w:tcPr>
            <w:tcW w:w="1484" w:type="dxa"/>
            <w:shd w:val="clear" w:color="000000" w:fill="D9D9D9"/>
            <w:vAlign w:val="center"/>
            <w:hideMark/>
          </w:tcPr>
          <w:p w14:paraId="5D502553" w14:textId="77777777"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Оцениваемые системы органов</w:t>
            </w:r>
          </w:p>
        </w:tc>
        <w:tc>
          <w:tcPr>
            <w:tcW w:w="1176" w:type="dxa"/>
            <w:shd w:val="clear" w:color="000000" w:fill="D9D9D9"/>
            <w:vAlign w:val="center"/>
            <w:hideMark/>
          </w:tcPr>
          <w:p w14:paraId="66B4BA64" w14:textId="77777777"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Вид/ линия</w:t>
            </w:r>
          </w:p>
        </w:tc>
        <w:tc>
          <w:tcPr>
            <w:tcW w:w="2044" w:type="dxa"/>
            <w:shd w:val="clear" w:color="000000" w:fill="D9D9D9"/>
            <w:vAlign w:val="center"/>
            <w:hideMark/>
          </w:tcPr>
          <w:p w14:paraId="3E5F74FB" w14:textId="77777777"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Способ применения</w:t>
            </w:r>
          </w:p>
        </w:tc>
        <w:tc>
          <w:tcPr>
            <w:tcW w:w="1085" w:type="dxa"/>
            <w:shd w:val="clear" w:color="000000" w:fill="D9D9D9"/>
            <w:vAlign w:val="center"/>
            <w:hideMark/>
          </w:tcPr>
          <w:p w14:paraId="6F17952D" w14:textId="523242B9"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Дозы (мг/кг)</w:t>
            </w:r>
            <w:r w:rsidRPr="00DA3124">
              <w:rPr>
                <w:rFonts w:eastAsia="Times New Roman"/>
                <w:color w:val="000000"/>
                <w:sz w:val="20"/>
                <w:szCs w:val="20"/>
                <w:vertAlign w:val="superscript"/>
                <w:lang w:eastAsia="ru-RU" w:bidi="en-US"/>
              </w:rPr>
              <w:t>a</w:t>
            </w:r>
          </w:p>
        </w:tc>
        <w:tc>
          <w:tcPr>
            <w:tcW w:w="2149" w:type="dxa"/>
            <w:shd w:val="clear" w:color="000000" w:fill="D9D9D9"/>
            <w:vAlign w:val="center"/>
            <w:hideMark/>
          </w:tcPr>
          <w:p w14:paraId="76C2D0F0" w14:textId="77777777"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Значимые наблюдения</w:t>
            </w:r>
          </w:p>
        </w:tc>
        <w:tc>
          <w:tcPr>
            <w:tcW w:w="1418" w:type="dxa"/>
            <w:shd w:val="clear" w:color="000000" w:fill="D9D9D9"/>
            <w:vAlign w:val="center"/>
            <w:hideMark/>
          </w:tcPr>
          <w:p w14:paraId="2AD66F1D" w14:textId="77777777" w:rsidR="000859AF" w:rsidRPr="00DA3124" w:rsidRDefault="000859AF" w:rsidP="008A7500">
            <w:pPr>
              <w:spacing w:after="0" w:line="240" w:lineRule="auto"/>
              <w:jc w:val="center"/>
              <w:rPr>
                <w:rFonts w:eastAsia="Times New Roman"/>
                <w:b/>
                <w:bCs/>
                <w:color w:val="000000"/>
                <w:sz w:val="20"/>
                <w:szCs w:val="20"/>
                <w:lang w:eastAsia="ru-RU"/>
              </w:rPr>
            </w:pPr>
            <w:r w:rsidRPr="00DA3124">
              <w:rPr>
                <w:rFonts w:eastAsia="Times New Roman"/>
                <w:b/>
                <w:bCs/>
                <w:color w:val="000000"/>
                <w:sz w:val="20"/>
                <w:szCs w:val="20"/>
                <w:lang w:eastAsia="ru-RU" w:bidi="en-US"/>
              </w:rPr>
              <w:t>Номер отчета/ соответствие GLP</w:t>
            </w:r>
          </w:p>
        </w:tc>
      </w:tr>
      <w:tr w:rsidR="000859AF" w:rsidRPr="00DA3124" w14:paraId="047320BF" w14:textId="77777777" w:rsidTr="008A7500">
        <w:trPr>
          <w:trHeight w:val="651"/>
        </w:trPr>
        <w:tc>
          <w:tcPr>
            <w:tcW w:w="1484" w:type="dxa"/>
            <w:vMerge w:val="restart"/>
            <w:shd w:val="clear" w:color="auto" w:fill="auto"/>
            <w:vAlign w:val="center"/>
            <w:hideMark/>
          </w:tcPr>
          <w:p w14:paraId="40BA89B0" w14:textId="77777777" w:rsidR="000859AF" w:rsidRPr="00DA3124" w:rsidRDefault="000859AF" w:rsidP="000859AF">
            <w:pPr>
              <w:spacing w:after="0" w:line="240" w:lineRule="auto"/>
              <w:jc w:val="left"/>
              <w:rPr>
                <w:rFonts w:eastAsia="Times New Roman"/>
                <w:color w:val="000000"/>
                <w:sz w:val="20"/>
                <w:szCs w:val="20"/>
                <w:lang w:eastAsia="ru-RU"/>
              </w:rPr>
            </w:pPr>
            <w:r w:rsidRPr="00DA3124">
              <w:rPr>
                <w:rFonts w:eastAsia="Times New Roman"/>
                <w:color w:val="000000"/>
                <w:sz w:val="20"/>
                <w:szCs w:val="20"/>
                <w:lang w:eastAsia="ru-RU" w:bidi="en-US"/>
              </w:rPr>
              <w:t>Нарушения со стороны нервной системы и желудочно-кишечного тракта и нарушения функции почек</w:t>
            </w:r>
          </w:p>
        </w:tc>
        <w:tc>
          <w:tcPr>
            <w:tcW w:w="1176" w:type="dxa"/>
            <w:shd w:val="clear" w:color="auto" w:fill="auto"/>
            <w:vAlign w:val="center"/>
            <w:hideMark/>
          </w:tcPr>
          <w:p w14:paraId="4F40E8BF"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Мыши</w:t>
            </w:r>
          </w:p>
        </w:tc>
        <w:tc>
          <w:tcPr>
            <w:tcW w:w="2044" w:type="dxa"/>
            <w:shd w:val="clear" w:color="auto" w:fill="auto"/>
            <w:vAlign w:val="center"/>
            <w:hideMark/>
          </w:tcPr>
          <w:p w14:paraId="082DCFF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Перорально</w:t>
            </w:r>
          </w:p>
        </w:tc>
        <w:tc>
          <w:tcPr>
            <w:tcW w:w="1085" w:type="dxa"/>
            <w:shd w:val="clear" w:color="auto" w:fill="auto"/>
            <w:vAlign w:val="center"/>
            <w:hideMark/>
          </w:tcPr>
          <w:p w14:paraId="6090E643"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1,5, 5, 15 или 50</w:t>
            </w:r>
          </w:p>
        </w:tc>
        <w:tc>
          <w:tcPr>
            <w:tcW w:w="2149" w:type="dxa"/>
            <w:shd w:val="clear" w:color="auto" w:fill="auto"/>
            <w:vAlign w:val="center"/>
            <w:hideMark/>
          </w:tcPr>
          <w:p w14:paraId="31DE91E0"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влияния на нервную систему и кишечный транзит</w:t>
            </w:r>
          </w:p>
        </w:tc>
        <w:tc>
          <w:tcPr>
            <w:tcW w:w="1418" w:type="dxa"/>
            <w:shd w:val="clear" w:color="auto" w:fill="auto"/>
            <w:vAlign w:val="center"/>
            <w:hideMark/>
          </w:tcPr>
          <w:p w14:paraId="428F09A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[RAD 02-c]</w:t>
            </w:r>
          </w:p>
        </w:tc>
      </w:tr>
      <w:tr w:rsidR="000859AF" w:rsidRPr="00DA3124" w14:paraId="277C9271" w14:textId="77777777" w:rsidTr="008A7500">
        <w:trPr>
          <w:trHeight w:val="1839"/>
        </w:trPr>
        <w:tc>
          <w:tcPr>
            <w:tcW w:w="1484" w:type="dxa"/>
            <w:vMerge/>
            <w:vAlign w:val="center"/>
            <w:hideMark/>
          </w:tcPr>
          <w:p w14:paraId="4FBBEC45"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vMerge w:val="restart"/>
            <w:shd w:val="clear" w:color="auto" w:fill="auto"/>
            <w:vAlign w:val="center"/>
            <w:hideMark/>
          </w:tcPr>
          <w:p w14:paraId="7763E556"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Морские свинки</w:t>
            </w:r>
          </w:p>
        </w:tc>
        <w:tc>
          <w:tcPr>
            <w:tcW w:w="2044" w:type="dxa"/>
            <w:vMerge w:val="restart"/>
            <w:shd w:val="clear" w:color="auto" w:fill="auto"/>
            <w:vAlign w:val="center"/>
            <w:hideMark/>
          </w:tcPr>
          <w:p w14:paraId="4E61FF04"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 xml:space="preserve">Изолированная подвздошная кишка </w:t>
            </w:r>
            <w:r w:rsidRPr="00DA3124">
              <w:rPr>
                <w:rFonts w:eastAsia="Times New Roman"/>
                <w:i/>
                <w:iCs/>
                <w:color w:val="000000"/>
                <w:sz w:val="20"/>
                <w:szCs w:val="20"/>
                <w:lang w:eastAsia="ru-RU" w:bidi="en-US"/>
              </w:rPr>
              <w:t>ex vivo</w:t>
            </w:r>
          </w:p>
        </w:tc>
        <w:tc>
          <w:tcPr>
            <w:tcW w:w="1085" w:type="dxa"/>
            <w:vMerge w:val="restart"/>
            <w:shd w:val="clear" w:color="auto" w:fill="auto"/>
            <w:vAlign w:val="center"/>
            <w:hideMark/>
          </w:tcPr>
          <w:p w14:paraId="20811026"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10</w:t>
            </w:r>
            <w:r w:rsidRPr="00DA3124">
              <w:rPr>
                <w:rFonts w:eastAsia="Times New Roman"/>
                <w:color w:val="000000"/>
                <w:sz w:val="20"/>
                <w:szCs w:val="20"/>
                <w:vertAlign w:val="superscript"/>
                <w:lang w:eastAsia="ru-RU" w:bidi="en-US"/>
              </w:rPr>
              <w:t>-7</w:t>
            </w:r>
            <w:r w:rsidRPr="00DA3124">
              <w:rPr>
                <w:rFonts w:eastAsia="Times New Roman"/>
                <w:color w:val="000000"/>
                <w:sz w:val="20"/>
                <w:szCs w:val="20"/>
                <w:lang w:eastAsia="ru-RU" w:bidi="en-US"/>
              </w:rPr>
              <w:t xml:space="preserve"> - 10</w:t>
            </w:r>
            <w:r w:rsidRPr="00DA3124">
              <w:rPr>
                <w:rFonts w:eastAsia="Times New Roman"/>
                <w:color w:val="000000"/>
                <w:sz w:val="20"/>
                <w:szCs w:val="20"/>
                <w:vertAlign w:val="superscript"/>
                <w:lang w:eastAsia="ru-RU" w:bidi="en-US"/>
              </w:rPr>
              <w:t>-5 </w:t>
            </w:r>
            <w:r w:rsidRPr="00DA3124">
              <w:rPr>
                <w:rFonts w:eastAsia="Times New Roman"/>
                <w:color w:val="000000"/>
                <w:sz w:val="20"/>
                <w:szCs w:val="20"/>
                <w:lang w:eastAsia="ru-RU" w:bidi="en-US"/>
              </w:rPr>
              <w:t>M</w:t>
            </w:r>
          </w:p>
        </w:tc>
        <w:tc>
          <w:tcPr>
            <w:tcW w:w="2149" w:type="dxa"/>
            <w:shd w:val="clear" w:color="auto" w:fill="auto"/>
            <w:vAlign w:val="center"/>
            <w:hideMark/>
          </w:tcPr>
          <w:p w14:paraId="12555787"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Сокращение изолированной подвздошной кишки, индуцированное хлоридом бария и серотонином, ингибировалось RAD в концентрации 10</w:t>
            </w:r>
            <w:r w:rsidRPr="00DA3124">
              <w:rPr>
                <w:rFonts w:eastAsia="Times New Roman"/>
                <w:color w:val="000000"/>
                <w:sz w:val="20"/>
                <w:szCs w:val="20"/>
                <w:vertAlign w:val="superscript"/>
                <w:lang w:eastAsia="ru-RU" w:bidi="en-US"/>
              </w:rPr>
              <w:t>-5 </w:t>
            </w:r>
            <w:r w:rsidRPr="00DA3124">
              <w:rPr>
                <w:rFonts w:eastAsia="Times New Roman"/>
                <w:color w:val="000000"/>
                <w:sz w:val="20"/>
                <w:szCs w:val="20"/>
                <w:lang w:eastAsia="ru-RU" w:bidi="en-US"/>
              </w:rPr>
              <w:t>М</w:t>
            </w:r>
          </w:p>
        </w:tc>
        <w:tc>
          <w:tcPr>
            <w:tcW w:w="1418" w:type="dxa"/>
            <w:vMerge w:val="restart"/>
            <w:shd w:val="clear" w:color="auto" w:fill="auto"/>
            <w:vAlign w:val="center"/>
            <w:hideMark/>
          </w:tcPr>
          <w:p w14:paraId="6F0B81B9"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[RAD 02-c]</w:t>
            </w:r>
          </w:p>
        </w:tc>
      </w:tr>
      <w:tr w:rsidR="000859AF" w:rsidRPr="00DA3124" w14:paraId="04D6FDF8" w14:textId="77777777" w:rsidTr="008A7500">
        <w:trPr>
          <w:trHeight w:val="1554"/>
        </w:trPr>
        <w:tc>
          <w:tcPr>
            <w:tcW w:w="1484" w:type="dxa"/>
            <w:vMerge/>
            <w:vAlign w:val="center"/>
            <w:hideMark/>
          </w:tcPr>
          <w:p w14:paraId="710AB2AB"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vMerge/>
            <w:vAlign w:val="center"/>
            <w:hideMark/>
          </w:tcPr>
          <w:p w14:paraId="42753E1C"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2044" w:type="dxa"/>
            <w:vMerge/>
            <w:vAlign w:val="center"/>
            <w:hideMark/>
          </w:tcPr>
          <w:p w14:paraId="26DC98E8"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085" w:type="dxa"/>
            <w:vMerge/>
            <w:vAlign w:val="center"/>
            <w:hideMark/>
          </w:tcPr>
          <w:p w14:paraId="77E2C2DC"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2149" w:type="dxa"/>
            <w:shd w:val="clear" w:color="auto" w:fill="auto"/>
            <w:vAlign w:val="center"/>
            <w:hideMark/>
          </w:tcPr>
          <w:p w14:paraId="515A762B"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заметного влияния на вызванное гистамином или ацетилхолином сокращение изолированных срезов подвздошной кишки</w:t>
            </w:r>
          </w:p>
        </w:tc>
        <w:tc>
          <w:tcPr>
            <w:tcW w:w="1418" w:type="dxa"/>
            <w:vMerge/>
            <w:vAlign w:val="center"/>
            <w:hideMark/>
          </w:tcPr>
          <w:p w14:paraId="16744064" w14:textId="77777777" w:rsidR="000859AF" w:rsidRPr="00DA3124" w:rsidRDefault="000859AF" w:rsidP="000859AF">
            <w:pPr>
              <w:spacing w:after="0" w:line="240" w:lineRule="auto"/>
              <w:jc w:val="left"/>
              <w:rPr>
                <w:rFonts w:eastAsia="Times New Roman"/>
                <w:color w:val="000000"/>
                <w:sz w:val="20"/>
                <w:szCs w:val="20"/>
                <w:lang w:eastAsia="ru-RU"/>
              </w:rPr>
            </w:pPr>
          </w:p>
        </w:tc>
      </w:tr>
      <w:tr w:rsidR="000859AF" w:rsidRPr="00DA3124" w14:paraId="632515C5" w14:textId="77777777" w:rsidTr="008A7500">
        <w:trPr>
          <w:trHeight w:val="530"/>
        </w:trPr>
        <w:tc>
          <w:tcPr>
            <w:tcW w:w="1484" w:type="dxa"/>
            <w:vMerge/>
            <w:vAlign w:val="center"/>
            <w:hideMark/>
          </w:tcPr>
          <w:p w14:paraId="46D9CB11"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shd w:val="clear" w:color="auto" w:fill="auto"/>
            <w:vAlign w:val="center"/>
            <w:hideMark/>
          </w:tcPr>
          <w:p w14:paraId="2C5018F4"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Крысы</w:t>
            </w:r>
          </w:p>
        </w:tc>
        <w:tc>
          <w:tcPr>
            <w:tcW w:w="2044" w:type="dxa"/>
            <w:shd w:val="clear" w:color="auto" w:fill="auto"/>
            <w:vAlign w:val="center"/>
            <w:hideMark/>
          </w:tcPr>
          <w:p w14:paraId="17DA10F3"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Перорально</w:t>
            </w:r>
          </w:p>
        </w:tc>
        <w:tc>
          <w:tcPr>
            <w:tcW w:w="1085" w:type="dxa"/>
            <w:shd w:val="clear" w:color="auto" w:fill="auto"/>
            <w:vAlign w:val="center"/>
            <w:hideMark/>
          </w:tcPr>
          <w:p w14:paraId="23C8F89F"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1,5, 5, 15 или 50</w:t>
            </w:r>
          </w:p>
        </w:tc>
        <w:tc>
          <w:tcPr>
            <w:tcW w:w="2149" w:type="dxa"/>
            <w:shd w:val="clear" w:color="auto" w:fill="auto"/>
            <w:vAlign w:val="center"/>
            <w:hideMark/>
          </w:tcPr>
          <w:p w14:paraId="6FF6A40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влияния на функцию почек</w:t>
            </w:r>
          </w:p>
        </w:tc>
        <w:tc>
          <w:tcPr>
            <w:tcW w:w="1418" w:type="dxa"/>
            <w:shd w:val="clear" w:color="auto" w:fill="auto"/>
            <w:vAlign w:val="center"/>
            <w:hideMark/>
          </w:tcPr>
          <w:p w14:paraId="63FFB08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[RAD 02-c]</w:t>
            </w:r>
          </w:p>
        </w:tc>
      </w:tr>
      <w:tr w:rsidR="000859AF" w:rsidRPr="00DA3124" w14:paraId="07AED5C8" w14:textId="77777777" w:rsidTr="008A7500">
        <w:trPr>
          <w:trHeight w:val="1310"/>
        </w:trPr>
        <w:tc>
          <w:tcPr>
            <w:tcW w:w="1484" w:type="dxa"/>
            <w:vMerge/>
            <w:vAlign w:val="center"/>
            <w:hideMark/>
          </w:tcPr>
          <w:p w14:paraId="20C10CC5"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shd w:val="clear" w:color="auto" w:fill="auto"/>
            <w:vAlign w:val="center"/>
            <w:hideMark/>
          </w:tcPr>
          <w:p w14:paraId="2913B21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Крысы Спраг-Доули</w:t>
            </w:r>
          </w:p>
        </w:tc>
        <w:tc>
          <w:tcPr>
            <w:tcW w:w="2044" w:type="dxa"/>
            <w:shd w:val="clear" w:color="auto" w:fill="auto"/>
            <w:vAlign w:val="center"/>
            <w:hideMark/>
          </w:tcPr>
          <w:p w14:paraId="73A4E67D"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Перорально</w:t>
            </w:r>
          </w:p>
        </w:tc>
        <w:tc>
          <w:tcPr>
            <w:tcW w:w="1085" w:type="dxa"/>
            <w:shd w:val="clear" w:color="auto" w:fill="auto"/>
            <w:vAlign w:val="center"/>
            <w:hideMark/>
          </w:tcPr>
          <w:p w14:paraId="182B2F17"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2, 20 или 50</w:t>
            </w:r>
          </w:p>
        </w:tc>
        <w:tc>
          <w:tcPr>
            <w:tcW w:w="2149" w:type="dxa"/>
            <w:shd w:val="clear" w:color="auto" w:fill="auto"/>
            <w:vAlign w:val="center"/>
            <w:hideMark/>
          </w:tcPr>
          <w:p w14:paraId="4BBA4B90"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заметного влияния на параметры нервной системы в тесте первичного наблюдения (POT)</w:t>
            </w:r>
          </w:p>
        </w:tc>
        <w:tc>
          <w:tcPr>
            <w:tcW w:w="1418" w:type="dxa"/>
            <w:shd w:val="clear" w:color="auto" w:fill="auto"/>
            <w:vAlign w:val="center"/>
            <w:hideMark/>
          </w:tcPr>
          <w:p w14:paraId="44F1B4B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[PKF-93- 02177]</w:t>
            </w:r>
          </w:p>
        </w:tc>
      </w:tr>
      <w:tr w:rsidR="000859AF" w:rsidRPr="00DA3124" w14:paraId="3C573B88" w14:textId="77777777" w:rsidTr="008A7500">
        <w:trPr>
          <w:trHeight w:val="566"/>
        </w:trPr>
        <w:tc>
          <w:tcPr>
            <w:tcW w:w="1484" w:type="dxa"/>
            <w:vMerge w:val="restart"/>
            <w:shd w:val="clear" w:color="auto" w:fill="auto"/>
            <w:vAlign w:val="center"/>
            <w:hideMark/>
          </w:tcPr>
          <w:p w14:paraId="594C1273" w14:textId="77777777" w:rsidR="000859AF" w:rsidRPr="00DA3124" w:rsidRDefault="000859AF" w:rsidP="000859AF">
            <w:pPr>
              <w:spacing w:after="0" w:line="240" w:lineRule="auto"/>
              <w:jc w:val="left"/>
              <w:rPr>
                <w:rFonts w:eastAsia="Times New Roman"/>
                <w:color w:val="000000"/>
                <w:sz w:val="20"/>
                <w:szCs w:val="20"/>
                <w:lang w:eastAsia="ru-RU"/>
              </w:rPr>
            </w:pPr>
            <w:r w:rsidRPr="00DA3124">
              <w:rPr>
                <w:rFonts w:eastAsia="Times New Roman"/>
                <w:color w:val="000000"/>
                <w:sz w:val="20"/>
                <w:szCs w:val="20"/>
                <w:lang w:eastAsia="ru-RU" w:bidi="en-US"/>
              </w:rPr>
              <w:t>Сердечно-сосудистая система</w:t>
            </w:r>
          </w:p>
        </w:tc>
        <w:tc>
          <w:tcPr>
            <w:tcW w:w="1176" w:type="dxa"/>
            <w:shd w:val="clear" w:color="auto" w:fill="auto"/>
            <w:vAlign w:val="center"/>
            <w:hideMark/>
          </w:tcPr>
          <w:p w14:paraId="566CB9D7" w14:textId="77777777" w:rsidR="000859AF" w:rsidRPr="0071249E" w:rsidRDefault="000859AF" w:rsidP="000859AF">
            <w:pPr>
              <w:spacing w:after="0" w:line="240" w:lineRule="auto"/>
              <w:jc w:val="center"/>
              <w:rPr>
                <w:rFonts w:eastAsia="Times New Roman"/>
                <w:i/>
                <w:color w:val="000000"/>
                <w:sz w:val="20"/>
                <w:szCs w:val="20"/>
                <w:lang w:eastAsia="ru-RU"/>
              </w:rPr>
            </w:pPr>
            <w:r w:rsidRPr="0071249E">
              <w:rPr>
                <w:rFonts w:eastAsia="Times New Roman"/>
                <w:i/>
                <w:color w:val="000000"/>
                <w:sz w:val="20"/>
                <w:szCs w:val="20"/>
                <w:lang w:eastAsia="ru-RU" w:bidi="en-US"/>
              </w:rPr>
              <w:t>In vitro</w:t>
            </w:r>
          </w:p>
        </w:tc>
        <w:tc>
          <w:tcPr>
            <w:tcW w:w="2044" w:type="dxa"/>
            <w:shd w:val="clear" w:color="auto" w:fill="auto"/>
            <w:vAlign w:val="center"/>
            <w:hideMark/>
          </w:tcPr>
          <w:p w14:paraId="242254CF"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Трансфицированные клетки HEK293, выделяющие ген hERG</w:t>
            </w:r>
          </w:p>
        </w:tc>
        <w:tc>
          <w:tcPr>
            <w:tcW w:w="1085" w:type="dxa"/>
            <w:shd w:val="clear" w:color="auto" w:fill="auto"/>
            <w:vAlign w:val="center"/>
            <w:hideMark/>
          </w:tcPr>
          <w:p w14:paraId="541C4BA9"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100 нг/мл</w:t>
            </w:r>
          </w:p>
        </w:tc>
        <w:tc>
          <w:tcPr>
            <w:tcW w:w="2149" w:type="dxa"/>
            <w:shd w:val="clear" w:color="auto" w:fill="auto"/>
            <w:vAlign w:val="center"/>
            <w:hideMark/>
          </w:tcPr>
          <w:p w14:paraId="5C8F70A7"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подавление канала hERG</w:t>
            </w:r>
          </w:p>
        </w:tc>
        <w:tc>
          <w:tcPr>
            <w:tcW w:w="1418" w:type="dxa"/>
            <w:shd w:val="clear" w:color="auto" w:fill="auto"/>
            <w:vAlign w:val="center"/>
            <w:hideMark/>
          </w:tcPr>
          <w:p w14:paraId="05E1A3D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[0120037_DI TU 1014]</w:t>
            </w:r>
            <w:r w:rsidRPr="00DA3124">
              <w:rPr>
                <w:rFonts w:eastAsia="Times New Roman"/>
                <w:color w:val="000000"/>
                <w:sz w:val="20"/>
                <w:szCs w:val="20"/>
                <w:vertAlign w:val="superscript"/>
                <w:lang w:eastAsia="ru-RU" w:bidi="en-US"/>
              </w:rPr>
              <w:t>b</w:t>
            </w:r>
          </w:p>
        </w:tc>
      </w:tr>
      <w:tr w:rsidR="000859AF" w:rsidRPr="00DA3124" w14:paraId="7BA5EE05" w14:textId="77777777" w:rsidTr="008A7500">
        <w:trPr>
          <w:trHeight w:val="1703"/>
        </w:trPr>
        <w:tc>
          <w:tcPr>
            <w:tcW w:w="1484" w:type="dxa"/>
            <w:vMerge/>
            <w:vAlign w:val="center"/>
            <w:hideMark/>
          </w:tcPr>
          <w:p w14:paraId="7993B4BB"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shd w:val="clear" w:color="auto" w:fill="auto"/>
            <w:vAlign w:val="center"/>
            <w:hideMark/>
          </w:tcPr>
          <w:p w14:paraId="32897274" w14:textId="77777777" w:rsidR="000859AF" w:rsidRPr="0071249E" w:rsidRDefault="000859AF" w:rsidP="000859AF">
            <w:pPr>
              <w:spacing w:after="0" w:line="240" w:lineRule="auto"/>
              <w:jc w:val="center"/>
              <w:rPr>
                <w:rFonts w:eastAsia="Times New Roman"/>
                <w:i/>
                <w:color w:val="000000"/>
                <w:sz w:val="20"/>
                <w:szCs w:val="20"/>
                <w:lang w:eastAsia="ru-RU"/>
              </w:rPr>
            </w:pPr>
            <w:r w:rsidRPr="0071249E">
              <w:rPr>
                <w:rFonts w:eastAsia="Times New Roman"/>
                <w:i/>
                <w:color w:val="000000"/>
                <w:sz w:val="20"/>
                <w:szCs w:val="20"/>
                <w:lang w:eastAsia="ru-RU" w:bidi="en-US"/>
              </w:rPr>
              <w:t>In vitro</w:t>
            </w:r>
          </w:p>
        </w:tc>
        <w:tc>
          <w:tcPr>
            <w:tcW w:w="2044" w:type="dxa"/>
            <w:shd w:val="clear" w:color="auto" w:fill="auto"/>
            <w:vAlign w:val="center"/>
            <w:hideMark/>
          </w:tcPr>
          <w:p w14:paraId="5DF8A40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Трансфицированные клетки HEK293, выделяющие ген hERG</w:t>
            </w:r>
          </w:p>
        </w:tc>
        <w:tc>
          <w:tcPr>
            <w:tcW w:w="1085" w:type="dxa"/>
            <w:shd w:val="clear" w:color="auto" w:fill="auto"/>
            <w:vAlign w:val="center"/>
            <w:hideMark/>
          </w:tcPr>
          <w:p w14:paraId="26B9A33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10 и 16 мкМ</w:t>
            </w:r>
          </w:p>
        </w:tc>
        <w:tc>
          <w:tcPr>
            <w:tcW w:w="2149" w:type="dxa"/>
            <w:shd w:val="clear" w:color="auto" w:fill="auto"/>
            <w:vAlign w:val="center"/>
            <w:hideMark/>
          </w:tcPr>
          <w:p w14:paraId="3AB76CCB"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 xml:space="preserve">При целевых концентрациях 10 и 16 мкМ ингибирование активности канала hERG на 2,6 % и 17,5 %, соответственно </w:t>
            </w:r>
          </w:p>
        </w:tc>
        <w:tc>
          <w:tcPr>
            <w:tcW w:w="1418" w:type="dxa"/>
            <w:shd w:val="clear" w:color="auto" w:fill="auto"/>
            <w:vAlign w:val="center"/>
            <w:hideMark/>
          </w:tcPr>
          <w:p w14:paraId="29D56C3B"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[0770800]</w:t>
            </w:r>
            <w:r w:rsidRPr="00DA3124">
              <w:rPr>
                <w:rFonts w:eastAsia="Times New Roman"/>
                <w:color w:val="000000"/>
                <w:sz w:val="20"/>
                <w:szCs w:val="20"/>
                <w:vertAlign w:val="superscript"/>
                <w:lang w:eastAsia="ru-RU" w:bidi="en-US"/>
              </w:rPr>
              <w:t>b</w:t>
            </w:r>
          </w:p>
        </w:tc>
      </w:tr>
      <w:tr w:rsidR="000859AF" w:rsidRPr="00DA3124" w14:paraId="7A61FF60" w14:textId="77777777" w:rsidTr="008A7500">
        <w:trPr>
          <w:trHeight w:val="144"/>
        </w:trPr>
        <w:tc>
          <w:tcPr>
            <w:tcW w:w="1484" w:type="dxa"/>
            <w:vMerge/>
            <w:vAlign w:val="center"/>
            <w:hideMark/>
          </w:tcPr>
          <w:p w14:paraId="27A926CF"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shd w:val="clear" w:color="auto" w:fill="auto"/>
            <w:vAlign w:val="center"/>
            <w:hideMark/>
          </w:tcPr>
          <w:p w14:paraId="1F42A9BE" w14:textId="77777777" w:rsidR="000859AF" w:rsidRPr="0071249E" w:rsidRDefault="000859AF" w:rsidP="000859AF">
            <w:pPr>
              <w:spacing w:after="0" w:line="240" w:lineRule="auto"/>
              <w:jc w:val="center"/>
              <w:rPr>
                <w:rFonts w:eastAsia="Times New Roman"/>
                <w:i/>
                <w:color w:val="000000"/>
                <w:sz w:val="20"/>
                <w:szCs w:val="20"/>
                <w:lang w:eastAsia="ru-RU"/>
              </w:rPr>
            </w:pPr>
            <w:r w:rsidRPr="0071249E">
              <w:rPr>
                <w:rFonts w:eastAsia="Times New Roman"/>
                <w:i/>
                <w:color w:val="000000"/>
                <w:sz w:val="20"/>
                <w:szCs w:val="20"/>
                <w:lang w:eastAsia="ru-RU" w:bidi="en-US"/>
              </w:rPr>
              <w:t>In vitro</w:t>
            </w:r>
          </w:p>
        </w:tc>
        <w:tc>
          <w:tcPr>
            <w:tcW w:w="2044" w:type="dxa"/>
            <w:shd w:val="clear" w:color="auto" w:fill="auto"/>
            <w:vAlign w:val="center"/>
            <w:hideMark/>
          </w:tcPr>
          <w:p w14:paraId="5B76AFF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Волокна Пуркинье овец</w:t>
            </w:r>
          </w:p>
        </w:tc>
        <w:tc>
          <w:tcPr>
            <w:tcW w:w="1085" w:type="dxa"/>
            <w:shd w:val="clear" w:color="auto" w:fill="auto"/>
            <w:vAlign w:val="center"/>
            <w:hideMark/>
          </w:tcPr>
          <w:p w14:paraId="734A9889" w14:textId="180DD3AC"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0</w:t>
            </w:r>
            <w:r w:rsidR="000D7CCE">
              <w:rPr>
                <w:rFonts w:eastAsia="Times New Roman"/>
                <w:color w:val="000000"/>
                <w:sz w:val="20"/>
                <w:szCs w:val="20"/>
                <w:lang w:eastAsia="ru-RU" w:bidi="en-US"/>
              </w:rPr>
              <w:t>,</w:t>
            </w:r>
            <w:r w:rsidRPr="00DA3124">
              <w:rPr>
                <w:rFonts w:eastAsia="Times New Roman"/>
                <w:color w:val="000000"/>
                <w:sz w:val="20"/>
                <w:szCs w:val="20"/>
                <w:lang w:eastAsia="ru-RU" w:bidi="en-US"/>
              </w:rPr>
              <w:t>1-10 мкг/мл в течение 0,5 ч</w:t>
            </w:r>
          </w:p>
        </w:tc>
        <w:tc>
          <w:tcPr>
            <w:tcW w:w="2149" w:type="dxa"/>
            <w:shd w:val="clear" w:color="auto" w:fill="auto"/>
            <w:vAlign w:val="center"/>
            <w:hideMark/>
          </w:tcPr>
          <w:p w14:paraId="0FCAA3E1"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потенциала увеличения интервала QT</w:t>
            </w:r>
          </w:p>
        </w:tc>
        <w:tc>
          <w:tcPr>
            <w:tcW w:w="1418" w:type="dxa"/>
            <w:shd w:val="clear" w:color="auto" w:fill="auto"/>
            <w:vAlign w:val="center"/>
            <w:hideMark/>
          </w:tcPr>
          <w:p w14:paraId="6BFD95A0"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[982042]</w:t>
            </w:r>
            <w:r w:rsidRPr="00DA3124">
              <w:rPr>
                <w:rFonts w:eastAsia="Times New Roman"/>
                <w:color w:val="000000"/>
                <w:sz w:val="20"/>
                <w:szCs w:val="20"/>
                <w:vertAlign w:val="superscript"/>
                <w:lang w:eastAsia="ru-RU" w:bidi="en-US"/>
              </w:rPr>
              <w:t>b</w:t>
            </w:r>
          </w:p>
        </w:tc>
      </w:tr>
      <w:tr w:rsidR="000859AF" w:rsidRPr="00DA3124" w14:paraId="32FAA5E3" w14:textId="77777777" w:rsidTr="008A7500">
        <w:trPr>
          <w:trHeight w:val="530"/>
        </w:trPr>
        <w:tc>
          <w:tcPr>
            <w:tcW w:w="1484" w:type="dxa"/>
            <w:vMerge/>
            <w:vAlign w:val="center"/>
            <w:hideMark/>
          </w:tcPr>
          <w:p w14:paraId="1C8F076E" w14:textId="77777777" w:rsidR="000859AF" w:rsidRPr="00DA3124" w:rsidRDefault="000859AF" w:rsidP="000859AF">
            <w:pPr>
              <w:spacing w:after="0" w:line="240" w:lineRule="auto"/>
              <w:jc w:val="left"/>
              <w:rPr>
                <w:rFonts w:eastAsia="Times New Roman"/>
                <w:color w:val="000000"/>
                <w:sz w:val="20"/>
                <w:szCs w:val="20"/>
                <w:lang w:eastAsia="ru-RU"/>
              </w:rPr>
            </w:pPr>
          </w:p>
        </w:tc>
        <w:tc>
          <w:tcPr>
            <w:tcW w:w="1176" w:type="dxa"/>
            <w:shd w:val="clear" w:color="auto" w:fill="auto"/>
            <w:vAlign w:val="center"/>
            <w:hideMark/>
          </w:tcPr>
          <w:p w14:paraId="361CBCAF"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Свинки под анестезией</w:t>
            </w:r>
          </w:p>
        </w:tc>
        <w:tc>
          <w:tcPr>
            <w:tcW w:w="2044" w:type="dxa"/>
            <w:shd w:val="clear" w:color="auto" w:fill="auto"/>
            <w:vAlign w:val="center"/>
            <w:hideMark/>
          </w:tcPr>
          <w:p w14:paraId="077F687C"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Внутривенно</w:t>
            </w:r>
          </w:p>
        </w:tc>
        <w:tc>
          <w:tcPr>
            <w:tcW w:w="1085" w:type="dxa"/>
            <w:shd w:val="clear" w:color="auto" w:fill="auto"/>
            <w:vAlign w:val="center"/>
            <w:hideMark/>
          </w:tcPr>
          <w:p w14:paraId="3DD80788"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0,01,0,1, 1 или 10</w:t>
            </w:r>
          </w:p>
        </w:tc>
        <w:tc>
          <w:tcPr>
            <w:tcW w:w="2149" w:type="dxa"/>
            <w:shd w:val="clear" w:color="auto" w:fill="auto"/>
            <w:vAlign w:val="center"/>
            <w:hideMark/>
          </w:tcPr>
          <w:p w14:paraId="23A5C5DF"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релевантных изменений на ЭКГ</w:t>
            </w:r>
          </w:p>
        </w:tc>
        <w:tc>
          <w:tcPr>
            <w:tcW w:w="1418" w:type="dxa"/>
            <w:shd w:val="clear" w:color="auto" w:fill="auto"/>
            <w:vAlign w:val="center"/>
            <w:hideMark/>
          </w:tcPr>
          <w:p w14:paraId="29A4D135"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[RD-2000</w:t>
            </w:r>
            <w:r w:rsidRPr="00DA3124">
              <w:rPr>
                <w:rFonts w:eastAsia="Times New Roman"/>
                <w:color w:val="000000"/>
                <w:sz w:val="20"/>
                <w:szCs w:val="20"/>
                <w:lang w:eastAsia="ru-RU" w:bidi="en-US"/>
              </w:rPr>
              <w:softHyphen/>
              <w:t>01460]</w:t>
            </w:r>
          </w:p>
        </w:tc>
      </w:tr>
      <w:tr w:rsidR="000859AF" w:rsidRPr="00DA3124" w14:paraId="0B6F8B10" w14:textId="77777777" w:rsidTr="008A7500">
        <w:trPr>
          <w:trHeight w:val="2110"/>
        </w:trPr>
        <w:tc>
          <w:tcPr>
            <w:tcW w:w="1484" w:type="dxa"/>
            <w:shd w:val="clear" w:color="auto" w:fill="auto"/>
            <w:vAlign w:val="center"/>
            <w:hideMark/>
          </w:tcPr>
          <w:p w14:paraId="54BAC1D1" w14:textId="77777777" w:rsidR="000859AF" w:rsidRPr="00DA3124" w:rsidRDefault="000859AF" w:rsidP="000859AF">
            <w:pPr>
              <w:spacing w:after="0" w:line="240" w:lineRule="auto"/>
              <w:jc w:val="left"/>
              <w:rPr>
                <w:rFonts w:eastAsia="Times New Roman"/>
                <w:color w:val="000000"/>
                <w:sz w:val="20"/>
                <w:szCs w:val="20"/>
                <w:lang w:eastAsia="ru-RU"/>
              </w:rPr>
            </w:pPr>
            <w:r w:rsidRPr="00DA3124">
              <w:rPr>
                <w:rFonts w:eastAsia="Times New Roman"/>
                <w:color w:val="000000"/>
                <w:sz w:val="20"/>
                <w:szCs w:val="20"/>
                <w:lang w:eastAsia="ru-RU" w:bidi="en-US"/>
              </w:rPr>
              <w:t>Функция легких</w:t>
            </w:r>
          </w:p>
        </w:tc>
        <w:tc>
          <w:tcPr>
            <w:tcW w:w="1176" w:type="dxa"/>
            <w:shd w:val="clear" w:color="auto" w:fill="auto"/>
            <w:vAlign w:val="center"/>
            <w:hideMark/>
          </w:tcPr>
          <w:p w14:paraId="1BAA4C4A"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rPr>
              <w:t>Морские свинки Данкин-Хартли под анестезией</w:t>
            </w:r>
          </w:p>
        </w:tc>
        <w:tc>
          <w:tcPr>
            <w:tcW w:w="2044" w:type="dxa"/>
            <w:shd w:val="clear" w:color="auto" w:fill="auto"/>
            <w:vAlign w:val="center"/>
            <w:hideMark/>
          </w:tcPr>
          <w:p w14:paraId="6F3D72CB"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Внутривенно</w:t>
            </w:r>
          </w:p>
        </w:tc>
        <w:tc>
          <w:tcPr>
            <w:tcW w:w="1085" w:type="dxa"/>
            <w:shd w:val="clear" w:color="auto" w:fill="auto"/>
            <w:vAlign w:val="center"/>
            <w:hideMark/>
          </w:tcPr>
          <w:p w14:paraId="2369D3A1"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0,3, 3,0 или 30</w:t>
            </w:r>
          </w:p>
        </w:tc>
        <w:tc>
          <w:tcPr>
            <w:tcW w:w="2149" w:type="dxa"/>
            <w:shd w:val="clear" w:color="auto" w:fill="auto"/>
            <w:vAlign w:val="center"/>
            <w:hideMark/>
          </w:tcPr>
          <w:p w14:paraId="2DE880F6"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Отсутствие влияния на базальное сопротивление дыхательных путей и динамическую податливость. Отсутствие биологически значимого острого воздействия на функцию легких</w:t>
            </w:r>
          </w:p>
        </w:tc>
        <w:tc>
          <w:tcPr>
            <w:tcW w:w="1418" w:type="dxa"/>
            <w:shd w:val="clear" w:color="auto" w:fill="auto"/>
            <w:vAlign w:val="center"/>
            <w:hideMark/>
          </w:tcPr>
          <w:p w14:paraId="4BA81D0E" w14:textId="77777777" w:rsidR="000859AF" w:rsidRPr="00DA3124" w:rsidRDefault="000859AF" w:rsidP="000859AF">
            <w:pPr>
              <w:spacing w:after="0" w:line="240" w:lineRule="auto"/>
              <w:jc w:val="center"/>
              <w:rPr>
                <w:rFonts w:eastAsia="Times New Roman"/>
                <w:color w:val="000000"/>
                <w:sz w:val="20"/>
                <w:szCs w:val="20"/>
                <w:lang w:eastAsia="ru-RU"/>
              </w:rPr>
            </w:pPr>
            <w:r w:rsidRPr="00DA3124">
              <w:rPr>
                <w:rFonts w:eastAsia="Times New Roman"/>
                <w:color w:val="000000"/>
                <w:sz w:val="20"/>
                <w:szCs w:val="20"/>
                <w:lang w:eastAsia="ru-RU" w:bidi="en-US"/>
              </w:rPr>
              <w:t>[RD-2000</w:t>
            </w:r>
            <w:r w:rsidRPr="00DA3124">
              <w:rPr>
                <w:rFonts w:eastAsia="Times New Roman"/>
                <w:color w:val="000000"/>
                <w:sz w:val="20"/>
                <w:szCs w:val="20"/>
                <w:lang w:eastAsia="ru-RU" w:bidi="en-US"/>
              </w:rPr>
              <w:softHyphen/>
              <w:t>01492]</w:t>
            </w:r>
          </w:p>
        </w:tc>
      </w:tr>
      <w:tr w:rsidR="000859AF" w:rsidRPr="00DA3124" w14:paraId="393D60DF" w14:textId="77777777" w:rsidTr="008A7500">
        <w:trPr>
          <w:trHeight w:val="435"/>
        </w:trPr>
        <w:tc>
          <w:tcPr>
            <w:tcW w:w="9356" w:type="dxa"/>
            <w:gridSpan w:val="6"/>
            <w:shd w:val="clear" w:color="auto" w:fill="auto"/>
            <w:hideMark/>
          </w:tcPr>
          <w:p w14:paraId="5136AAA5" w14:textId="781BBFB2" w:rsidR="000859AF" w:rsidRPr="00DA3124" w:rsidRDefault="000859AF" w:rsidP="008A7500">
            <w:pPr>
              <w:spacing w:after="0" w:line="240" w:lineRule="auto"/>
              <w:contextualSpacing/>
              <w:jc w:val="left"/>
              <w:rPr>
                <w:rFonts w:eastAsia="Times New Roman"/>
                <w:color w:val="000000"/>
                <w:sz w:val="20"/>
                <w:szCs w:val="20"/>
                <w:lang w:eastAsia="ru-RU"/>
              </w:rPr>
            </w:pPr>
            <w:r w:rsidRPr="00DA3124">
              <w:rPr>
                <w:rFonts w:eastAsia="Times New Roman"/>
                <w:b/>
                <w:bCs/>
                <w:color w:val="000000"/>
                <w:sz w:val="20"/>
                <w:szCs w:val="20"/>
                <w:lang w:eastAsia="ru-RU"/>
              </w:rPr>
              <w:t>Примечание:</w:t>
            </w:r>
            <w:r w:rsidRPr="00DA3124">
              <w:rPr>
                <w:rFonts w:eastAsia="Times New Roman"/>
                <w:color w:val="000000"/>
                <w:sz w:val="20"/>
                <w:szCs w:val="20"/>
                <w:lang w:eastAsia="ru-RU"/>
              </w:rPr>
              <w:br/>
              <w:t>a: однократная доза, если не указано иное</w:t>
            </w:r>
            <w:r w:rsidR="008A7500">
              <w:rPr>
                <w:rFonts w:eastAsia="Times New Roman"/>
                <w:color w:val="000000"/>
                <w:sz w:val="20"/>
                <w:szCs w:val="20"/>
                <w:lang w:eastAsia="ru-RU"/>
              </w:rPr>
              <w:t xml:space="preserve">; </w:t>
            </w:r>
            <w:r w:rsidRPr="00DA3124">
              <w:rPr>
                <w:rFonts w:eastAsia="Times New Roman"/>
                <w:color w:val="000000"/>
                <w:sz w:val="20"/>
                <w:szCs w:val="20"/>
                <w:lang w:eastAsia="ru-RU"/>
              </w:rPr>
              <w:t>b: исследование в соответствии с GLP</w:t>
            </w:r>
            <w:r w:rsidR="008A7500">
              <w:rPr>
                <w:rFonts w:eastAsia="Times New Roman"/>
                <w:color w:val="000000"/>
                <w:sz w:val="20"/>
                <w:szCs w:val="20"/>
                <w:lang w:eastAsia="ru-RU"/>
              </w:rPr>
              <w:t>.</w:t>
            </w:r>
          </w:p>
        </w:tc>
      </w:tr>
    </w:tbl>
    <w:p w14:paraId="02BA1831" w14:textId="77777777" w:rsidR="000859AF" w:rsidRPr="002639AE" w:rsidRDefault="000859AF" w:rsidP="000859AF">
      <w:pPr>
        <w:spacing w:after="0" w:line="240" w:lineRule="auto"/>
        <w:ind w:firstLine="709"/>
        <w:rPr>
          <w:color w:val="000000" w:themeColor="text1"/>
        </w:rPr>
      </w:pPr>
    </w:p>
    <w:p w14:paraId="383EC6B9" w14:textId="77777777" w:rsidR="000859AF" w:rsidRPr="00832710" w:rsidRDefault="000859AF" w:rsidP="000859AF">
      <w:pPr>
        <w:spacing w:after="0" w:line="240" w:lineRule="auto"/>
        <w:ind w:firstLine="709"/>
        <w:rPr>
          <w:i/>
          <w:color w:val="000000" w:themeColor="text1"/>
        </w:rPr>
      </w:pPr>
      <w:r w:rsidRPr="00832710">
        <w:rPr>
          <w:i/>
          <w:color w:val="000000" w:themeColor="text1"/>
        </w:rPr>
        <w:t>Неврологические эффекты:</w:t>
      </w:r>
    </w:p>
    <w:p w14:paraId="5B5A8684" w14:textId="77777777" w:rsidR="000859AF" w:rsidRDefault="000859AF" w:rsidP="000859AF">
      <w:pPr>
        <w:spacing w:after="0" w:line="240" w:lineRule="auto"/>
        <w:ind w:firstLine="709"/>
        <w:rPr>
          <w:color w:val="000000" w:themeColor="text1"/>
        </w:rPr>
      </w:pPr>
      <w:r w:rsidRPr="006107AA">
        <w:rPr>
          <w:color w:val="000000" w:themeColor="text1"/>
        </w:rPr>
        <w:t xml:space="preserve">Первичный наблюдательный тест Ирвина (влияние на двигательную активность, передвижение, поведенческую стимуляцию, поведенческую депрессию, мышечный тонус, неврологическую активность, вегетативную активность, диаметр зрачка, ректальную температуру и вялость) проводили у крыс </w:t>
      </w:r>
      <w:r>
        <w:rPr>
          <w:color w:val="000000" w:themeColor="text1"/>
        </w:rPr>
        <w:t>при применении</w:t>
      </w:r>
      <w:r w:rsidRPr="006107AA">
        <w:rPr>
          <w:color w:val="000000" w:themeColor="text1"/>
        </w:rPr>
        <w:t xml:space="preserve"> пероральны</w:t>
      </w:r>
      <w:r>
        <w:rPr>
          <w:color w:val="000000" w:themeColor="text1"/>
        </w:rPr>
        <w:t>х доз</w:t>
      </w:r>
      <w:r w:rsidRPr="006107AA">
        <w:rPr>
          <w:color w:val="000000" w:themeColor="text1"/>
        </w:rPr>
        <w:t xml:space="preserve"> 2, 20 и 50 мг/кг. Двигательная активность повышалась при всех дозах в течение 5 минут после введения. У крыс, получавших </w:t>
      </w:r>
      <w:r>
        <w:rPr>
          <w:color w:val="000000" w:themeColor="text1"/>
        </w:rPr>
        <w:t xml:space="preserve">эверолимус в дозе </w:t>
      </w:r>
      <w:r w:rsidRPr="006107AA">
        <w:rPr>
          <w:color w:val="000000" w:themeColor="text1"/>
        </w:rPr>
        <w:t xml:space="preserve">20 мг/г, наблюдалось усиление </w:t>
      </w:r>
      <w:r>
        <w:rPr>
          <w:color w:val="000000" w:themeColor="text1"/>
        </w:rPr>
        <w:t>реакции</w:t>
      </w:r>
      <w:r w:rsidRPr="006107AA">
        <w:rPr>
          <w:color w:val="000000" w:themeColor="text1"/>
        </w:rPr>
        <w:t xml:space="preserve"> </w:t>
      </w:r>
      <w:r>
        <w:rPr>
          <w:color w:val="000000" w:themeColor="text1"/>
        </w:rPr>
        <w:t>«бей или беги»</w:t>
      </w:r>
      <w:r w:rsidRPr="006107AA">
        <w:rPr>
          <w:color w:val="000000" w:themeColor="text1"/>
        </w:rPr>
        <w:t xml:space="preserve">. Диаметр зрачков увеличивался при дозе 50 мг/кг в течение как минимум 23 ч после введения дозы. Потребление пищи в группе 50 мг/кг также снизилось. RA, по-видимому, оказывает незначительное влияние на ЦНС в дозах 20 </w:t>
      </w:r>
      <w:r>
        <w:rPr>
          <w:color w:val="000000" w:themeColor="text1"/>
        </w:rPr>
        <w:t>≥</w:t>
      </w:r>
      <w:r w:rsidRPr="006107AA">
        <w:rPr>
          <w:color w:val="000000" w:themeColor="text1"/>
        </w:rPr>
        <w:t>мг/кг</w:t>
      </w:r>
      <w:r>
        <w:rPr>
          <w:color w:val="000000" w:themeColor="text1"/>
        </w:rPr>
        <w:t xml:space="preserve"> [</w:t>
      </w:r>
      <w:r w:rsidRPr="00C50F13">
        <w:rPr>
          <w:color w:val="000000" w:themeColor="text1"/>
        </w:rPr>
        <w:t>6</w:t>
      </w:r>
      <w:r w:rsidRPr="00832710">
        <w:rPr>
          <w:color w:val="000000" w:themeColor="text1"/>
        </w:rPr>
        <w:t>]</w:t>
      </w:r>
      <w:r w:rsidRPr="006107AA">
        <w:rPr>
          <w:color w:val="000000" w:themeColor="text1"/>
        </w:rPr>
        <w:t>.</w:t>
      </w:r>
    </w:p>
    <w:p w14:paraId="3AE76898" w14:textId="77777777" w:rsidR="000859AF" w:rsidRPr="00832710" w:rsidRDefault="000859AF" w:rsidP="000859AF">
      <w:pPr>
        <w:spacing w:after="0" w:line="240" w:lineRule="auto"/>
        <w:ind w:firstLine="709"/>
        <w:rPr>
          <w:i/>
          <w:color w:val="000000" w:themeColor="text1"/>
        </w:rPr>
      </w:pPr>
      <w:r w:rsidRPr="00832710">
        <w:rPr>
          <w:i/>
          <w:color w:val="000000" w:themeColor="text1"/>
        </w:rPr>
        <w:t>Сердечно-сосудистые эффекты:</w:t>
      </w:r>
    </w:p>
    <w:p w14:paraId="5AA4659C" w14:textId="77777777" w:rsidR="000859AF" w:rsidRDefault="000859AF" w:rsidP="000859AF">
      <w:pPr>
        <w:spacing w:after="0" w:line="240" w:lineRule="auto"/>
        <w:ind w:firstLine="709"/>
        <w:rPr>
          <w:color w:val="000000" w:themeColor="text1"/>
        </w:rPr>
      </w:pPr>
      <w:r w:rsidRPr="006107AA">
        <w:rPr>
          <w:color w:val="000000" w:themeColor="text1"/>
        </w:rPr>
        <w:t xml:space="preserve">В исследовании </w:t>
      </w:r>
      <w:r>
        <w:rPr>
          <w:color w:val="000000" w:themeColor="text1"/>
        </w:rPr>
        <w:t xml:space="preserve">при в/в введении эверолимуса </w:t>
      </w:r>
      <w:r w:rsidRPr="006107AA">
        <w:rPr>
          <w:color w:val="000000" w:themeColor="text1"/>
        </w:rPr>
        <w:t xml:space="preserve">на анестезированных свиньях </w:t>
      </w:r>
      <w:r>
        <w:rPr>
          <w:color w:val="000000" w:themeColor="text1"/>
        </w:rPr>
        <w:t>в дозах</w:t>
      </w:r>
      <w:r w:rsidRPr="006107AA">
        <w:rPr>
          <w:color w:val="000000" w:themeColor="text1"/>
        </w:rPr>
        <w:t xml:space="preserve"> 0,01, 0,1, 1,0 и 10 мг/кг использовали для определения влияния </w:t>
      </w:r>
      <w:r>
        <w:rPr>
          <w:color w:val="000000" w:themeColor="text1"/>
        </w:rPr>
        <w:t>эверолимуса</w:t>
      </w:r>
      <w:r w:rsidRPr="006107AA">
        <w:rPr>
          <w:color w:val="000000" w:themeColor="text1"/>
        </w:rPr>
        <w:t xml:space="preserve"> на артериальное давление, частоту сердечных сокращений, кровоток, частоту дыхания и электрокардиограмму. Никаких сердечно-сосудистых эффектов не наблюдалось при дозах </w:t>
      </w:r>
      <w:r>
        <w:rPr>
          <w:color w:val="000000" w:themeColor="text1"/>
        </w:rPr>
        <w:t>≥</w:t>
      </w:r>
      <w:r w:rsidRPr="006107AA">
        <w:rPr>
          <w:color w:val="000000" w:themeColor="text1"/>
        </w:rPr>
        <w:t>10 мг/кг внутривенно</w:t>
      </w:r>
      <w:r>
        <w:rPr>
          <w:color w:val="000000" w:themeColor="text1"/>
        </w:rPr>
        <w:t xml:space="preserve"> у</w:t>
      </w:r>
      <w:r w:rsidRPr="006107AA">
        <w:rPr>
          <w:color w:val="000000" w:themeColor="text1"/>
        </w:rPr>
        <w:t xml:space="preserve"> свиней. В анализе </w:t>
      </w:r>
      <w:r w:rsidRPr="004D37B6">
        <w:rPr>
          <w:i/>
          <w:color w:val="000000" w:themeColor="text1"/>
        </w:rPr>
        <w:t>in vitro</w:t>
      </w:r>
      <w:r w:rsidRPr="006107AA">
        <w:rPr>
          <w:color w:val="000000" w:themeColor="text1"/>
        </w:rPr>
        <w:t xml:space="preserve"> </w:t>
      </w:r>
      <w:r>
        <w:rPr>
          <w:color w:val="000000" w:themeColor="text1"/>
        </w:rPr>
        <w:t>эверолимус</w:t>
      </w:r>
      <w:r w:rsidRPr="006107AA">
        <w:rPr>
          <w:color w:val="000000" w:themeColor="text1"/>
        </w:rPr>
        <w:t xml:space="preserve"> не ингибировал токи </w:t>
      </w:r>
      <w:r>
        <w:rPr>
          <w:color w:val="000000" w:themeColor="text1"/>
          <w:lang w:val="en-US"/>
        </w:rPr>
        <w:t>h</w:t>
      </w:r>
      <w:r w:rsidRPr="006107AA">
        <w:rPr>
          <w:color w:val="000000" w:themeColor="text1"/>
        </w:rPr>
        <w:t>ERG</w:t>
      </w:r>
      <w:r>
        <w:rPr>
          <w:color w:val="000000" w:themeColor="text1"/>
        </w:rPr>
        <w:t xml:space="preserve"> [</w:t>
      </w:r>
      <w:r w:rsidRPr="00C50F13">
        <w:rPr>
          <w:color w:val="000000" w:themeColor="text1"/>
        </w:rPr>
        <w:t>6</w:t>
      </w:r>
      <w:r w:rsidRPr="00BF30FE">
        <w:rPr>
          <w:color w:val="000000" w:themeColor="text1"/>
        </w:rPr>
        <w:t>]</w:t>
      </w:r>
      <w:r w:rsidRPr="006107AA">
        <w:rPr>
          <w:color w:val="000000" w:themeColor="text1"/>
        </w:rPr>
        <w:t>.</w:t>
      </w:r>
    </w:p>
    <w:p w14:paraId="6FDAFC11" w14:textId="77777777" w:rsidR="000859AF" w:rsidRPr="000808DC" w:rsidRDefault="000859AF" w:rsidP="000859AF">
      <w:pPr>
        <w:spacing w:after="0" w:line="240" w:lineRule="auto"/>
        <w:ind w:firstLine="709"/>
        <w:rPr>
          <w:color w:val="000000" w:themeColor="text1"/>
        </w:rPr>
      </w:pPr>
      <w:r w:rsidRPr="000808DC">
        <w:rPr>
          <w:color w:val="000000" w:themeColor="text1"/>
        </w:rPr>
        <w:t xml:space="preserve">Эверолимус (0,1-10 мкг/мл) инкубировали с изолированными волокнами Пуркинье овцы, и никаких изменений длительности потенциала действия или других параметров, указывающих на влияние </w:t>
      </w:r>
      <w:r>
        <w:rPr>
          <w:color w:val="000000" w:themeColor="text1"/>
        </w:rPr>
        <w:t xml:space="preserve">препарата </w:t>
      </w:r>
      <w:r w:rsidRPr="000808DC">
        <w:rPr>
          <w:color w:val="000000" w:themeColor="text1"/>
        </w:rPr>
        <w:t>на параметры ЭКГ или потенциальное удлинение интервала QT, не наблюдалось</w:t>
      </w:r>
      <w:r>
        <w:rPr>
          <w:color w:val="000000" w:themeColor="text1"/>
        </w:rPr>
        <w:t xml:space="preserve"> [</w:t>
      </w:r>
      <w:r w:rsidRPr="00C50F13">
        <w:rPr>
          <w:color w:val="000000" w:themeColor="text1"/>
        </w:rPr>
        <w:t>6</w:t>
      </w:r>
      <w:r w:rsidRPr="00BF30FE">
        <w:rPr>
          <w:color w:val="000000" w:themeColor="text1"/>
        </w:rPr>
        <w:t>]</w:t>
      </w:r>
      <w:r w:rsidRPr="006107AA">
        <w:rPr>
          <w:color w:val="000000" w:themeColor="text1"/>
        </w:rPr>
        <w:t>.</w:t>
      </w:r>
    </w:p>
    <w:p w14:paraId="3F0515AE" w14:textId="77777777" w:rsidR="000859AF" w:rsidRPr="004D37B6" w:rsidRDefault="000859AF" w:rsidP="000859AF">
      <w:pPr>
        <w:spacing w:after="0" w:line="240" w:lineRule="auto"/>
        <w:ind w:firstLine="709"/>
        <w:rPr>
          <w:i/>
          <w:color w:val="000000" w:themeColor="text1"/>
        </w:rPr>
      </w:pPr>
      <w:r w:rsidRPr="004D37B6">
        <w:rPr>
          <w:i/>
          <w:color w:val="000000" w:themeColor="text1"/>
        </w:rPr>
        <w:t>Легочные эффекты:</w:t>
      </w:r>
    </w:p>
    <w:p w14:paraId="411D97A4" w14:textId="77777777" w:rsidR="000859AF" w:rsidRPr="000808DC" w:rsidRDefault="000859AF" w:rsidP="000859AF">
      <w:pPr>
        <w:spacing w:after="0" w:line="240" w:lineRule="auto"/>
        <w:ind w:firstLine="709"/>
        <w:contextualSpacing/>
        <w:rPr>
          <w:color w:val="000000" w:themeColor="text1"/>
        </w:rPr>
      </w:pPr>
      <w:r w:rsidRPr="000808DC">
        <w:rPr>
          <w:color w:val="000000" w:themeColor="text1"/>
        </w:rPr>
        <w:t xml:space="preserve">Легочные эффекты исследовали на модели морских свинок под наркозом и вентиляцией при дозах 0,3, 3 и 30 мг/кг внутривенно для определения </w:t>
      </w:r>
      <w:r w:rsidRPr="000808DC">
        <w:rPr>
          <w:color w:val="000000" w:themeColor="text1"/>
        </w:rPr>
        <w:lastRenderedPageBreak/>
        <w:t xml:space="preserve">влияния </w:t>
      </w:r>
      <w:r>
        <w:rPr>
          <w:color w:val="000000" w:themeColor="text1"/>
        </w:rPr>
        <w:t xml:space="preserve">эверолимуса </w:t>
      </w:r>
      <w:r w:rsidRPr="000808DC">
        <w:rPr>
          <w:color w:val="000000" w:themeColor="text1"/>
        </w:rPr>
        <w:t>на сопротивление дыхательных путей и динамическую податливость.</w:t>
      </w:r>
      <w:r>
        <w:rPr>
          <w:color w:val="000000" w:themeColor="text1"/>
        </w:rPr>
        <w:t xml:space="preserve"> При применении указанных доз</w:t>
      </w:r>
      <w:r w:rsidRPr="000808DC">
        <w:rPr>
          <w:color w:val="000000" w:themeColor="text1"/>
        </w:rPr>
        <w:t xml:space="preserve"> не было замечено никаких эффектов. Было отмечено снижение реактивности дыхательных путей </w:t>
      </w:r>
      <w:r>
        <w:rPr>
          <w:color w:val="000000" w:themeColor="text1"/>
        </w:rPr>
        <w:t>к гистаминам</w:t>
      </w:r>
      <w:r w:rsidRPr="000808DC">
        <w:rPr>
          <w:color w:val="000000" w:themeColor="text1"/>
        </w:rPr>
        <w:t xml:space="preserve"> при дозах 3 и 30 мг/кг, что указывает на некоторую антигистаминную активность</w:t>
      </w:r>
      <w:r>
        <w:rPr>
          <w:color w:val="000000" w:themeColor="text1"/>
        </w:rPr>
        <w:t xml:space="preserve"> [</w:t>
      </w:r>
      <w:r w:rsidRPr="00C50F13">
        <w:rPr>
          <w:color w:val="000000" w:themeColor="text1"/>
        </w:rPr>
        <w:t>6</w:t>
      </w:r>
      <w:r w:rsidRPr="00BF30FE">
        <w:rPr>
          <w:color w:val="000000" w:themeColor="text1"/>
        </w:rPr>
        <w:t>]</w:t>
      </w:r>
      <w:r w:rsidRPr="006107AA">
        <w:rPr>
          <w:color w:val="000000" w:themeColor="text1"/>
        </w:rPr>
        <w:t>.</w:t>
      </w:r>
    </w:p>
    <w:p w14:paraId="274F49D8" w14:textId="77777777" w:rsidR="000859AF" w:rsidRPr="004D37B6" w:rsidRDefault="000859AF" w:rsidP="000859AF">
      <w:pPr>
        <w:spacing w:after="0" w:line="240" w:lineRule="auto"/>
        <w:ind w:firstLine="709"/>
        <w:contextualSpacing/>
        <w:rPr>
          <w:i/>
          <w:color w:val="000000" w:themeColor="text1"/>
        </w:rPr>
      </w:pPr>
      <w:r w:rsidRPr="004D37B6">
        <w:rPr>
          <w:i/>
          <w:color w:val="000000" w:themeColor="text1"/>
        </w:rPr>
        <w:t>Почечные эффекты:</w:t>
      </w:r>
    </w:p>
    <w:p w14:paraId="27D0A016" w14:textId="77777777" w:rsidR="000859AF" w:rsidRPr="000808DC" w:rsidRDefault="000859AF" w:rsidP="000859AF">
      <w:pPr>
        <w:spacing w:after="0" w:line="240" w:lineRule="auto"/>
        <w:ind w:firstLine="709"/>
        <w:contextualSpacing/>
        <w:rPr>
          <w:color w:val="000000" w:themeColor="text1"/>
        </w:rPr>
      </w:pPr>
      <w:r w:rsidRPr="000808DC">
        <w:rPr>
          <w:color w:val="000000" w:themeColor="text1"/>
        </w:rPr>
        <w:t xml:space="preserve">У мышей, которым вводили физиологический раствор, при дозах </w:t>
      </w:r>
      <w:r>
        <w:rPr>
          <w:color w:val="000000" w:themeColor="text1"/>
        </w:rPr>
        <w:t>эверолимуса</w:t>
      </w:r>
      <w:r w:rsidRPr="006107AA">
        <w:rPr>
          <w:color w:val="000000" w:themeColor="text1"/>
        </w:rPr>
        <w:t xml:space="preserve"> </w:t>
      </w:r>
      <w:r w:rsidRPr="000808DC">
        <w:rPr>
          <w:color w:val="000000" w:themeColor="text1"/>
        </w:rPr>
        <w:t>15 и 50 мг/г перорально наблюдалось небольшое увеличение общей экскреции калия и хлорида с мочой</w:t>
      </w:r>
      <w:r>
        <w:rPr>
          <w:color w:val="000000" w:themeColor="text1"/>
        </w:rPr>
        <w:t xml:space="preserve"> [</w:t>
      </w:r>
      <w:r w:rsidRPr="00C50F13">
        <w:rPr>
          <w:color w:val="000000" w:themeColor="text1"/>
        </w:rPr>
        <w:t>6</w:t>
      </w:r>
      <w:r w:rsidRPr="00BF30FE">
        <w:rPr>
          <w:color w:val="000000" w:themeColor="text1"/>
        </w:rPr>
        <w:t>]</w:t>
      </w:r>
      <w:r w:rsidRPr="006107AA">
        <w:rPr>
          <w:color w:val="000000" w:themeColor="text1"/>
        </w:rPr>
        <w:t>.</w:t>
      </w:r>
    </w:p>
    <w:p w14:paraId="099A43D0" w14:textId="77777777" w:rsidR="000859AF" w:rsidRPr="004D37B6" w:rsidRDefault="000859AF" w:rsidP="000859AF">
      <w:pPr>
        <w:spacing w:after="0" w:line="240" w:lineRule="auto"/>
        <w:ind w:firstLine="709"/>
        <w:contextualSpacing/>
        <w:rPr>
          <w:i/>
          <w:color w:val="000000" w:themeColor="text1"/>
        </w:rPr>
      </w:pPr>
      <w:r w:rsidRPr="004D37B6">
        <w:rPr>
          <w:i/>
          <w:color w:val="000000" w:themeColor="text1"/>
        </w:rPr>
        <w:t>Желудочно-кишечные эффекты:</w:t>
      </w:r>
    </w:p>
    <w:p w14:paraId="7E28318A" w14:textId="77777777" w:rsidR="000859AF" w:rsidRDefault="000859AF" w:rsidP="000859AF">
      <w:pPr>
        <w:spacing w:line="240" w:lineRule="auto"/>
        <w:contextualSpacing/>
        <w:rPr>
          <w:color w:val="000000" w:themeColor="text1"/>
        </w:rPr>
      </w:pPr>
      <w:r w:rsidRPr="000808DC">
        <w:rPr>
          <w:color w:val="000000" w:themeColor="text1"/>
        </w:rPr>
        <w:t xml:space="preserve">Влияние </w:t>
      </w:r>
      <w:r>
        <w:rPr>
          <w:color w:val="000000" w:themeColor="text1"/>
        </w:rPr>
        <w:t>эверолимуса</w:t>
      </w:r>
      <w:r w:rsidRPr="006107AA">
        <w:rPr>
          <w:color w:val="000000" w:themeColor="text1"/>
        </w:rPr>
        <w:t xml:space="preserve"> </w:t>
      </w:r>
      <w:r w:rsidRPr="000808DC">
        <w:rPr>
          <w:color w:val="000000" w:themeColor="text1"/>
        </w:rPr>
        <w:t xml:space="preserve">на время кишечного транзита </w:t>
      </w:r>
      <w:r>
        <w:rPr>
          <w:color w:val="000000" w:themeColor="text1"/>
        </w:rPr>
        <w:t xml:space="preserve">активированного угля </w:t>
      </w:r>
      <w:r w:rsidRPr="000808DC">
        <w:rPr>
          <w:color w:val="000000" w:themeColor="text1"/>
        </w:rPr>
        <w:t xml:space="preserve">изучали на мышах в дозах </w:t>
      </w:r>
      <w:r>
        <w:rPr>
          <w:color w:val="000000" w:themeColor="text1"/>
        </w:rPr>
        <w:t xml:space="preserve">эверолимуса </w:t>
      </w:r>
      <w:r w:rsidRPr="000808DC">
        <w:rPr>
          <w:color w:val="000000" w:themeColor="text1"/>
        </w:rPr>
        <w:t>до 50 мг/кг перорально. Не наблюдалось влияния на время транзита через желудочно-кишечный тракт</w:t>
      </w:r>
      <w:r>
        <w:rPr>
          <w:color w:val="000000" w:themeColor="text1"/>
        </w:rPr>
        <w:t xml:space="preserve"> [</w:t>
      </w:r>
      <w:r w:rsidRPr="00C50F13">
        <w:rPr>
          <w:color w:val="000000" w:themeColor="text1"/>
        </w:rPr>
        <w:t>6</w:t>
      </w:r>
      <w:r w:rsidRPr="00BF30FE">
        <w:rPr>
          <w:color w:val="000000" w:themeColor="text1"/>
        </w:rPr>
        <w:t>]</w:t>
      </w:r>
      <w:r w:rsidRPr="006107AA">
        <w:rPr>
          <w:color w:val="000000" w:themeColor="text1"/>
        </w:rPr>
        <w:t>.</w:t>
      </w:r>
    </w:p>
    <w:p w14:paraId="67017710" w14:textId="77777777" w:rsidR="000859AF" w:rsidRDefault="000859AF" w:rsidP="000859AF">
      <w:pPr>
        <w:spacing w:line="240" w:lineRule="auto"/>
        <w:contextualSpacing/>
        <w:rPr>
          <w:color w:val="000000" w:themeColor="text1"/>
        </w:rPr>
      </w:pPr>
    </w:p>
    <w:p w14:paraId="65AD2D37" w14:textId="625FE744" w:rsidR="0006163F" w:rsidRDefault="000859AF" w:rsidP="008A7500">
      <w:pPr>
        <w:spacing w:before="240" w:after="240" w:line="240" w:lineRule="auto"/>
        <w:outlineLvl w:val="2"/>
        <w:rPr>
          <w:b/>
          <w:color w:val="000000" w:themeColor="text1"/>
        </w:rPr>
      </w:pPr>
      <w:bookmarkStart w:id="162" w:name="_Toc115217940"/>
      <w:bookmarkStart w:id="163" w:name="_Toc118124171"/>
      <w:bookmarkStart w:id="164" w:name="_Toc119313745"/>
      <w:r w:rsidRPr="00675800">
        <w:rPr>
          <w:b/>
          <w:color w:val="000000" w:themeColor="text1"/>
        </w:rPr>
        <w:t>3.1.5. Фармакодинамические лекарственные взаимодействия</w:t>
      </w:r>
      <w:bookmarkEnd w:id="162"/>
      <w:bookmarkEnd w:id="163"/>
      <w:bookmarkEnd w:id="164"/>
    </w:p>
    <w:p w14:paraId="7D19A5F3" w14:textId="7DF2C644" w:rsidR="000859AF" w:rsidRPr="00675800" w:rsidRDefault="000859AF" w:rsidP="008A7500">
      <w:pPr>
        <w:spacing w:after="0" w:line="240" w:lineRule="auto"/>
        <w:ind w:firstLine="709"/>
      </w:pPr>
      <w:r w:rsidRPr="00675800">
        <w:t>Изучалось влияние кетоконазола, итраконазоа и флуконазола на метаболизм эверолимуса</w:t>
      </w:r>
      <w:r w:rsidRPr="00675800">
        <w:rPr>
          <w:i/>
        </w:rPr>
        <w:t xml:space="preserve"> </w:t>
      </w:r>
      <w:r w:rsidRPr="00675800">
        <w:rPr>
          <w:i/>
          <w:lang w:val="en-US"/>
        </w:rPr>
        <w:t>in</w:t>
      </w:r>
      <w:r w:rsidRPr="00675800">
        <w:rPr>
          <w:i/>
        </w:rPr>
        <w:t xml:space="preserve"> </w:t>
      </w:r>
      <w:r w:rsidRPr="00675800">
        <w:rPr>
          <w:i/>
          <w:lang w:val="en-US"/>
        </w:rPr>
        <w:t>vitro</w:t>
      </w:r>
      <w:r w:rsidRPr="00675800">
        <w:t>. Кетоконазол и итраконазол, ингибиторы CYP3A4, ингибировали биотрансформацию эверолимуса с IC</w:t>
      </w:r>
      <w:r w:rsidRPr="00675800">
        <w:rPr>
          <w:vertAlign w:val="subscript"/>
        </w:rPr>
        <w:t>50</w:t>
      </w:r>
      <w:r w:rsidRPr="00675800">
        <w:t xml:space="preserve"> 0,35±0,04 мкмоль/л и 0,18 ± 0,11 мкмоль/л соответственно. Флуконазол в дозе до 2 мкмоль/л не ингибировал биотрансформацию эверолимуса, что является ожидаемым результатом, поскольку флуконазол является слабым ингибитором CYP3A4. Таким образом, ингибиторы CYP3A4 (кетоконазол, итраконазол) ингибируют биотрансформацию эверолимуса </w:t>
      </w:r>
      <w:r w:rsidRPr="00675800">
        <w:rPr>
          <w:color w:val="000000" w:themeColor="text1"/>
        </w:rPr>
        <w:t>[6].</w:t>
      </w:r>
    </w:p>
    <w:p w14:paraId="5C0045E6" w14:textId="77777777" w:rsidR="000859AF" w:rsidRPr="00675800" w:rsidRDefault="000859AF" w:rsidP="000859AF">
      <w:pPr>
        <w:pStyle w:val="2"/>
        <w:tabs>
          <w:tab w:val="left" w:pos="284"/>
          <w:tab w:val="left" w:pos="567"/>
        </w:tabs>
        <w:spacing w:line="240" w:lineRule="auto"/>
        <w:rPr>
          <w:color w:val="000000" w:themeColor="text1"/>
        </w:rPr>
      </w:pPr>
      <w:bookmarkStart w:id="165" w:name="_Toc115217941"/>
      <w:bookmarkStart w:id="166" w:name="_Toc118124172"/>
      <w:bookmarkStart w:id="167" w:name="_Toc119313746"/>
      <w:r w:rsidRPr="00675800">
        <w:rPr>
          <w:color w:val="000000" w:themeColor="text1"/>
        </w:rPr>
        <w:t>3.2. Доклиническая фармакокинетика</w:t>
      </w:r>
      <w:bookmarkEnd w:id="165"/>
      <w:bookmarkEnd w:id="166"/>
      <w:bookmarkEnd w:id="167"/>
    </w:p>
    <w:p w14:paraId="6E36EECE" w14:textId="2CBFC91B" w:rsidR="000859AF" w:rsidRPr="008A7500" w:rsidRDefault="000859AF" w:rsidP="008A7500">
      <w:pPr>
        <w:spacing w:after="0" w:line="240" w:lineRule="auto"/>
        <w:ind w:firstLine="709"/>
        <w:rPr>
          <w:i/>
          <w:iCs/>
          <w:lang w:bidi="en-US"/>
        </w:rPr>
      </w:pPr>
      <w:r w:rsidRPr="00675800">
        <w:rPr>
          <w:lang w:bidi="en-US"/>
        </w:rPr>
        <w:t xml:space="preserve">Исследования всасывания, распределения, метаболизма и выведения (ВРМВ) и токсикокинетики проводили с эверолимусом, меченным и немеченным радиоактивными изотопами 3H и 14C, у мышей, крыс и обезьян после перорального и внутривенного введения. Распределение 3Н-радиоактивно меченного эверолимуса в крови/плазме и связывание с белками плазмы у мышей, крыс, макаков и человека изучали </w:t>
      </w:r>
      <w:r w:rsidRPr="00675800">
        <w:rPr>
          <w:i/>
          <w:iCs/>
          <w:lang w:bidi="en-US"/>
        </w:rPr>
        <w:t>in vitro.</w:t>
      </w:r>
      <w:r w:rsidRPr="00675800">
        <w:rPr>
          <w:lang w:bidi="en-US"/>
        </w:rPr>
        <w:t xml:space="preserve"> Способность проникать через гематоэнцефалический барьер была изучена </w:t>
      </w:r>
      <w:r w:rsidRPr="00675800">
        <w:rPr>
          <w:i/>
          <w:iCs/>
          <w:lang w:bidi="en-US"/>
        </w:rPr>
        <w:t>in vivo</w:t>
      </w:r>
      <w:r w:rsidRPr="00675800">
        <w:rPr>
          <w:lang w:bidi="en-US"/>
        </w:rPr>
        <w:t xml:space="preserve"> на крысах. Метаболизм эверолимуса исследовали</w:t>
      </w:r>
      <w:r w:rsidRPr="00675800">
        <w:rPr>
          <w:i/>
          <w:iCs/>
          <w:lang w:bidi="en-US"/>
        </w:rPr>
        <w:t xml:space="preserve"> in vivo</w:t>
      </w:r>
      <w:r w:rsidRPr="00675800">
        <w:rPr>
          <w:lang w:bidi="en-US"/>
        </w:rPr>
        <w:t xml:space="preserve"> у мышей, крыс и макаков, а также </w:t>
      </w:r>
      <w:r w:rsidRPr="00675800">
        <w:rPr>
          <w:i/>
          <w:iCs/>
          <w:lang w:bidi="en-US"/>
        </w:rPr>
        <w:t>in vitro</w:t>
      </w:r>
      <w:r w:rsidRPr="00675800">
        <w:rPr>
          <w:lang w:bidi="en-US"/>
        </w:rPr>
        <w:t xml:space="preserve"> с использованием микросомальных фракций печени животных и человека и срезов печени. Всасывание и кишечный метаболизм эверолимуса изучали </w:t>
      </w:r>
      <w:r w:rsidRPr="00675800">
        <w:rPr>
          <w:i/>
          <w:iCs/>
          <w:lang w:bidi="en-US"/>
        </w:rPr>
        <w:t>in vitro</w:t>
      </w:r>
      <w:r w:rsidRPr="00675800">
        <w:rPr>
          <w:lang w:bidi="en-US"/>
        </w:rPr>
        <w:t xml:space="preserve"> и</w:t>
      </w:r>
      <w:r w:rsidRPr="00675800">
        <w:rPr>
          <w:i/>
          <w:iCs/>
          <w:lang w:bidi="en-US"/>
        </w:rPr>
        <w:t xml:space="preserve"> in vivo </w:t>
      </w:r>
      <w:r w:rsidRPr="00675800">
        <w:rPr>
          <w:iCs/>
          <w:lang w:bidi="en-US"/>
        </w:rPr>
        <w:t>[5].</w:t>
      </w:r>
    </w:p>
    <w:p w14:paraId="4C744C7F" w14:textId="77777777" w:rsidR="000859AF" w:rsidRPr="00675800" w:rsidRDefault="000859AF" w:rsidP="008A7500">
      <w:pPr>
        <w:spacing w:before="240" w:after="240" w:line="240" w:lineRule="auto"/>
        <w:outlineLvl w:val="2"/>
        <w:rPr>
          <w:b/>
          <w:color w:val="000000" w:themeColor="text1"/>
        </w:rPr>
      </w:pPr>
      <w:bookmarkStart w:id="168" w:name="_Toc484199228"/>
      <w:bookmarkStart w:id="169" w:name="_Toc10578060"/>
      <w:bookmarkStart w:id="170" w:name="_Toc115217942"/>
      <w:bookmarkStart w:id="171" w:name="_Toc118124173"/>
      <w:bookmarkStart w:id="172" w:name="_Toc119313747"/>
      <w:bookmarkStart w:id="173" w:name="_Hlk521883862"/>
      <w:bookmarkStart w:id="174" w:name="_Toc483835323"/>
      <w:bookmarkStart w:id="175" w:name="_Toc484591394"/>
      <w:bookmarkStart w:id="176" w:name="_Toc415001099"/>
      <w:bookmarkStart w:id="177" w:name="_Toc298775544"/>
      <w:r w:rsidRPr="00675800">
        <w:rPr>
          <w:b/>
          <w:color w:val="000000" w:themeColor="text1"/>
        </w:rPr>
        <w:t xml:space="preserve">3.2.1. </w:t>
      </w:r>
      <w:bookmarkEnd w:id="168"/>
      <w:bookmarkEnd w:id="169"/>
      <w:r w:rsidRPr="00675800">
        <w:rPr>
          <w:b/>
          <w:bCs/>
          <w:iCs/>
          <w:color w:val="000000" w:themeColor="text1"/>
          <w:szCs w:val="28"/>
        </w:rPr>
        <w:t>Всасывание</w:t>
      </w:r>
      <w:bookmarkEnd w:id="170"/>
      <w:bookmarkEnd w:id="171"/>
      <w:bookmarkEnd w:id="172"/>
    </w:p>
    <w:p w14:paraId="24A78120" w14:textId="77777777" w:rsidR="000859AF" w:rsidRPr="00675800" w:rsidRDefault="000859AF" w:rsidP="008A7500">
      <w:pPr>
        <w:spacing w:after="0" w:line="240" w:lineRule="auto"/>
        <w:ind w:firstLine="709"/>
        <w:rPr>
          <w:color w:val="000000" w:themeColor="text1"/>
          <w:shd w:val="clear" w:color="auto" w:fill="FFFFFF"/>
        </w:rPr>
      </w:pPr>
      <w:bookmarkStart w:id="178" w:name="_Hlk113015483"/>
      <w:bookmarkStart w:id="179" w:name="_Toc484199229"/>
      <w:bookmarkStart w:id="180" w:name="_Toc10578061"/>
      <w:r w:rsidRPr="00675800">
        <w:rPr>
          <w:color w:val="000000" w:themeColor="text1"/>
          <w:shd w:val="clear" w:color="auto" w:fill="FFFFFF"/>
        </w:rPr>
        <w:t>Абсорбция при пероральном введении эверолимуса была низкой у мышей (12%), обезьян (18%) и средней у крыс (~ 40%). Биодоступность неметаболизированного препарата составила 14-26% у крыс и 6% у обезьян</w:t>
      </w:r>
      <w:bookmarkEnd w:id="178"/>
      <w:r w:rsidRPr="00675800">
        <w:rPr>
          <w:color w:val="000000" w:themeColor="text1"/>
          <w:shd w:val="clear" w:color="auto" w:fill="FFFFFF"/>
        </w:rPr>
        <w:t xml:space="preserve">, что указывает на значительный метаболизм при первом прохождении. Эверолимус является субстратом для P-гликопротеиновых систем (MDR1). </w:t>
      </w:r>
    </w:p>
    <w:p w14:paraId="49116C0F" w14:textId="77777777" w:rsidR="000859AF" w:rsidRPr="000859AF" w:rsidRDefault="000859AF" w:rsidP="008A7500">
      <w:pPr>
        <w:spacing w:after="0" w:line="240" w:lineRule="auto"/>
        <w:ind w:firstLine="709"/>
        <w:rPr>
          <w:color w:val="000000" w:themeColor="text1"/>
          <w:shd w:val="clear" w:color="auto" w:fill="FFFFFF"/>
        </w:rPr>
      </w:pPr>
      <w:r w:rsidRPr="00675800">
        <w:rPr>
          <w:color w:val="000000" w:themeColor="text1"/>
          <w:shd w:val="clear" w:color="auto" w:fill="FFFFFF"/>
        </w:rPr>
        <w:lastRenderedPageBreak/>
        <w:t>Многократное пероральное приеменение [</w:t>
      </w:r>
      <w:r w:rsidRPr="00675800">
        <w:rPr>
          <w:color w:val="000000" w:themeColor="text1"/>
          <w:shd w:val="clear" w:color="auto" w:fill="FFFFFF"/>
          <w:vertAlign w:val="superscript"/>
        </w:rPr>
        <w:t>3</w:t>
      </w:r>
      <w:r w:rsidRPr="00675800">
        <w:rPr>
          <w:color w:val="000000" w:themeColor="text1"/>
          <w:shd w:val="clear" w:color="auto" w:fill="FFFFFF"/>
        </w:rPr>
        <w:t xml:space="preserve">H] эверолимуса в течение 21 дня (0,5 мг/кг/день) крысам увеличивало 24-часовой уровень радиоактивности в крови в 4,4 раза по сравнению с 1-м днем [1,5]. </w:t>
      </w:r>
    </w:p>
    <w:p w14:paraId="3C6B6792" w14:textId="77777777" w:rsidR="000859AF" w:rsidRPr="000859AF" w:rsidRDefault="000859AF" w:rsidP="000859AF">
      <w:pPr>
        <w:spacing w:line="240" w:lineRule="auto"/>
        <w:ind w:firstLine="709"/>
        <w:contextualSpacing/>
        <w:rPr>
          <w:color w:val="000000" w:themeColor="text1"/>
        </w:rPr>
      </w:pPr>
    </w:p>
    <w:p w14:paraId="24BC3AC5" w14:textId="6EB6F57C" w:rsidR="0006163F" w:rsidRPr="008A7500" w:rsidRDefault="000859AF" w:rsidP="008A7500">
      <w:pPr>
        <w:spacing w:before="240" w:after="240" w:line="240" w:lineRule="auto"/>
        <w:outlineLvl w:val="2"/>
        <w:rPr>
          <w:b/>
          <w:color w:val="000000" w:themeColor="text1"/>
        </w:rPr>
      </w:pPr>
      <w:bookmarkStart w:id="181" w:name="_Toc115217943"/>
      <w:bookmarkStart w:id="182" w:name="_Toc118124174"/>
      <w:bookmarkStart w:id="183" w:name="_Toc119313748"/>
      <w:r w:rsidRPr="00675800">
        <w:rPr>
          <w:b/>
          <w:color w:val="000000" w:themeColor="text1"/>
        </w:rPr>
        <w:t xml:space="preserve">3.2.2. </w:t>
      </w:r>
      <w:bookmarkEnd w:id="179"/>
      <w:bookmarkEnd w:id="180"/>
      <w:r w:rsidRPr="008A7500">
        <w:rPr>
          <w:b/>
          <w:color w:val="000000" w:themeColor="text1"/>
        </w:rPr>
        <w:t>Распределение</w:t>
      </w:r>
      <w:bookmarkStart w:id="184" w:name="_Toc115217944"/>
      <w:bookmarkEnd w:id="181"/>
      <w:bookmarkEnd w:id="182"/>
      <w:bookmarkEnd w:id="183"/>
    </w:p>
    <w:p w14:paraId="47A22798" w14:textId="1D641D14" w:rsidR="000859AF" w:rsidRPr="00675800" w:rsidRDefault="000859AF" w:rsidP="008A7500">
      <w:pPr>
        <w:spacing w:after="0" w:line="240" w:lineRule="auto"/>
        <w:ind w:firstLine="851"/>
        <w:rPr>
          <w:lang w:bidi="en-US"/>
        </w:rPr>
      </w:pPr>
      <w:r w:rsidRPr="00675800">
        <w:rPr>
          <w:lang w:bidi="en-US"/>
        </w:rPr>
        <w:t xml:space="preserve">В плазме крови свободная фракция эверолимуса не зависела от концентрации и составляла в среднем 7,6 % у крыс, 16 % у макак и 25 % у человека, но только 0,1 % у мышей. Распределение </w:t>
      </w:r>
      <w:r w:rsidRPr="00675800">
        <w:rPr>
          <w:vertAlign w:val="superscript"/>
          <w:lang w:bidi="en-US"/>
        </w:rPr>
        <w:t>3</w:t>
      </w:r>
      <w:r w:rsidRPr="00675800">
        <w:rPr>
          <w:lang w:bidi="en-US"/>
        </w:rPr>
        <w:t xml:space="preserve">H-эверолимуса между клетками крови и плазмой крови </w:t>
      </w:r>
      <w:r w:rsidRPr="00675800">
        <w:rPr>
          <w:i/>
          <w:iCs/>
          <w:lang w:bidi="en-US"/>
        </w:rPr>
        <w:t>in vitro</w:t>
      </w:r>
      <w:r w:rsidRPr="00675800">
        <w:rPr>
          <w:lang w:bidi="en-US"/>
        </w:rPr>
        <w:t xml:space="preserve"> зависело от концентрации в диапазоне от 5 до 5000 нг/мл у крыс (от 24 до 90 %), макак (от 21 до 82 %) и человека (от 17 до 73 %). Напротив, у мышей распределение в крови/плазме не зависело от концентрации, и ≥ 93 % </w:t>
      </w:r>
      <w:r w:rsidRPr="00675800">
        <w:rPr>
          <w:vertAlign w:val="superscript"/>
          <w:lang w:bidi="en-US"/>
        </w:rPr>
        <w:t>3</w:t>
      </w:r>
      <w:r w:rsidRPr="00675800">
        <w:rPr>
          <w:lang w:bidi="en-US"/>
        </w:rPr>
        <w:t>H-эверолимуса обнаруживалось в плазме крови. Эверолимус в высокой степени связывался с белками плазмы крови у мышей (99,9 %) и крыс (92 %) и умеренно связывался у макак (84 %) и человека (75 %). Объем распределения в равновесном состоянии (Vss), основанный на концентрациях в крови, был высоким у крыс (44-52 л/кг), умеренным у обезьян (4,3 л/кг) и очень низким у мышей (0,42 л/кг). Многократное пероральное введение 0,5 мг/кг/сут в течение 21 дня приводило к увеличению минимальных уровней радиоактивности через 24 часа в 4,4 раза и до 3 раз в крови и тканях крыс, соответственно. Эверолимус показал дозозависимое распределение в крови. В терапевтических концентрациях большая часть препарата связывалась с клетками крови. Связывание с белками составляло 75-92 % у крыс, макак и людей и 99,9 % у мышей [5].</w:t>
      </w:r>
    </w:p>
    <w:p w14:paraId="32D5DC05" w14:textId="77777777" w:rsidR="000859AF" w:rsidRPr="00675800" w:rsidRDefault="000859AF" w:rsidP="008A7500">
      <w:pPr>
        <w:keepNext/>
        <w:keepLines/>
        <w:spacing w:after="0" w:line="240" w:lineRule="auto"/>
        <w:ind w:firstLine="851"/>
        <w:rPr>
          <w:lang w:bidi="en-US"/>
        </w:rPr>
      </w:pPr>
      <w:r w:rsidRPr="00675800">
        <w:rPr>
          <w:lang w:bidi="en-US"/>
        </w:rPr>
        <w:t>У крыс распределение радиоактивности в тканях было по сути внесосудистым, причем самые высокие уровни отмечались в сердце, легких, печени, почках, селезенке, щитовидной железе и надпочечниках. Неизмененный эверолимус был основным компонентом радиоактивности тканей во всех временных точках отбора проб после перорального и внутривенного введения [9].</w:t>
      </w:r>
    </w:p>
    <w:p w14:paraId="51667193" w14:textId="77777777" w:rsidR="000859AF" w:rsidRPr="00675800" w:rsidRDefault="000859AF" w:rsidP="008A7500">
      <w:pPr>
        <w:spacing w:after="0" w:line="240" w:lineRule="auto"/>
        <w:ind w:firstLine="851"/>
        <w:rPr>
          <w:lang w:bidi="en-US"/>
        </w:rPr>
      </w:pPr>
      <w:r w:rsidRPr="00675800">
        <w:rPr>
          <w:lang w:bidi="en-US"/>
        </w:rPr>
        <w:t xml:space="preserve">После однократного и многократного перорального введения в течение 21 дня (0,5 мг/кг/сут) структура метаболитов в таких тканях, как печень и почки, была сопоставима с таковой в крови. Уровни радиоактивности в тканях в целом были выше, чем те, которые были измерены в соответствующий момент времени в крови. В частности, эверолимус и/или его метаболиты не проявляли особого сродства к меланинсодержащей ткани пигментированных крыс. У крыс было обнаружено, что проникновение эверолимуса и/или его метаболитов через гематоэнцефалический барьер зависит от дозы. При внутривенном введении в дозах от 0,1 до 1 мг/кг соотношение концентрации в мозге и крови составляло от 0,3 до 3 при внутривенной дозе 30 мг/кг. Концентрации </w:t>
      </w:r>
      <w:r w:rsidRPr="00675800">
        <w:rPr>
          <w:vertAlign w:val="superscript"/>
          <w:lang w:bidi="en-US"/>
        </w:rPr>
        <w:t>3</w:t>
      </w:r>
      <w:r w:rsidRPr="00675800">
        <w:rPr>
          <w:lang w:bidi="en-US"/>
        </w:rPr>
        <w:t xml:space="preserve">H-эверолимуса в крови и головном мозге показали быстрое всасывание в головном мозге с последующим медленным выведением (t½ = 10 дней). Через 168 ч после введения препарата в головном мозге все еще сохранялись высокие уровни, в то время как на периферии значительные уровни в крови отсутствовали. Напротив, радиоактивные метаболиты </w:t>
      </w:r>
      <w:r w:rsidRPr="00675800">
        <w:rPr>
          <w:vertAlign w:val="superscript"/>
          <w:lang w:bidi="en-US"/>
        </w:rPr>
        <w:t>3</w:t>
      </w:r>
      <w:r w:rsidRPr="00675800">
        <w:rPr>
          <w:lang w:bidi="en-US"/>
        </w:rPr>
        <w:t>Н-эверолимуса незначительно проникали через гематоэнцефалический барьер у крыс, тогда как в головном мозге не наблюдалось значимого метаболизма.</w:t>
      </w:r>
    </w:p>
    <w:p w14:paraId="7EA1AB14" w14:textId="5C9237EA" w:rsidR="000859AF" w:rsidRPr="00675800" w:rsidRDefault="000859AF" w:rsidP="008A7500">
      <w:pPr>
        <w:spacing w:after="0" w:line="240" w:lineRule="auto"/>
        <w:ind w:firstLine="851"/>
        <w:rPr>
          <w:lang w:bidi="en-US"/>
        </w:rPr>
      </w:pPr>
      <w:r w:rsidRPr="00675800">
        <w:rPr>
          <w:lang w:bidi="en-US"/>
        </w:rPr>
        <w:lastRenderedPageBreak/>
        <w:t xml:space="preserve">Радиоактивность, связанная с </w:t>
      </w:r>
      <w:r w:rsidRPr="00675800">
        <w:rPr>
          <w:vertAlign w:val="superscript"/>
          <w:lang w:bidi="en-US"/>
        </w:rPr>
        <w:t>3</w:t>
      </w:r>
      <w:r w:rsidRPr="00675800">
        <w:rPr>
          <w:lang w:bidi="en-US"/>
        </w:rPr>
        <w:t>H-эверолимусом, в ограниченной степени проникала через плаценту беременных крыс и легко переносилась в молоко лактирующих крыс [5].</w:t>
      </w:r>
    </w:p>
    <w:p w14:paraId="1B2D218B" w14:textId="77777777" w:rsidR="000859AF" w:rsidRPr="008A7500" w:rsidRDefault="000859AF" w:rsidP="008A7500">
      <w:pPr>
        <w:spacing w:before="240" w:after="240" w:line="240" w:lineRule="auto"/>
        <w:outlineLvl w:val="2"/>
        <w:rPr>
          <w:b/>
          <w:color w:val="000000" w:themeColor="text1"/>
        </w:rPr>
      </w:pPr>
      <w:bookmarkStart w:id="185" w:name="_Toc118124175"/>
      <w:bookmarkStart w:id="186" w:name="_Toc119313749"/>
      <w:r w:rsidRPr="00675800">
        <w:rPr>
          <w:b/>
          <w:color w:val="000000" w:themeColor="text1"/>
        </w:rPr>
        <w:t xml:space="preserve">3.2.3. </w:t>
      </w:r>
      <w:r w:rsidRPr="008A7500">
        <w:rPr>
          <w:b/>
          <w:color w:val="000000" w:themeColor="text1"/>
        </w:rPr>
        <w:t>Связывание с белками плазмы</w:t>
      </w:r>
      <w:bookmarkEnd w:id="184"/>
      <w:bookmarkEnd w:id="185"/>
      <w:bookmarkEnd w:id="186"/>
    </w:p>
    <w:p w14:paraId="61FD6C41" w14:textId="08C8E613" w:rsidR="000859AF" w:rsidRPr="008A7500" w:rsidRDefault="000859AF" w:rsidP="008A7500">
      <w:pPr>
        <w:spacing w:after="0" w:line="240" w:lineRule="auto"/>
        <w:ind w:firstLine="709"/>
        <w:rPr>
          <w:color w:val="000000" w:themeColor="text1"/>
          <w:shd w:val="clear" w:color="auto" w:fill="FFFFFF"/>
        </w:rPr>
      </w:pPr>
      <w:bookmarkStart w:id="187" w:name="_Hlk113015536"/>
      <w:r w:rsidRPr="00675800">
        <w:rPr>
          <w:color w:val="000000" w:themeColor="text1"/>
          <w:shd w:val="clear" w:color="auto" w:fill="FFFFFF"/>
        </w:rPr>
        <w:t xml:space="preserve">В плазме крови свободная фракция эверолимуса не зависела от концентрации препарата и составляла, в среднем 7,6% у крыс, 16% у обезьян и 25% у человека, а у мышей всего 0,1% </w:t>
      </w:r>
      <w:bookmarkEnd w:id="187"/>
      <w:r w:rsidRPr="00675800">
        <w:rPr>
          <w:color w:val="000000" w:themeColor="text1"/>
          <w:shd w:val="clear" w:color="auto" w:fill="FFFFFF"/>
        </w:rPr>
        <w:t>[1,5].</w:t>
      </w:r>
    </w:p>
    <w:p w14:paraId="522EF4CB" w14:textId="77777777" w:rsidR="000859AF" w:rsidRPr="000859AF" w:rsidRDefault="000859AF" w:rsidP="008A7500">
      <w:pPr>
        <w:spacing w:before="240" w:after="240" w:line="240" w:lineRule="auto"/>
        <w:outlineLvl w:val="2"/>
        <w:rPr>
          <w:b/>
          <w:bCs/>
          <w:color w:val="000000" w:themeColor="text1"/>
        </w:rPr>
      </w:pPr>
      <w:bookmarkStart w:id="188" w:name="_Toc115217945"/>
      <w:bookmarkStart w:id="189" w:name="_Toc118124176"/>
      <w:bookmarkStart w:id="190" w:name="_Toc119313750"/>
      <w:r w:rsidRPr="00675800">
        <w:rPr>
          <w:b/>
          <w:color w:val="000000" w:themeColor="text1"/>
        </w:rPr>
        <w:t xml:space="preserve">3.2.4. </w:t>
      </w:r>
      <w:r w:rsidRPr="00675800">
        <w:rPr>
          <w:b/>
          <w:bCs/>
          <w:color w:val="000000" w:themeColor="text1"/>
        </w:rPr>
        <w:t>Метаболизм</w:t>
      </w:r>
      <w:bookmarkEnd w:id="188"/>
      <w:bookmarkEnd w:id="189"/>
      <w:bookmarkEnd w:id="190"/>
    </w:p>
    <w:p w14:paraId="26A7484D" w14:textId="77777777" w:rsidR="000859AF" w:rsidRPr="00675800" w:rsidRDefault="000859AF" w:rsidP="008A7500">
      <w:pPr>
        <w:spacing w:after="0" w:line="240" w:lineRule="auto"/>
        <w:ind w:firstLine="709"/>
        <w:rPr>
          <w:lang w:bidi="en-US"/>
        </w:rPr>
      </w:pPr>
      <w:bookmarkStart w:id="191" w:name="_Hlk113015543"/>
      <w:r w:rsidRPr="00675800">
        <w:rPr>
          <w:lang w:bidi="en-US"/>
        </w:rPr>
        <w:t xml:space="preserve">Метаболизм эверолимуса исследовали </w:t>
      </w:r>
      <w:r w:rsidRPr="00675800">
        <w:rPr>
          <w:i/>
          <w:iCs/>
          <w:lang w:bidi="en-US"/>
        </w:rPr>
        <w:t>in vivo</w:t>
      </w:r>
      <w:r w:rsidRPr="00675800">
        <w:rPr>
          <w:lang w:bidi="en-US"/>
        </w:rPr>
        <w:t xml:space="preserve"> у мышей, нормальных крыс и крыс с канюлированием желчных протоков, лактирующих крыс, макаков и человека с использованием </w:t>
      </w:r>
      <w:r w:rsidRPr="00675800">
        <w:rPr>
          <w:vertAlign w:val="superscript"/>
          <w:lang w:bidi="en-US"/>
        </w:rPr>
        <w:t>3</w:t>
      </w:r>
      <w:r w:rsidRPr="00675800">
        <w:rPr>
          <w:lang w:bidi="en-US"/>
        </w:rPr>
        <w:t xml:space="preserve">Н- и/или </w:t>
      </w:r>
      <w:r w:rsidRPr="00675800">
        <w:rPr>
          <w:vertAlign w:val="superscript"/>
          <w:lang w:bidi="en-US"/>
        </w:rPr>
        <w:t>14</w:t>
      </w:r>
      <w:r w:rsidRPr="00675800">
        <w:rPr>
          <w:lang w:bidi="en-US"/>
        </w:rPr>
        <w:t>С-радиоактивно меченного соединения. Животным вводили дозы внутривенно и/или перорально. Структура метаболитов была практически одинаковой у всех видов.</w:t>
      </w:r>
    </w:p>
    <w:p w14:paraId="7A8D6718" w14:textId="77777777" w:rsidR="000859AF" w:rsidRPr="00675800" w:rsidRDefault="000859AF" w:rsidP="008A7500">
      <w:pPr>
        <w:spacing w:after="0" w:line="240" w:lineRule="auto"/>
        <w:ind w:firstLine="709"/>
        <w:rPr>
          <w:lang w:bidi="en-US"/>
        </w:rPr>
      </w:pPr>
      <w:bookmarkStart w:id="192" w:name="bookmark22"/>
      <w:r w:rsidRPr="00675800">
        <w:rPr>
          <w:lang w:bidi="en-US"/>
        </w:rPr>
        <w:t>У мышей, крыс, обезьян и человека эверолимус в основном выводится путем метаболизма. Эверолимус был основным компонентом, связанным с лекарственным препаратом, циркулирующим в крови у всех видов. Структура метаболитов в крови была сопоставима у всех видов. У крыс обнаруживалось большое количество метаболитов эверолимуса. Метаболиты выводились почти исключительно с желчью в кал [Исследование 303-013], и обнаруживались лишь следовые количества исходного препарата. В желчи и кале хроматографический профиль метаболитов состоял из одного широкого пика, отражающего сложный характер биотрансформации эверолимуса</w:t>
      </w:r>
      <w:bookmarkEnd w:id="192"/>
      <w:r w:rsidRPr="00675800">
        <w:rPr>
          <w:lang w:bidi="en-US"/>
        </w:rPr>
        <w:t xml:space="preserve"> [Исследование 303-013]. Эверолимус конкурентно ингибировал метаболизм субстрата CYP3A4 циклоспорина (Ki = 2,3 мкмоль/л), а также был смешанным ингибитором метаболизма субстрата CYP2D6 (Ki = 1,7 мкмоль/л) </w:t>
      </w:r>
      <w:r w:rsidRPr="00675800">
        <w:rPr>
          <w:i/>
          <w:iCs/>
          <w:lang w:bidi="en-US"/>
        </w:rPr>
        <w:t>in vitro.</w:t>
      </w:r>
    </w:p>
    <w:p w14:paraId="1DB8FB9B" w14:textId="77777777" w:rsidR="000859AF" w:rsidRPr="00675800" w:rsidRDefault="000859AF" w:rsidP="000859AF">
      <w:pPr>
        <w:spacing w:after="120" w:line="240" w:lineRule="auto"/>
        <w:ind w:firstLine="709"/>
        <w:contextualSpacing/>
        <w:rPr>
          <w:lang w:bidi="en-US"/>
        </w:rPr>
      </w:pPr>
      <w:r w:rsidRPr="00675800">
        <w:rPr>
          <w:lang w:bidi="en-US"/>
        </w:rPr>
        <w:t>В крови человека присутствовали пять основных пиков метаболитов (Р36, Р40, Р42, Р50, Р57), содержащих шесть метаболитов. Эти пики метаболитов также были обнаружены в крови мышей, крыс и макаков. Пик P57 (ATG181) был идентифицирован как прямой фосфатидилхолиновый конъюгат эверолимуса. Основные метаболиты Р40, Р36, Р42, Р50 и фосфатидилхолиновый конъюгат Р57 были протестированы на биологическую активность в анализе смешанной лимфоцитарной реакции (MLR). Было обнаружено, что они примерно на два порядка менее активны, чем эверолимус. Сродство Р57 к FKBP-12 было в 2-3 раза выше, чем со стороны эверолимуса. Несмотря на такое высокое сродство к FKBP-12, ATG181 был по меньшей мере в 100 раз менее активен, чем эверолимус, в количественном определении MLR.</w:t>
      </w:r>
    </w:p>
    <w:p w14:paraId="7C89F34E" w14:textId="21475C63" w:rsidR="000859AF" w:rsidRPr="008A7500" w:rsidRDefault="000859AF" w:rsidP="008A7500">
      <w:pPr>
        <w:spacing w:after="0" w:line="240" w:lineRule="auto"/>
        <w:ind w:firstLine="709"/>
        <w:rPr>
          <w:lang w:bidi="en-US"/>
        </w:rPr>
      </w:pPr>
      <w:r w:rsidRPr="00675800">
        <w:rPr>
          <w:lang w:bidi="en-US"/>
        </w:rPr>
        <w:t xml:space="preserve">Инкубация эверолимуса </w:t>
      </w:r>
      <w:r w:rsidRPr="00675800">
        <w:rPr>
          <w:i/>
          <w:iCs/>
          <w:lang w:bidi="en-US"/>
        </w:rPr>
        <w:t>in vitro</w:t>
      </w:r>
      <w:r w:rsidRPr="00675800">
        <w:rPr>
          <w:lang w:bidi="en-US"/>
        </w:rPr>
        <w:t xml:space="preserve"> с микросомальными фракциями печени мышей, крыс, макак и человека приводила к образованию метаболитов, сопоставимых с теми, которые наблюдались в крови соответствующих исследованных видов, за исключением пика P57 (ATG181), который отсутствовал [1,5].</w:t>
      </w:r>
    </w:p>
    <w:p w14:paraId="5347E8B4" w14:textId="77777777" w:rsidR="000859AF" w:rsidRPr="00675800" w:rsidRDefault="000859AF" w:rsidP="008A7500">
      <w:pPr>
        <w:spacing w:before="240" w:after="240" w:line="240" w:lineRule="auto"/>
        <w:outlineLvl w:val="2"/>
        <w:rPr>
          <w:b/>
          <w:bCs/>
          <w:color w:val="000000" w:themeColor="text1"/>
        </w:rPr>
      </w:pPr>
      <w:bookmarkStart w:id="193" w:name="_Toc115217946"/>
      <w:bookmarkStart w:id="194" w:name="_Toc118124177"/>
      <w:bookmarkStart w:id="195" w:name="_Toc119313751"/>
      <w:bookmarkEnd w:id="191"/>
      <w:r w:rsidRPr="00675800">
        <w:rPr>
          <w:b/>
          <w:color w:val="000000" w:themeColor="text1"/>
        </w:rPr>
        <w:t xml:space="preserve">3.2.5. </w:t>
      </w:r>
      <w:r w:rsidRPr="00675800">
        <w:rPr>
          <w:b/>
          <w:bCs/>
          <w:color w:val="000000" w:themeColor="text1"/>
        </w:rPr>
        <w:t>Выведение</w:t>
      </w:r>
      <w:bookmarkEnd w:id="193"/>
      <w:bookmarkEnd w:id="194"/>
      <w:bookmarkEnd w:id="195"/>
    </w:p>
    <w:p w14:paraId="7299C3BE" w14:textId="77777777" w:rsidR="000859AF" w:rsidRPr="00675800" w:rsidRDefault="000859AF" w:rsidP="008A7500">
      <w:pPr>
        <w:spacing w:after="0" w:line="240" w:lineRule="auto"/>
        <w:ind w:firstLine="709"/>
      </w:pPr>
      <w:bookmarkStart w:id="196" w:name="_Toc118124178"/>
      <w:r w:rsidRPr="00675800">
        <w:lastRenderedPageBreak/>
        <w:t>По сути, в кале и моче всех видов, неизмененный эверолимус отсутствовал. Кал, являющийся преобладающим путем выведения, содержал большое количество метаболитов. За исключением пика метаболита P147 (см. ниже), характеристика метаболитов в кале не представлялась возможной из-за сложности структуры и трудностей с разделением пиков. В моче обнаруживался лишь один очень полярный пик. Структура метаболитов в этом пике не поддавалась определению.</w:t>
      </w:r>
      <w:bookmarkEnd w:id="196"/>
    </w:p>
    <w:p w14:paraId="0FF7430B" w14:textId="77777777" w:rsidR="000859AF" w:rsidRPr="00675800" w:rsidRDefault="000859AF" w:rsidP="0071249E">
      <w:pPr>
        <w:spacing w:after="0" w:line="240" w:lineRule="auto"/>
        <w:ind w:firstLine="709"/>
      </w:pPr>
      <w:bookmarkStart w:id="197" w:name="_Toc118124179"/>
      <w:r w:rsidRPr="00675800">
        <w:t xml:space="preserve">У мышей более 95 % пероральной или внутривенной дозы </w:t>
      </w:r>
      <w:r w:rsidRPr="00E30BFE">
        <w:rPr>
          <w:vertAlign w:val="superscript"/>
        </w:rPr>
        <w:t>[3H]</w:t>
      </w:r>
      <w:r w:rsidRPr="00675800">
        <w:t>эверолимуса выводилось с калом. Выведение было практически полным спустя 48 часов. Период полувыведения эверолимуса у мышей составлял около 9 часов, общий клиренс в крови - 0,79 мл/мин/кг, что соответствует примерно 0,9 % печеночного кровотока.</w:t>
      </w:r>
      <w:bookmarkEnd w:id="197"/>
    </w:p>
    <w:p w14:paraId="1BD3A995" w14:textId="77777777" w:rsidR="000859AF" w:rsidRPr="00675800" w:rsidRDefault="000859AF" w:rsidP="0071249E">
      <w:pPr>
        <w:spacing w:after="0" w:line="240" w:lineRule="auto"/>
        <w:ind w:firstLine="709"/>
      </w:pPr>
      <w:bookmarkStart w:id="198" w:name="_Toc118124180"/>
      <w:r w:rsidRPr="00675800">
        <w:t>У крыс 3Н-радиоактивность была обнаружена преимущественно в кале (от 69 до 82 % дозы). Выведение было практически полным. У крыс с канюлированными желчными протоками выведение желчи составляло 71 % после внутривенного введения. Выведение исходного препарата с мочой (&lt; 0,05 % от дозы) и желчью (0,5 % от дозы) было незначительным. Конечный период полувыведения эверолимуса составлял от 47 до 61 часа после внутривенного и перорального введения.</w:t>
      </w:r>
      <w:bookmarkEnd w:id="198"/>
    </w:p>
    <w:p w14:paraId="221D6F87" w14:textId="77777777" w:rsidR="000859AF" w:rsidRPr="00675800" w:rsidRDefault="000859AF" w:rsidP="0071249E">
      <w:pPr>
        <w:spacing w:after="0" w:line="240" w:lineRule="auto"/>
        <w:ind w:firstLine="709"/>
      </w:pPr>
      <w:bookmarkStart w:id="199" w:name="_Toc118124181"/>
      <w:r w:rsidRPr="00675800">
        <w:t>У макак радиоактивность выводилась в основном с калом (около 67 % дозы, внутривенно; 76 %, перорально). Баланс выведения не был полным через 7 дней из-за медленного и продолжающегося выведения с калом (77 % внутривенно; 85 % перорально). Конечный период полувыведения исходного препарата в крови составлял 27 и 18 часов после внутривенного и перорального введения, системный клиренс был низким (3,1 мл/мин/кг), что соответствует примерно 7 % печеночного кровотока (44 мл/мин/кг).</w:t>
      </w:r>
      <w:bookmarkEnd w:id="199"/>
    </w:p>
    <w:p w14:paraId="337C634F" w14:textId="6F04D3E4" w:rsidR="000859AF" w:rsidRPr="008A7500" w:rsidRDefault="000859AF" w:rsidP="008A7500">
      <w:pPr>
        <w:spacing w:after="0" w:line="240" w:lineRule="auto"/>
        <w:ind w:firstLine="709"/>
      </w:pPr>
      <w:bookmarkStart w:id="200" w:name="_Toc118124182"/>
      <w:r w:rsidRPr="00675800">
        <w:t>Перенос/выведение 3Н-радиоактивно меченного эверолимуса и его метаболитов в молоко изучали после однократного перорального введения 0,9 мг/кг лактирующим крысам на 9 й день после родов [Исследование DMPK(CH) R98-708]. Перенос радиоактивности из крови в молоко отмечался через 30 минут после введения дозы. Максимальные концентрации радиоактивности в молоке достигались через 2 ч после введения дозы. Конечный период полувыведения общей радиоактивности был примерно таким же, как и в крови, в течение временного интервала от 48 до 96 часов. Отношение концентрации радиоактивности в молоке/крови (М/B) составляло &gt; 1 в течение всего периода исследования, за исключением точки 30 мин после введения дозы (коэффициент 0,5) [1,5].</w:t>
      </w:r>
      <w:bookmarkEnd w:id="200"/>
    </w:p>
    <w:p w14:paraId="45FAAA89" w14:textId="77777777" w:rsidR="000859AF" w:rsidRPr="008A7500" w:rsidRDefault="000859AF" w:rsidP="008A7500">
      <w:pPr>
        <w:spacing w:before="240" w:after="240" w:line="240" w:lineRule="auto"/>
        <w:outlineLvl w:val="2"/>
        <w:rPr>
          <w:b/>
          <w:color w:val="000000" w:themeColor="text1"/>
        </w:rPr>
      </w:pPr>
      <w:bookmarkStart w:id="201" w:name="_Toc115217947"/>
      <w:bookmarkStart w:id="202" w:name="_Toc118124183"/>
      <w:bookmarkStart w:id="203" w:name="_Toc119313752"/>
      <w:r w:rsidRPr="00707D60">
        <w:rPr>
          <w:b/>
          <w:color w:val="000000" w:themeColor="text1"/>
        </w:rPr>
        <w:t xml:space="preserve">3.2.6. </w:t>
      </w:r>
      <w:r w:rsidRPr="008A7500">
        <w:rPr>
          <w:b/>
          <w:color w:val="000000" w:themeColor="text1"/>
        </w:rPr>
        <w:t>Фармакокинетические лекарственные взаимодействия</w:t>
      </w:r>
      <w:bookmarkEnd w:id="201"/>
      <w:bookmarkEnd w:id="202"/>
      <w:bookmarkEnd w:id="203"/>
    </w:p>
    <w:p w14:paraId="424985DA" w14:textId="0121CBE1" w:rsidR="000859AF" w:rsidRPr="008A7500" w:rsidRDefault="000859AF" w:rsidP="008A7500">
      <w:pPr>
        <w:spacing w:after="0" w:line="240" w:lineRule="auto"/>
        <w:ind w:firstLine="709"/>
        <w:contextualSpacing/>
        <w:rPr>
          <w:b/>
          <w:i/>
          <w:lang w:bidi="en-US"/>
        </w:rPr>
      </w:pPr>
      <w:bookmarkStart w:id="204" w:name="_Toc115217948"/>
      <w:bookmarkEnd w:id="173"/>
      <w:bookmarkEnd w:id="174"/>
      <w:bookmarkEnd w:id="175"/>
      <w:r w:rsidRPr="008A7500">
        <w:rPr>
          <w:b/>
          <w:i/>
          <w:lang w:bidi="en-US"/>
        </w:rPr>
        <w:t>Способность эверолимуса взаимодействовать с изоферментами цитохрома Р450</w:t>
      </w:r>
    </w:p>
    <w:p w14:paraId="19A0D969" w14:textId="77777777" w:rsidR="000859AF" w:rsidRPr="007F69D5" w:rsidRDefault="000859AF" w:rsidP="000859AF">
      <w:pPr>
        <w:spacing w:after="120" w:line="240" w:lineRule="auto"/>
        <w:ind w:firstLine="709"/>
        <w:contextualSpacing/>
        <w:rPr>
          <w:lang w:bidi="en-US"/>
        </w:rPr>
      </w:pPr>
      <w:r w:rsidRPr="007F69D5">
        <w:rPr>
          <w:lang w:bidi="en-US"/>
        </w:rPr>
        <w:t xml:space="preserve">Идентификацию ферментов, отвечающих за метаболизм эверолимуса, проводили </w:t>
      </w:r>
      <w:r w:rsidRPr="007F69D5">
        <w:rPr>
          <w:i/>
          <w:iCs/>
          <w:lang w:bidi="en-US"/>
        </w:rPr>
        <w:t>in vitro</w:t>
      </w:r>
      <w:r w:rsidRPr="007F69D5">
        <w:rPr>
          <w:lang w:bidi="en-US"/>
        </w:rPr>
        <w:t xml:space="preserve"> в микросомах печени человека (HLM) и в микросомах из клеток, экспрессирующих отдельные изоферменты цитохрома Р450 человека (CYP). CYP3A4 был основным ферментом, участвующим в микросомальной биотрансформации эверолимуса [Исследование DMPK (США) 1998/005]. Другие изоферменты CYP, CYP1A1, CYP1A2, CYP2A6, CYP2B6, CYP2C8, </w:t>
      </w:r>
      <w:r w:rsidRPr="007F69D5">
        <w:rPr>
          <w:lang w:bidi="en-US"/>
        </w:rPr>
        <w:lastRenderedPageBreak/>
        <w:t>CYP2C9, CYP2C19, CYP2D6, CYP2E1 и CYP3A5, не метаболизировали эверолимус.</w:t>
      </w:r>
      <w:r>
        <w:rPr>
          <w:lang w:bidi="en-US"/>
        </w:rPr>
        <w:t xml:space="preserve"> </w:t>
      </w:r>
      <w:r w:rsidRPr="007F69D5">
        <w:rPr>
          <w:lang w:bidi="en-US"/>
        </w:rPr>
        <w:t>Метаболизм эверолимуса CYP3A4 коррелировал с его селективным ингибированием в HLM несколькими ингибиторами CYP3A [Исследование DMPK (США) 1998/005].</w:t>
      </w:r>
    </w:p>
    <w:p w14:paraId="4AC1431F" w14:textId="77777777" w:rsidR="000859AF" w:rsidRDefault="000859AF" w:rsidP="000859AF">
      <w:pPr>
        <w:spacing w:after="120" w:line="240" w:lineRule="auto"/>
        <w:ind w:firstLine="709"/>
        <w:contextualSpacing/>
        <w:rPr>
          <w:i/>
          <w:iCs/>
          <w:lang w:bidi="en-US"/>
        </w:rPr>
      </w:pPr>
      <w:r w:rsidRPr="007F69D5">
        <w:rPr>
          <w:lang w:bidi="en-US"/>
        </w:rPr>
        <w:t>Влияние ряда соединений на метаболизм эверолимуса (1</w:t>
      </w:r>
      <w:r>
        <w:rPr>
          <w:lang w:bidi="en-US"/>
        </w:rPr>
        <w:t> </w:t>
      </w:r>
      <w:r w:rsidRPr="007F69D5">
        <w:rPr>
          <w:lang w:bidi="en-US"/>
        </w:rPr>
        <w:t>мкМ) было исследовано в микросомах печени человека [Исследование DMPK (США) 1998/005]; [Исследование DMPK(CH) R99-2448]. Значения IC</w:t>
      </w:r>
      <w:r w:rsidRPr="007F69D5">
        <w:rPr>
          <w:vertAlign w:val="subscript"/>
          <w:lang w:bidi="en-US"/>
        </w:rPr>
        <w:t>50</w:t>
      </w:r>
      <w:r w:rsidRPr="007F69D5">
        <w:rPr>
          <w:lang w:bidi="en-US"/>
        </w:rPr>
        <w:t>, установленные для ингибирования микросомального метаболизма эверолимуса циклоспорином (CsA) (2,2</w:t>
      </w:r>
      <w:r>
        <w:rPr>
          <w:lang w:bidi="en-US"/>
        </w:rPr>
        <w:t> </w:t>
      </w:r>
      <w:r w:rsidRPr="007F69D5">
        <w:rPr>
          <w:lang w:bidi="en-US"/>
        </w:rPr>
        <w:t>мкмоль/л), рапамицином (0,8</w:t>
      </w:r>
      <w:r>
        <w:rPr>
          <w:lang w:bidi="en-US"/>
        </w:rPr>
        <w:t> </w:t>
      </w:r>
      <w:r w:rsidRPr="007F69D5">
        <w:rPr>
          <w:lang w:bidi="en-US"/>
        </w:rPr>
        <w:t>мкмоль/л), кетоконазолом (0,03</w:t>
      </w:r>
      <w:r>
        <w:rPr>
          <w:lang w:bidi="en-US"/>
        </w:rPr>
        <w:t> </w:t>
      </w:r>
      <w:r w:rsidRPr="007F69D5">
        <w:rPr>
          <w:lang w:bidi="en-US"/>
        </w:rPr>
        <w:t>мкмоль/л и 0,35</w:t>
      </w:r>
      <w:r>
        <w:rPr>
          <w:lang w:bidi="en-US"/>
        </w:rPr>
        <w:t> </w:t>
      </w:r>
      <w:r w:rsidRPr="007F69D5">
        <w:rPr>
          <w:lang w:bidi="en-US"/>
        </w:rPr>
        <w:t>мкмоль/л) и итраконазолом (0,18</w:t>
      </w:r>
      <w:r>
        <w:rPr>
          <w:lang w:bidi="en-US"/>
        </w:rPr>
        <w:t> </w:t>
      </w:r>
      <w:r w:rsidRPr="007F69D5">
        <w:rPr>
          <w:lang w:bidi="en-US"/>
        </w:rPr>
        <w:t>мкмоль/л), показали, что сопутствующие препараты с сильными ингибиторами CYP3A4 обладают потенциалом для снижения метаболизма эверолимуса</w:t>
      </w:r>
      <w:r w:rsidRPr="007F69D5">
        <w:rPr>
          <w:i/>
          <w:iCs/>
          <w:lang w:bidi="en-US"/>
        </w:rPr>
        <w:t xml:space="preserve"> in vivo</w:t>
      </w:r>
      <w:r w:rsidRPr="00675800">
        <w:rPr>
          <w:i/>
          <w:iCs/>
          <w:lang w:bidi="en-US"/>
        </w:rPr>
        <w:t xml:space="preserve"> </w:t>
      </w:r>
      <w:r w:rsidRPr="00675800">
        <w:rPr>
          <w:iCs/>
          <w:lang w:bidi="en-US"/>
        </w:rPr>
        <w:t>[5].</w:t>
      </w:r>
    </w:p>
    <w:p w14:paraId="7338DC04" w14:textId="77777777" w:rsidR="000859AF" w:rsidRPr="007F69D5" w:rsidRDefault="000859AF" w:rsidP="000859AF">
      <w:pPr>
        <w:spacing w:after="120" w:line="240" w:lineRule="auto"/>
        <w:contextualSpacing/>
        <w:rPr>
          <w:lang w:bidi="en-US"/>
        </w:rPr>
      </w:pPr>
    </w:p>
    <w:p w14:paraId="675D8AE6" w14:textId="44AA8AEB" w:rsidR="000859AF" w:rsidRPr="008A7500" w:rsidRDefault="000859AF" w:rsidP="008A7500">
      <w:pPr>
        <w:spacing w:after="0" w:line="240" w:lineRule="auto"/>
        <w:ind w:firstLine="709"/>
        <w:contextualSpacing/>
        <w:rPr>
          <w:b/>
          <w:i/>
          <w:lang w:bidi="en-US"/>
        </w:rPr>
      </w:pPr>
      <w:r w:rsidRPr="008A7500">
        <w:rPr>
          <w:b/>
          <w:i/>
          <w:lang w:bidi="en-US"/>
        </w:rPr>
        <w:t>Способность эверолимуса выступать в качестве ингибитора совместно применяемых лекарственных средств</w:t>
      </w:r>
    </w:p>
    <w:p w14:paraId="0AA686BB" w14:textId="77777777" w:rsidR="000859AF" w:rsidRDefault="000859AF" w:rsidP="000859AF">
      <w:pPr>
        <w:spacing w:after="120" w:line="240" w:lineRule="auto"/>
        <w:ind w:firstLine="709"/>
        <w:contextualSpacing/>
        <w:rPr>
          <w:lang w:bidi="en-US"/>
        </w:rPr>
      </w:pPr>
      <w:r w:rsidRPr="007F69D5">
        <w:rPr>
          <w:lang w:bidi="en-US"/>
        </w:rPr>
        <w:t xml:space="preserve">Было показано, что эверолимус является конкурентным ингибитором CsA-субстрата CYP3A4 </w:t>
      </w:r>
      <w:r w:rsidRPr="007F69D5">
        <w:rPr>
          <w:i/>
          <w:iCs/>
          <w:lang w:bidi="en-US"/>
        </w:rPr>
        <w:t>in vitro</w:t>
      </w:r>
      <w:r w:rsidRPr="007F69D5">
        <w:rPr>
          <w:lang w:bidi="en-US"/>
        </w:rPr>
        <w:t xml:space="preserve"> (Ki</w:t>
      </w:r>
      <w:r>
        <w:rPr>
          <w:lang w:bidi="en-US"/>
        </w:rPr>
        <w:t> =</w:t>
      </w:r>
      <w:r w:rsidRPr="007F69D5">
        <w:rPr>
          <w:lang w:bidi="en-US"/>
        </w:rPr>
        <w:t xml:space="preserve"> 2,3</w:t>
      </w:r>
      <w:r>
        <w:rPr>
          <w:lang w:bidi="en-US"/>
        </w:rPr>
        <w:t> </w:t>
      </w:r>
      <w:r w:rsidRPr="007F69D5">
        <w:rPr>
          <w:lang w:bidi="en-US"/>
        </w:rPr>
        <w:t>мкмоль/л), а также смешанным ингибитором декстрометорфана-субстрата CYP2D6 (Ki</w:t>
      </w:r>
      <w:r>
        <w:rPr>
          <w:lang w:bidi="en-US"/>
        </w:rPr>
        <w:t> =</w:t>
      </w:r>
      <w:r w:rsidRPr="007F69D5">
        <w:rPr>
          <w:lang w:bidi="en-US"/>
        </w:rPr>
        <w:t xml:space="preserve"> 1,7</w:t>
      </w:r>
      <w:r>
        <w:rPr>
          <w:lang w:bidi="en-US"/>
        </w:rPr>
        <w:t> </w:t>
      </w:r>
      <w:r w:rsidRPr="007F69D5">
        <w:rPr>
          <w:lang w:bidi="en-US"/>
        </w:rPr>
        <w:t>мкмоль/л) [Исследование DMPK (США) 1998/005]. Эверолимус не оказывал влияния на CYP1A2 и CYP2E1, что подтверждается отсутствием влияния на метаболизм фенацетина и хлороксанона, соответственно. При применении паклитаксела, толбутамида и s-мефенитоина эверолимус практически не оказывал влияния на CYP2C8, CYP2C9 и CYP2C19, соответственно.</w:t>
      </w:r>
    </w:p>
    <w:p w14:paraId="318B5A00" w14:textId="77777777" w:rsidR="000859AF" w:rsidRPr="00675800" w:rsidRDefault="000859AF" w:rsidP="000859AF">
      <w:pPr>
        <w:spacing w:after="120" w:line="240" w:lineRule="auto"/>
        <w:ind w:firstLine="709"/>
        <w:contextualSpacing/>
        <w:rPr>
          <w:lang w:bidi="en-US"/>
        </w:rPr>
      </w:pPr>
      <w:r w:rsidRPr="007F69D5">
        <w:rPr>
          <w:lang w:bidi="en-US"/>
        </w:rPr>
        <w:t>Не ожидается взаимодействия между эверолимусом и пероральными антикоагулянтами, такими как варфарин (субстрат CYP2C9; IC</w:t>
      </w:r>
      <w:r w:rsidRPr="007F69D5">
        <w:rPr>
          <w:vertAlign w:val="subscript"/>
          <w:lang w:bidi="en-US"/>
        </w:rPr>
        <w:t>50</w:t>
      </w:r>
      <w:r w:rsidRPr="007F69D5">
        <w:rPr>
          <w:lang w:bidi="en-US"/>
        </w:rPr>
        <w:t xml:space="preserve"> ~ 33</w:t>
      </w:r>
      <w:r>
        <w:rPr>
          <w:lang w:bidi="en-US"/>
        </w:rPr>
        <w:t> </w:t>
      </w:r>
      <w:r w:rsidRPr="007F69D5">
        <w:rPr>
          <w:lang w:bidi="en-US"/>
        </w:rPr>
        <w:t xml:space="preserve">мкмоль/л), что подтверждено </w:t>
      </w:r>
      <w:r w:rsidRPr="007F69D5">
        <w:rPr>
          <w:i/>
          <w:iCs/>
          <w:lang w:bidi="en-US"/>
        </w:rPr>
        <w:t>in vitro</w:t>
      </w:r>
      <w:r w:rsidRPr="007F69D5">
        <w:rPr>
          <w:lang w:bidi="en-US"/>
        </w:rPr>
        <w:t xml:space="preserve"> в микросомах печени человека [Исследование DMPK R0700186]. Образование 7</w:t>
      </w:r>
      <w:r>
        <w:rPr>
          <w:lang w:bidi="en-US"/>
        </w:rPr>
        <w:noBreakHyphen/>
      </w:r>
      <w:r w:rsidRPr="007F69D5">
        <w:rPr>
          <w:lang w:bidi="en-US"/>
        </w:rPr>
        <w:t>гидроксиварфарина, маркера активности CYP2C9, ингибировалось при значении IC</w:t>
      </w:r>
      <w:r w:rsidRPr="007F69D5">
        <w:rPr>
          <w:vertAlign w:val="subscript"/>
          <w:lang w:bidi="en-US"/>
        </w:rPr>
        <w:t>50</w:t>
      </w:r>
      <w:r>
        <w:rPr>
          <w:vertAlign w:val="subscript"/>
          <w:lang w:bidi="en-US"/>
        </w:rPr>
        <w:t> </w:t>
      </w:r>
      <w:r w:rsidRPr="007F69D5">
        <w:rPr>
          <w:lang w:bidi="en-US"/>
        </w:rPr>
        <w:t>106</w:t>
      </w:r>
      <w:r>
        <w:rPr>
          <w:lang w:bidi="en-US"/>
        </w:rPr>
        <w:t> мкмоль/л</w:t>
      </w:r>
      <w:r w:rsidRPr="00675800">
        <w:rPr>
          <w:lang w:bidi="en-US"/>
        </w:rPr>
        <w:t xml:space="preserve"> </w:t>
      </w:r>
      <w:r w:rsidRPr="00675800">
        <w:rPr>
          <w:iCs/>
          <w:lang w:bidi="en-US"/>
        </w:rPr>
        <w:t>[5].</w:t>
      </w:r>
    </w:p>
    <w:p w14:paraId="4A086FF7" w14:textId="77777777" w:rsidR="000859AF" w:rsidRPr="007F69D5" w:rsidRDefault="000859AF" w:rsidP="000859AF">
      <w:pPr>
        <w:spacing w:after="120" w:line="240" w:lineRule="auto"/>
        <w:contextualSpacing/>
        <w:rPr>
          <w:lang w:bidi="en-US"/>
        </w:rPr>
      </w:pPr>
    </w:p>
    <w:p w14:paraId="3B74FC9A" w14:textId="77777777" w:rsidR="008A7500" w:rsidRDefault="008A7500" w:rsidP="008A7500">
      <w:pPr>
        <w:spacing w:after="0" w:line="240" w:lineRule="auto"/>
        <w:ind w:firstLine="709"/>
        <w:contextualSpacing/>
        <w:rPr>
          <w:b/>
          <w:i/>
          <w:lang w:bidi="en-US"/>
        </w:rPr>
        <w:sectPr w:rsidR="008A7500" w:rsidSect="00AB01E2">
          <w:pgSz w:w="11906" w:h="16838"/>
          <w:pgMar w:top="1134" w:right="849" w:bottom="1134" w:left="1701" w:header="708" w:footer="709" w:gutter="0"/>
          <w:cols w:space="708"/>
          <w:docGrid w:linePitch="360"/>
        </w:sectPr>
      </w:pPr>
    </w:p>
    <w:p w14:paraId="40BC38E3" w14:textId="5A2E40B3" w:rsidR="000859AF" w:rsidRPr="008A7500" w:rsidRDefault="000859AF" w:rsidP="008A7500">
      <w:pPr>
        <w:spacing w:after="0" w:line="240" w:lineRule="auto"/>
        <w:ind w:firstLine="709"/>
        <w:contextualSpacing/>
        <w:rPr>
          <w:b/>
          <w:i/>
          <w:lang w:bidi="en-US"/>
        </w:rPr>
      </w:pPr>
      <w:r w:rsidRPr="008A7500">
        <w:rPr>
          <w:b/>
          <w:i/>
          <w:lang w:bidi="en-US"/>
        </w:rPr>
        <w:lastRenderedPageBreak/>
        <w:t>Способность эверолимуса взаимодействовать с Р-гликопротеином (P</w:t>
      </w:r>
      <w:r w:rsidRPr="008A7500">
        <w:rPr>
          <w:b/>
          <w:i/>
          <w:lang w:bidi="en-US"/>
        </w:rPr>
        <w:noBreakHyphen/>
        <w:t>gp)</w:t>
      </w:r>
    </w:p>
    <w:p w14:paraId="0FDF345C" w14:textId="77777777" w:rsidR="000859AF" w:rsidRPr="00675800" w:rsidRDefault="000859AF" w:rsidP="000859AF">
      <w:pPr>
        <w:spacing w:after="120" w:line="240" w:lineRule="auto"/>
        <w:ind w:firstLine="709"/>
        <w:contextualSpacing/>
        <w:rPr>
          <w:lang w:bidi="en-US"/>
        </w:rPr>
      </w:pPr>
      <w:r w:rsidRPr="007F69D5">
        <w:rPr>
          <w:lang w:bidi="en-US"/>
        </w:rPr>
        <w:t>Было показано, что эверолимус является субстратом P-гликопротеина (</w:t>
      </w:r>
      <w:r>
        <w:rPr>
          <w:lang w:bidi="en-US"/>
        </w:rPr>
        <w:t>P</w:t>
      </w:r>
      <w:r>
        <w:rPr>
          <w:lang w:bidi="en-US"/>
        </w:rPr>
        <w:noBreakHyphen/>
        <w:t>gp</w:t>
      </w:r>
      <w:r w:rsidRPr="007F69D5">
        <w:rPr>
          <w:lang w:bidi="en-US"/>
        </w:rPr>
        <w:t xml:space="preserve">; MDR1) и умеренным ингибитором </w:t>
      </w:r>
      <w:r>
        <w:rPr>
          <w:lang w:bidi="en-US"/>
        </w:rPr>
        <w:t>P</w:t>
      </w:r>
      <w:r>
        <w:rPr>
          <w:lang w:bidi="en-US"/>
        </w:rPr>
        <w:noBreakHyphen/>
        <w:t>gp</w:t>
      </w:r>
      <w:r w:rsidRPr="007F69D5">
        <w:rPr>
          <w:lang w:bidi="en-US"/>
        </w:rPr>
        <w:t xml:space="preserve"> </w:t>
      </w:r>
      <w:r w:rsidRPr="007F69D5">
        <w:rPr>
          <w:i/>
          <w:iCs/>
          <w:lang w:bidi="en-US"/>
        </w:rPr>
        <w:t>in vitro</w:t>
      </w:r>
      <w:r w:rsidRPr="007F69D5">
        <w:rPr>
          <w:lang w:bidi="en-US"/>
        </w:rPr>
        <w:t xml:space="preserve"> с использованием клеточной линии с гиперэкспрессией </w:t>
      </w:r>
      <w:r>
        <w:rPr>
          <w:lang w:bidi="en-US"/>
        </w:rPr>
        <w:t>P</w:t>
      </w:r>
      <w:r>
        <w:rPr>
          <w:lang w:bidi="en-US"/>
        </w:rPr>
        <w:noBreakHyphen/>
        <w:t>gp</w:t>
      </w:r>
      <w:r w:rsidRPr="007F69D5">
        <w:rPr>
          <w:lang w:bidi="en-US"/>
        </w:rPr>
        <w:t>. Значение IC</w:t>
      </w:r>
      <w:r w:rsidRPr="007F69D5">
        <w:rPr>
          <w:vertAlign w:val="subscript"/>
          <w:lang w:bidi="en-US"/>
        </w:rPr>
        <w:t>50</w:t>
      </w:r>
      <w:r w:rsidRPr="007F69D5">
        <w:rPr>
          <w:lang w:bidi="en-US"/>
        </w:rPr>
        <w:t xml:space="preserve"> ингибирования составило 9,4</w:t>
      </w:r>
      <w:r>
        <w:rPr>
          <w:lang w:bidi="en-US"/>
        </w:rPr>
        <w:t> </w:t>
      </w:r>
      <w:r w:rsidRPr="007F69D5">
        <w:rPr>
          <w:lang w:bidi="en-US"/>
        </w:rPr>
        <w:t>мкмоль/л, что в 9</w:t>
      </w:r>
      <w:r>
        <w:rPr>
          <w:lang w:bidi="en-US"/>
        </w:rPr>
        <w:t> </w:t>
      </w:r>
      <w:r w:rsidRPr="007F69D5">
        <w:rPr>
          <w:lang w:bidi="en-US"/>
        </w:rPr>
        <w:t>раз выше, чем у положительного контроля CsA [Исследование DMPK R0700777].</w:t>
      </w:r>
      <w:r>
        <w:rPr>
          <w:lang w:bidi="en-US"/>
        </w:rPr>
        <w:t xml:space="preserve"> </w:t>
      </w:r>
      <w:r w:rsidRPr="007F69D5">
        <w:rPr>
          <w:lang w:bidi="en-US"/>
        </w:rPr>
        <w:t>Это значение IC</w:t>
      </w:r>
      <w:r w:rsidRPr="007F69D5">
        <w:rPr>
          <w:vertAlign w:val="subscript"/>
          <w:lang w:bidi="en-US"/>
        </w:rPr>
        <w:t>50</w:t>
      </w:r>
      <w:r w:rsidRPr="007F69D5">
        <w:rPr>
          <w:lang w:bidi="en-US"/>
        </w:rPr>
        <w:t xml:space="preserve"> более чем в 50 и 150</w:t>
      </w:r>
      <w:r>
        <w:rPr>
          <w:lang w:bidi="en-US"/>
        </w:rPr>
        <w:t> </w:t>
      </w:r>
      <w:r w:rsidRPr="007F69D5">
        <w:rPr>
          <w:lang w:bidi="en-US"/>
        </w:rPr>
        <w:t>раз превышает максимальные равновесные концентрации в крови после применения эверолимуса в дозе 70</w:t>
      </w:r>
      <w:r>
        <w:rPr>
          <w:lang w:bidi="en-US"/>
        </w:rPr>
        <w:t> </w:t>
      </w:r>
      <w:r w:rsidRPr="007F69D5">
        <w:rPr>
          <w:lang w:bidi="en-US"/>
        </w:rPr>
        <w:t>мг/неделю и 10</w:t>
      </w:r>
      <w:r>
        <w:rPr>
          <w:lang w:bidi="en-US"/>
        </w:rPr>
        <w:t> </w:t>
      </w:r>
      <w:r w:rsidRPr="007F69D5">
        <w:rPr>
          <w:lang w:bidi="en-US"/>
        </w:rPr>
        <w:t>мг/сутки, соответственно, у</w:t>
      </w:r>
      <w:r>
        <w:rPr>
          <w:lang w:bidi="en-US"/>
        </w:rPr>
        <w:t xml:space="preserve"> пациентов [Исследование C2102]</w:t>
      </w:r>
      <w:r w:rsidRPr="00675800">
        <w:rPr>
          <w:lang w:bidi="en-US"/>
        </w:rPr>
        <w:t xml:space="preserve"> </w:t>
      </w:r>
      <w:r w:rsidRPr="00675800">
        <w:rPr>
          <w:iCs/>
          <w:lang w:bidi="en-US"/>
        </w:rPr>
        <w:t>[5].</w:t>
      </w:r>
    </w:p>
    <w:p w14:paraId="00E86360" w14:textId="77777777" w:rsidR="000859AF" w:rsidRPr="007F69D5" w:rsidRDefault="000859AF" w:rsidP="000859AF">
      <w:pPr>
        <w:spacing w:after="120" w:line="240" w:lineRule="auto"/>
        <w:contextualSpacing/>
        <w:rPr>
          <w:lang w:bidi="en-US"/>
        </w:rPr>
      </w:pPr>
    </w:p>
    <w:p w14:paraId="6E3904F5" w14:textId="383A3939" w:rsidR="000859AF" w:rsidRPr="008A7500" w:rsidRDefault="000859AF" w:rsidP="008A7500">
      <w:pPr>
        <w:spacing w:after="0" w:line="240" w:lineRule="auto"/>
        <w:ind w:firstLine="709"/>
        <w:contextualSpacing/>
        <w:rPr>
          <w:b/>
          <w:i/>
          <w:lang w:bidi="en-US"/>
        </w:rPr>
      </w:pPr>
      <w:r w:rsidRPr="008A7500">
        <w:rPr>
          <w:b/>
          <w:i/>
          <w:lang w:bidi="en-US"/>
        </w:rPr>
        <w:t>Способность эверолимуса индуцировать ферменты, метаболизирующие лекарственные препараты в печени</w:t>
      </w:r>
    </w:p>
    <w:p w14:paraId="1C8015DB" w14:textId="77777777" w:rsidR="000859AF" w:rsidRPr="00675800" w:rsidRDefault="000859AF" w:rsidP="008A7500">
      <w:pPr>
        <w:spacing w:after="0" w:line="240" w:lineRule="auto"/>
        <w:ind w:firstLine="709"/>
        <w:rPr>
          <w:lang w:bidi="en-US"/>
        </w:rPr>
      </w:pPr>
      <w:r w:rsidRPr="007F69D5">
        <w:rPr>
          <w:lang w:bidi="en-US"/>
        </w:rPr>
        <w:t>В 26</w:t>
      </w:r>
      <w:r>
        <w:rPr>
          <w:lang w:bidi="en-US"/>
        </w:rPr>
        <w:noBreakHyphen/>
      </w:r>
      <w:r w:rsidRPr="007F69D5">
        <w:rPr>
          <w:lang w:bidi="en-US"/>
        </w:rPr>
        <w:t>недельном исследовании пероральной токсичности на крысах в дозах 0,15, 0,5 и 1,5</w:t>
      </w:r>
      <w:r>
        <w:rPr>
          <w:lang w:bidi="en-US"/>
        </w:rPr>
        <w:t> </w:t>
      </w:r>
      <w:r w:rsidRPr="007F69D5">
        <w:rPr>
          <w:lang w:bidi="en-US"/>
        </w:rPr>
        <w:t>мг/кг/сут были отмечены незначительные изменения уровня CYP2B1/2 у крыс (снижение на 20</w:t>
      </w:r>
      <w:r>
        <w:rPr>
          <w:lang w:bidi="en-US"/>
        </w:rPr>
        <w:t> %</w:t>
      </w:r>
      <w:r w:rsidRPr="007F69D5">
        <w:rPr>
          <w:lang w:bidi="en-US"/>
        </w:rPr>
        <w:t xml:space="preserve"> по сравнению с контролем) и скорости образования общего метаболита (увеличение на 38-50</w:t>
      </w:r>
      <w:r>
        <w:rPr>
          <w:lang w:bidi="en-US"/>
        </w:rPr>
        <w:t> %</w:t>
      </w:r>
      <w:r w:rsidRPr="007F69D5">
        <w:rPr>
          <w:lang w:bidi="en-US"/>
        </w:rPr>
        <w:t>)</w:t>
      </w:r>
      <w:r>
        <w:rPr>
          <w:lang w:bidi="en-US"/>
        </w:rPr>
        <w:t xml:space="preserve">. </w:t>
      </w:r>
      <w:r w:rsidRPr="007F69D5">
        <w:rPr>
          <w:lang w:bidi="en-US"/>
        </w:rPr>
        <w:t>Не</w:t>
      </w:r>
      <w:r>
        <w:rPr>
          <w:lang w:bidi="en-US"/>
        </w:rPr>
        <w:t> </w:t>
      </w:r>
      <w:r w:rsidRPr="007F69D5">
        <w:rPr>
          <w:lang w:bidi="en-US"/>
        </w:rPr>
        <w:t>было выявлено существенных изменений в общем содержании цитохрома Р450 в печени и в уровнях CYP1A1, CYP3A и CYP4A [Исследование DMPK(CH) 1997/526]; [Исс</w:t>
      </w:r>
      <w:r>
        <w:rPr>
          <w:lang w:bidi="en-US"/>
        </w:rPr>
        <w:t>ледование DMPK(CH) 1997/526-01]</w:t>
      </w:r>
      <w:r w:rsidRPr="00675800">
        <w:rPr>
          <w:lang w:bidi="en-US"/>
        </w:rPr>
        <w:t xml:space="preserve"> </w:t>
      </w:r>
      <w:r w:rsidRPr="00675800">
        <w:rPr>
          <w:iCs/>
          <w:lang w:bidi="en-US"/>
        </w:rPr>
        <w:t>[5].</w:t>
      </w:r>
    </w:p>
    <w:p w14:paraId="78D33252" w14:textId="77777777" w:rsidR="000859AF" w:rsidRPr="007F69D5" w:rsidRDefault="000859AF" w:rsidP="008A7500">
      <w:pPr>
        <w:spacing w:after="0" w:line="240" w:lineRule="auto"/>
        <w:rPr>
          <w:lang w:bidi="en-US"/>
        </w:rPr>
      </w:pPr>
    </w:p>
    <w:p w14:paraId="593E63BB" w14:textId="2EEEDDB9" w:rsidR="000859AF" w:rsidRPr="008A7500" w:rsidRDefault="000859AF" w:rsidP="008A7500">
      <w:pPr>
        <w:spacing w:after="0" w:line="240" w:lineRule="auto"/>
        <w:ind w:firstLine="709"/>
        <w:rPr>
          <w:b/>
          <w:i/>
          <w:lang w:bidi="en-US"/>
        </w:rPr>
      </w:pPr>
      <w:r w:rsidRPr="008A7500">
        <w:rPr>
          <w:b/>
          <w:i/>
          <w:lang w:bidi="en-US"/>
        </w:rPr>
        <w:t>Возможность одновременного применения лекарственных средств индуцировать метаболизм эверолимуса</w:t>
      </w:r>
    </w:p>
    <w:p w14:paraId="4984E502" w14:textId="77777777" w:rsidR="000859AF" w:rsidRPr="007F69D5" w:rsidRDefault="000859AF" w:rsidP="008A7500">
      <w:pPr>
        <w:spacing w:after="0" w:line="240" w:lineRule="auto"/>
        <w:ind w:firstLine="709"/>
        <w:rPr>
          <w:lang w:bidi="en-US"/>
        </w:rPr>
      </w:pPr>
      <w:r w:rsidRPr="007F69D5">
        <w:rPr>
          <w:lang w:bidi="en-US"/>
        </w:rPr>
        <w:t xml:space="preserve">В токсикологических исследованиях одновременное введение CsA, известного ингибитора/субстрата CYP3A4 и ингибитора </w:t>
      </w:r>
      <w:r>
        <w:rPr>
          <w:lang w:bidi="en-US"/>
        </w:rPr>
        <w:t>P</w:t>
      </w:r>
      <w:r>
        <w:rPr>
          <w:lang w:bidi="en-US"/>
        </w:rPr>
        <w:noBreakHyphen/>
        <w:t>gp</w:t>
      </w:r>
      <w:r w:rsidRPr="007F69D5">
        <w:rPr>
          <w:lang w:bidi="en-US"/>
        </w:rPr>
        <w:t xml:space="preserve"> у человека, крысам (5 и 10</w:t>
      </w:r>
      <w:r>
        <w:rPr>
          <w:lang w:bidi="en-US"/>
        </w:rPr>
        <w:t> </w:t>
      </w:r>
      <w:r w:rsidRPr="007F69D5">
        <w:rPr>
          <w:lang w:bidi="en-US"/>
        </w:rPr>
        <w:t>мг/кг/сут) или макакам (50 и 100</w:t>
      </w:r>
      <w:r>
        <w:rPr>
          <w:lang w:bidi="en-US"/>
        </w:rPr>
        <w:t> </w:t>
      </w:r>
      <w:r w:rsidRPr="007F69D5">
        <w:rPr>
          <w:lang w:bidi="en-US"/>
        </w:rPr>
        <w:t>мг/кг/сут) в течение четырех недель значительно увеличивало AUC эверолимуса в крови в 1-5</w:t>
      </w:r>
      <w:r>
        <w:rPr>
          <w:lang w:bidi="en-US"/>
        </w:rPr>
        <w:t> </w:t>
      </w:r>
      <w:r w:rsidRPr="007F69D5">
        <w:rPr>
          <w:lang w:bidi="en-US"/>
        </w:rPr>
        <w:t>раз у крыс [Исследование 96/SPM096/0570] и в 3-7</w:t>
      </w:r>
      <w:r>
        <w:rPr>
          <w:lang w:bidi="en-US"/>
        </w:rPr>
        <w:t> </w:t>
      </w:r>
      <w:r w:rsidRPr="007F69D5">
        <w:rPr>
          <w:lang w:bidi="en-US"/>
        </w:rPr>
        <w:t>раз у макаков [Исследование SAZ529/962269]. Напротив, эверолимус не вызывал существенного увеличения AUC CsA.</w:t>
      </w:r>
      <w:r>
        <w:rPr>
          <w:lang w:bidi="en-US"/>
        </w:rPr>
        <w:t xml:space="preserve"> </w:t>
      </w:r>
      <w:r w:rsidRPr="007F69D5">
        <w:rPr>
          <w:lang w:bidi="en-US"/>
        </w:rPr>
        <w:t>Для сравнения одновременное однократное введение микроэмульсии циклоспорина с однократной дозой эверолимуса у человека увеличивало C</w:t>
      </w:r>
      <w:r w:rsidRPr="007F69D5">
        <w:rPr>
          <w:vertAlign w:val="subscript"/>
          <w:lang w:bidi="en-US"/>
        </w:rPr>
        <w:t xml:space="preserve">max </w:t>
      </w:r>
      <w:r w:rsidRPr="007F69D5">
        <w:rPr>
          <w:lang w:bidi="en-US"/>
        </w:rPr>
        <w:t>эверолимуса на 82</w:t>
      </w:r>
      <w:r>
        <w:rPr>
          <w:lang w:bidi="en-US"/>
        </w:rPr>
        <w:t> %</w:t>
      </w:r>
      <w:r w:rsidRPr="007F69D5">
        <w:rPr>
          <w:lang w:bidi="en-US"/>
        </w:rPr>
        <w:t xml:space="preserve"> и AUC на 168</w:t>
      </w:r>
      <w:r>
        <w:rPr>
          <w:lang w:bidi="en-US"/>
        </w:rPr>
        <w:t> %</w:t>
      </w:r>
      <w:r w:rsidRPr="007F69D5">
        <w:rPr>
          <w:lang w:bidi="en-US"/>
        </w:rPr>
        <w:t xml:space="preserve"> [Исследование CP A2304].</w:t>
      </w:r>
    </w:p>
    <w:p w14:paraId="15ADF390" w14:textId="0A660361" w:rsidR="000859AF" w:rsidRPr="00675800" w:rsidRDefault="000859AF" w:rsidP="008A7500">
      <w:pPr>
        <w:spacing w:after="0" w:line="240" w:lineRule="auto"/>
        <w:ind w:firstLine="709"/>
        <w:rPr>
          <w:lang w:bidi="en-US"/>
        </w:rPr>
      </w:pPr>
      <w:r w:rsidRPr="007F69D5">
        <w:rPr>
          <w:lang w:bidi="en-US"/>
        </w:rPr>
        <w:t>Комбинация эверолимуса с такролимусом у крыс не оказывала существенного влияния на токсикокинетический профиль такролимуса, тогда как экспозиция эверолимуса была заметно увеличена после 4</w:t>
      </w:r>
      <w:r>
        <w:rPr>
          <w:lang w:bidi="en-US"/>
        </w:rPr>
        <w:noBreakHyphen/>
      </w:r>
      <w:r w:rsidRPr="007F69D5">
        <w:rPr>
          <w:lang w:bidi="en-US"/>
        </w:rPr>
        <w:t>недельного лечения примерно в 2 и 5</w:t>
      </w:r>
      <w:r>
        <w:rPr>
          <w:lang w:bidi="en-US"/>
        </w:rPr>
        <w:t> </w:t>
      </w:r>
      <w:r w:rsidRPr="007F69D5">
        <w:rPr>
          <w:lang w:bidi="en-US"/>
        </w:rPr>
        <w:t>раз при суточной дозе 0,75 и 3</w:t>
      </w:r>
      <w:r>
        <w:rPr>
          <w:lang w:bidi="en-US"/>
        </w:rPr>
        <w:t> </w:t>
      </w:r>
      <w:r w:rsidRPr="007F69D5">
        <w:rPr>
          <w:lang w:bidi="en-US"/>
        </w:rPr>
        <w:t>мг/кг такролимуса, соот</w:t>
      </w:r>
      <w:r>
        <w:rPr>
          <w:lang w:bidi="en-US"/>
        </w:rPr>
        <w:t>ветственно [Исследование 48EXR]</w:t>
      </w:r>
      <w:r w:rsidRPr="00675800">
        <w:rPr>
          <w:lang w:bidi="en-US"/>
        </w:rPr>
        <w:t xml:space="preserve"> </w:t>
      </w:r>
      <w:r w:rsidRPr="00675800">
        <w:rPr>
          <w:iCs/>
          <w:lang w:bidi="en-US"/>
        </w:rPr>
        <w:t>[5].</w:t>
      </w:r>
    </w:p>
    <w:p w14:paraId="4D65A3FE" w14:textId="77777777" w:rsidR="000859AF" w:rsidRPr="000859AF" w:rsidRDefault="000859AF" w:rsidP="008A7500">
      <w:pPr>
        <w:spacing w:before="240" w:after="240" w:line="240" w:lineRule="auto"/>
        <w:rPr>
          <w:b/>
          <w:color w:val="000000" w:themeColor="text1"/>
        </w:rPr>
      </w:pPr>
      <w:r w:rsidRPr="00F918EE">
        <w:rPr>
          <w:b/>
          <w:color w:val="000000" w:themeColor="text1"/>
        </w:rPr>
        <w:t>3.3. Токсикологические исследования</w:t>
      </w:r>
      <w:bookmarkStart w:id="205" w:name="_Toc115217949"/>
      <w:bookmarkEnd w:id="176"/>
      <w:bookmarkEnd w:id="204"/>
    </w:p>
    <w:p w14:paraId="7789DA88" w14:textId="77777777" w:rsidR="000859AF" w:rsidRPr="00F918EE" w:rsidRDefault="000859AF" w:rsidP="008A7500">
      <w:pPr>
        <w:spacing w:after="0" w:line="240" w:lineRule="auto"/>
        <w:ind w:firstLine="709"/>
        <w:rPr>
          <w:lang w:bidi="en-US"/>
        </w:rPr>
      </w:pPr>
      <w:r w:rsidRPr="00F918EE">
        <w:rPr>
          <w:lang w:bidi="en-US"/>
        </w:rPr>
        <w:t>Эверолимус изучали на мышах, крысах, карликовых свиньях и яванских макаках для оценки его токсичности, а также на крысах и кроликах для определения возможной репродуктивной токсичности. Эверолимус оказывает токсическое действие в исследованиях на животных как из-за фармакологического механизма действия, иммуносупрессии, так и из-за непосредственного токсического воздействия.</w:t>
      </w:r>
    </w:p>
    <w:p w14:paraId="7E917EED" w14:textId="77777777" w:rsidR="000859AF" w:rsidRPr="00F918EE" w:rsidRDefault="000859AF" w:rsidP="008A7500">
      <w:pPr>
        <w:spacing w:after="0" w:line="240" w:lineRule="auto"/>
        <w:ind w:firstLine="709"/>
        <w:rPr>
          <w:lang w:bidi="en-US"/>
        </w:rPr>
      </w:pPr>
      <w:r w:rsidRPr="00F918EE">
        <w:rPr>
          <w:lang w:bidi="en-US"/>
        </w:rPr>
        <w:lastRenderedPageBreak/>
        <w:t>Токсичность, наблюдаемая в исследованиях эверолимуса на животных, может быть классифицирована как обусловленная фармакологическим действием, т. е. иммуносупрессией, и как проявляющаяся независимо от иммуносупрессии, прямая токсичность. Исследования токсичности при многократном введении предоставили наиболее информативные данные. Исследования при многократном введении проводили на мышах в течение 13 недель, на крысах до 26 недель и на яванских макаках до 52 недель. Из-за желудочно-кишечной непереносимости у собак, для исследований токсичности были выбраны яванские макаки в качестве видов, не относящихся к грызунам. Исследования токсичности рапамицина также показали аналогичную токсичность у собак. Снижение массы тела наблюдалось при более высоких дозах, используемых для всех изученных видов, при дозе 5,0 мг/кг у мышей, при дозе 0,5 мг/кг у крыс, при дозе 1,5 мг/кг у карликовых свиней и при дозе 0,5 мг/кг у макак. Воспалительные явления в желудочно-кишечном тракте, возможно, связанные с изменениями микрофлоры желудочно-кишечного тракта на фоне иммуносупрессии, при этих дозах могут быть причиной эффекта за счет снижения всасывания.</w:t>
      </w:r>
    </w:p>
    <w:p w14:paraId="2EBF3D1D" w14:textId="77777777" w:rsidR="000859AF" w:rsidRPr="00F918EE" w:rsidRDefault="000859AF" w:rsidP="008A7500">
      <w:pPr>
        <w:spacing w:after="0" w:line="240" w:lineRule="auto"/>
        <w:ind w:firstLine="709"/>
        <w:rPr>
          <w:lang w:bidi="en-US"/>
        </w:rPr>
      </w:pPr>
      <w:r w:rsidRPr="00F918EE">
        <w:rPr>
          <w:lang w:bidi="en-US"/>
        </w:rPr>
        <w:t>Токсические эффекты, не опосредованные иммуносупрессией, включали токсичность для репродуктивных органов у всех изученных видов, включая атрофию семенников у обезьян в дозе 0,3 мг/кг (0,9</w:t>
      </w:r>
      <w:r w:rsidRPr="00F918EE">
        <w:rPr>
          <w:lang w:bidi="en-US"/>
        </w:rPr>
        <w:noBreakHyphen/>
        <w:t>кратная экспозиция у человека), атрофию матки и снижение развития фолликулов у мышей и макак в дозах 1,5 мг/кг (4,5-18</w:t>
      </w:r>
      <w:r w:rsidRPr="00F918EE">
        <w:rPr>
          <w:lang w:bidi="en-US"/>
        </w:rPr>
        <w:noBreakHyphen/>
        <w:t>кратная экспозиция у человека); нефротоксичность с дегенерацией канальцев у крыс в дозах 5,0 мг/кг (55</w:t>
      </w:r>
      <w:r w:rsidRPr="00F918EE">
        <w:rPr>
          <w:lang w:bidi="en-US"/>
        </w:rPr>
        <w:noBreakHyphen/>
        <w:t>кратная экспозиция у человека); токсичность для поджелудочной железы с дегенерацией островковых клеток наблюдалась у макак при дозе 5,0 мг/кг (4,5</w:t>
      </w:r>
      <w:r w:rsidRPr="00F918EE">
        <w:rPr>
          <w:lang w:bidi="en-US"/>
        </w:rPr>
        <w:noBreakHyphen/>
        <w:t>кратная экспозиция у человека), вакуолизация экзокринной поджелудочной железы у карликовых свиней наблюдалась при дозе 5,0 мг/кг (23</w:t>
      </w:r>
      <w:r w:rsidRPr="00F918EE">
        <w:rPr>
          <w:lang w:bidi="en-US"/>
        </w:rPr>
        <w:noBreakHyphen/>
        <w:t>кратная экспозиция у человека); токсичность для легких у мышей наблюдалась в дозе 1,5 мг/кг (15</w:t>
      </w:r>
      <w:r w:rsidRPr="00F918EE">
        <w:rPr>
          <w:lang w:bidi="en-US"/>
        </w:rPr>
        <w:noBreakHyphen/>
        <w:t>кратная экспозиция у человека) и крыс в дозе 0,5 мг/кг (0,1</w:t>
      </w:r>
      <w:r w:rsidRPr="00F918EE">
        <w:rPr>
          <w:lang w:bidi="en-US"/>
        </w:rPr>
        <w:noBreakHyphen/>
        <w:t>кратная экспозиция у человека), и офтальмологическая токсичность в виде отека и разрушения кортикальных волокон хрусталика в дозе 0,9 мг/кг у крыс (0,4</w:t>
      </w:r>
      <w:r w:rsidRPr="00F918EE">
        <w:rPr>
          <w:lang w:bidi="en-US"/>
        </w:rPr>
        <w:noBreakHyphen/>
        <w:t>кратная экспозиция у человека).</w:t>
      </w:r>
    </w:p>
    <w:p w14:paraId="7998547A" w14:textId="77777777" w:rsidR="000859AF" w:rsidRPr="00F918EE" w:rsidRDefault="000859AF" w:rsidP="008A7500">
      <w:pPr>
        <w:spacing w:after="0" w:line="240" w:lineRule="auto"/>
        <w:ind w:firstLine="709"/>
        <w:rPr>
          <w:lang w:bidi="en-US"/>
        </w:rPr>
      </w:pPr>
      <w:r w:rsidRPr="00F918EE">
        <w:rPr>
          <w:lang w:bidi="en-US"/>
        </w:rPr>
        <w:t>В исследованиях канцерогенности у крыс не было обнаружено значительных опухолей (0,4</w:t>
      </w:r>
      <w:r w:rsidRPr="00F918EE">
        <w:rPr>
          <w:lang w:bidi="en-US"/>
        </w:rPr>
        <w:noBreakHyphen/>
        <w:t>кратная экспозиция у человека), а одна опухоль, остеома бедренной кости, была значимой у мышей при 0,9 мг/кг (8,6</w:t>
      </w:r>
      <w:r w:rsidRPr="00F918EE">
        <w:rPr>
          <w:lang w:bidi="en-US"/>
        </w:rPr>
        <w:noBreakHyphen/>
        <w:t>кратная экспозиция у человека).</w:t>
      </w:r>
    </w:p>
    <w:p w14:paraId="63EDCF71" w14:textId="77777777" w:rsidR="000859AF" w:rsidRPr="00F918EE" w:rsidRDefault="000859AF" w:rsidP="008A7500">
      <w:pPr>
        <w:spacing w:after="0" w:line="240" w:lineRule="auto"/>
        <w:ind w:firstLine="709"/>
        <w:rPr>
          <w:lang w:bidi="en-US"/>
        </w:rPr>
      </w:pPr>
      <w:r w:rsidRPr="00F918EE">
        <w:rPr>
          <w:lang w:bidi="en-US"/>
        </w:rPr>
        <w:t>Генотоксичность эверолимуса не наблюдалась при бактериальной реверсии</w:t>
      </w:r>
      <w:r w:rsidRPr="00F918EE">
        <w:rPr>
          <w:i/>
          <w:iCs/>
          <w:lang w:bidi="en-US"/>
        </w:rPr>
        <w:t xml:space="preserve"> in vitro</w:t>
      </w:r>
      <w:r w:rsidRPr="00F918EE">
        <w:rPr>
          <w:lang w:bidi="en-US"/>
        </w:rPr>
        <w:t xml:space="preserve"> (тест Эймса), в тесте на клетках лимфомы мышей </w:t>
      </w:r>
      <w:r w:rsidRPr="00F918EE">
        <w:rPr>
          <w:i/>
          <w:iCs/>
          <w:lang w:bidi="en-US"/>
        </w:rPr>
        <w:t>in vitro</w:t>
      </w:r>
      <w:r w:rsidRPr="00F918EE">
        <w:rPr>
          <w:lang w:bidi="en-US"/>
        </w:rPr>
        <w:t xml:space="preserve">, в тесте хромосомных аберраций </w:t>
      </w:r>
      <w:r w:rsidRPr="00F918EE">
        <w:rPr>
          <w:i/>
          <w:iCs/>
          <w:lang w:bidi="en-US"/>
        </w:rPr>
        <w:t>in vitro</w:t>
      </w:r>
      <w:r w:rsidRPr="00F918EE">
        <w:rPr>
          <w:lang w:bidi="en-US"/>
        </w:rPr>
        <w:t xml:space="preserve"> или анализе микроядер млекопитающих </w:t>
      </w:r>
      <w:r w:rsidRPr="00F918EE">
        <w:rPr>
          <w:i/>
          <w:iCs/>
          <w:lang w:bidi="en-US"/>
        </w:rPr>
        <w:t>in vivo</w:t>
      </w:r>
      <w:r w:rsidRPr="00F918EE">
        <w:rPr>
          <w:lang w:bidi="en-US"/>
        </w:rPr>
        <w:t>.</w:t>
      </w:r>
    </w:p>
    <w:p w14:paraId="353C1D4F" w14:textId="61CE3606" w:rsidR="000859AF" w:rsidRPr="00F918EE" w:rsidRDefault="000859AF" w:rsidP="008A7500">
      <w:pPr>
        <w:spacing w:after="0" w:line="240" w:lineRule="auto"/>
        <w:ind w:firstLine="709"/>
        <w:rPr>
          <w:lang w:bidi="en-US"/>
        </w:rPr>
      </w:pPr>
      <w:r w:rsidRPr="00F918EE">
        <w:rPr>
          <w:lang w:bidi="en-US"/>
        </w:rPr>
        <w:t>Репродуктивная токсичность была отмечена в исследованиях на крысах и кроликах. Фертильность самцов была снижена у крыс при 5,0 мг/кг (0,9-кратная экспозиция у человека); сперматозоиды были деформированы при 0,5 мг/кг (0,12</w:t>
      </w:r>
      <w:r w:rsidRPr="00F918EE">
        <w:rPr>
          <w:lang w:bidi="en-US"/>
        </w:rPr>
        <w:noBreakHyphen/>
        <w:t>кратная экспозиция у человека) без влияния на фертильность. В исследованиях эмбриофетального развития крыс пороки развития скел</w:t>
      </w:r>
      <w:r w:rsidR="00E30BFE">
        <w:rPr>
          <w:lang w:bidi="en-US"/>
        </w:rPr>
        <w:t xml:space="preserve">ета встречались чаще при дозах </w:t>
      </w:r>
      <w:r w:rsidRPr="00F918EE">
        <w:rPr>
          <w:lang w:bidi="en-US"/>
        </w:rPr>
        <w:t>0,3 мг/кг (0,09</w:t>
      </w:r>
      <w:r w:rsidRPr="00F918EE">
        <w:rPr>
          <w:lang w:bidi="en-US"/>
        </w:rPr>
        <w:noBreakHyphen/>
        <w:t>кратная экспозиция у человека). В исследованиях эмбриофетального развития на кроликах не наблюдалось воздействия на плод до тех пор, пока дозы не становились токсическими для матери (0,8 мг/кг, 0,14</w:t>
      </w:r>
      <w:r w:rsidRPr="00F918EE">
        <w:rPr>
          <w:lang w:bidi="en-US"/>
        </w:rPr>
        <w:noBreakHyphen/>
        <w:t>кратная экспозиция у человека).</w:t>
      </w:r>
    </w:p>
    <w:p w14:paraId="5E3D31D2" w14:textId="77777777" w:rsidR="000859AF" w:rsidRPr="00F918EE" w:rsidRDefault="000859AF" w:rsidP="008A7500">
      <w:pPr>
        <w:spacing w:after="0" w:line="240" w:lineRule="auto"/>
        <w:ind w:firstLine="709"/>
        <w:rPr>
          <w:lang w:bidi="en-US"/>
        </w:rPr>
      </w:pPr>
      <w:r w:rsidRPr="00F918EE">
        <w:rPr>
          <w:lang w:bidi="en-US"/>
        </w:rPr>
        <w:lastRenderedPageBreak/>
        <w:t>Доклинические проблемы безопасности, значимые для клинического применения:</w:t>
      </w:r>
    </w:p>
    <w:p w14:paraId="6CAD221F" w14:textId="77777777" w:rsidR="000859AF" w:rsidRPr="000859AF" w:rsidRDefault="000859AF" w:rsidP="008A7500">
      <w:pPr>
        <w:spacing w:after="0" w:line="240" w:lineRule="auto"/>
        <w:ind w:firstLine="709"/>
        <w:rPr>
          <w:lang w:bidi="en-US"/>
        </w:rPr>
      </w:pPr>
      <w:r w:rsidRPr="00F918EE">
        <w:rPr>
          <w:lang w:bidi="en-US"/>
        </w:rPr>
        <w:t>- Нефротоксичность имеет первостепенное значение, особенно при трансплантации почки. Этот эффект подробно описан для ингибиторов кальциневрина.</w:t>
      </w:r>
    </w:p>
    <w:p w14:paraId="4903017D" w14:textId="77777777" w:rsidR="000859AF" w:rsidRPr="000859AF" w:rsidRDefault="000859AF" w:rsidP="008A7500">
      <w:pPr>
        <w:spacing w:after="0" w:line="240" w:lineRule="auto"/>
        <w:ind w:firstLine="709"/>
        <w:rPr>
          <w:lang w:bidi="en-US"/>
        </w:rPr>
      </w:pPr>
      <w:r w:rsidRPr="00F918EE">
        <w:rPr>
          <w:lang w:bidi="en-US"/>
        </w:rPr>
        <w:t>- Токсичность для поджелудочной железы, также хорошо изученная для ингибиторов кальциневрина, потенциально приводящая к посттрансплантационному сахарному диабету.</w:t>
      </w:r>
    </w:p>
    <w:p w14:paraId="135CE66A" w14:textId="77777777" w:rsidR="000859AF" w:rsidRPr="000859AF" w:rsidRDefault="000859AF" w:rsidP="008A7500">
      <w:pPr>
        <w:spacing w:after="0" w:line="240" w:lineRule="auto"/>
        <w:ind w:firstLine="709"/>
        <w:rPr>
          <w:lang w:bidi="en-US"/>
        </w:rPr>
      </w:pPr>
      <w:r w:rsidRPr="00F918EE">
        <w:rPr>
          <w:lang w:bidi="en-US"/>
        </w:rPr>
        <w:t>- Репродуктивная токсичность/влияние на мужскую фертильность. Эверолимус противопоказан во время беременности, однако трансплантация органов, как правило, беременным женщинам не проводится. Снижение мужской фертильности может приводить к нарушению способности мужчин к оплодотворению после проведения трансплантации.</w:t>
      </w:r>
    </w:p>
    <w:p w14:paraId="6E00275A" w14:textId="77777777" w:rsidR="000859AF" w:rsidRPr="000859AF" w:rsidRDefault="000859AF" w:rsidP="008A7500">
      <w:pPr>
        <w:spacing w:after="0" w:line="240" w:lineRule="auto"/>
        <w:ind w:firstLine="709"/>
        <w:rPr>
          <w:lang w:bidi="en-US"/>
        </w:rPr>
      </w:pPr>
      <w:r w:rsidRPr="00F918EE">
        <w:rPr>
          <w:lang w:bidi="en-US"/>
        </w:rPr>
        <w:t>- Офтальмологическая токсичность, наблюдаемая у крыс (разрушение волокон в хрусталике), может вызвать проблемы со зрением.</w:t>
      </w:r>
    </w:p>
    <w:p w14:paraId="16F2A667" w14:textId="7E0CE32B" w:rsidR="000859AF" w:rsidRPr="00F918EE" w:rsidRDefault="000859AF" w:rsidP="008A7500">
      <w:pPr>
        <w:spacing w:after="0" w:line="240" w:lineRule="auto"/>
        <w:ind w:firstLine="709"/>
        <w:rPr>
          <w:lang w:bidi="en-US"/>
        </w:rPr>
      </w:pPr>
      <w:r w:rsidRPr="00F918EE">
        <w:rPr>
          <w:lang w:bidi="en-US"/>
        </w:rPr>
        <w:t>- Гиперхолестеринемия и гипертриглицеридемия, наблюдаемые у крыс и макак характерна и для других иммунодепрессантов, применяемых при трансплантации органов, поддаётся коррекции с помощью современной антигиперлип</w:t>
      </w:r>
      <w:r w:rsidR="00280A57">
        <w:rPr>
          <w:lang w:bidi="en-US"/>
        </w:rPr>
        <w:t>и</w:t>
      </w:r>
      <w:r w:rsidRPr="00F918EE">
        <w:rPr>
          <w:lang w:bidi="en-US"/>
        </w:rPr>
        <w:t>демической терапии после трансплантации.</w:t>
      </w:r>
    </w:p>
    <w:p w14:paraId="0983DC93" w14:textId="77777777" w:rsidR="0071249E" w:rsidRDefault="000859AF" w:rsidP="008A7500">
      <w:pPr>
        <w:spacing w:after="0" w:line="240" w:lineRule="auto"/>
        <w:ind w:firstLine="709"/>
        <w:rPr>
          <w:lang w:bidi="en-US"/>
        </w:rPr>
      </w:pPr>
      <w:r w:rsidRPr="00F918EE">
        <w:rPr>
          <w:lang w:bidi="en-US"/>
        </w:rPr>
        <w:t>Эверолимус оказывал минимальное воздействие при исследованиях неврологической, сердечно-сосудистой, легочной, почечной и желудочно-кишечной токсичности [6].</w:t>
      </w:r>
      <w:bookmarkStart w:id="206" w:name="_Toc118124184"/>
    </w:p>
    <w:p w14:paraId="32F858EE" w14:textId="11948375" w:rsidR="000859AF" w:rsidRPr="00F918EE" w:rsidRDefault="000859AF" w:rsidP="008A7500">
      <w:pPr>
        <w:pStyle w:val="3"/>
        <w:spacing w:after="240" w:line="240" w:lineRule="auto"/>
        <w:rPr>
          <w:rFonts w:ascii="Times New Roman" w:hAnsi="Times New Roman"/>
          <w:color w:val="000000" w:themeColor="text1"/>
        </w:rPr>
      </w:pPr>
      <w:bookmarkStart w:id="207" w:name="_Toc119313753"/>
      <w:r w:rsidRPr="00F918EE">
        <w:rPr>
          <w:rFonts w:ascii="Times New Roman" w:hAnsi="Times New Roman"/>
          <w:color w:val="000000" w:themeColor="text1"/>
        </w:rPr>
        <w:t>3.3.1. Токсичность при однократном введении</w:t>
      </w:r>
      <w:bookmarkEnd w:id="205"/>
      <w:bookmarkEnd w:id="206"/>
      <w:bookmarkEnd w:id="207"/>
    </w:p>
    <w:p w14:paraId="7C78684A" w14:textId="77777777" w:rsidR="000859AF" w:rsidRPr="00F918EE" w:rsidRDefault="000859AF" w:rsidP="008A7500">
      <w:pPr>
        <w:spacing w:after="0" w:line="240" w:lineRule="auto"/>
        <w:ind w:firstLine="709"/>
        <w:rPr>
          <w:color w:val="000000" w:themeColor="text1"/>
          <w:szCs w:val="28"/>
          <w:shd w:val="clear" w:color="auto" w:fill="FFFFFF"/>
        </w:rPr>
      </w:pPr>
      <w:bookmarkStart w:id="208" w:name="_Hlk113015710"/>
      <w:r w:rsidRPr="00F918EE">
        <w:rPr>
          <w:color w:val="000000" w:themeColor="text1"/>
          <w:szCs w:val="28"/>
          <w:shd w:val="clear" w:color="auto" w:fill="FFFFFF"/>
        </w:rPr>
        <w:t xml:space="preserve">Исследования однократной токсичности проводились у крыс и мышей. Эверолимус показал низкий острый токсический потенциал после перорального введения у мышей и крыс. </w:t>
      </w:r>
    </w:p>
    <w:p w14:paraId="3245EA2D" w14:textId="77777777" w:rsidR="000859AF" w:rsidRPr="00F918EE" w:rsidRDefault="000859AF" w:rsidP="008A7500">
      <w:pPr>
        <w:spacing w:after="0" w:line="240" w:lineRule="auto"/>
        <w:ind w:firstLine="709"/>
        <w:rPr>
          <w:color w:val="000000" w:themeColor="text1"/>
          <w:szCs w:val="28"/>
          <w:shd w:val="clear" w:color="auto" w:fill="FFFFFF"/>
        </w:rPr>
      </w:pPr>
      <w:r w:rsidRPr="00F918EE">
        <w:rPr>
          <w:color w:val="000000" w:themeColor="text1"/>
          <w:szCs w:val="28"/>
          <w:shd w:val="clear" w:color="auto" w:fill="FFFFFF"/>
        </w:rPr>
        <w:t xml:space="preserve">При исследовании на мышах (5 самок и 5 самцов) эверолимус вводили перорально в дозе 2000 мг/кг с последующим 14-дневным наблюдением. Летальных исходов в исследовании не было. У одной самки наблюдалось незначительное снижение массы тела. У двух самок наблюдались легкая одышка и взъерошенность шерсти от легкой до умеренной. Других эффектов не наблюдалось </w:t>
      </w:r>
      <w:r w:rsidRPr="00F918EE">
        <w:rPr>
          <w:color w:val="000000" w:themeColor="text1"/>
        </w:rPr>
        <w:t>[6].</w:t>
      </w:r>
    </w:p>
    <w:p w14:paraId="3F358D99" w14:textId="77777777" w:rsidR="000859AF" w:rsidRPr="00F918EE" w:rsidRDefault="000859AF" w:rsidP="000859AF">
      <w:pPr>
        <w:spacing w:after="0" w:line="240" w:lineRule="auto"/>
        <w:ind w:firstLine="709"/>
        <w:rPr>
          <w:color w:val="000000" w:themeColor="text1"/>
          <w:szCs w:val="28"/>
          <w:shd w:val="clear" w:color="auto" w:fill="FFFFFF"/>
        </w:rPr>
      </w:pPr>
      <w:r w:rsidRPr="00F918EE">
        <w:rPr>
          <w:color w:val="000000" w:themeColor="text1"/>
          <w:szCs w:val="28"/>
          <w:shd w:val="clear" w:color="auto" w:fill="FFFFFF"/>
        </w:rPr>
        <w:t xml:space="preserve">При исследовании на мышах (5 самок и 5 самцов) эверолимус вводили перорально в дозе 2000 мг/кг с последующим 14-дневным наблюдением. Летальных исходов или значительных эффектов не было </w:t>
      </w:r>
      <w:r w:rsidRPr="00F918EE">
        <w:rPr>
          <w:color w:val="000000" w:themeColor="text1"/>
        </w:rPr>
        <w:t>[6].</w:t>
      </w:r>
    </w:p>
    <w:bookmarkEnd w:id="208"/>
    <w:p w14:paraId="04860AD7" w14:textId="77777777" w:rsidR="000859AF" w:rsidRPr="00F918EE" w:rsidRDefault="000859AF" w:rsidP="000859AF">
      <w:pPr>
        <w:spacing w:after="0" w:line="240" w:lineRule="auto"/>
        <w:ind w:firstLine="709"/>
        <w:rPr>
          <w:color w:val="000000" w:themeColor="text1"/>
          <w:szCs w:val="28"/>
          <w:shd w:val="clear" w:color="auto" w:fill="FFFFFF"/>
        </w:rPr>
      </w:pPr>
      <w:r w:rsidRPr="00F918EE">
        <w:rPr>
          <w:color w:val="000000" w:themeColor="text1"/>
          <w:szCs w:val="28"/>
          <w:shd w:val="clear" w:color="auto" w:fill="FFFFFF"/>
        </w:rPr>
        <w:t>Низкая острая токсичность при пероральном введении указывает на то, что существует минимальный риск интоксикации после случайной или преднамеренной передозировки [1].</w:t>
      </w:r>
    </w:p>
    <w:p w14:paraId="255A8EEF" w14:textId="77777777" w:rsidR="000859AF" w:rsidRPr="005A0186" w:rsidRDefault="000859AF" w:rsidP="000859AF">
      <w:pPr>
        <w:spacing w:after="0" w:line="240" w:lineRule="auto"/>
        <w:ind w:firstLine="709"/>
        <w:rPr>
          <w:color w:val="000000" w:themeColor="text1"/>
          <w:szCs w:val="28"/>
          <w:shd w:val="clear" w:color="auto" w:fill="FFFFFF"/>
        </w:rPr>
      </w:pPr>
      <w:r w:rsidRPr="00F918EE">
        <w:rPr>
          <w:color w:val="000000" w:themeColor="text1"/>
          <w:szCs w:val="28"/>
          <w:shd w:val="clear" w:color="auto" w:fill="FFFFFF"/>
        </w:rPr>
        <w:t>Внутривенное введение мышам в дозах до 96 мг/кг не вызывало летальности, тогда как 6 из 20 контрольных животных погибали от такого же количества носителя. У крыс внутривенное введение в дозах 10 и 40 мг/кг приводило к летальному исходу, но при дозе 2,5 мг/кг все животные выжили. Результаты исследований токсичности эверолимуса при однократном применении представлены в таблице 3-2 [5].</w:t>
      </w:r>
    </w:p>
    <w:p w14:paraId="1E2A1C7A" w14:textId="77777777" w:rsidR="000859AF" w:rsidRPr="005A0186" w:rsidRDefault="000859AF" w:rsidP="000859AF">
      <w:pPr>
        <w:spacing w:after="0" w:line="240" w:lineRule="auto"/>
        <w:ind w:firstLine="709"/>
        <w:rPr>
          <w:color w:val="000000" w:themeColor="text1"/>
          <w:szCs w:val="28"/>
          <w:shd w:val="clear" w:color="auto" w:fill="FFFFFF"/>
        </w:rPr>
      </w:pPr>
    </w:p>
    <w:p w14:paraId="509329E5" w14:textId="77777777" w:rsidR="000859AF" w:rsidRDefault="000859AF" w:rsidP="000859AF">
      <w:pPr>
        <w:spacing w:after="0" w:line="240" w:lineRule="auto"/>
        <w:rPr>
          <w:color w:val="000000" w:themeColor="text1"/>
        </w:rPr>
      </w:pPr>
      <w:r w:rsidRPr="00F918EE">
        <w:rPr>
          <w:b/>
          <w:color w:val="000000" w:themeColor="text1"/>
        </w:rPr>
        <w:lastRenderedPageBreak/>
        <w:t>Таблица</w:t>
      </w:r>
      <w:r w:rsidRPr="000859AF">
        <w:rPr>
          <w:b/>
          <w:color w:val="000000" w:themeColor="text1"/>
        </w:rPr>
        <w:t xml:space="preserve"> 3-2</w:t>
      </w:r>
      <w:r w:rsidRPr="00F918EE">
        <w:rPr>
          <w:b/>
          <w:color w:val="000000" w:themeColor="text1"/>
        </w:rPr>
        <w:t>.</w:t>
      </w:r>
      <w:r>
        <w:rPr>
          <w:color w:val="000000" w:themeColor="text1"/>
        </w:rPr>
        <w:t xml:space="preserve"> Исследования токсичности эверолимуса при однократном введении</w:t>
      </w:r>
      <w:r w:rsidRPr="000A7569">
        <w:rPr>
          <w:color w:val="000000" w:themeColor="text1"/>
        </w:rPr>
        <w:t>.</w:t>
      </w:r>
    </w:p>
    <w:tbl>
      <w:tblPr>
        <w:tblOverlap w:val="never"/>
        <w:tblW w:w="5000" w:type="pct"/>
        <w:tblCellMar>
          <w:left w:w="10" w:type="dxa"/>
          <w:right w:w="10" w:type="dxa"/>
        </w:tblCellMar>
        <w:tblLook w:val="04A0" w:firstRow="1" w:lastRow="0" w:firstColumn="1" w:lastColumn="0" w:noHBand="0" w:noVBand="1"/>
      </w:tblPr>
      <w:tblGrid>
        <w:gridCol w:w="2193"/>
        <w:gridCol w:w="1038"/>
        <w:gridCol w:w="1419"/>
        <w:gridCol w:w="2148"/>
        <w:gridCol w:w="2548"/>
      </w:tblGrid>
      <w:tr w:rsidR="000859AF" w:rsidRPr="007F69D5" w14:paraId="4DC8AF7E" w14:textId="77777777" w:rsidTr="008A7500">
        <w:trPr>
          <w:tblHeader/>
        </w:trPr>
        <w:tc>
          <w:tcPr>
            <w:tcW w:w="1173" w:type="pct"/>
            <w:tcBorders>
              <w:top w:val="single" w:sz="4" w:space="0" w:color="auto"/>
              <w:left w:val="single" w:sz="4" w:space="0" w:color="auto"/>
            </w:tcBorders>
            <w:shd w:val="clear" w:color="auto" w:fill="D9D9D9" w:themeFill="background1" w:themeFillShade="D9"/>
            <w:vAlign w:val="center"/>
          </w:tcPr>
          <w:p w14:paraId="38BB0B29" w14:textId="77777777" w:rsidR="000859AF" w:rsidRPr="0071249E" w:rsidRDefault="000859AF" w:rsidP="008A7500">
            <w:pPr>
              <w:spacing w:after="0" w:line="240" w:lineRule="auto"/>
              <w:jc w:val="center"/>
              <w:rPr>
                <w:sz w:val="22"/>
                <w:szCs w:val="22"/>
                <w:lang w:bidi="en-US"/>
              </w:rPr>
            </w:pPr>
            <w:r w:rsidRPr="0071249E">
              <w:rPr>
                <w:b/>
                <w:bCs/>
                <w:sz w:val="22"/>
                <w:szCs w:val="22"/>
                <w:lang w:bidi="en-US"/>
              </w:rPr>
              <w:t>Идентификационный номер исследования/ соответствие GLP</w:t>
            </w:r>
          </w:p>
        </w:tc>
        <w:tc>
          <w:tcPr>
            <w:tcW w:w="556" w:type="pct"/>
            <w:tcBorders>
              <w:top w:val="single" w:sz="4" w:space="0" w:color="auto"/>
              <w:left w:val="single" w:sz="4" w:space="0" w:color="auto"/>
            </w:tcBorders>
            <w:shd w:val="clear" w:color="auto" w:fill="D9D9D9" w:themeFill="background1" w:themeFillShade="D9"/>
            <w:vAlign w:val="center"/>
          </w:tcPr>
          <w:p w14:paraId="7AA7FCFB" w14:textId="77777777" w:rsidR="000859AF" w:rsidRPr="0071249E" w:rsidRDefault="000859AF" w:rsidP="008A7500">
            <w:pPr>
              <w:spacing w:after="0" w:line="240" w:lineRule="auto"/>
              <w:jc w:val="center"/>
              <w:rPr>
                <w:sz w:val="22"/>
                <w:szCs w:val="22"/>
                <w:lang w:bidi="en-US"/>
              </w:rPr>
            </w:pPr>
            <w:r w:rsidRPr="0071249E">
              <w:rPr>
                <w:b/>
                <w:bCs/>
                <w:sz w:val="22"/>
                <w:szCs w:val="22"/>
                <w:lang w:bidi="en-US"/>
              </w:rPr>
              <w:t>Вид/ пол/ число/ группа</w:t>
            </w:r>
          </w:p>
        </w:tc>
        <w:tc>
          <w:tcPr>
            <w:tcW w:w="759" w:type="pct"/>
            <w:tcBorders>
              <w:top w:val="single" w:sz="4" w:space="0" w:color="auto"/>
              <w:left w:val="single" w:sz="4" w:space="0" w:color="auto"/>
            </w:tcBorders>
            <w:shd w:val="clear" w:color="auto" w:fill="D9D9D9" w:themeFill="background1" w:themeFillShade="D9"/>
            <w:vAlign w:val="center"/>
          </w:tcPr>
          <w:p w14:paraId="19A12844" w14:textId="77777777" w:rsidR="000859AF" w:rsidRPr="0071249E" w:rsidRDefault="000859AF" w:rsidP="008A7500">
            <w:pPr>
              <w:spacing w:after="0" w:line="240" w:lineRule="auto"/>
              <w:jc w:val="center"/>
              <w:rPr>
                <w:sz w:val="22"/>
                <w:szCs w:val="22"/>
                <w:lang w:bidi="en-US"/>
              </w:rPr>
            </w:pPr>
            <w:r w:rsidRPr="0071249E">
              <w:rPr>
                <w:b/>
                <w:bCs/>
                <w:sz w:val="22"/>
                <w:szCs w:val="22"/>
                <w:lang w:bidi="en-US"/>
              </w:rPr>
              <w:t>Доза (мг/кг)/способ введения</w:t>
            </w:r>
          </w:p>
        </w:tc>
        <w:tc>
          <w:tcPr>
            <w:tcW w:w="1149" w:type="pct"/>
            <w:tcBorders>
              <w:top w:val="single" w:sz="4" w:space="0" w:color="auto"/>
              <w:left w:val="single" w:sz="4" w:space="0" w:color="auto"/>
            </w:tcBorders>
            <w:shd w:val="clear" w:color="auto" w:fill="D9D9D9" w:themeFill="background1" w:themeFillShade="D9"/>
            <w:vAlign w:val="center"/>
          </w:tcPr>
          <w:p w14:paraId="56926E93" w14:textId="77777777" w:rsidR="000859AF" w:rsidRPr="0071249E" w:rsidRDefault="000859AF" w:rsidP="008A7500">
            <w:pPr>
              <w:spacing w:after="0" w:line="240" w:lineRule="auto"/>
              <w:jc w:val="center"/>
              <w:rPr>
                <w:sz w:val="22"/>
                <w:szCs w:val="22"/>
                <w:lang w:bidi="en-US"/>
              </w:rPr>
            </w:pPr>
            <w:r w:rsidRPr="0071249E">
              <w:rPr>
                <w:b/>
                <w:bCs/>
                <w:sz w:val="22"/>
                <w:szCs w:val="22"/>
                <w:lang w:bidi="en-US"/>
              </w:rPr>
              <w:t>Прибл. летальная доза/ наблюдаемая максимальная нелетальная доза (мг/кг)</w:t>
            </w:r>
          </w:p>
        </w:tc>
        <w:tc>
          <w:tcPr>
            <w:tcW w:w="1363" w:type="pct"/>
            <w:tcBorders>
              <w:top w:val="single" w:sz="4" w:space="0" w:color="auto"/>
              <w:left w:val="single" w:sz="4" w:space="0" w:color="auto"/>
              <w:right w:val="single" w:sz="4" w:space="0" w:color="auto"/>
            </w:tcBorders>
            <w:shd w:val="clear" w:color="auto" w:fill="D9D9D9" w:themeFill="background1" w:themeFillShade="D9"/>
            <w:vAlign w:val="center"/>
          </w:tcPr>
          <w:p w14:paraId="4AA8EE3E" w14:textId="77777777" w:rsidR="000859AF" w:rsidRPr="0071249E" w:rsidRDefault="000859AF" w:rsidP="008A7500">
            <w:pPr>
              <w:spacing w:after="0" w:line="240" w:lineRule="auto"/>
              <w:jc w:val="center"/>
              <w:rPr>
                <w:sz w:val="22"/>
                <w:szCs w:val="22"/>
                <w:lang w:bidi="en-US"/>
              </w:rPr>
            </w:pPr>
            <w:r w:rsidRPr="0071249E">
              <w:rPr>
                <w:b/>
                <w:bCs/>
                <w:sz w:val="22"/>
                <w:szCs w:val="22"/>
                <w:lang w:bidi="en-US"/>
              </w:rPr>
              <w:t>Значимые наблюдения</w:t>
            </w:r>
          </w:p>
        </w:tc>
      </w:tr>
      <w:tr w:rsidR="000859AF" w:rsidRPr="007F69D5" w14:paraId="4FDD940B" w14:textId="77777777" w:rsidTr="008A7500">
        <w:tc>
          <w:tcPr>
            <w:tcW w:w="1173" w:type="pct"/>
            <w:tcBorders>
              <w:top w:val="single" w:sz="4" w:space="0" w:color="auto"/>
              <w:left w:val="single" w:sz="4" w:space="0" w:color="auto"/>
            </w:tcBorders>
            <w:shd w:val="clear" w:color="auto" w:fill="auto"/>
            <w:vAlign w:val="center"/>
          </w:tcPr>
          <w:p w14:paraId="27014EFD" w14:textId="77777777" w:rsidR="000859AF" w:rsidRPr="0071249E" w:rsidRDefault="000859AF" w:rsidP="008A7500">
            <w:pPr>
              <w:spacing w:after="0" w:line="240" w:lineRule="auto"/>
              <w:jc w:val="center"/>
              <w:rPr>
                <w:sz w:val="22"/>
                <w:szCs w:val="22"/>
                <w:lang w:bidi="en-US"/>
              </w:rPr>
            </w:pPr>
            <w:r w:rsidRPr="0071249E">
              <w:rPr>
                <w:sz w:val="22"/>
                <w:szCs w:val="22"/>
                <w:lang w:bidi="en-US"/>
              </w:rPr>
              <w:t>[RCC 393131], соответствует GLP</w:t>
            </w:r>
          </w:p>
        </w:tc>
        <w:tc>
          <w:tcPr>
            <w:tcW w:w="556" w:type="pct"/>
            <w:tcBorders>
              <w:top w:val="single" w:sz="4" w:space="0" w:color="auto"/>
              <w:left w:val="single" w:sz="4" w:space="0" w:color="auto"/>
            </w:tcBorders>
            <w:shd w:val="clear" w:color="auto" w:fill="auto"/>
            <w:vAlign w:val="center"/>
          </w:tcPr>
          <w:p w14:paraId="78400E0F" w14:textId="77777777" w:rsidR="000859AF" w:rsidRPr="0071249E" w:rsidRDefault="000859AF" w:rsidP="008A7500">
            <w:pPr>
              <w:spacing w:after="0" w:line="240" w:lineRule="auto"/>
              <w:jc w:val="center"/>
              <w:rPr>
                <w:sz w:val="22"/>
                <w:szCs w:val="22"/>
                <w:lang w:bidi="en-US"/>
              </w:rPr>
            </w:pPr>
            <w:r w:rsidRPr="0071249E">
              <w:rPr>
                <w:sz w:val="22"/>
                <w:szCs w:val="22"/>
                <w:lang w:bidi="en-US"/>
              </w:rPr>
              <w:t>Мыши, HanIbm: NMRI (SPF) 5 самцов, 5 самок</w:t>
            </w:r>
          </w:p>
        </w:tc>
        <w:tc>
          <w:tcPr>
            <w:tcW w:w="759" w:type="pct"/>
            <w:tcBorders>
              <w:top w:val="single" w:sz="4" w:space="0" w:color="auto"/>
              <w:left w:val="single" w:sz="4" w:space="0" w:color="auto"/>
            </w:tcBorders>
            <w:shd w:val="clear" w:color="auto" w:fill="auto"/>
            <w:vAlign w:val="center"/>
          </w:tcPr>
          <w:p w14:paraId="4C684099" w14:textId="77777777" w:rsidR="000859AF" w:rsidRPr="0071249E" w:rsidRDefault="000859AF" w:rsidP="008A7500">
            <w:pPr>
              <w:spacing w:after="0" w:line="240" w:lineRule="auto"/>
              <w:jc w:val="center"/>
              <w:rPr>
                <w:sz w:val="22"/>
                <w:szCs w:val="22"/>
                <w:lang w:bidi="en-US"/>
              </w:rPr>
            </w:pPr>
            <w:r w:rsidRPr="0071249E">
              <w:rPr>
                <w:sz w:val="22"/>
                <w:szCs w:val="22"/>
                <w:lang w:bidi="en-US"/>
              </w:rPr>
              <w:t>2000/ Через желудочный зонд</w:t>
            </w:r>
          </w:p>
        </w:tc>
        <w:tc>
          <w:tcPr>
            <w:tcW w:w="1149" w:type="pct"/>
            <w:tcBorders>
              <w:top w:val="single" w:sz="4" w:space="0" w:color="auto"/>
              <w:left w:val="single" w:sz="4" w:space="0" w:color="auto"/>
            </w:tcBorders>
            <w:shd w:val="clear" w:color="auto" w:fill="auto"/>
            <w:vAlign w:val="center"/>
          </w:tcPr>
          <w:p w14:paraId="5682FDAE" w14:textId="77777777" w:rsidR="000859AF" w:rsidRPr="0071249E" w:rsidRDefault="000859AF" w:rsidP="008A7500">
            <w:pPr>
              <w:spacing w:after="0" w:line="240" w:lineRule="auto"/>
              <w:jc w:val="center"/>
              <w:rPr>
                <w:sz w:val="22"/>
                <w:szCs w:val="22"/>
                <w:lang w:bidi="en-US"/>
              </w:rPr>
            </w:pPr>
            <w:r w:rsidRPr="0071249E">
              <w:rPr>
                <w:sz w:val="22"/>
                <w:szCs w:val="22"/>
                <w:lang w:bidi="en-US"/>
              </w:rPr>
              <w:t>&gt; 2000</w:t>
            </w:r>
          </w:p>
          <w:p w14:paraId="7A4ADCB7" w14:textId="77777777" w:rsidR="000859AF" w:rsidRPr="0071249E" w:rsidRDefault="000859AF" w:rsidP="008A7500">
            <w:pPr>
              <w:spacing w:after="0" w:line="240" w:lineRule="auto"/>
              <w:jc w:val="center"/>
              <w:rPr>
                <w:sz w:val="22"/>
                <w:szCs w:val="22"/>
                <w:lang w:bidi="en-US"/>
              </w:rPr>
            </w:pPr>
            <w:r w:rsidRPr="0071249E">
              <w:rPr>
                <w:sz w:val="22"/>
                <w:szCs w:val="22"/>
                <w:lang w:bidi="en-US"/>
              </w:rPr>
              <w:t>&gt; 2000</w:t>
            </w:r>
          </w:p>
        </w:tc>
        <w:tc>
          <w:tcPr>
            <w:tcW w:w="1363" w:type="pct"/>
            <w:tcBorders>
              <w:top w:val="single" w:sz="4" w:space="0" w:color="auto"/>
              <w:left w:val="single" w:sz="4" w:space="0" w:color="auto"/>
              <w:right w:val="single" w:sz="4" w:space="0" w:color="auto"/>
            </w:tcBorders>
            <w:shd w:val="clear" w:color="auto" w:fill="auto"/>
            <w:vAlign w:val="center"/>
          </w:tcPr>
          <w:p w14:paraId="250256E3" w14:textId="77777777" w:rsidR="000859AF" w:rsidRPr="0071249E" w:rsidRDefault="000859AF" w:rsidP="008A7500">
            <w:pPr>
              <w:spacing w:after="0" w:line="240" w:lineRule="auto"/>
              <w:rPr>
                <w:sz w:val="22"/>
                <w:szCs w:val="22"/>
                <w:lang w:bidi="en-US"/>
              </w:rPr>
            </w:pPr>
            <w:r w:rsidRPr="0071249E">
              <w:rPr>
                <w:sz w:val="22"/>
                <w:szCs w:val="22"/>
                <w:lang w:bidi="en-US"/>
              </w:rPr>
              <w:t>Смертность отсутствовала.</w:t>
            </w:r>
          </w:p>
          <w:p w14:paraId="65CC066C" w14:textId="77777777" w:rsidR="000859AF" w:rsidRPr="0071249E" w:rsidRDefault="000859AF" w:rsidP="008A7500">
            <w:pPr>
              <w:spacing w:after="0" w:line="240" w:lineRule="auto"/>
              <w:rPr>
                <w:sz w:val="22"/>
                <w:szCs w:val="22"/>
                <w:lang w:bidi="en-US"/>
              </w:rPr>
            </w:pPr>
            <w:r w:rsidRPr="0071249E">
              <w:rPr>
                <w:sz w:val="22"/>
                <w:szCs w:val="22"/>
                <w:lang w:bidi="en-US"/>
              </w:rPr>
              <w:sym w:font="Wingdings 3" w:char="F024"/>
            </w:r>
            <w:r w:rsidRPr="0071249E">
              <w:rPr>
                <w:sz w:val="22"/>
                <w:szCs w:val="22"/>
                <w:lang w:bidi="en-US"/>
              </w:rPr>
              <w:t xml:space="preserve"> Масса тела (1 самка)</w:t>
            </w:r>
          </w:p>
          <w:p w14:paraId="5F1F53C5" w14:textId="77777777" w:rsidR="000859AF" w:rsidRPr="0071249E" w:rsidRDefault="000859AF" w:rsidP="008A7500">
            <w:pPr>
              <w:spacing w:after="0" w:line="240" w:lineRule="auto"/>
              <w:rPr>
                <w:sz w:val="22"/>
                <w:szCs w:val="22"/>
                <w:lang w:bidi="en-US"/>
              </w:rPr>
            </w:pPr>
            <w:r w:rsidRPr="0071249E">
              <w:rPr>
                <w:sz w:val="22"/>
                <w:szCs w:val="22"/>
                <w:lang w:bidi="en-US"/>
              </w:rPr>
              <w:t>Легкая одышка и умеренно взъерошенная шерсть (2 самки);</w:t>
            </w:r>
          </w:p>
        </w:tc>
      </w:tr>
      <w:tr w:rsidR="000859AF" w:rsidRPr="007F69D5" w14:paraId="17201B36" w14:textId="77777777" w:rsidTr="008A7500">
        <w:tc>
          <w:tcPr>
            <w:tcW w:w="1173" w:type="pct"/>
            <w:tcBorders>
              <w:top w:val="single" w:sz="4" w:space="0" w:color="auto"/>
              <w:left w:val="single" w:sz="4" w:space="0" w:color="auto"/>
              <w:bottom w:val="single" w:sz="4" w:space="0" w:color="auto"/>
            </w:tcBorders>
            <w:shd w:val="clear" w:color="auto" w:fill="auto"/>
            <w:vAlign w:val="center"/>
          </w:tcPr>
          <w:p w14:paraId="02853DEB" w14:textId="77777777" w:rsidR="000859AF" w:rsidRPr="0071249E" w:rsidRDefault="000859AF" w:rsidP="008A7500">
            <w:pPr>
              <w:keepNext/>
              <w:keepLines/>
              <w:spacing w:after="0" w:line="240" w:lineRule="auto"/>
              <w:jc w:val="center"/>
              <w:rPr>
                <w:sz w:val="22"/>
                <w:szCs w:val="22"/>
                <w:lang w:bidi="en-US"/>
              </w:rPr>
            </w:pPr>
            <w:r w:rsidRPr="0071249E">
              <w:rPr>
                <w:sz w:val="22"/>
                <w:szCs w:val="22"/>
                <w:lang w:bidi="en-US"/>
              </w:rPr>
              <w:t>[RCC 393142], соответствует GLP</w:t>
            </w:r>
          </w:p>
        </w:tc>
        <w:tc>
          <w:tcPr>
            <w:tcW w:w="556" w:type="pct"/>
            <w:tcBorders>
              <w:top w:val="single" w:sz="4" w:space="0" w:color="auto"/>
              <w:left w:val="single" w:sz="4" w:space="0" w:color="auto"/>
              <w:bottom w:val="single" w:sz="4" w:space="0" w:color="auto"/>
            </w:tcBorders>
            <w:shd w:val="clear" w:color="auto" w:fill="auto"/>
            <w:vAlign w:val="center"/>
          </w:tcPr>
          <w:p w14:paraId="4CA524A1" w14:textId="77777777" w:rsidR="000859AF" w:rsidRPr="0071249E" w:rsidRDefault="000859AF" w:rsidP="008A7500">
            <w:pPr>
              <w:keepNext/>
              <w:keepLines/>
              <w:spacing w:after="0" w:line="240" w:lineRule="auto"/>
              <w:jc w:val="center"/>
              <w:rPr>
                <w:sz w:val="22"/>
                <w:szCs w:val="22"/>
                <w:lang w:bidi="en-US"/>
              </w:rPr>
            </w:pPr>
            <w:r w:rsidRPr="0071249E">
              <w:rPr>
                <w:sz w:val="22"/>
                <w:szCs w:val="22"/>
                <w:lang w:bidi="en-US"/>
              </w:rPr>
              <w:t>Мыши, HanIbm: NMRI (SPF) 5 самцов, 5 самок</w:t>
            </w:r>
          </w:p>
        </w:tc>
        <w:tc>
          <w:tcPr>
            <w:tcW w:w="759" w:type="pct"/>
            <w:tcBorders>
              <w:top w:val="single" w:sz="4" w:space="0" w:color="auto"/>
              <w:left w:val="single" w:sz="4" w:space="0" w:color="auto"/>
              <w:bottom w:val="single" w:sz="4" w:space="0" w:color="auto"/>
            </w:tcBorders>
            <w:shd w:val="clear" w:color="auto" w:fill="auto"/>
            <w:vAlign w:val="center"/>
          </w:tcPr>
          <w:p w14:paraId="767B2089" w14:textId="77777777" w:rsidR="000859AF" w:rsidRPr="0071249E" w:rsidRDefault="000859AF" w:rsidP="008A7500">
            <w:pPr>
              <w:keepNext/>
              <w:keepLines/>
              <w:spacing w:after="0" w:line="240" w:lineRule="auto"/>
              <w:jc w:val="center"/>
              <w:rPr>
                <w:sz w:val="22"/>
                <w:szCs w:val="22"/>
                <w:lang w:bidi="en-US"/>
              </w:rPr>
            </w:pPr>
            <w:r w:rsidRPr="0071249E">
              <w:rPr>
                <w:sz w:val="22"/>
                <w:szCs w:val="22"/>
                <w:lang w:bidi="en-US"/>
              </w:rPr>
              <w:t>0, 0, 40, 60, 96 внутривенно</w:t>
            </w:r>
          </w:p>
        </w:tc>
        <w:tc>
          <w:tcPr>
            <w:tcW w:w="1149" w:type="pct"/>
            <w:tcBorders>
              <w:top w:val="single" w:sz="4" w:space="0" w:color="auto"/>
              <w:left w:val="single" w:sz="4" w:space="0" w:color="auto"/>
              <w:bottom w:val="single" w:sz="4" w:space="0" w:color="auto"/>
            </w:tcBorders>
            <w:shd w:val="clear" w:color="auto" w:fill="auto"/>
            <w:vAlign w:val="center"/>
          </w:tcPr>
          <w:p w14:paraId="6C9C15C3" w14:textId="77777777" w:rsidR="000859AF" w:rsidRPr="0071249E" w:rsidRDefault="000859AF" w:rsidP="008A7500">
            <w:pPr>
              <w:keepNext/>
              <w:keepLines/>
              <w:spacing w:after="0" w:line="240" w:lineRule="auto"/>
              <w:jc w:val="center"/>
              <w:rPr>
                <w:sz w:val="22"/>
                <w:szCs w:val="22"/>
                <w:lang w:bidi="en-US"/>
              </w:rPr>
            </w:pPr>
            <w:r w:rsidRPr="0071249E">
              <w:rPr>
                <w:sz w:val="22"/>
                <w:szCs w:val="22"/>
                <w:lang w:bidi="en-US"/>
              </w:rPr>
              <w:t>&gt; 96</w:t>
            </w:r>
          </w:p>
          <w:p w14:paraId="3AFBCC8E" w14:textId="77777777" w:rsidR="000859AF" w:rsidRPr="0071249E" w:rsidRDefault="000859AF" w:rsidP="008A7500">
            <w:pPr>
              <w:keepNext/>
              <w:keepLines/>
              <w:spacing w:after="0" w:line="240" w:lineRule="auto"/>
              <w:jc w:val="center"/>
              <w:rPr>
                <w:sz w:val="22"/>
                <w:szCs w:val="22"/>
                <w:lang w:bidi="en-US"/>
              </w:rPr>
            </w:pPr>
            <w:r w:rsidRPr="0071249E">
              <w:rPr>
                <w:sz w:val="22"/>
                <w:szCs w:val="22"/>
                <w:lang w:bidi="en-US"/>
              </w:rPr>
              <w:t>&gt; 96</w:t>
            </w:r>
          </w:p>
        </w:tc>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68E34105" w14:textId="77777777" w:rsidR="000859AF" w:rsidRPr="0071249E" w:rsidRDefault="000859AF" w:rsidP="008A7500">
            <w:pPr>
              <w:keepNext/>
              <w:keepLines/>
              <w:spacing w:after="0" w:line="240" w:lineRule="auto"/>
              <w:rPr>
                <w:sz w:val="22"/>
                <w:szCs w:val="22"/>
                <w:lang w:bidi="en-US"/>
              </w:rPr>
            </w:pPr>
            <w:r w:rsidRPr="0071249E">
              <w:rPr>
                <w:sz w:val="22"/>
                <w:szCs w:val="22"/>
                <w:lang w:bidi="en-US"/>
              </w:rPr>
              <w:t>Смертность (группы плацебо);</w:t>
            </w:r>
          </w:p>
          <w:p w14:paraId="71424A0F" w14:textId="77777777" w:rsidR="000859AF" w:rsidRPr="0071249E" w:rsidRDefault="000859AF" w:rsidP="008A7500">
            <w:pPr>
              <w:keepNext/>
              <w:keepLines/>
              <w:spacing w:after="0" w:line="240" w:lineRule="auto"/>
              <w:rPr>
                <w:sz w:val="22"/>
                <w:szCs w:val="22"/>
                <w:lang w:bidi="en-US"/>
              </w:rPr>
            </w:pPr>
            <w:r w:rsidRPr="0071249E">
              <w:rPr>
                <w:sz w:val="22"/>
                <w:szCs w:val="22"/>
                <w:lang w:bidi="en-US"/>
              </w:rPr>
              <w:t>Седативный эффект, одышка, взъерошенная шерсть, положение лежа на животе и сгорбленная поза (все группы)</w:t>
            </w:r>
          </w:p>
        </w:tc>
      </w:tr>
      <w:tr w:rsidR="000859AF" w:rsidRPr="007F69D5" w14:paraId="004621E0" w14:textId="77777777" w:rsidTr="008A7500">
        <w:tc>
          <w:tcPr>
            <w:tcW w:w="1173" w:type="pct"/>
            <w:tcBorders>
              <w:top w:val="single" w:sz="4" w:space="0" w:color="auto"/>
              <w:left w:val="single" w:sz="4" w:space="0" w:color="auto"/>
            </w:tcBorders>
            <w:shd w:val="clear" w:color="auto" w:fill="auto"/>
            <w:vAlign w:val="center"/>
          </w:tcPr>
          <w:p w14:paraId="45C0A089" w14:textId="77777777" w:rsidR="000859AF" w:rsidRPr="0071249E" w:rsidRDefault="000859AF" w:rsidP="008A7500">
            <w:pPr>
              <w:spacing w:after="0" w:line="240" w:lineRule="auto"/>
              <w:jc w:val="center"/>
              <w:rPr>
                <w:sz w:val="22"/>
                <w:szCs w:val="22"/>
                <w:lang w:bidi="en-US"/>
              </w:rPr>
            </w:pPr>
            <w:r w:rsidRPr="0071249E">
              <w:rPr>
                <w:sz w:val="22"/>
                <w:szCs w:val="22"/>
                <w:lang w:bidi="en-US"/>
              </w:rPr>
              <w:t>[RCC 393118], соответствует GLP</w:t>
            </w:r>
          </w:p>
        </w:tc>
        <w:tc>
          <w:tcPr>
            <w:tcW w:w="556" w:type="pct"/>
            <w:tcBorders>
              <w:top w:val="single" w:sz="4" w:space="0" w:color="auto"/>
              <w:left w:val="single" w:sz="4" w:space="0" w:color="auto"/>
            </w:tcBorders>
            <w:shd w:val="clear" w:color="auto" w:fill="auto"/>
            <w:vAlign w:val="center"/>
          </w:tcPr>
          <w:p w14:paraId="09DB9146" w14:textId="77777777" w:rsidR="000859AF" w:rsidRPr="0071249E" w:rsidRDefault="000859AF" w:rsidP="008A7500">
            <w:pPr>
              <w:spacing w:after="0" w:line="240" w:lineRule="auto"/>
              <w:jc w:val="center"/>
              <w:rPr>
                <w:sz w:val="22"/>
                <w:szCs w:val="22"/>
              </w:rPr>
            </w:pPr>
            <w:r w:rsidRPr="0071249E">
              <w:rPr>
                <w:sz w:val="22"/>
                <w:szCs w:val="22"/>
              </w:rPr>
              <w:t xml:space="preserve">Крысы, </w:t>
            </w:r>
            <w:r w:rsidRPr="0071249E">
              <w:rPr>
                <w:sz w:val="22"/>
                <w:szCs w:val="22"/>
                <w:lang w:val="de-DE"/>
              </w:rPr>
              <w:t>HanIbm</w:t>
            </w:r>
            <w:r w:rsidRPr="0071249E">
              <w:rPr>
                <w:sz w:val="22"/>
                <w:szCs w:val="22"/>
              </w:rPr>
              <w:t xml:space="preserve">: </w:t>
            </w:r>
            <w:r w:rsidRPr="0071249E">
              <w:rPr>
                <w:sz w:val="22"/>
                <w:szCs w:val="22"/>
                <w:lang w:val="de-DE"/>
              </w:rPr>
              <w:t>WIST</w:t>
            </w:r>
            <w:r w:rsidRPr="0071249E">
              <w:rPr>
                <w:sz w:val="22"/>
                <w:szCs w:val="22"/>
              </w:rPr>
              <w:t xml:space="preserve"> (</w:t>
            </w:r>
            <w:r w:rsidRPr="0071249E">
              <w:rPr>
                <w:sz w:val="22"/>
                <w:szCs w:val="22"/>
                <w:lang w:val="de-DE"/>
              </w:rPr>
              <w:t>SPF</w:t>
            </w:r>
            <w:r w:rsidRPr="0071249E">
              <w:rPr>
                <w:sz w:val="22"/>
                <w:szCs w:val="22"/>
              </w:rPr>
              <w:t xml:space="preserve">) </w:t>
            </w:r>
            <w:r w:rsidRPr="0071249E">
              <w:rPr>
                <w:sz w:val="22"/>
                <w:szCs w:val="22"/>
                <w:lang w:bidi="en-US"/>
              </w:rPr>
              <w:t>5 самцов, 5 самок</w:t>
            </w:r>
          </w:p>
        </w:tc>
        <w:tc>
          <w:tcPr>
            <w:tcW w:w="759" w:type="pct"/>
            <w:tcBorders>
              <w:top w:val="single" w:sz="4" w:space="0" w:color="auto"/>
              <w:left w:val="single" w:sz="4" w:space="0" w:color="auto"/>
            </w:tcBorders>
            <w:shd w:val="clear" w:color="auto" w:fill="auto"/>
            <w:vAlign w:val="center"/>
          </w:tcPr>
          <w:p w14:paraId="4760D451" w14:textId="77777777" w:rsidR="000859AF" w:rsidRPr="0071249E" w:rsidRDefault="000859AF" w:rsidP="008A7500">
            <w:pPr>
              <w:spacing w:after="0" w:line="240" w:lineRule="auto"/>
              <w:jc w:val="center"/>
              <w:rPr>
                <w:sz w:val="22"/>
                <w:szCs w:val="22"/>
                <w:lang w:bidi="en-US"/>
              </w:rPr>
            </w:pPr>
            <w:r w:rsidRPr="0071249E">
              <w:rPr>
                <w:sz w:val="22"/>
                <w:szCs w:val="22"/>
                <w:lang w:bidi="en-US"/>
              </w:rPr>
              <w:t>2000/ Через желудочный зонд</w:t>
            </w:r>
          </w:p>
        </w:tc>
        <w:tc>
          <w:tcPr>
            <w:tcW w:w="1149" w:type="pct"/>
            <w:tcBorders>
              <w:top w:val="single" w:sz="4" w:space="0" w:color="auto"/>
              <w:left w:val="single" w:sz="4" w:space="0" w:color="auto"/>
            </w:tcBorders>
            <w:shd w:val="clear" w:color="auto" w:fill="auto"/>
            <w:vAlign w:val="center"/>
          </w:tcPr>
          <w:p w14:paraId="68BDEF81" w14:textId="77777777" w:rsidR="000859AF" w:rsidRPr="0071249E" w:rsidRDefault="000859AF" w:rsidP="008A7500">
            <w:pPr>
              <w:spacing w:after="0" w:line="240" w:lineRule="auto"/>
              <w:jc w:val="center"/>
              <w:rPr>
                <w:sz w:val="22"/>
                <w:szCs w:val="22"/>
                <w:lang w:bidi="en-US"/>
              </w:rPr>
            </w:pPr>
            <w:r w:rsidRPr="0071249E">
              <w:rPr>
                <w:sz w:val="22"/>
                <w:szCs w:val="22"/>
                <w:lang w:bidi="en-US"/>
              </w:rPr>
              <w:t>&gt; 2000</w:t>
            </w:r>
          </w:p>
          <w:p w14:paraId="599A1E06" w14:textId="77777777" w:rsidR="000859AF" w:rsidRPr="0071249E" w:rsidRDefault="000859AF" w:rsidP="008A7500">
            <w:pPr>
              <w:spacing w:after="0" w:line="240" w:lineRule="auto"/>
              <w:jc w:val="center"/>
              <w:rPr>
                <w:sz w:val="22"/>
                <w:szCs w:val="22"/>
                <w:lang w:bidi="en-US"/>
              </w:rPr>
            </w:pPr>
            <w:r w:rsidRPr="0071249E">
              <w:rPr>
                <w:sz w:val="22"/>
                <w:szCs w:val="22"/>
                <w:lang w:bidi="en-US"/>
              </w:rPr>
              <w:t>&gt; 2000</w:t>
            </w:r>
          </w:p>
        </w:tc>
        <w:tc>
          <w:tcPr>
            <w:tcW w:w="1363" w:type="pct"/>
            <w:tcBorders>
              <w:top w:val="single" w:sz="4" w:space="0" w:color="auto"/>
              <w:left w:val="single" w:sz="4" w:space="0" w:color="auto"/>
              <w:right w:val="single" w:sz="4" w:space="0" w:color="auto"/>
            </w:tcBorders>
            <w:shd w:val="clear" w:color="auto" w:fill="auto"/>
            <w:vAlign w:val="center"/>
          </w:tcPr>
          <w:p w14:paraId="087EB72E" w14:textId="77777777" w:rsidR="000859AF" w:rsidRPr="0071249E" w:rsidRDefault="000859AF" w:rsidP="008A7500">
            <w:pPr>
              <w:spacing w:after="0" w:line="240" w:lineRule="auto"/>
              <w:rPr>
                <w:sz w:val="22"/>
                <w:szCs w:val="22"/>
                <w:lang w:bidi="en-US"/>
              </w:rPr>
            </w:pPr>
            <w:r w:rsidRPr="0071249E">
              <w:rPr>
                <w:sz w:val="22"/>
                <w:szCs w:val="22"/>
                <w:lang w:bidi="en-US"/>
              </w:rPr>
              <w:t xml:space="preserve">незначительное </w:t>
            </w:r>
            <w:r w:rsidRPr="0071249E">
              <w:rPr>
                <w:sz w:val="22"/>
                <w:szCs w:val="22"/>
                <w:lang w:bidi="en-US"/>
              </w:rPr>
              <w:sym w:font="Wingdings 3" w:char="F024"/>
            </w:r>
            <w:r w:rsidRPr="0071249E">
              <w:rPr>
                <w:sz w:val="22"/>
                <w:szCs w:val="22"/>
                <w:lang w:bidi="en-US"/>
              </w:rPr>
              <w:t xml:space="preserve"> массы тела (1 самец)</w:t>
            </w:r>
          </w:p>
        </w:tc>
      </w:tr>
      <w:tr w:rsidR="000859AF" w:rsidRPr="007F69D5" w14:paraId="0475E02C" w14:textId="77777777" w:rsidTr="008A7500">
        <w:tc>
          <w:tcPr>
            <w:tcW w:w="1173" w:type="pct"/>
            <w:tcBorders>
              <w:top w:val="single" w:sz="4" w:space="0" w:color="auto"/>
              <w:left w:val="single" w:sz="4" w:space="0" w:color="auto"/>
              <w:bottom w:val="single" w:sz="4" w:space="0" w:color="auto"/>
            </w:tcBorders>
            <w:shd w:val="clear" w:color="auto" w:fill="auto"/>
            <w:vAlign w:val="center"/>
          </w:tcPr>
          <w:p w14:paraId="1D8E50C4" w14:textId="77777777" w:rsidR="000859AF" w:rsidRPr="0071249E" w:rsidRDefault="000859AF" w:rsidP="008A7500">
            <w:pPr>
              <w:spacing w:after="0" w:line="240" w:lineRule="auto"/>
              <w:jc w:val="center"/>
              <w:rPr>
                <w:sz w:val="22"/>
                <w:szCs w:val="22"/>
                <w:lang w:bidi="en-US"/>
              </w:rPr>
            </w:pPr>
            <w:r w:rsidRPr="0071249E">
              <w:rPr>
                <w:sz w:val="22"/>
                <w:szCs w:val="22"/>
                <w:lang w:bidi="en-US"/>
              </w:rPr>
              <w:t>[RCC 393120], соответствует GLP</w:t>
            </w:r>
          </w:p>
        </w:tc>
        <w:tc>
          <w:tcPr>
            <w:tcW w:w="556" w:type="pct"/>
            <w:tcBorders>
              <w:top w:val="single" w:sz="4" w:space="0" w:color="auto"/>
              <w:left w:val="single" w:sz="4" w:space="0" w:color="auto"/>
              <w:bottom w:val="single" w:sz="4" w:space="0" w:color="auto"/>
            </w:tcBorders>
            <w:shd w:val="clear" w:color="auto" w:fill="auto"/>
            <w:vAlign w:val="center"/>
          </w:tcPr>
          <w:p w14:paraId="77BD2021" w14:textId="77777777" w:rsidR="000859AF" w:rsidRPr="0071249E" w:rsidRDefault="000859AF" w:rsidP="008A7500">
            <w:pPr>
              <w:spacing w:after="0" w:line="240" w:lineRule="auto"/>
              <w:jc w:val="center"/>
              <w:rPr>
                <w:sz w:val="22"/>
                <w:szCs w:val="22"/>
              </w:rPr>
            </w:pPr>
            <w:r w:rsidRPr="0071249E">
              <w:rPr>
                <w:sz w:val="22"/>
                <w:szCs w:val="22"/>
              </w:rPr>
              <w:t xml:space="preserve">Крысы, </w:t>
            </w:r>
            <w:r w:rsidRPr="0071249E">
              <w:rPr>
                <w:sz w:val="22"/>
                <w:szCs w:val="22"/>
                <w:lang w:val="de-DE"/>
              </w:rPr>
              <w:t>HanIbm</w:t>
            </w:r>
            <w:r w:rsidRPr="0071249E">
              <w:rPr>
                <w:sz w:val="22"/>
                <w:szCs w:val="22"/>
              </w:rPr>
              <w:t xml:space="preserve">: </w:t>
            </w:r>
            <w:r w:rsidRPr="0071249E">
              <w:rPr>
                <w:sz w:val="22"/>
                <w:szCs w:val="22"/>
                <w:lang w:val="de-DE"/>
              </w:rPr>
              <w:t>WIST</w:t>
            </w:r>
            <w:r w:rsidRPr="0071249E">
              <w:rPr>
                <w:sz w:val="22"/>
                <w:szCs w:val="22"/>
              </w:rPr>
              <w:t xml:space="preserve"> (</w:t>
            </w:r>
            <w:r w:rsidRPr="0071249E">
              <w:rPr>
                <w:sz w:val="22"/>
                <w:szCs w:val="22"/>
                <w:lang w:val="de-DE"/>
              </w:rPr>
              <w:t>SPF</w:t>
            </w:r>
            <w:r w:rsidRPr="0071249E">
              <w:rPr>
                <w:sz w:val="22"/>
                <w:szCs w:val="22"/>
              </w:rPr>
              <w:t xml:space="preserve">) </w:t>
            </w:r>
            <w:r w:rsidRPr="0071249E">
              <w:rPr>
                <w:sz w:val="22"/>
                <w:szCs w:val="22"/>
                <w:lang w:bidi="en-US"/>
              </w:rPr>
              <w:t>5 самцов, 5 самок</w:t>
            </w:r>
          </w:p>
        </w:tc>
        <w:tc>
          <w:tcPr>
            <w:tcW w:w="759" w:type="pct"/>
            <w:tcBorders>
              <w:top w:val="single" w:sz="4" w:space="0" w:color="auto"/>
              <w:left w:val="single" w:sz="4" w:space="0" w:color="auto"/>
              <w:bottom w:val="single" w:sz="4" w:space="0" w:color="auto"/>
            </w:tcBorders>
            <w:shd w:val="clear" w:color="auto" w:fill="auto"/>
            <w:vAlign w:val="center"/>
          </w:tcPr>
          <w:p w14:paraId="2D8691AB" w14:textId="77777777" w:rsidR="000859AF" w:rsidRPr="0071249E" w:rsidRDefault="000859AF" w:rsidP="008A7500">
            <w:pPr>
              <w:spacing w:after="0" w:line="240" w:lineRule="auto"/>
              <w:jc w:val="center"/>
              <w:rPr>
                <w:sz w:val="22"/>
                <w:szCs w:val="22"/>
                <w:lang w:bidi="en-US"/>
              </w:rPr>
            </w:pPr>
            <w:r w:rsidRPr="0071249E">
              <w:rPr>
                <w:sz w:val="22"/>
                <w:szCs w:val="22"/>
                <w:lang w:bidi="en-US"/>
              </w:rPr>
              <w:t>2,5, 10, 40 внутривенно</w:t>
            </w:r>
          </w:p>
        </w:tc>
        <w:tc>
          <w:tcPr>
            <w:tcW w:w="1149" w:type="pct"/>
            <w:tcBorders>
              <w:top w:val="single" w:sz="4" w:space="0" w:color="auto"/>
              <w:left w:val="single" w:sz="4" w:space="0" w:color="auto"/>
              <w:bottom w:val="single" w:sz="4" w:space="0" w:color="auto"/>
            </w:tcBorders>
            <w:shd w:val="clear" w:color="auto" w:fill="auto"/>
            <w:vAlign w:val="center"/>
          </w:tcPr>
          <w:p w14:paraId="1E8F1461" w14:textId="77777777" w:rsidR="000859AF" w:rsidRPr="0071249E" w:rsidRDefault="000859AF" w:rsidP="008A7500">
            <w:pPr>
              <w:spacing w:after="0" w:line="240" w:lineRule="auto"/>
              <w:jc w:val="center"/>
              <w:rPr>
                <w:sz w:val="22"/>
                <w:szCs w:val="22"/>
                <w:lang w:bidi="en-US"/>
              </w:rPr>
            </w:pPr>
            <w:r w:rsidRPr="0071249E">
              <w:rPr>
                <w:sz w:val="22"/>
                <w:szCs w:val="22"/>
                <w:lang w:bidi="en-US"/>
              </w:rPr>
              <w:t>10</w:t>
            </w:r>
          </w:p>
          <w:p w14:paraId="720D9D1C" w14:textId="77777777" w:rsidR="000859AF" w:rsidRPr="0071249E" w:rsidRDefault="000859AF" w:rsidP="008A7500">
            <w:pPr>
              <w:spacing w:after="0" w:line="240" w:lineRule="auto"/>
              <w:jc w:val="center"/>
              <w:rPr>
                <w:sz w:val="22"/>
                <w:szCs w:val="22"/>
                <w:lang w:bidi="en-US"/>
              </w:rPr>
            </w:pPr>
            <w:r w:rsidRPr="0071249E">
              <w:rPr>
                <w:sz w:val="22"/>
                <w:szCs w:val="22"/>
                <w:lang w:bidi="en-US"/>
              </w:rPr>
              <w:t>2,5</w:t>
            </w:r>
          </w:p>
        </w:tc>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0F512D24" w14:textId="77777777" w:rsidR="000859AF" w:rsidRPr="0071249E" w:rsidRDefault="000859AF" w:rsidP="008A7500">
            <w:pPr>
              <w:spacing w:after="0" w:line="240" w:lineRule="auto"/>
              <w:rPr>
                <w:sz w:val="22"/>
                <w:szCs w:val="22"/>
                <w:lang w:bidi="en-US"/>
              </w:rPr>
            </w:pPr>
            <w:r w:rsidRPr="0071249E">
              <w:rPr>
                <w:sz w:val="22"/>
                <w:szCs w:val="22"/>
                <w:lang w:bidi="en-US"/>
              </w:rPr>
              <w:t>≥ 10 мг/кг: Смертность (100 %);</w:t>
            </w:r>
          </w:p>
          <w:p w14:paraId="383D7C32" w14:textId="77777777" w:rsidR="000859AF" w:rsidRPr="0071249E" w:rsidRDefault="000859AF" w:rsidP="008A7500">
            <w:pPr>
              <w:spacing w:after="0" w:line="240" w:lineRule="auto"/>
              <w:rPr>
                <w:sz w:val="22"/>
                <w:szCs w:val="22"/>
                <w:lang w:bidi="en-US"/>
              </w:rPr>
            </w:pPr>
            <w:r w:rsidRPr="0071249E">
              <w:rPr>
                <w:sz w:val="22"/>
                <w:szCs w:val="22"/>
                <w:lang w:bidi="en-US"/>
              </w:rPr>
              <w:t>Седативный эффект, одышка, положение лежа на животе или на боку, судороги;</w:t>
            </w:r>
          </w:p>
          <w:p w14:paraId="29D253E5" w14:textId="77777777" w:rsidR="000859AF" w:rsidRPr="0071249E" w:rsidRDefault="000859AF" w:rsidP="008A7500">
            <w:pPr>
              <w:spacing w:after="0" w:line="240" w:lineRule="auto"/>
              <w:rPr>
                <w:sz w:val="22"/>
                <w:szCs w:val="22"/>
                <w:lang w:bidi="en-US"/>
              </w:rPr>
            </w:pPr>
            <w:r w:rsidRPr="0071249E">
              <w:rPr>
                <w:sz w:val="22"/>
                <w:szCs w:val="22"/>
                <w:lang w:bidi="en-US"/>
              </w:rPr>
              <w:t>10 мг/кг: темно-красное окрашивание легких;</w:t>
            </w:r>
          </w:p>
          <w:p w14:paraId="04E947D8" w14:textId="77777777" w:rsidR="000859AF" w:rsidRPr="0071249E" w:rsidRDefault="000859AF" w:rsidP="008A7500">
            <w:pPr>
              <w:spacing w:after="0" w:line="240" w:lineRule="auto"/>
              <w:rPr>
                <w:sz w:val="22"/>
                <w:szCs w:val="22"/>
                <w:lang w:bidi="en-US"/>
              </w:rPr>
            </w:pPr>
            <w:r w:rsidRPr="0071249E">
              <w:rPr>
                <w:sz w:val="22"/>
                <w:szCs w:val="22"/>
                <w:lang w:bidi="en-US"/>
              </w:rPr>
              <w:t>LD</w:t>
            </w:r>
            <w:r w:rsidRPr="0071249E">
              <w:rPr>
                <w:sz w:val="22"/>
                <w:szCs w:val="22"/>
                <w:vertAlign w:val="subscript"/>
                <w:lang w:bidi="en-US"/>
              </w:rPr>
              <w:t>50</w:t>
            </w:r>
            <w:r w:rsidRPr="0071249E">
              <w:rPr>
                <w:sz w:val="22"/>
                <w:szCs w:val="22"/>
                <w:lang w:bidi="en-US"/>
              </w:rPr>
              <w:t> = 6,3 мг/кг (рассчитано по LOGIT-модели)</w:t>
            </w:r>
          </w:p>
        </w:tc>
      </w:tr>
    </w:tbl>
    <w:p w14:paraId="39259C07" w14:textId="77777777" w:rsidR="000859AF" w:rsidRPr="00707D60" w:rsidRDefault="000859AF" w:rsidP="000859AF">
      <w:pPr>
        <w:spacing w:after="0" w:line="240" w:lineRule="auto"/>
        <w:rPr>
          <w:color w:val="000000" w:themeColor="text1"/>
          <w:highlight w:val="yellow"/>
        </w:rPr>
      </w:pPr>
    </w:p>
    <w:p w14:paraId="72DF7A2D" w14:textId="77777777" w:rsidR="000859AF" w:rsidRPr="00F918EE" w:rsidRDefault="000859AF" w:rsidP="000859AF">
      <w:pPr>
        <w:pStyle w:val="3"/>
        <w:spacing w:before="0" w:after="240" w:line="240" w:lineRule="auto"/>
        <w:rPr>
          <w:rFonts w:ascii="Times New Roman" w:hAnsi="Times New Roman"/>
          <w:color w:val="000000" w:themeColor="text1"/>
        </w:rPr>
      </w:pPr>
      <w:bookmarkStart w:id="209" w:name="_Toc115217950"/>
      <w:bookmarkStart w:id="210" w:name="_Toc118124185"/>
      <w:bookmarkStart w:id="211" w:name="_Toc119313754"/>
      <w:r w:rsidRPr="00F918EE">
        <w:rPr>
          <w:rFonts w:ascii="Times New Roman" w:hAnsi="Times New Roman"/>
          <w:color w:val="000000" w:themeColor="text1"/>
        </w:rPr>
        <w:t>3.3.2. Токсичность при многократном введении</w:t>
      </w:r>
      <w:bookmarkEnd w:id="209"/>
      <w:bookmarkEnd w:id="210"/>
      <w:bookmarkEnd w:id="211"/>
    </w:p>
    <w:p w14:paraId="025F150D" w14:textId="125598C8" w:rsidR="000859AF" w:rsidRPr="00F918EE" w:rsidRDefault="000859AF" w:rsidP="000859AF">
      <w:pPr>
        <w:spacing w:line="240" w:lineRule="auto"/>
        <w:ind w:firstLine="709"/>
        <w:contextualSpacing/>
        <w:rPr>
          <w:color w:val="000000" w:themeColor="text1"/>
          <w:szCs w:val="28"/>
          <w:shd w:val="clear" w:color="auto" w:fill="FFFFFF"/>
        </w:rPr>
      </w:pPr>
      <w:bookmarkStart w:id="212" w:name="_Hlk113015726"/>
      <w:bookmarkStart w:id="213" w:name="_Hlk521884142"/>
      <w:bookmarkEnd w:id="177"/>
      <w:r w:rsidRPr="00F918EE">
        <w:rPr>
          <w:color w:val="000000" w:themeColor="text1"/>
          <w:szCs w:val="28"/>
          <w:shd w:val="clear" w:color="auto" w:fill="FFFFFF"/>
        </w:rPr>
        <w:t>Токсикологические исследования при пероральном введении эверолимуса у крыс, мини-пигов и обезьян выявили следующие ораны-мишени: лимф</w:t>
      </w:r>
      <w:r w:rsidR="00280A57">
        <w:rPr>
          <w:color w:val="000000" w:themeColor="text1"/>
          <w:szCs w:val="28"/>
          <w:shd w:val="clear" w:color="auto" w:fill="FFFFFF"/>
        </w:rPr>
        <w:t>а</w:t>
      </w:r>
      <w:r w:rsidRPr="00F918EE">
        <w:rPr>
          <w:color w:val="000000" w:themeColor="text1"/>
          <w:szCs w:val="28"/>
          <w:shd w:val="clear" w:color="auto" w:fill="FFFFFF"/>
        </w:rPr>
        <w:t>тическая система (например, тимус, селезенка и лимфатические узлы: иммуносупрессия), сердце (дегенерация миокарда/миокардит), ЖКТ (мягкий кал и диарея), костный мозг (лейкоцитоз, повышенный процент палочкоядерных клеток, лимфопения), почки (тубулярная дегенерация), поджелудочная железа (дегенерация островковых клеток), мужские репродуктивные органы (снижение массы семенников и придатков яичек или незрелые семенники), матки (атрофия), яичники (аномалии развития фолликулов) и глаза (крысиные специфические признаки токсичности: отек, разрыв корковых волокон хрусталика) [6].</w:t>
      </w:r>
    </w:p>
    <w:p w14:paraId="14B73B36" w14:textId="21F57CAD" w:rsidR="000859AF" w:rsidRDefault="000859AF" w:rsidP="000859AF">
      <w:pPr>
        <w:spacing w:after="0" w:line="240" w:lineRule="auto"/>
        <w:ind w:firstLine="709"/>
        <w:contextualSpacing/>
        <w:rPr>
          <w:color w:val="000000" w:themeColor="text1"/>
          <w:szCs w:val="28"/>
          <w:shd w:val="clear" w:color="auto" w:fill="FFFFFF"/>
        </w:rPr>
      </w:pPr>
      <w:r w:rsidRPr="00F918EE">
        <w:rPr>
          <w:color w:val="000000" w:themeColor="text1"/>
          <w:szCs w:val="28"/>
          <w:shd w:val="clear" w:color="auto" w:fill="FFFFFF"/>
        </w:rPr>
        <w:t xml:space="preserve">Исследования токсичности повторных доз проводились у мышей в течение 13 недель, у крыс до 26 недель, у мини-пигов до 4 недель и у обезьян до 52 недель. </w:t>
      </w:r>
      <w:bookmarkEnd w:id="212"/>
      <w:r w:rsidRPr="00F918EE">
        <w:rPr>
          <w:color w:val="000000" w:themeColor="text1"/>
          <w:szCs w:val="28"/>
          <w:shd w:val="clear" w:color="auto" w:fill="FFFFFF"/>
        </w:rPr>
        <w:t xml:space="preserve">Дизайн исследований повторной дозы и основные выводы относительно токсичности представлены в таблицах 3-3 </w:t>
      </w:r>
      <w:r w:rsidRPr="00F918EE">
        <w:rPr>
          <w:color w:val="212121"/>
          <w:szCs w:val="28"/>
        </w:rPr>
        <w:t>[1, 5], 3-4 и 3-5 [6].</w:t>
      </w:r>
      <w:r w:rsidRPr="00707D60">
        <w:rPr>
          <w:color w:val="000000" w:themeColor="text1"/>
          <w:szCs w:val="28"/>
          <w:shd w:val="clear" w:color="auto" w:fill="FFFFFF"/>
        </w:rPr>
        <w:t xml:space="preserve"> </w:t>
      </w:r>
    </w:p>
    <w:p w14:paraId="441A5164" w14:textId="77777777" w:rsidR="008A7500" w:rsidRDefault="008A7500" w:rsidP="000859AF">
      <w:pPr>
        <w:spacing w:after="0" w:line="240" w:lineRule="auto"/>
        <w:rPr>
          <w:b/>
          <w:lang w:eastAsia="ru-RU"/>
        </w:rPr>
      </w:pPr>
    </w:p>
    <w:p w14:paraId="1B57036B" w14:textId="165E8B7F" w:rsidR="000859AF" w:rsidRPr="00707D60" w:rsidRDefault="000859AF" w:rsidP="000859AF">
      <w:pPr>
        <w:spacing w:after="0" w:line="240" w:lineRule="auto"/>
        <w:rPr>
          <w:lang w:eastAsia="ru-RU"/>
        </w:rPr>
      </w:pPr>
      <w:r w:rsidRPr="00F918EE">
        <w:rPr>
          <w:b/>
          <w:lang w:eastAsia="ru-RU"/>
        </w:rPr>
        <w:t>Таблица 3-</w:t>
      </w:r>
      <w:r w:rsidRPr="00F918EE">
        <w:rPr>
          <w:b/>
          <w:lang w:val="en-US" w:eastAsia="ru-RU"/>
        </w:rPr>
        <w:t>3</w:t>
      </w:r>
      <w:r w:rsidRPr="00F918EE">
        <w:rPr>
          <w:lang w:eastAsia="ru-RU"/>
        </w:rPr>
        <w:t>.</w:t>
      </w:r>
      <w:r w:rsidRPr="00707D60">
        <w:rPr>
          <w:lang w:eastAsia="ru-RU"/>
        </w:rPr>
        <w:t xml:space="preserve">  Токсичность многократных доз</w:t>
      </w:r>
      <w:r>
        <w:rPr>
          <w:lang w:eastAsia="ru-RU"/>
        </w:rPr>
        <w:t>.</w:t>
      </w:r>
    </w:p>
    <w:tbl>
      <w:tblPr>
        <w:tblStyle w:val="a8"/>
        <w:tblW w:w="5000" w:type="pct"/>
        <w:tblInd w:w="-5" w:type="dxa"/>
        <w:tblLayout w:type="fixed"/>
        <w:tblLook w:val="04A0" w:firstRow="1" w:lastRow="0" w:firstColumn="1" w:lastColumn="0" w:noHBand="0" w:noVBand="1"/>
      </w:tblPr>
      <w:tblGrid>
        <w:gridCol w:w="1108"/>
        <w:gridCol w:w="1004"/>
        <w:gridCol w:w="1108"/>
        <w:gridCol w:w="832"/>
        <w:gridCol w:w="997"/>
        <w:gridCol w:w="4297"/>
      </w:tblGrid>
      <w:tr w:rsidR="000859AF" w:rsidRPr="00707D60" w14:paraId="08BFF3E9" w14:textId="77777777" w:rsidTr="008A7500">
        <w:trPr>
          <w:cantSplit/>
          <w:trHeight w:val="691"/>
          <w:tblHeader/>
        </w:trPr>
        <w:tc>
          <w:tcPr>
            <w:tcW w:w="1109" w:type="dxa"/>
            <w:shd w:val="clear" w:color="auto" w:fill="D9D9D9" w:themeFill="background1" w:themeFillShade="D9"/>
            <w:vAlign w:val="center"/>
          </w:tcPr>
          <w:p w14:paraId="742ACF73" w14:textId="77777777" w:rsidR="000859AF" w:rsidRPr="00475E8E" w:rsidRDefault="000859AF" w:rsidP="000859AF">
            <w:pPr>
              <w:jc w:val="center"/>
              <w:rPr>
                <w:b/>
                <w:color w:val="000000" w:themeColor="text1"/>
                <w:sz w:val="20"/>
                <w:szCs w:val="22"/>
              </w:rPr>
            </w:pPr>
            <w:r w:rsidRPr="00475E8E">
              <w:rPr>
                <w:b/>
                <w:color w:val="000000" w:themeColor="text1"/>
                <w:sz w:val="20"/>
                <w:szCs w:val="22"/>
              </w:rPr>
              <w:t>Вид животного</w:t>
            </w:r>
          </w:p>
        </w:tc>
        <w:tc>
          <w:tcPr>
            <w:tcW w:w="1005" w:type="dxa"/>
            <w:shd w:val="clear" w:color="auto" w:fill="D9D9D9" w:themeFill="background1" w:themeFillShade="D9"/>
            <w:vAlign w:val="center"/>
          </w:tcPr>
          <w:p w14:paraId="296555BB" w14:textId="77777777" w:rsidR="000859AF" w:rsidRPr="00475E8E" w:rsidRDefault="000859AF" w:rsidP="000859AF">
            <w:pPr>
              <w:jc w:val="center"/>
              <w:rPr>
                <w:b/>
                <w:color w:val="000000" w:themeColor="text1"/>
                <w:sz w:val="20"/>
                <w:szCs w:val="22"/>
              </w:rPr>
            </w:pPr>
            <w:r w:rsidRPr="00475E8E">
              <w:rPr>
                <w:b/>
                <w:color w:val="000000" w:themeColor="text1"/>
                <w:sz w:val="20"/>
                <w:szCs w:val="22"/>
              </w:rPr>
              <w:t>Длительность</w:t>
            </w:r>
            <w:r>
              <w:rPr>
                <w:b/>
                <w:color w:val="000000" w:themeColor="text1"/>
                <w:sz w:val="20"/>
                <w:szCs w:val="22"/>
              </w:rPr>
              <w:t xml:space="preserve"> терапии</w:t>
            </w:r>
          </w:p>
        </w:tc>
        <w:tc>
          <w:tcPr>
            <w:tcW w:w="1109" w:type="dxa"/>
            <w:shd w:val="clear" w:color="auto" w:fill="D9D9D9" w:themeFill="background1" w:themeFillShade="D9"/>
            <w:vAlign w:val="center"/>
          </w:tcPr>
          <w:p w14:paraId="2F96B071" w14:textId="77777777" w:rsidR="000859AF" w:rsidRPr="00475E8E" w:rsidRDefault="000859AF" w:rsidP="000859AF">
            <w:pPr>
              <w:jc w:val="center"/>
              <w:rPr>
                <w:b/>
                <w:color w:val="000000" w:themeColor="text1"/>
                <w:sz w:val="20"/>
                <w:szCs w:val="22"/>
              </w:rPr>
            </w:pPr>
            <w:r w:rsidRPr="00475E8E">
              <w:rPr>
                <w:b/>
                <w:color w:val="000000" w:themeColor="text1"/>
                <w:sz w:val="20"/>
                <w:szCs w:val="22"/>
              </w:rPr>
              <w:t>Путь введения</w:t>
            </w:r>
          </w:p>
        </w:tc>
        <w:tc>
          <w:tcPr>
            <w:tcW w:w="833" w:type="dxa"/>
            <w:shd w:val="clear" w:color="auto" w:fill="D9D9D9" w:themeFill="background1" w:themeFillShade="D9"/>
            <w:vAlign w:val="center"/>
          </w:tcPr>
          <w:p w14:paraId="42FB99CB" w14:textId="77777777" w:rsidR="000859AF" w:rsidRPr="00475E8E" w:rsidRDefault="000859AF" w:rsidP="000859AF">
            <w:pPr>
              <w:jc w:val="center"/>
              <w:rPr>
                <w:b/>
                <w:color w:val="000000" w:themeColor="text1"/>
                <w:sz w:val="20"/>
                <w:szCs w:val="22"/>
              </w:rPr>
            </w:pPr>
            <w:r w:rsidRPr="00475E8E">
              <w:rPr>
                <w:b/>
                <w:color w:val="000000" w:themeColor="text1"/>
                <w:sz w:val="20"/>
                <w:szCs w:val="22"/>
              </w:rPr>
              <w:t>Количество животных</w:t>
            </w:r>
          </w:p>
        </w:tc>
        <w:tc>
          <w:tcPr>
            <w:tcW w:w="998" w:type="dxa"/>
            <w:shd w:val="clear" w:color="auto" w:fill="D9D9D9" w:themeFill="background1" w:themeFillShade="D9"/>
            <w:vAlign w:val="center"/>
          </w:tcPr>
          <w:p w14:paraId="4947EA2C" w14:textId="77777777" w:rsidR="000859AF" w:rsidRPr="00475E8E" w:rsidRDefault="000859AF" w:rsidP="000859AF">
            <w:pPr>
              <w:jc w:val="center"/>
              <w:rPr>
                <w:b/>
                <w:color w:val="000000" w:themeColor="text1"/>
                <w:sz w:val="20"/>
                <w:szCs w:val="22"/>
              </w:rPr>
            </w:pPr>
            <w:r w:rsidRPr="00475E8E">
              <w:rPr>
                <w:b/>
                <w:color w:val="000000" w:themeColor="text1"/>
                <w:sz w:val="20"/>
                <w:szCs w:val="22"/>
              </w:rPr>
              <w:t>Дозировка (мг/кг)</w:t>
            </w:r>
          </w:p>
        </w:tc>
        <w:tc>
          <w:tcPr>
            <w:tcW w:w="4302" w:type="dxa"/>
            <w:shd w:val="clear" w:color="auto" w:fill="D9D9D9" w:themeFill="background1" w:themeFillShade="D9"/>
            <w:vAlign w:val="center"/>
          </w:tcPr>
          <w:p w14:paraId="66EF6343" w14:textId="77777777" w:rsidR="000859AF" w:rsidRPr="00475E8E" w:rsidRDefault="000859AF" w:rsidP="000859AF">
            <w:pPr>
              <w:jc w:val="center"/>
              <w:rPr>
                <w:b/>
                <w:color w:val="000000" w:themeColor="text1"/>
                <w:sz w:val="20"/>
                <w:szCs w:val="22"/>
              </w:rPr>
            </w:pPr>
            <w:r>
              <w:rPr>
                <w:b/>
                <w:color w:val="000000" w:themeColor="text1"/>
                <w:sz w:val="20"/>
                <w:szCs w:val="22"/>
              </w:rPr>
              <w:t>Основные результаты</w:t>
            </w:r>
          </w:p>
        </w:tc>
      </w:tr>
      <w:tr w:rsidR="000859AF" w:rsidRPr="00707D60" w14:paraId="2F4D7D8C" w14:textId="77777777" w:rsidTr="008A7500">
        <w:tc>
          <w:tcPr>
            <w:tcW w:w="1109" w:type="dxa"/>
            <w:vAlign w:val="center"/>
          </w:tcPr>
          <w:p w14:paraId="46FCDAB5" w14:textId="77777777" w:rsidR="000859AF" w:rsidRPr="00475E8E" w:rsidRDefault="000859AF" w:rsidP="000859AF">
            <w:pPr>
              <w:rPr>
                <w:color w:val="000000" w:themeColor="text1"/>
                <w:sz w:val="20"/>
                <w:szCs w:val="22"/>
              </w:rPr>
            </w:pPr>
            <w:r w:rsidRPr="00475E8E">
              <w:rPr>
                <w:color w:val="000000" w:themeColor="text1"/>
                <w:sz w:val="20"/>
                <w:szCs w:val="22"/>
              </w:rPr>
              <w:t>Мыши</w:t>
            </w:r>
          </w:p>
        </w:tc>
        <w:tc>
          <w:tcPr>
            <w:tcW w:w="1005" w:type="dxa"/>
            <w:vAlign w:val="center"/>
          </w:tcPr>
          <w:p w14:paraId="6D5F19E8" w14:textId="77777777" w:rsidR="000859AF" w:rsidRPr="00475E8E" w:rsidRDefault="000859AF" w:rsidP="000859AF">
            <w:pPr>
              <w:rPr>
                <w:color w:val="000000" w:themeColor="text1"/>
                <w:sz w:val="20"/>
                <w:szCs w:val="22"/>
              </w:rPr>
            </w:pPr>
            <w:r w:rsidRPr="00475E8E">
              <w:rPr>
                <w:color w:val="000000" w:themeColor="text1"/>
                <w:sz w:val="20"/>
                <w:szCs w:val="22"/>
              </w:rPr>
              <w:t>13 недель</w:t>
            </w:r>
          </w:p>
        </w:tc>
        <w:tc>
          <w:tcPr>
            <w:tcW w:w="1109" w:type="dxa"/>
            <w:vAlign w:val="center"/>
          </w:tcPr>
          <w:p w14:paraId="7471D669"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4E3B6105" w14:textId="77777777" w:rsidR="000859AF" w:rsidRPr="00475E8E" w:rsidRDefault="000859AF" w:rsidP="000859AF">
            <w:pPr>
              <w:rPr>
                <w:color w:val="000000" w:themeColor="text1"/>
                <w:sz w:val="20"/>
                <w:szCs w:val="22"/>
              </w:rPr>
            </w:pPr>
            <w:r w:rsidRPr="00475E8E">
              <w:rPr>
                <w:color w:val="000000" w:themeColor="text1"/>
                <w:sz w:val="20"/>
                <w:szCs w:val="22"/>
              </w:rPr>
              <w:t>10m, 10f</w:t>
            </w:r>
          </w:p>
        </w:tc>
        <w:tc>
          <w:tcPr>
            <w:tcW w:w="998" w:type="dxa"/>
            <w:vAlign w:val="center"/>
          </w:tcPr>
          <w:p w14:paraId="5705E5CA" w14:textId="77777777" w:rsidR="000859AF" w:rsidRPr="00475E8E" w:rsidRDefault="000859AF" w:rsidP="000859AF">
            <w:pPr>
              <w:rPr>
                <w:color w:val="000000" w:themeColor="text1"/>
                <w:sz w:val="20"/>
                <w:szCs w:val="22"/>
              </w:rPr>
            </w:pPr>
            <w:r w:rsidRPr="00475E8E">
              <w:rPr>
                <w:color w:val="000000" w:themeColor="text1"/>
                <w:sz w:val="20"/>
                <w:szCs w:val="22"/>
              </w:rPr>
              <w:t>0; 0,15; 0,5; 1,5; 5; 15</w:t>
            </w:r>
          </w:p>
        </w:tc>
        <w:tc>
          <w:tcPr>
            <w:tcW w:w="4302" w:type="dxa"/>
            <w:vAlign w:val="center"/>
          </w:tcPr>
          <w:p w14:paraId="184D6295"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0,15 мг/</w:t>
            </w:r>
            <w:r w:rsidRPr="00475E8E">
              <w:rPr>
                <w:color w:val="000000" w:themeColor="text1"/>
                <w:sz w:val="20"/>
                <w:szCs w:val="22"/>
              </w:rPr>
              <w:t>кг: более высокая частота возникновения отека селезенки</w:t>
            </w:r>
          </w:p>
          <w:p w14:paraId="6BCBACB1"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0,5 мг/</w:t>
            </w:r>
            <w:r w:rsidRPr="00475E8E">
              <w:rPr>
                <w:color w:val="000000" w:themeColor="text1"/>
                <w:sz w:val="20"/>
                <w:szCs w:val="22"/>
              </w:rPr>
              <w:t>кг: уменьшение веса яичек и придатков яичек. Уменьшение количества половых клеток, вакуолизация эпителия яичка, снижение плотности спермы (</w:t>
            </w:r>
            <w:r w:rsidRPr="00475E8E">
              <w:rPr>
                <w:color w:val="000000" w:themeColor="text1"/>
                <w:sz w:val="20"/>
                <w:szCs w:val="22"/>
                <w:shd w:val="clear" w:color="auto" w:fill="FFFFFF"/>
              </w:rPr>
              <w:t>m</w:t>
            </w:r>
            <w:r w:rsidRPr="00475E8E">
              <w:rPr>
                <w:color w:val="000000" w:themeColor="text1"/>
                <w:sz w:val="20"/>
                <w:szCs w:val="22"/>
              </w:rPr>
              <w:t>), поражения кожи (f),</w:t>
            </w:r>
            <w:r>
              <w:rPr>
                <w:color w:val="000000" w:themeColor="text1"/>
                <w:sz w:val="20"/>
                <w:szCs w:val="22"/>
              </w:rPr>
              <w:t xml:space="preserve"> </w:t>
            </w:r>
            <w:r w:rsidRPr="00475E8E">
              <w:rPr>
                <w:color w:val="000000" w:themeColor="text1"/>
                <w:sz w:val="20"/>
                <w:szCs w:val="22"/>
              </w:rPr>
              <w:t>повышенная микровизикуляция надпочечников (</w:t>
            </w:r>
            <w:r w:rsidRPr="00475E8E">
              <w:rPr>
                <w:color w:val="000000" w:themeColor="text1"/>
                <w:sz w:val="20"/>
                <w:szCs w:val="22"/>
                <w:shd w:val="clear" w:color="auto" w:fill="FFFFFF"/>
              </w:rPr>
              <w:t>m</w:t>
            </w:r>
            <w:r w:rsidRPr="00475E8E">
              <w:rPr>
                <w:color w:val="000000" w:themeColor="text1"/>
                <w:sz w:val="20"/>
                <w:szCs w:val="22"/>
              </w:rPr>
              <w:t>), атрофия тимуса.</w:t>
            </w:r>
          </w:p>
          <w:p w14:paraId="7FACF5D6"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1,5 мг/</w:t>
            </w:r>
            <w:r w:rsidRPr="00475E8E">
              <w:rPr>
                <w:color w:val="000000" w:themeColor="text1"/>
                <w:sz w:val="20"/>
                <w:szCs w:val="22"/>
              </w:rPr>
              <w:t xml:space="preserve">кг: </w:t>
            </w:r>
            <w:r>
              <w:rPr>
                <w:color w:val="000000" w:themeColor="text1"/>
                <w:sz w:val="20"/>
                <w:szCs w:val="22"/>
              </w:rPr>
              <w:t>повышение массы</w:t>
            </w:r>
            <w:r w:rsidRPr="00475E8E">
              <w:rPr>
                <w:color w:val="000000" w:themeColor="text1"/>
                <w:sz w:val="20"/>
                <w:szCs w:val="22"/>
              </w:rPr>
              <w:t xml:space="preserve"> печени (</w:t>
            </w:r>
            <w:r>
              <w:rPr>
                <w:color w:val="000000" w:themeColor="text1"/>
                <w:sz w:val="20"/>
                <w:szCs w:val="22"/>
                <w:lang w:val="en-US"/>
              </w:rPr>
              <w:t>m</w:t>
            </w:r>
            <w:r w:rsidRPr="00475E8E">
              <w:rPr>
                <w:color w:val="000000" w:themeColor="text1"/>
                <w:sz w:val="20"/>
                <w:szCs w:val="22"/>
              </w:rPr>
              <w:t xml:space="preserve">), </w:t>
            </w:r>
            <w:r>
              <w:rPr>
                <w:color w:val="000000" w:themeColor="text1"/>
                <w:sz w:val="20"/>
                <w:szCs w:val="22"/>
              </w:rPr>
              <w:t>повышение уровня</w:t>
            </w:r>
            <w:r w:rsidRPr="00475E8E">
              <w:rPr>
                <w:color w:val="000000" w:themeColor="text1"/>
                <w:sz w:val="20"/>
                <w:szCs w:val="22"/>
              </w:rPr>
              <w:t xml:space="preserve"> холестерина (</w:t>
            </w:r>
            <w:r>
              <w:rPr>
                <w:color w:val="000000" w:themeColor="text1"/>
                <w:sz w:val="20"/>
                <w:szCs w:val="22"/>
                <w:lang w:val="en-US"/>
              </w:rPr>
              <w:t>m</w:t>
            </w:r>
            <w:r w:rsidRPr="00475E8E">
              <w:rPr>
                <w:color w:val="000000" w:themeColor="text1"/>
                <w:sz w:val="20"/>
                <w:szCs w:val="22"/>
              </w:rPr>
              <w:t xml:space="preserve">), поражения кожи (+ </w:t>
            </w:r>
            <w:r>
              <w:rPr>
                <w:color w:val="000000" w:themeColor="text1"/>
                <w:sz w:val="20"/>
                <w:szCs w:val="22"/>
                <w:lang w:val="en-US"/>
              </w:rPr>
              <w:t>m</w:t>
            </w:r>
            <w:r w:rsidRPr="00475E8E">
              <w:rPr>
                <w:color w:val="000000" w:themeColor="text1"/>
                <w:sz w:val="20"/>
                <w:szCs w:val="22"/>
              </w:rPr>
              <w:t xml:space="preserve">), пенистые альвеолярные макрофаги </w:t>
            </w:r>
            <w:r w:rsidRPr="00475E8E">
              <w:rPr>
                <w:color w:val="000000" w:themeColor="text1"/>
                <w:sz w:val="20"/>
                <w:szCs w:val="22"/>
              </w:rPr>
              <w:lastRenderedPageBreak/>
              <w:t xml:space="preserve">(f), </w:t>
            </w:r>
            <w:r>
              <w:rPr>
                <w:color w:val="000000" w:themeColor="text1"/>
                <w:sz w:val="20"/>
                <w:szCs w:val="22"/>
              </w:rPr>
              <w:t>отставание в развитии</w:t>
            </w:r>
            <w:r w:rsidRPr="00475E8E">
              <w:rPr>
                <w:color w:val="000000" w:themeColor="text1"/>
                <w:sz w:val="20"/>
                <w:szCs w:val="22"/>
              </w:rPr>
              <w:t xml:space="preserve"> яичников и атрофия матки (f).</w:t>
            </w:r>
          </w:p>
          <w:p w14:paraId="29601665"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5 мг/</w:t>
            </w:r>
            <w:r w:rsidRPr="00475E8E">
              <w:rPr>
                <w:color w:val="000000" w:themeColor="text1"/>
                <w:sz w:val="20"/>
                <w:szCs w:val="22"/>
              </w:rPr>
              <w:t>кг: снижение массы тела (</w:t>
            </w:r>
            <w:r w:rsidRPr="00475E8E">
              <w:rPr>
                <w:color w:val="000000" w:themeColor="text1"/>
                <w:sz w:val="20"/>
                <w:szCs w:val="22"/>
                <w:shd w:val="clear" w:color="auto" w:fill="FFFFFF"/>
              </w:rPr>
              <w:t>m</w:t>
            </w:r>
            <w:r w:rsidRPr="00475E8E">
              <w:rPr>
                <w:color w:val="000000" w:themeColor="text1"/>
                <w:sz w:val="20"/>
                <w:szCs w:val="22"/>
              </w:rPr>
              <w:t xml:space="preserve">), </w:t>
            </w:r>
            <w:r>
              <w:rPr>
                <w:color w:val="000000" w:themeColor="text1"/>
                <w:sz w:val="20"/>
                <w:szCs w:val="22"/>
              </w:rPr>
              <w:t xml:space="preserve">повышение частоты нарушений со стороны кожи - </w:t>
            </w:r>
            <w:r w:rsidRPr="00475E8E">
              <w:rPr>
                <w:color w:val="000000" w:themeColor="text1"/>
                <w:sz w:val="20"/>
                <w:szCs w:val="22"/>
              </w:rPr>
              <w:t>ссадины (</w:t>
            </w:r>
            <w:r w:rsidRPr="00475E8E">
              <w:rPr>
                <w:color w:val="000000" w:themeColor="text1"/>
                <w:sz w:val="20"/>
                <w:szCs w:val="22"/>
                <w:shd w:val="clear" w:color="auto" w:fill="FFFFFF"/>
              </w:rPr>
              <w:t>m</w:t>
            </w:r>
            <w:r w:rsidRPr="00475E8E">
              <w:rPr>
                <w:color w:val="000000" w:themeColor="text1"/>
                <w:sz w:val="20"/>
                <w:szCs w:val="22"/>
              </w:rPr>
              <w:t xml:space="preserve">), </w:t>
            </w:r>
            <w:r>
              <w:rPr>
                <w:color w:val="000000" w:themeColor="text1"/>
                <w:sz w:val="20"/>
                <w:szCs w:val="22"/>
              </w:rPr>
              <w:t xml:space="preserve">повышение уровня </w:t>
            </w:r>
            <w:r w:rsidRPr="00475E8E">
              <w:rPr>
                <w:color w:val="000000" w:themeColor="text1"/>
                <w:sz w:val="20"/>
                <w:szCs w:val="22"/>
              </w:rPr>
              <w:t xml:space="preserve">холестерина (+ f), </w:t>
            </w:r>
            <w:r>
              <w:rPr>
                <w:color w:val="000000" w:themeColor="text1"/>
                <w:sz w:val="20"/>
                <w:szCs w:val="22"/>
              </w:rPr>
              <w:t>снижение веса</w:t>
            </w:r>
            <w:r w:rsidRPr="00475E8E">
              <w:rPr>
                <w:color w:val="000000" w:themeColor="text1"/>
                <w:sz w:val="20"/>
                <w:szCs w:val="22"/>
              </w:rPr>
              <w:t xml:space="preserve"> матки (f), дегенерация почечных канальцев с кариомегалией и интерстициальным воспалением (</w:t>
            </w:r>
            <w:r w:rsidRPr="00475E8E">
              <w:rPr>
                <w:color w:val="000000" w:themeColor="text1"/>
                <w:sz w:val="20"/>
                <w:szCs w:val="22"/>
                <w:shd w:val="clear" w:color="auto" w:fill="FFFFFF"/>
              </w:rPr>
              <w:t>m</w:t>
            </w:r>
            <w:r w:rsidRPr="00475E8E">
              <w:rPr>
                <w:color w:val="000000" w:themeColor="text1"/>
                <w:sz w:val="20"/>
                <w:szCs w:val="22"/>
              </w:rPr>
              <w:t>), пенные альвеолярные макрофаги (+</w:t>
            </w:r>
            <w:r w:rsidRPr="00475E8E">
              <w:rPr>
                <w:color w:val="000000" w:themeColor="text1"/>
                <w:sz w:val="20"/>
                <w:szCs w:val="22"/>
                <w:shd w:val="clear" w:color="auto" w:fill="FFFFFF"/>
              </w:rPr>
              <w:t>m</w:t>
            </w:r>
            <w:r w:rsidRPr="00475E8E">
              <w:rPr>
                <w:color w:val="000000" w:themeColor="text1"/>
                <w:sz w:val="20"/>
                <w:szCs w:val="22"/>
              </w:rPr>
              <w:t>)</w:t>
            </w:r>
          </w:p>
          <w:p w14:paraId="6647D9B6"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Pr>
                <w:color w:val="000000" w:themeColor="text1"/>
                <w:sz w:val="20"/>
                <w:szCs w:val="22"/>
                <w:shd w:val="clear" w:color="auto" w:fill="FFFFFF"/>
              </w:rPr>
              <w:t xml:space="preserve">15 мг/кг: </w:t>
            </w:r>
            <w:r>
              <w:rPr>
                <w:color w:val="000000" w:themeColor="text1"/>
                <w:sz w:val="20"/>
                <w:szCs w:val="22"/>
              </w:rPr>
              <w:t>повышение частоты нарушений со стороны кожи</w:t>
            </w:r>
            <w:r w:rsidRPr="00475E8E">
              <w:rPr>
                <w:color w:val="000000" w:themeColor="text1"/>
                <w:sz w:val="20"/>
                <w:szCs w:val="22"/>
                <w:shd w:val="clear" w:color="auto" w:fill="FFFFFF"/>
              </w:rPr>
              <w:t xml:space="preserve"> </w:t>
            </w:r>
            <w:r>
              <w:rPr>
                <w:color w:val="000000" w:themeColor="text1"/>
                <w:sz w:val="20"/>
                <w:szCs w:val="22"/>
                <w:shd w:val="clear" w:color="auto" w:fill="FFFFFF"/>
              </w:rPr>
              <w:t xml:space="preserve">- </w:t>
            </w:r>
            <w:r w:rsidRPr="00475E8E">
              <w:rPr>
                <w:color w:val="000000" w:themeColor="text1"/>
                <w:sz w:val="20"/>
                <w:szCs w:val="22"/>
                <w:shd w:val="clear" w:color="auto" w:fill="FFFFFF"/>
              </w:rPr>
              <w:t>ссадины (+ f), повышение уровня креатинина (m), уменьшение количества альбумина и отношени</w:t>
            </w:r>
            <w:r>
              <w:rPr>
                <w:color w:val="000000" w:themeColor="text1"/>
                <w:sz w:val="20"/>
                <w:szCs w:val="22"/>
                <w:shd w:val="clear" w:color="auto" w:fill="FFFFFF"/>
              </w:rPr>
              <w:t>я альбумин</w:t>
            </w:r>
            <w:r w:rsidRPr="009B3FC4">
              <w:rPr>
                <w:color w:val="000000" w:themeColor="text1"/>
                <w:sz w:val="20"/>
                <w:szCs w:val="22"/>
                <w:shd w:val="clear" w:color="auto" w:fill="FFFFFF"/>
              </w:rPr>
              <w:t>/</w:t>
            </w:r>
            <w:r>
              <w:rPr>
                <w:color w:val="000000" w:themeColor="text1"/>
                <w:sz w:val="20"/>
                <w:szCs w:val="22"/>
                <w:shd w:val="clear" w:color="auto" w:fill="FFFFFF"/>
              </w:rPr>
              <w:t>глобулин (A/</w:t>
            </w:r>
            <w:r w:rsidRPr="00475E8E">
              <w:rPr>
                <w:color w:val="000000" w:themeColor="text1"/>
                <w:sz w:val="20"/>
                <w:szCs w:val="22"/>
                <w:shd w:val="clear" w:color="auto" w:fill="FFFFFF"/>
              </w:rPr>
              <w:t>Г</w:t>
            </w:r>
            <w:r>
              <w:rPr>
                <w:color w:val="000000" w:themeColor="text1"/>
                <w:sz w:val="20"/>
                <w:szCs w:val="22"/>
                <w:shd w:val="clear" w:color="auto" w:fill="FFFFFF"/>
              </w:rPr>
              <w:t>)</w:t>
            </w:r>
            <w:r w:rsidRPr="00475E8E">
              <w:rPr>
                <w:color w:val="000000" w:themeColor="text1"/>
                <w:sz w:val="20"/>
                <w:szCs w:val="22"/>
                <w:shd w:val="clear" w:color="auto" w:fill="FFFFFF"/>
              </w:rPr>
              <w:t xml:space="preserve"> (m), </w:t>
            </w:r>
            <w:bookmarkStart w:id="214" w:name="_Hlk113015826"/>
            <w:r>
              <w:rPr>
                <w:color w:val="000000" w:themeColor="text1"/>
                <w:sz w:val="20"/>
                <w:szCs w:val="22"/>
                <w:shd w:val="clear" w:color="auto" w:fill="FFFFFF"/>
              </w:rPr>
              <w:t>снижение массы</w:t>
            </w:r>
            <w:r w:rsidRPr="00475E8E">
              <w:rPr>
                <w:color w:val="000000" w:themeColor="text1"/>
                <w:sz w:val="20"/>
                <w:szCs w:val="22"/>
                <w:shd w:val="clear" w:color="auto" w:fill="FFFFFF"/>
              </w:rPr>
              <w:t xml:space="preserve"> тимуса и </w:t>
            </w:r>
            <w:r>
              <w:rPr>
                <w:color w:val="000000" w:themeColor="text1"/>
                <w:sz w:val="20"/>
                <w:szCs w:val="22"/>
                <w:shd w:val="clear" w:color="auto" w:fill="FFFFFF"/>
              </w:rPr>
              <w:t>повышение массы</w:t>
            </w:r>
            <w:r w:rsidRPr="00475E8E">
              <w:rPr>
                <w:color w:val="000000" w:themeColor="text1"/>
                <w:sz w:val="20"/>
                <w:szCs w:val="22"/>
                <w:shd w:val="clear" w:color="auto" w:fill="FFFFFF"/>
              </w:rPr>
              <w:t xml:space="preserve"> селезенк</w:t>
            </w:r>
            <w:r>
              <w:rPr>
                <w:color w:val="000000" w:themeColor="text1"/>
                <w:sz w:val="20"/>
                <w:szCs w:val="22"/>
                <w:shd w:val="clear" w:color="auto" w:fill="FFFFFF"/>
              </w:rPr>
              <w:t>и</w:t>
            </w:r>
            <w:r w:rsidRPr="00475E8E">
              <w:rPr>
                <w:color w:val="000000" w:themeColor="text1"/>
                <w:sz w:val="20"/>
                <w:szCs w:val="22"/>
                <w:shd w:val="clear" w:color="auto" w:fill="FFFFFF"/>
              </w:rPr>
              <w:t xml:space="preserve"> (m), </w:t>
            </w:r>
            <w:r>
              <w:rPr>
                <w:color w:val="000000" w:themeColor="text1"/>
                <w:sz w:val="20"/>
                <w:szCs w:val="22"/>
                <w:shd w:val="clear" w:color="auto" w:fill="FFFFFF"/>
              </w:rPr>
              <w:t>повышение массы</w:t>
            </w:r>
            <w:r w:rsidRPr="00475E8E">
              <w:rPr>
                <w:color w:val="000000" w:themeColor="text1"/>
                <w:sz w:val="20"/>
                <w:szCs w:val="22"/>
                <w:shd w:val="clear" w:color="auto" w:fill="FFFFFF"/>
              </w:rPr>
              <w:t xml:space="preserve"> печени (+ f), д</w:t>
            </w:r>
            <w:r w:rsidRPr="00475E8E">
              <w:rPr>
                <w:color w:val="000000" w:themeColor="text1"/>
                <w:sz w:val="20"/>
                <w:szCs w:val="22"/>
              </w:rPr>
              <w:t xml:space="preserve">егенерация почечных канальцев с кариомегалией и интерстициальным воспалением </w:t>
            </w:r>
            <w:bookmarkEnd w:id="214"/>
            <w:r w:rsidRPr="00475E8E">
              <w:rPr>
                <w:color w:val="000000" w:themeColor="text1"/>
                <w:sz w:val="20"/>
                <w:szCs w:val="22"/>
                <w:shd w:val="clear" w:color="auto" w:fill="FFFFFF"/>
              </w:rPr>
              <w:t>(+ f)</w:t>
            </w:r>
          </w:p>
          <w:p w14:paraId="6D77FDB8"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NTEL=0,15 (m) и 0,</w:t>
            </w:r>
            <w:r w:rsidRPr="00475E8E">
              <w:rPr>
                <w:color w:val="000000" w:themeColor="text1"/>
                <w:sz w:val="20"/>
                <w:szCs w:val="22"/>
                <w:shd w:val="clear" w:color="auto" w:fill="FFFFFF"/>
              </w:rPr>
              <w:t>5 (f)</w:t>
            </w:r>
          </w:p>
        </w:tc>
      </w:tr>
      <w:tr w:rsidR="000859AF" w:rsidRPr="00707D60" w14:paraId="3F29505B" w14:textId="77777777" w:rsidTr="008A7500">
        <w:tc>
          <w:tcPr>
            <w:tcW w:w="1109" w:type="dxa"/>
            <w:vAlign w:val="center"/>
          </w:tcPr>
          <w:p w14:paraId="4AD62785" w14:textId="77777777" w:rsidR="000859AF" w:rsidRPr="00475E8E" w:rsidRDefault="000859AF" w:rsidP="000859AF">
            <w:pPr>
              <w:rPr>
                <w:color w:val="000000" w:themeColor="text1"/>
                <w:sz w:val="20"/>
                <w:szCs w:val="22"/>
              </w:rPr>
            </w:pPr>
            <w:r w:rsidRPr="00475E8E">
              <w:rPr>
                <w:color w:val="000000" w:themeColor="text1"/>
                <w:sz w:val="20"/>
                <w:szCs w:val="22"/>
              </w:rPr>
              <w:lastRenderedPageBreak/>
              <w:t>Крысы</w:t>
            </w:r>
          </w:p>
        </w:tc>
        <w:tc>
          <w:tcPr>
            <w:tcW w:w="1005" w:type="dxa"/>
            <w:vAlign w:val="center"/>
          </w:tcPr>
          <w:p w14:paraId="14B6F3FC" w14:textId="77777777" w:rsidR="000859AF" w:rsidRPr="00475E8E" w:rsidRDefault="000859AF" w:rsidP="000859AF">
            <w:pPr>
              <w:rPr>
                <w:color w:val="000000" w:themeColor="text1"/>
                <w:sz w:val="20"/>
                <w:szCs w:val="22"/>
              </w:rPr>
            </w:pPr>
            <w:r w:rsidRPr="00475E8E">
              <w:rPr>
                <w:color w:val="000000" w:themeColor="text1"/>
                <w:sz w:val="20"/>
                <w:szCs w:val="22"/>
              </w:rPr>
              <w:t>2 недели</w:t>
            </w:r>
          </w:p>
        </w:tc>
        <w:tc>
          <w:tcPr>
            <w:tcW w:w="1109" w:type="dxa"/>
            <w:vAlign w:val="center"/>
          </w:tcPr>
          <w:p w14:paraId="49BAB5C8"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1ADC8C14" w14:textId="77777777" w:rsidR="000859AF" w:rsidRPr="00475E8E" w:rsidRDefault="000859AF" w:rsidP="000859AF">
            <w:pPr>
              <w:rPr>
                <w:color w:val="000000" w:themeColor="text1"/>
                <w:sz w:val="20"/>
                <w:szCs w:val="22"/>
              </w:rPr>
            </w:pPr>
            <w:r w:rsidRPr="00475E8E">
              <w:rPr>
                <w:color w:val="000000" w:themeColor="text1"/>
                <w:sz w:val="20"/>
                <w:szCs w:val="22"/>
              </w:rPr>
              <w:t xml:space="preserve"> 4m, 4f</w:t>
            </w:r>
          </w:p>
        </w:tc>
        <w:tc>
          <w:tcPr>
            <w:tcW w:w="998" w:type="dxa"/>
            <w:vAlign w:val="center"/>
          </w:tcPr>
          <w:p w14:paraId="19F6AD9D" w14:textId="77777777" w:rsidR="000859AF" w:rsidRPr="00475E8E" w:rsidRDefault="000859AF" w:rsidP="000859AF">
            <w:pPr>
              <w:rPr>
                <w:color w:val="000000" w:themeColor="text1"/>
                <w:sz w:val="20"/>
                <w:szCs w:val="22"/>
              </w:rPr>
            </w:pPr>
            <w:r w:rsidRPr="00475E8E">
              <w:rPr>
                <w:color w:val="000000" w:themeColor="text1"/>
                <w:sz w:val="20"/>
                <w:szCs w:val="22"/>
              </w:rPr>
              <w:t>0; 2,5; 10; 40 (эверолимус), 40 (рапамицин)</w:t>
            </w:r>
          </w:p>
        </w:tc>
        <w:tc>
          <w:tcPr>
            <w:tcW w:w="4302" w:type="dxa"/>
            <w:vAlign w:val="center"/>
          </w:tcPr>
          <w:p w14:paraId="276F2B6A"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2,5 мг/</w:t>
            </w:r>
            <w:r w:rsidRPr="00475E8E">
              <w:rPr>
                <w:color w:val="000000" w:themeColor="text1"/>
                <w:sz w:val="20"/>
                <w:szCs w:val="22"/>
                <w:shd w:val="clear" w:color="auto" w:fill="FFFFFF"/>
              </w:rPr>
              <w:t>кг: снижение прироста массы тела, потребления пищи (м); снижение количества лимфоцитов, тромбоцитов и альбумина; атрофия тимуса; лимфоидное истощение селезенки и лимфатических узлов; атрофия/ уменьшение секреции предстательной железы и семенных пузырьков; увеличение локальной миокардиальной дегенерации; снижение экстрамедуллярного кроветворения селезенки; увеличение количества альвеолярных макрофагов в легких</w:t>
            </w:r>
          </w:p>
          <w:p w14:paraId="6EE15101"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10 мг/</w:t>
            </w:r>
            <w:r w:rsidRPr="00475E8E">
              <w:rPr>
                <w:color w:val="000000" w:themeColor="text1"/>
                <w:sz w:val="20"/>
                <w:szCs w:val="22"/>
                <w:shd w:val="clear" w:color="auto" w:fill="FFFFFF"/>
              </w:rPr>
              <w:t xml:space="preserve">кг: снижение прироста массы тела, потребления пищи (+ f); увеличение </w:t>
            </w:r>
            <w:r>
              <w:rPr>
                <w:color w:val="000000" w:themeColor="text1"/>
                <w:sz w:val="20"/>
                <w:szCs w:val="22"/>
                <w:shd w:val="clear" w:color="auto" w:fill="FFFFFF"/>
              </w:rPr>
              <w:t xml:space="preserve">уровня </w:t>
            </w:r>
            <w:r w:rsidRPr="00475E8E">
              <w:rPr>
                <w:color w:val="000000" w:themeColor="text1"/>
                <w:sz w:val="20"/>
                <w:szCs w:val="22"/>
                <w:shd w:val="clear" w:color="auto" w:fill="FFFFFF"/>
              </w:rPr>
              <w:t>холестерина (</w:t>
            </w:r>
            <w:r>
              <w:rPr>
                <w:color w:val="000000" w:themeColor="text1"/>
                <w:sz w:val="20"/>
                <w:szCs w:val="22"/>
                <w:shd w:val="clear" w:color="auto" w:fill="FFFFFF"/>
                <w:lang w:val="en-US"/>
              </w:rPr>
              <w:t>m</w:t>
            </w:r>
            <w:r w:rsidRPr="00475E8E">
              <w:rPr>
                <w:color w:val="000000" w:themeColor="text1"/>
                <w:sz w:val="20"/>
                <w:szCs w:val="22"/>
                <w:shd w:val="clear" w:color="auto" w:fill="FFFFFF"/>
              </w:rPr>
              <w:t>); поражение кожи; истощение костного мозга (</w:t>
            </w:r>
            <w:r>
              <w:rPr>
                <w:color w:val="000000" w:themeColor="text1"/>
                <w:sz w:val="20"/>
                <w:szCs w:val="22"/>
                <w:shd w:val="clear" w:color="auto" w:fill="FFFFFF"/>
                <w:lang w:val="en-US"/>
              </w:rPr>
              <w:t>m</w:t>
            </w:r>
            <w:r w:rsidRPr="00475E8E">
              <w:rPr>
                <w:color w:val="000000" w:themeColor="text1"/>
                <w:sz w:val="20"/>
                <w:szCs w:val="22"/>
                <w:shd w:val="clear" w:color="auto" w:fill="FFFFFF"/>
              </w:rPr>
              <w:t>)</w:t>
            </w:r>
          </w:p>
          <w:p w14:paraId="54ED88DA"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40 мг/</w:t>
            </w:r>
            <w:r w:rsidRPr="00475E8E">
              <w:rPr>
                <w:color w:val="000000" w:themeColor="text1"/>
                <w:sz w:val="20"/>
                <w:szCs w:val="22"/>
              </w:rPr>
              <w:t>кг: увеличение лейкоцитов/ нейтрофилов; дегенеративные изменения в семенниках; увеличение диоэструса. Не выявлены различия по профилю токсичности при сравнении с рапамицином.</w:t>
            </w:r>
          </w:p>
          <w:p w14:paraId="37A7E5D8"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NTEL &lt; 2,</w:t>
            </w:r>
            <w:r w:rsidRPr="00475E8E">
              <w:rPr>
                <w:color w:val="000000" w:themeColor="text1"/>
                <w:sz w:val="20"/>
                <w:szCs w:val="22"/>
              </w:rPr>
              <w:t>5 мг/кг</w:t>
            </w:r>
          </w:p>
        </w:tc>
      </w:tr>
      <w:tr w:rsidR="000859AF" w:rsidRPr="00707D60" w14:paraId="3A17B5EB" w14:textId="77777777" w:rsidTr="008A7500">
        <w:tc>
          <w:tcPr>
            <w:tcW w:w="1109" w:type="dxa"/>
            <w:vAlign w:val="center"/>
          </w:tcPr>
          <w:p w14:paraId="2EFC9870" w14:textId="77777777" w:rsidR="000859AF" w:rsidRPr="00475E8E" w:rsidRDefault="000859AF" w:rsidP="000859AF">
            <w:pPr>
              <w:rPr>
                <w:color w:val="000000" w:themeColor="text1"/>
                <w:sz w:val="20"/>
                <w:szCs w:val="22"/>
              </w:rPr>
            </w:pPr>
            <w:r w:rsidRPr="00475E8E">
              <w:rPr>
                <w:color w:val="000000" w:themeColor="text1"/>
                <w:sz w:val="20"/>
                <w:szCs w:val="22"/>
              </w:rPr>
              <w:t>Крысы</w:t>
            </w:r>
          </w:p>
        </w:tc>
        <w:tc>
          <w:tcPr>
            <w:tcW w:w="1005" w:type="dxa"/>
            <w:vAlign w:val="center"/>
          </w:tcPr>
          <w:p w14:paraId="2B70D150" w14:textId="77777777" w:rsidR="000859AF" w:rsidRPr="00475E8E" w:rsidRDefault="000859AF" w:rsidP="000859AF">
            <w:pPr>
              <w:rPr>
                <w:color w:val="000000" w:themeColor="text1"/>
                <w:sz w:val="20"/>
                <w:szCs w:val="22"/>
              </w:rPr>
            </w:pPr>
            <w:r w:rsidRPr="00475E8E">
              <w:rPr>
                <w:color w:val="000000" w:themeColor="text1"/>
                <w:sz w:val="20"/>
                <w:szCs w:val="22"/>
              </w:rPr>
              <w:t>4 недели (2 недели восстановления)</w:t>
            </w:r>
          </w:p>
        </w:tc>
        <w:tc>
          <w:tcPr>
            <w:tcW w:w="1109" w:type="dxa"/>
            <w:vAlign w:val="center"/>
          </w:tcPr>
          <w:p w14:paraId="221AAEA0"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74A9EB51" w14:textId="77777777" w:rsidR="000859AF" w:rsidRPr="00475E8E" w:rsidRDefault="000859AF" w:rsidP="000859AF">
            <w:pPr>
              <w:rPr>
                <w:color w:val="000000" w:themeColor="text1"/>
                <w:sz w:val="20"/>
                <w:szCs w:val="22"/>
              </w:rPr>
            </w:pPr>
            <w:r w:rsidRPr="00475E8E">
              <w:rPr>
                <w:color w:val="000000" w:themeColor="text1"/>
                <w:sz w:val="20"/>
                <w:szCs w:val="22"/>
              </w:rPr>
              <w:t>10m, 10f, дополнительно 6m, 6f в период восстановления</w:t>
            </w:r>
          </w:p>
        </w:tc>
        <w:tc>
          <w:tcPr>
            <w:tcW w:w="998" w:type="dxa"/>
            <w:vAlign w:val="center"/>
          </w:tcPr>
          <w:p w14:paraId="35B56F4C" w14:textId="77777777" w:rsidR="000859AF" w:rsidRPr="00475E8E" w:rsidRDefault="000859AF" w:rsidP="000859AF">
            <w:pPr>
              <w:rPr>
                <w:color w:val="000000" w:themeColor="text1"/>
                <w:sz w:val="20"/>
                <w:szCs w:val="22"/>
              </w:rPr>
            </w:pPr>
            <w:r w:rsidRPr="00475E8E">
              <w:rPr>
                <w:color w:val="000000" w:themeColor="text1"/>
                <w:sz w:val="20"/>
                <w:szCs w:val="22"/>
              </w:rPr>
              <w:t>0; 0,5; 1,5; 5; 15; восстановления 0,15.</w:t>
            </w:r>
          </w:p>
        </w:tc>
        <w:tc>
          <w:tcPr>
            <w:tcW w:w="4302" w:type="dxa"/>
            <w:vAlign w:val="center"/>
          </w:tcPr>
          <w:p w14:paraId="0C7B8D9B"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0,5 мг/</w:t>
            </w:r>
            <w:r w:rsidRPr="00475E8E">
              <w:rPr>
                <w:color w:val="000000" w:themeColor="text1"/>
                <w:sz w:val="20"/>
                <w:szCs w:val="22"/>
                <w:shd w:val="clear" w:color="auto" w:fill="FFFFFF"/>
              </w:rPr>
              <w:t>кг: снижение прироста массы тела, потребления пищи (</w:t>
            </w:r>
            <w:r>
              <w:rPr>
                <w:color w:val="000000" w:themeColor="text1"/>
                <w:sz w:val="20"/>
                <w:szCs w:val="22"/>
                <w:shd w:val="clear" w:color="auto" w:fill="FFFFFF"/>
                <w:lang w:val="en-US"/>
              </w:rPr>
              <w:t>m</w:t>
            </w:r>
            <w:r w:rsidRPr="00475E8E">
              <w:rPr>
                <w:color w:val="000000" w:themeColor="text1"/>
                <w:sz w:val="20"/>
                <w:szCs w:val="22"/>
                <w:shd w:val="clear" w:color="auto" w:fill="FFFFFF"/>
              </w:rPr>
              <w:t>); сгущение крови; низкие тромбоциты; повышенный уровень холестерина (</w:t>
            </w:r>
            <w:r>
              <w:rPr>
                <w:color w:val="000000" w:themeColor="text1"/>
                <w:sz w:val="20"/>
                <w:szCs w:val="22"/>
                <w:shd w:val="clear" w:color="auto" w:fill="FFFFFF"/>
                <w:lang w:val="en-US"/>
              </w:rPr>
              <w:t>m</w:t>
            </w:r>
            <w:r w:rsidRPr="00475E8E">
              <w:rPr>
                <w:color w:val="000000" w:themeColor="text1"/>
                <w:sz w:val="20"/>
                <w:szCs w:val="22"/>
                <w:shd w:val="clear" w:color="auto" w:fill="FFFFFF"/>
              </w:rPr>
              <w:t>); хронический миокардит (м)</w:t>
            </w:r>
          </w:p>
          <w:p w14:paraId="7AF4225C"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1,5 мг/</w:t>
            </w:r>
            <w:r w:rsidRPr="00475E8E">
              <w:rPr>
                <w:color w:val="000000" w:themeColor="text1"/>
                <w:sz w:val="20"/>
                <w:szCs w:val="22"/>
              </w:rPr>
              <w:t xml:space="preserve">кг: снижение прироста массы тела, потребления пищи (+ f); </w:t>
            </w:r>
            <w:bookmarkStart w:id="215" w:name="_Hlk113015934"/>
            <w:r w:rsidRPr="00475E8E">
              <w:rPr>
                <w:color w:val="000000" w:themeColor="text1"/>
                <w:sz w:val="20"/>
                <w:szCs w:val="22"/>
              </w:rPr>
              <w:t xml:space="preserve">увеличение уровня триглицериды (f); хронический миокардит </w:t>
            </w:r>
            <w:bookmarkEnd w:id="215"/>
            <w:r w:rsidRPr="00475E8E">
              <w:rPr>
                <w:color w:val="000000" w:themeColor="text1"/>
                <w:sz w:val="20"/>
                <w:szCs w:val="22"/>
              </w:rPr>
              <w:t xml:space="preserve">(+ f); медуллярная атрофия тимуса; увеличение альвеолярных макрофагов; </w:t>
            </w:r>
            <w:bookmarkStart w:id="216" w:name="_Hlk113015952"/>
            <w:r w:rsidRPr="00475E8E">
              <w:rPr>
                <w:color w:val="000000" w:themeColor="text1"/>
                <w:sz w:val="20"/>
                <w:szCs w:val="22"/>
              </w:rPr>
              <w:t>снижение количества семенных клеток в яичках; атрофия / снижение секреции семенных пузырьков; интерстициальная гипертрофия яичников</w:t>
            </w:r>
            <w:bookmarkEnd w:id="216"/>
            <w:r w:rsidRPr="00475E8E">
              <w:rPr>
                <w:color w:val="000000" w:themeColor="text1"/>
                <w:sz w:val="20"/>
                <w:szCs w:val="22"/>
              </w:rPr>
              <w:t>; истощение секреторных гранул в слюнных железах</w:t>
            </w:r>
          </w:p>
          <w:p w14:paraId="02D72653"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5 мг/</w:t>
            </w:r>
            <w:r w:rsidRPr="00475E8E">
              <w:rPr>
                <w:color w:val="000000" w:themeColor="text1"/>
                <w:sz w:val="20"/>
                <w:szCs w:val="22"/>
              </w:rPr>
              <w:t xml:space="preserve">кг: увеличение количества нейтрофилов; повышенный уровень холестерина (+ f); снижение уровня альбумина; снижение прозрачности и набухание хрусталика; атрофия / снижение секреции предстательной железы; атрофия матки; истончение костей черепа </w:t>
            </w:r>
          </w:p>
          <w:p w14:paraId="12E5FE38"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15 мг/</w:t>
            </w:r>
            <w:r w:rsidRPr="00475E8E">
              <w:rPr>
                <w:color w:val="000000" w:themeColor="text1"/>
                <w:sz w:val="20"/>
                <w:szCs w:val="22"/>
              </w:rPr>
              <w:t>кг: снижение количества сперматозоидов в семенниках; уменьшенное содержание в придатках. восстановление изменений, за исключением повреждений легких, сердца, глаза и яички</w:t>
            </w:r>
          </w:p>
          <w:p w14:paraId="1C566970"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NTEL около  2,</w:t>
            </w:r>
            <w:r w:rsidRPr="00475E8E">
              <w:rPr>
                <w:color w:val="000000" w:themeColor="text1"/>
                <w:sz w:val="20"/>
                <w:szCs w:val="22"/>
              </w:rPr>
              <w:t>5 мг/кг</w:t>
            </w:r>
          </w:p>
        </w:tc>
      </w:tr>
      <w:tr w:rsidR="000859AF" w:rsidRPr="00707D60" w14:paraId="067E15D2" w14:textId="77777777" w:rsidTr="008A7500">
        <w:tc>
          <w:tcPr>
            <w:tcW w:w="1109" w:type="dxa"/>
            <w:vAlign w:val="center"/>
          </w:tcPr>
          <w:p w14:paraId="3AAAD61B" w14:textId="77777777" w:rsidR="000859AF" w:rsidRPr="00475E8E" w:rsidRDefault="000859AF" w:rsidP="000859AF">
            <w:pPr>
              <w:rPr>
                <w:color w:val="000000" w:themeColor="text1"/>
                <w:sz w:val="20"/>
                <w:szCs w:val="22"/>
              </w:rPr>
            </w:pPr>
            <w:r w:rsidRPr="00475E8E">
              <w:rPr>
                <w:color w:val="000000" w:themeColor="text1"/>
                <w:sz w:val="20"/>
                <w:szCs w:val="22"/>
              </w:rPr>
              <w:t>Крысы</w:t>
            </w:r>
          </w:p>
        </w:tc>
        <w:tc>
          <w:tcPr>
            <w:tcW w:w="1005" w:type="dxa"/>
            <w:vAlign w:val="center"/>
          </w:tcPr>
          <w:p w14:paraId="46E4AC90" w14:textId="77777777" w:rsidR="000859AF" w:rsidRPr="00475E8E" w:rsidRDefault="000859AF" w:rsidP="000859AF">
            <w:pPr>
              <w:rPr>
                <w:color w:val="000000" w:themeColor="text1"/>
                <w:sz w:val="20"/>
                <w:szCs w:val="22"/>
              </w:rPr>
            </w:pPr>
            <w:r w:rsidRPr="00475E8E">
              <w:rPr>
                <w:color w:val="000000" w:themeColor="text1"/>
                <w:sz w:val="20"/>
                <w:szCs w:val="22"/>
              </w:rPr>
              <w:t>4 недели (2 недели восстановления)</w:t>
            </w:r>
          </w:p>
        </w:tc>
        <w:tc>
          <w:tcPr>
            <w:tcW w:w="1109" w:type="dxa"/>
            <w:vAlign w:val="center"/>
          </w:tcPr>
          <w:p w14:paraId="4DBCF996"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65BFD132" w14:textId="77777777" w:rsidR="000859AF" w:rsidRPr="00475E8E" w:rsidRDefault="000859AF" w:rsidP="000859AF">
            <w:pPr>
              <w:rPr>
                <w:color w:val="000000" w:themeColor="text1"/>
                <w:sz w:val="20"/>
                <w:szCs w:val="22"/>
              </w:rPr>
            </w:pPr>
            <w:r w:rsidRPr="00475E8E">
              <w:rPr>
                <w:color w:val="000000" w:themeColor="text1"/>
                <w:sz w:val="20"/>
                <w:szCs w:val="22"/>
              </w:rPr>
              <w:t>10m, 10f, дополнительно 6m, 6f в период восстановления</w:t>
            </w:r>
          </w:p>
        </w:tc>
        <w:tc>
          <w:tcPr>
            <w:tcW w:w="998" w:type="dxa"/>
            <w:vAlign w:val="center"/>
          </w:tcPr>
          <w:p w14:paraId="0AC965FA" w14:textId="77777777" w:rsidR="000859AF" w:rsidRPr="00475E8E" w:rsidRDefault="000859AF" w:rsidP="000859AF">
            <w:pPr>
              <w:rPr>
                <w:color w:val="000000" w:themeColor="text1"/>
                <w:sz w:val="20"/>
                <w:szCs w:val="22"/>
              </w:rPr>
            </w:pPr>
            <w:r w:rsidRPr="00475E8E">
              <w:rPr>
                <w:color w:val="000000" w:themeColor="text1"/>
                <w:sz w:val="20"/>
                <w:szCs w:val="22"/>
              </w:rPr>
              <w:t>0; 0,1; 0,25; 0,5; 1,5; восстановления 0,15.</w:t>
            </w:r>
          </w:p>
        </w:tc>
        <w:tc>
          <w:tcPr>
            <w:tcW w:w="4302" w:type="dxa"/>
            <w:vAlign w:val="center"/>
          </w:tcPr>
          <w:p w14:paraId="6B59D021"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0,5 мг/</w:t>
            </w:r>
            <w:r w:rsidRPr="00475E8E">
              <w:rPr>
                <w:color w:val="000000" w:themeColor="text1"/>
                <w:sz w:val="20"/>
                <w:szCs w:val="22"/>
                <w:shd w:val="clear" w:color="auto" w:fill="FFFFFF"/>
              </w:rPr>
              <w:t>кг: медуллярная атрофия тимуса</w:t>
            </w:r>
          </w:p>
          <w:p w14:paraId="6F92778C"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1,5 мг/</w:t>
            </w:r>
            <w:r w:rsidRPr="00475E8E">
              <w:rPr>
                <w:color w:val="000000" w:themeColor="text1"/>
                <w:sz w:val="20"/>
                <w:szCs w:val="22"/>
              </w:rPr>
              <w:t>кг: снижение прироста массы тела, потребления пищи; снижение прозрачности хрусталика; сгущение крови; снижение уровня тромбоцитов; повышенный уровень холестерина (</w:t>
            </w:r>
            <w:r>
              <w:rPr>
                <w:color w:val="000000" w:themeColor="text1"/>
                <w:sz w:val="20"/>
                <w:szCs w:val="22"/>
                <w:lang w:val="en-US"/>
              </w:rPr>
              <w:t>m</w:t>
            </w:r>
            <w:r w:rsidRPr="00475E8E">
              <w:rPr>
                <w:color w:val="000000" w:themeColor="text1"/>
                <w:sz w:val="20"/>
                <w:szCs w:val="22"/>
              </w:rPr>
              <w:t xml:space="preserve">); хронический миокардит; увеличенное количество альвеолярных макрофагов; интерстициальная гиперплазия яичников; атрофия матки; истощение секреторных гранулы в слюнных железах. </w:t>
            </w:r>
            <w:r w:rsidRPr="00475E8E">
              <w:rPr>
                <w:color w:val="000000" w:themeColor="text1"/>
                <w:sz w:val="20"/>
                <w:szCs w:val="22"/>
              </w:rPr>
              <w:lastRenderedPageBreak/>
              <w:t>Восстановление изменений, за исключением сердца.</w:t>
            </w:r>
          </w:p>
          <w:p w14:paraId="610135E9"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NTEL =  0,</w:t>
            </w:r>
            <w:r w:rsidRPr="00475E8E">
              <w:rPr>
                <w:color w:val="000000" w:themeColor="text1"/>
                <w:sz w:val="20"/>
                <w:szCs w:val="22"/>
              </w:rPr>
              <w:t>5 мг/кг</w:t>
            </w:r>
          </w:p>
        </w:tc>
      </w:tr>
      <w:tr w:rsidR="000859AF" w:rsidRPr="00707D60" w14:paraId="6CE20A09" w14:textId="77777777" w:rsidTr="008A7500">
        <w:tc>
          <w:tcPr>
            <w:tcW w:w="1109" w:type="dxa"/>
            <w:vAlign w:val="center"/>
          </w:tcPr>
          <w:p w14:paraId="2E17DB87" w14:textId="77777777" w:rsidR="000859AF" w:rsidRPr="00475E8E" w:rsidRDefault="000859AF" w:rsidP="000859AF">
            <w:pPr>
              <w:rPr>
                <w:color w:val="000000" w:themeColor="text1"/>
                <w:sz w:val="20"/>
                <w:szCs w:val="22"/>
              </w:rPr>
            </w:pPr>
            <w:r w:rsidRPr="00475E8E">
              <w:rPr>
                <w:color w:val="000000" w:themeColor="text1"/>
                <w:sz w:val="20"/>
                <w:szCs w:val="22"/>
              </w:rPr>
              <w:lastRenderedPageBreak/>
              <w:t>Крысы</w:t>
            </w:r>
          </w:p>
        </w:tc>
        <w:tc>
          <w:tcPr>
            <w:tcW w:w="1005" w:type="dxa"/>
            <w:vAlign w:val="center"/>
          </w:tcPr>
          <w:p w14:paraId="644D9365" w14:textId="77777777" w:rsidR="000859AF" w:rsidRPr="00475E8E" w:rsidRDefault="000859AF" w:rsidP="000859AF">
            <w:pPr>
              <w:rPr>
                <w:color w:val="000000" w:themeColor="text1"/>
                <w:sz w:val="20"/>
                <w:szCs w:val="22"/>
              </w:rPr>
            </w:pPr>
            <w:r w:rsidRPr="00475E8E">
              <w:rPr>
                <w:color w:val="000000" w:themeColor="text1"/>
                <w:sz w:val="20"/>
                <w:szCs w:val="22"/>
              </w:rPr>
              <w:t>26 недель (4 недели восстановления)</w:t>
            </w:r>
          </w:p>
        </w:tc>
        <w:tc>
          <w:tcPr>
            <w:tcW w:w="1109" w:type="dxa"/>
            <w:vAlign w:val="center"/>
          </w:tcPr>
          <w:p w14:paraId="0F1C833A"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53E3135F" w14:textId="77777777" w:rsidR="000859AF" w:rsidRPr="00475E8E" w:rsidRDefault="000859AF" w:rsidP="000859AF">
            <w:pPr>
              <w:rPr>
                <w:color w:val="000000" w:themeColor="text1"/>
                <w:sz w:val="20"/>
                <w:szCs w:val="22"/>
              </w:rPr>
            </w:pPr>
            <w:r w:rsidRPr="00475E8E">
              <w:rPr>
                <w:color w:val="000000" w:themeColor="text1"/>
                <w:sz w:val="20"/>
                <w:szCs w:val="22"/>
              </w:rPr>
              <w:t>20m, 20f, дополнительно 5m, 5f в период восстановления</w:t>
            </w:r>
          </w:p>
        </w:tc>
        <w:tc>
          <w:tcPr>
            <w:tcW w:w="998" w:type="dxa"/>
            <w:vAlign w:val="center"/>
          </w:tcPr>
          <w:p w14:paraId="496B1268" w14:textId="77777777" w:rsidR="000859AF" w:rsidRPr="00475E8E" w:rsidRDefault="000859AF" w:rsidP="000859AF">
            <w:pPr>
              <w:rPr>
                <w:color w:val="000000" w:themeColor="text1"/>
                <w:sz w:val="20"/>
                <w:szCs w:val="22"/>
              </w:rPr>
            </w:pPr>
            <w:r w:rsidRPr="00475E8E">
              <w:rPr>
                <w:color w:val="000000" w:themeColor="text1"/>
                <w:sz w:val="20"/>
                <w:szCs w:val="22"/>
              </w:rPr>
              <w:t>0; 0,05; 0,1; 0,15; 0,5; 1,5. восстановления 0; 1,5.</w:t>
            </w:r>
          </w:p>
        </w:tc>
        <w:tc>
          <w:tcPr>
            <w:tcW w:w="4302" w:type="dxa"/>
            <w:vAlign w:val="center"/>
          </w:tcPr>
          <w:p w14:paraId="2BADF307"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0,15 мг/</w:t>
            </w:r>
            <w:r w:rsidRPr="00475E8E">
              <w:rPr>
                <w:color w:val="000000" w:themeColor="text1"/>
                <w:sz w:val="20"/>
                <w:szCs w:val="22"/>
              </w:rPr>
              <w:t>кг: уменьшение прироста массы тела (f); медуллярная атрофия тимуса (f)</w:t>
            </w:r>
          </w:p>
          <w:p w14:paraId="4B5125D0"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0,5 мг/</w:t>
            </w:r>
            <w:r w:rsidRPr="00475E8E">
              <w:rPr>
                <w:color w:val="000000" w:themeColor="text1"/>
                <w:sz w:val="20"/>
                <w:szCs w:val="22"/>
              </w:rPr>
              <w:t>кг: сгущение крови (</w:t>
            </w:r>
            <w:r>
              <w:rPr>
                <w:color w:val="000000" w:themeColor="text1"/>
                <w:sz w:val="20"/>
                <w:szCs w:val="22"/>
                <w:lang w:val="en-US"/>
              </w:rPr>
              <w:t>m</w:t>
            </w:r>
            <w:r w:rsidRPr="00475E8E">
              <w:rPr>
                <w:color w:val="000000" w:themeColor="text1"/>
                <w:sz w:val="20"/>
                <w:szCs w:val="22"/>
              </w:rPr>
              <w:t>); низкий уровень тромбоцитов (</w:t>
            </w:r>
            <w:r>
              <w:rPr>
                <w:color w:val="000000" w:themeColor="text1"/>
                <w:sz w:val="20"/>
                <w:szCs w:val="22"/>
                <w:lang w:val="en-US"/>
              </w:rPr>
              <w:t>m</w:t>
            </w:r>
            <w:r w:rsidRPr="00475E8E">
              <w:rPr>
                <w:color w:val="000000" w:themeColor="text1"/>
                <w:sz w:val="20"/>
                <w:szCs w:val="22"/>
              </w:rPr>
              <w:t>); повышенный уровень амилазы (</w:t>
            </w:r>
            <w:r>
              <w:rPr>
                <w:color w:val="000000" w:themeColor="text1"/>
                <w:sz w:val="20"/>
                <w:szCs w:val="22"/>
                <w:lang w:val="en-US"/>
              </w:rPr>
              <w:t>m</w:t>
            </w:r>
            <w:r w:rsidRPr="00475E8E">
              <w:rPr>
                <w:color w:val="000000" w:themeColor="text1"/>
                <w:sz w:val="20"/>
                <w:szCs w:val="22"/>
              </w:rPr>
              <w:t xml:space="preserve">); медуллярная атрофия тимуса (+ </w:t>
            </w:r>
            <w:r>
              <w:rPr>
                <w:color w:val="000000" w:themeColor="text1"/>
                <w:sz w:val="20"/>
                <w:szCs w:val="22"/>
                <w:lang w:val="en-US"/>
              </w:rPr>
              <w:t>m</w:t>
            </w:r>
            <w:r w:rsidRPr="00475E8E">
              <w:rPr>
                <w:color w:val="000000" w:themeColor="text1"/>
                <w:sz w:val="20"/>
                <w:szCs w:val="22"/>
              </w:rPr>
              <w:t>); лимфоидная атрофия лимфатических узлов; пигмент (липофусцин) в почечных трубчатых эпителиальных клетках; гидронефроз (</w:t>
            </w:r>
            <w:r>
              <w:rPr>
                <w:color w:val="000000" w:themeColor="text1"/>
                <w:sz w:val="20"/>
                <w:szCs w:val="22"/>
                <w:lang w:val="en-US"/>
              </w:rPr>
              <w:t>m</w:t>
            </w:r>
            <w:r w:rsidRPr="00475E8E">
              <w:rPr>
                <w:color w:val="000000" w:themeColor="text1"/>
                <w:sz w:val="20"/>
                <w:szCs w:val="22"/>
              </w:rPr>
              <w:t>); увеличение количества альвеолярных макрофагов и периваскулярная лимфоцитарная инфильтрация; гипертрофия/ гиперплазия клеток слизистой оболочки желудка; гипертрофия/ вакуолизация фолликулов щитовидной железы (</w:t>
            </w:r>
            <w:r>
              <w:rPr>
                <w:color w:val="000000" w:themeColor="text1"/>
                <w:sz w:val="20"/>
                <w:szCs w:val="22"/>
                <w:lang w:val="en-US"/>
              </w:rPr>
              <w:t>m</w:t>
            </w:r>
            <w:r w:rsidRPr="00475E8E">
              <w:rPr>
                <w:color w:val="000000" w:themeColor="text1"/>
                <w:sz w:val="20"/>
                <w:szCs w:val="22"/>
              </w:rPr>
              <w:t>)</w:t>
            </w:r>
          </w:p>
          <w:p w14:paraId="03248757" w14:textId="77777777" w:rsidR="000859AF" w:rsidRPr="00475E8E" w:rsidRDefault="000859AF" w:rsidP="000859AF">
            <w:pPr>
              <w:rPr>
                <w:color w:val="000000" w:themeColor="text1"/>
                <w:sz w:val="20"/>
                <w:szCs w:val="22"/>
                <w:shd w:val="clear" w:color="auto" w:fill="FFFFFF"/>
              </w:rPr>
            </w:pPr>
            <w:r w:rsidRPr="00475E8E">
              <w:rPr>
                <w:color w:val="000000" w:themeColor="text1"/>
                <w:sz w:val="20"/>
                <w:szCs w:val="22"/>
                <w:shd w:val="clear" w:color="auto" w:fill="FFFFFF"/>
              </w:rPr>
              <w:t xml:space="preserve">1,5 мг / кг: снижение прироста массы тела (+ м), приема пищи; сгущение крови (+ f); низкий уровень тромбоцитов (+ </w:t>
            </w:r>
            <w:r>
              <w:rPr>
                <w:color w:val="000000" w:themeColor="text1"/>
                <w:sz w:val="20"/>
                <w:szCs w:val="22"/>
                <w:shd w:val="clear" w:color="auto" w:fill="FFFFFF"/>
                <w:lang w:val="en-US"/>
              </w:rPr>
              <w:t>f</w:t>
            </w:r>
            <w:r w:rsidRPr="00475E8E">
              <w:rPr>
                <w:color w:val="000000" w:themeColor="text1"/>
                <w:sz w:val="20"/>
                <w:szCs w:val="22"/>
                <w:shd w:val="clear" w:color="auto" w:fill="FFFFFF"/>
              </w:rPr>
              <w:t>); увеличение количества нейтрофилов; повышенный уровень холестерина (</w:t>
            </w:r>
            <w:r>
              <w:rPr>
                <w:color w:val="000000" w:themeColor="text1"/>
                <w:sz w:val="20"/>
                <w:szCs w:val="22"/>
                <w:shd w:val="clear" w:color="auto" w:fill="FFFFFF"/>
                <w:lang w:val="en-US"/>
              </w:rPr>
              <w:t>m</w:t>
            </w:r>
            <w:r w:rsidRPr="00475E8E">
              <w:rPr>
                <w:color w:val="000000" w:themeColor="text1"/>
                <w:sz w:val="20"/>
                <w:szCs w:val="22"/>
                <w:shd w:val="clear" w:color="auto" w:fill="FFFFFF"/>
              </w:rPr>
              <w:t>) и амилазы (+ f), уменьшенный уровень альбумина (</w:t>
            </w:r>
            <w:r>
              <w:rPr>
                <w:color w:val="000000" w:themeColor="text1"/>
                <w:sz w:val="20"/>
                <w:szCs w:val="22"/>
                <w:shd w:val="clear" w:color="auto" w:fill="FFFFFF"/>
                <w:lang w:val="en-US"/>
              </w:rPr>
              <w:t>m</w:t>
            </w:r>
            <w:r w:rsidRPr="00475E8E">
              <w:rPr>
                <w:color w:val="000000" w:themeColor="text1"/>
                <w:sz w:val="20"/>
                <w:szCs w:val="22"/>
                <w:shd w:val="clear" w:color="auto" w:fill="FFFFFF"/>
              </w:rPr>
              <w:t>) и железа; интерстициальный пневмонит (</w:t>
            </w:r>
            <w:r>
              <w:rPr>
                <w:color w:val="000000" w:themeColor="text1"/>
                <w:sz w:val="20"/>
                <w:szCs w:val="22"/>
                <w:shd w:val="clear" w:color="auto" w:fill="FFFFFF"/>
                <w:lang w:val="en-US"/>
              </w:rPr>
              <w:t>m</w:t>
            </w:r>
            <w:r w:rsidRPr="00475E8E">
              <w:rPr>
                <w:color w:val="000000" w:themeColor="text1"/>
                <w:sz w:val="20"/>
                <w:szCs w:val="22"/>
                <w:shd w:val="clear" w:color="auto" w:fill="FFFFFF"/>
              </w:rPr>
              <w:t>); гемосидероз селезенки; истощение семенных клеток, тубулярная вакуолизация ​​и образования сперматидных гигантских клеток в семенниках. Восстановление изменений, за исключением легкие или яичек</w:t>
            </w:r>
          </w:p>
          <w:p w14:paraId="2B68C1DD"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NTEL = 0,15 мг/</w:t>
            </w:r>
            <w:r w:rsidRPr="00475E8E">
              <w:rPr>
                <w:color w:val="000000" w:themeColor="text1"/>
                <w:sz w:val="20"/>
                <w:szCs w:val="22"/>
              </w:rPr>
              <w:t>кг</w:t>
            </w:r>
          </w:p>
        </w:tc>
      </w:tr>
      <w:tr w:rsidR="000859AF" w:rsidRPr="00707D60" w14:paraId="48FEC761" w14:textId="77777777" w:rsidTr="008A7500">
        <w:tc>
          <w:tcPr>
            <w:tcW w:w="1109" w:type="dxa"/>
            <w:vAlign w:val="center"/>
          </w:tcPr>
          <w:p w14:paraId="36A7E871" w14:textId="77777777" w:rsidR="000859AF" w:rsidRPr="00475E8E" w:rsidRDefault="000859AF" w:rsidP="000859AF">
            <w:pPr>
              <w:rPr>
                <w:color w:val="000000" w:themeColor="text1"/>
                <w:sz w:val="20"/>
                <w:szCs w:val="22"/>
              </w:rPr>
            </w:pPr>
            <w:r w:rsidRPr="00475E8E">
              <w:rPr>
                <w:color w:val="000000" w:themeColor="text1"/>
                <w:sz w:val="20"/>
                <w:szCs w:val="22"/>
              </w:rPr>
              <w:t>Обезьяны</w:t>
            </w:r>
          </w:p>
        </w:tc>
        <w:tc>
          <w:tcPr>
            <w:tcW w:w="1005" w:type="dxa"/>
            <w:vAlign w:val="center"/>
          </w:tcPr>
          <w:p w14:paraId="628D038D" w14:textId="77777777" w:rsidR="000859AF" w:rsidRPr="00475E8E" w:rsidRDefault="000859AF" w:rsidP="000859AF">
            <w:pPr>
              <w:rPr>
                <w:color w:val="000000" w:themeColor="text1"/>
                <w:sz w:val="20"/>
                <w:szCs w:val="22"/>
              </w:rPr>
            </w:pPr>
            <w:r w:rsidRPr="00475E8E">
              <w:rPr>
                <w:color w:val="000000" w:themeColor="text1"/>
                <w:sz w:val="20"/>
                <w:szCs w:val="22"/>
              </w:rPr>
              <w:t xml:space="preserve"> 24 дня</w:t>
            </w:r>
          </w:p>
        </w:tc>
        <w:tc>
          <w:tcPr>
            <w:tcW w:w="1109" w:type="dxa"/>
            <w:vAlign w:val="center"/>
          </w:tcPr>
          <w:p w14:paraId="56CE2385"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3D35835A" w14:textId="77777777" w:rsidR="000859AF" w:rsidRPr="00475E8E" w:rsidRDefault="000859AF" w:rsidP="000859AF">
            <w:pPr>
              <w:rPr>
                <w:color w:val="000000" w:themeColor="text1"/>
                <w:sz w:val="20"/>
                <w:szCs w:val="22"/>
              </w:rPr>
            </w:pPr>
            <w:r w:rsidRPr="00475E8E">
              <w:rPr>
                <w:color w:val="000000" w:themeColor="text1"/>
                <w:sz w:val="20"/>
                <w:szCs w:val="22"/>
              </w:rPr>
              <w:t xml:space="preserve">1m, 1f </w:t>
            </w:r>
          </w:p>
        </w:tc>
        <w:tc>
          <w:tcPr>
            <w:tcW w:w="998" w:type="dxa"/>
            <w:vAlign w:val="center"/>
          </w:tcPr>
          <w:p w14:paraId="48FCEBF6" w14:textId="77777777" w:rsidR="000859AF" w:rsidRPr="00475E8E" w:rsidRDefault="000859AF" w:rsidP="000859AF">
            <w:pPr>
              <w:rPr>
                <w:color w:val="000000" w:themeColor="text1"/>
                <w:sz w:val="20"/>
                <w:szCs w:val="22"/>
              </w:rPr>
            </w:pPr>
            <w:r w:rsidRPr="00475E8E">
              <w:rPr>
                <w:color w:val="000000" w:themeColor="text1"/>
                <w:sz w:val="20"/>
                <w:szCs w:val="22"/>
              </w:rPr>
              <w:t>1 (4 дня), 2 (3 дня), 4 (4 дня), 10 (3 дня), 20 (4 дня), 40 (3 дня), 60 (3 дня)</w:t>
            </w:r>
          </w:p>
          <w:p w14:paraId="29F51529" w14:textId="77777777" w:rsidR="000859AF" w:rsidRPr="00475E8E" w:rsidRDefault="000859AF" w:rsidP="000859AF">
            <w:pPr>
              <w:rPr>
                <w:color w:val="000000" w:themeColor="text1"/>
                <w:sz w:val="20"/>
                <w:szCs w:val="22"/>
              </w:rPr>
            </w:pPr>
            <w:r w:rsidRPr="00475E8E">
              <w:rPr>
                <w:color w:val="000000" w:themeColor="text1"/>
                <w:sz w:val="20"/>
                <w:szCs w:val="22"/>
              </w:rPr>
              <w:t>Отмывочный период между дозами 5-7 дней</w:t>
            </w:r>
          </w:p>
        </w:tc>
        <w:tc>
          <w:tcPr>
            <w:tcW w:w="4302" w:type="dxa"/>
            <w:vAlign w:val="center"/>
          </w:tcPr>
          <w:p w14:paraId="3A3982BD"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2 мг/</w:t>
            </w:r>
            <w:r w:rsidRPr="00475E8E">
              <w:rPr>
                <w:color w:val="000000" w:themeColor="text1"/>
                <w:sz w:val="20"/>
                <w:szCs w:val="22"/>
                <w:shd w:val="clear" w:color="auto" w:fill="FFFFFF"/>
              </w:rPr>
              <w:t xml:space="preserve">кг: снижение активности (f) </w:t>
            </w:r>
          </w:p>
          <w:p w14:paraId="4B595304"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20 мг/</w:t>
            </w:r>
            <w:r w:rsidRPr="00475E8E">
              <w:rPr>
                <w:color w:val="000000" w:themeColor="text1"/>
                <w:sz w:val="20"/>
                <w:szCs w:val="22"/>
                <w:shd w:val="clear" w:color="auto" w:fill="FFFFFF"/>
              </w:rPr>
              <w:t xml:space="preserve">кг: увеличение уровня лейкоцитов </w:t>
            </w:r>
          </w:p>
          <w:p w14:paraId="3CD2AFCC" w14:textId="77777777" w:rsidR="000859AF" w:rsidRPr="00475E8E" w:rsidRDefault="000859AF" w:rsidP="000859AF">
            <w:pPr>
              <w:rPr>
                <w:color w:val="000000" w:themeColor="text1"/>
                <w:sz w:val="20"/>
                <w:szCs w:val="22"/>
                <w:shd w:val="clear" w:color="auto" w:fill="FFFFFF"/>
              </w:rPr>
            </w:pPr>
            <w:r>
              <w:rPr>
                <w:color w:val="000000" w:themeColor="text1"/>
                <w:sz w:val="20"/>
                <w:szCs w:val="22"/>
                <w:shd w:val="clear" w:color="auto" w:fill="FFFFFF"/>
              </w:rPr>
              <w:t xml:space="preserve"> ≥ 40 мг/</w:t>
            </w:r>
            <w:r w:rsidRPr="00475E8E">
              <w:rPr>
                <w:color w:val="000000" w:themeColor="text1"/>
                <w:sz w:val="20"/>
                <w:szCs w:val="22"/>
                <w:shd w:val="clear" w:color="auto" w:fill="FFFFFF"/>
              </w:rPr>
              <w:t>кг: снижение активности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пилоаррекция и сжатая поза (f) </w:t>
            </w:r>
          </w:p>
          <w:p w14:paraId="79AEFBCC" w14:textId="77777777" w:rsidR="000859AF" w:rsidRPr="00475E8E" w:rsidRDefault="000859AF" w:rsidP="000859AF">
            <w:pPr>
              <w:rPr>
                <w:color w:val="000000" w:themeColor="text1"/>
                <w:sz w:val="20"/>
                <w:szCs w:val="22"/>
              </w:rPr>
            </w:pPr>
            <w:r>
              <w:rPr>
                <w:color w:val="000000" w:themeColor="text1"/>
                <w:sz w:val="20"/>
                <w:szCs w:val="22"/>
                <w:shd w:val="clear" w:color="auto" w:fill="FFFFFF"/>
              </w:rPr>
              <w:t>60 мг/</w:t>
            </w:r>
            <w:r w:rsidRPr="00475E8E">
              <w:rPr>
                <w:color w:val="000000" w:themeColor="text1"/>
                <w:sz w:val="20"/>
                <w:szCs w:val="22"/>
                <w:shd w:val="clear" w:color="auto" w:fill="FFFFFF"/>
              </w:rPr>
              <w:t>кг: пило</w:t>
            </w:r>
            <w:r>
              <w:rPr>
                <w:color w:val="000000" w:themeColor="text1"/>
                <w:sz w:val="20"/>
                <w:szCs w:val="22"/>
                <w:shd w:val="clear" w:color="auto" w:fill="FFFFFF"/>
              </w:rPr>
              <w:t>эр</w:t>
            </w:r>
            <w:r w:rsidRPr="00475E8E">
              <w:rPr>
                <w:color w:val="000000" w:themeColor="text1"/>
                <w:sz w:val="20"/>
                <w:szCs w:val="22"/>
                <w:shd w:val="clear" w:color="auto" w:fill="FFFFFF"/>
              </w:rPr>
              <w:t xml:space="preserve">екция и сжатая поза (+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w:t>
            </w:r>
            <w:r>
              <w:rPr>
                <w:color w:val="000000" w:themeColor="text1"/>
                <w:sz w:val="20"/>
                <w:szCs w:val="22"/>
                <w:shd w:val="clear" w:color="auto" w:fill="FFFFFF"/>
              </w:rPr>
              <w:t>снижение</w:t>
            </w:r>
            <w:r w:rsidRPr="00475E8E">
              <w:rPr>
                <w:color w:val="000000" w:themeColor="text1"/>
                <w:sz w:val="20"/>
                <w:szCs w:val="22"/>
                <w:shd w:val="clear" w:color="auto" w:fill="FFFFFF"/>
              </w:rPr>
              <w:t xml:space="preserve"> лимфоидн</w:t>
            </w:r>
            <w:r>
              <w:rPr>
                <w:color w:val="000000" w:themeColor="text1"/>
                <w:sz w:val="20"/>
                <w:szCs w:val="22"/>
                <w:shd w:val="clear" w:color="auto" w:fill="FFFFFF"/>
              </w:rPr>
              <w:t>ой</w:t>
            </w:r>
            <w:r w:rsidRPr="00475E8E">
              <w:rPr>
                <w:color w:val="000000" w:themeColor="text1"/>
                <w:sz w:val="20"/>
                <w:szCs w:val="22"/>
                <w:shd w:val="clear" w:color="auto" w:fill="FFFFFF"/>
              </w:rPr>
              <w:t xml:space="preserve"> активност</w:t>
            </w:r>
            <w:r>
              <w:rPr>
                <w:color w:val="000000" w:themeColor="text1"/>
                <w:sz w:val="20"/>
                <w:szCs w:val="22"/>
                <w:shd w:val="clear" w:color="auto" w:fill="FFFFFF"/>
              </w:rPr>
              <w:t>и</w:t>
            </w:r>
            <w:r w:rsidRPr="00475E8E">
              <w:rPr>
                <w:color w:val="000000" w:themeColor="text1"/>
                <w:sz w:val="20"/>
                <w:szCs w:val="22"/>
                <w:shd w:val="clear" w:color="auto" w:fill="FFFFFF"/>
              </w:rPr>
              <w:t xml:space="preserve"> в тимусе, селезенк</w:t>
            </w:r>
            <w:r>
              <w:rPr>
                <w:color w:val="000000" w:themeColor="text1"/>
                <w:sz w:val="20"/>
                <w:szCs w:val="22"/>
                <w:shd w:val="clear" w:color="auto" w:fill="FFFFFF"/>
              </w:rPr>
              <w:t>е</w:t>
            </w:r>
            <w:r w:rsidRPr="00475E8E">
              <w:rPr>
                <w:color w:val="000000" w:themeColor="text1"/>
                <w:sz w:val="20"/>
                <w:szCs w:val="22"/>
                <w:shd w:val="clear" w:color="auto" w:fill="FFFFFF"/>
              </w:rPr>
              <w:t>, лимфоидных узлах</w:t>
            </w:r>
          </w:p>
        </w:tc>
      </w:tr>
      <w:tr w:rsidR="000859AF" w:rsidRPr="00707D60" w14:paraId="0845EB40" w14:textId="77777777" w:rsidTr="008A7500">
        <w:tc>
          <w:tcPr>
            <w:tcW w:w="1109" w:type="dxa"/>
            <w:vAlign w:val="center"/>
          </w:tcPr>
          <w:p w14:paraId="7133C142" w14:textId="77777777" w:rsidR="000859AF" w:rsidRPr="00475E8E" w:rsidRDefault="000859AF" w:rsidP="000859AF">
            <w:pPr>
              <w:rPr>
                <w:color w:val="000000" w:themeColor="text1"/>
                <w:sz w:val="20"/>
                <w:szCs w:val="22"/>
              </w:rPr>
            </w:pPr>
            <w:r w:rsidRPr="00475E8E">
              <w:rPr>
                <w:color w:val="000000" w:themeColor="text1"/>
                <w:sz w:val="20"/>
                <w:szCs w:val="22"/>
              </w:rPr>
              <w:t>Обезьяны</w:t>
            </w:r>
          </w:p>
        </w:tc>
        <w:tc>
          <w:tcPr>
            <w:tcW w:w="1005" w:type="dxa"/>
            <w:vAlign w:val="center"/>
          </w:tcPr>
          <w:p w14:paraId="6989E5D4" w14:textId="77777777" w:rsidR="000859AF" w:rsidRPr="00475E8E" w:rsidRDefault="000859AF" w:rsidP="000859AF">
            <w:pPr>
              <w:rPr>
                <w:color w:val="000000" w:themeColor="text1"/>
                <w:sz w:val="20"/>
                <w:szCs w:val="22"/>
              </w:rPr>
            </w:pPr>
            <w:r w:rsidRPr="00475E8E">
              <w:rPr>
                <w:color w:val="000000" w:themeColor="text1"/>
                <w:sz w:val="20"/>
                <w:szCs w:val="22"/>
              </w:rPr>
              <w:t xml:space="preserve"> 2 недели</w:t>
            </w:r>
          </w:p>
        </w:tc>
        <w:tc>
          <w:tcPr>
            <w:tcW w:w="1109" w:type="dxa"/>
            <w:vAlign w:val="center"/>
          </w:tcPr>
          <w:p w14:paraId="6A42E296"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22FB75E7" w14:textId="77777777" w:rsidR="000859AF" w:rsidRPr="00475E8E" w:rsidRDefault="000859AF" w:rsidP="000859AF">
            <w:pPr>
              <w:rPr>
                <w:color w:val="000000" w:themeColor="text1"/>
                <w:sz w:val="20"/>
                <w:szCs w:val="22"/>
              </w:rPr>
            </w:pPr>
            <w:r w:rsidRPr="00475E8E">
              <w:rPr>
                <w:color w:val="000000" w:themeColor="text1"/>
                <w:sz w:val="20"/>
                <w:szCs w:val="22"/>
              </w:rPr>
              <w:t xml:space="preserve">1m, 1f </w:t>
            </w:r>
          </w:p>
        </w:tc>
        <w:tc>
          <w:tcPr>
            <w:tcW w:w="998" w:type="dxa"/>
            <w:vAlign w:val="center"/>
          </w:tcPr>
          <w:p w14:paraId="23E6D77E" w14:textId="77777777" w:rsidR="000859AF" w:rsidRPr="00475E8E" w:rsidRDefault="000859AF" w:rsidP="000859AF">
            <w:pPr>
              <w:rPr>
                <w:color w:val="000000" w:themeColor="text1"/>
                <w:sz w:val="20"/>
                <w:szCs w:val="22"/>
              </w:rPr>
            </w:pPr>
            <w:r w:rsidRPr="00475E8E">
              <w:rPr>
                <w:color w:val="000000" w:themeColor="text1"/>
                <w:sz w:val="20"/>
                <w:szCs w:val="22"/>
              </w:rPr>
              <w:t>0; 5; 15; 45</w:t>
            </w:r>
          </w:p>
        </w:tc>
        <w:tc>
          <w:tcPr>
            <w:tcW w:w="4302" w:type="dxa"/>
            <w:vAlign w:val="center"/>
          </w:tcPr>
          <w:p w14:paraId="69E5B591"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 5 мг/</w:t>
            </w:r>
            <w:r w:rsidRPr="00475E8E">
              <w:rPr>
                <w:color w:val="000000" w:themeColor="text1"/>
                <w:sz w:val="20"/>
                <w:szCs w:val="22"/>
              </w:rPr>
              <w:t>кг: пило</w:t>
            </w:r>
            <w:r>
              <w:rPr>
                <w:color w:val="000000" w:themeColor="text1"/>
                <w:sz w:val="20"/>
                <w:szCs w:val="22"/>
              </w:rPr>
              <w:t>эр</w:t>
            </w:r>
            <w:r w:rsidRPr="00475E8E">
              <w:rPr>
                <w:color w:val="000000" w:themeColor="text1"/>
                <w:sz w:val="20"/>
                <w:szCs w:val="22"/>
              </w:rPr>
              <w:t xml:space="preserve">екция, сыпь на груди; </w:t>
            </w:r>
            <w:r>
              <w:rPr>
                <w:color w:val="000000" w:themeColor="text1"/>
                <w:sz w:val="20"/>
                <w:szCs w:val="22"/>
              </w:rPr>
              <w:t>повышение</w:t>
            </w:r>
            <w:r w:rsidRPr="00475E8E">
              <w:rPr>
                <w:color w:val="000000" w:themeColor="text1"/>
                <w:sz w:val="20"/>
                <w:szCs w:val="22"/>
              </w:rPr>
              <w:t xml:space="preserve"> уров</w:t>
            </w:r>
            <w:r>
              <w:rPr>
                <w:color w:val="000000" w:themeColor="text1"/>
                <w:sz w:val="20"/>
                <w:szCs w:val="22"/>
              </w:rPr>
              <w:t>ня</w:t>
            </w:r>
            <w:r w:rsidRPr="00475E8E">
              <w:rPr>
                <w:color w:val="000000" w:themeColor="text1"/>
                <w:sz w:val="20"/>
                <w:szCs w:val="22"/>
              </w:rPr>
              <w:t xml:space="preserve"> фибриногена (</w:t>
            </w:r>
            <w:r>
              <w:rPr>
                <w:color w:val="000000" w:themeColor="text1"/>
                <w:sz w:val="20"/>
                <w:szCs w:val="22"/>
                <w:lang w:val="en-US"/>
              </w:rPr>
              <w:t>m</w:t>
            </w:r>
            <w:r w:rsidRPr="00475E8E">
              <w:rPr>
                <w:color w:val="000000" w:themeColor="text1"/>
                <w:sz w:val="20"/>
                <w:szCs w:val="22"/>
              </w:rPr>
              <w:t xml:space="preserve">), активированного частичного тромбопластинового времени; снижение лимфоидной активности в тимусе, селезенке и </w:t>
            </w:r>
            <w:r w:rsidRPr="00475E8E">
              <w:rPr>
                <w:color w:val="000000" w:themeColor="text1"/>
                <w:sz w:val="20"/>
                <w:szCs w:val="22"/>
                <w:shd w:val="clear" w:color="auto" w:fill="FFFFFF"/>
              </w:rPr>
              <w:t>лимфоидных узлах</w:t>
            </w:r>
            <w:r w:rsidRPr="00475E8E">
              <w:rPr>
                <w:color w:val="000000" w:themeColor="text1"/>
                <w:sz w:val="20"/>
                <w:szCs w:val="22"/>
              </w:rPr>
              <w:t xml:space="preserve">; субэндокардиальное/интерстициальное кровоизлияние в сердце; снижение </w:t>
            </w:r>
            <w:r>
              <w:rPr>
                <w:color w:val="000000" w:themeColor="text1"/>
                <w:sz w:val="20"/>
                <w:szCs w:val="22"/>
              </w:rPr>
              <w:t xml:space="preserve">числа </w:t>
            </w:r>
            <w:r w:rsidRPr="00475E8E">
              <w:rPr>
                <w:color w:val="000000" w:themeColor="text1"/>
                <w:sz w:val="20"/>
                <w:szCs w:val="22"/>
              </w:rPr>
              <w:t>клеток в красном костном мозге (f)</w:t>
            </w:r>
          </w:p>
          <w:p w14:paraId="2C736FBE"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Pr>
                <w:color w:val="000000" w:themeColor="text1"/>
                <w:sz w:val="20"/>
                <w:szCs w:val="22"/>
                <w:shd w:val="clear" w:color="auto" w:fill="FFFFFF"/>
              </w:rPr>
              <w:t>≥ 15 мг/</w:t>
            </w:r>
            <w:r w:rsidRPr="00475E8E">
              <w:rPr>
                <w:color w:val="000000" w:themeColor="text1"/>
                <w:sz w:val="20"/>
                <w:szCs w:val="22"/>
                <w:shd w:val="clear" w:color="auto" w:fill="FFFFFF"/>
              </w:rPr>
              <w:t xml:space="preserve">кг: снижение активности; </w:t>
            </w:r>
            <w:r>
              <w:rPr>
                <w:color w:val="000000" w:themeColor="text1"/>
                <w:sz w:val="20"/>
                <w:szCs w:val="22"/>
              </w:rPr>
              <w:t>повышение</w:t>
            </w:r>
            <w:r w:rsidRPr="00475E8E">
              <w:rPr>
                <w:color w:val="000000" w:themeColor="text1"/>
                <w:sz w:val="20"/>
                <w:szCs w:val="22"/>
              </w:rPr>
              <w:t xml:space="preserve"> уров</w:t>
            </w:r>
            <w:r>
              <w:rPr>
                <w:color w:val="000000" w:themeColor="text1"/>
                <w:sz w:val="20"/>
                <w:szCs w:val="22"/>
              </w:rPr>
              <w:t>ня</w:t>
            </w:r>
            <w:r w:rsidRPr="00475E8E">
              <w:rPr>
                <w:color w:val="000000" w:themeColor="text1"/>
                <w:sz w:val="20"/>
                <w:szCs w:val="22"/>
              </w:rPr>
              <w:t xml:space="preserve"> фибриногена</w:t>
            </w:r>
            <w:r w:rsidRPr="00475E8E">
              <w:rPr>
                <w:color w:val="000000" w:themeColor="text1"/>
                <w:sz w:val="20"/>
                <w:szCs w:val="22"/>
                <w:shd w:val="clear" w:color="auto" w:fill="FFFFFF"/>
              </w:rPr>
              <w:t xml:space="preserve"> (+ f);</w:t>
            </w:r>
            <w:r>
              <w:rPr>
                <w:color w:val="000000" w:themeColor="text1"/>
                <w:sz w:val="20"/>
                <w:szCs w:val="22"/>
                <w:shd w:val="clear" w:color="auto" w:fill="FFFFFF"/>
              </w:rPr>
              <w:t xml:space="preserve"> </w:t>
            </w:r>
            <w:r w:rsidRPr="00475E8E">
              <w:rPr>
                <w:color w:val="000000" w:themeColor="text1"/>
                <w:sz w:val="20"/>
                <w:szCs w:val="22"/>
                <w:shd w:val="clear" w:color="auto" w:fill="FFFFFF"/>
              </w:rPr>
              <w:t>с</w:t>
            </w:r>
            <w:r w:rsidRPr="00475E8E">
              <w:rPr>
                <w:color w:val="000000" w:themeColor="text1"/>
                <w:sz w:val="20"/>
                <w:szCs w:val="22"/>
              </w:rPr>
              <w:t>убэндокардиальное/ интерстициальное кровоизлияние в сердце</w:t>
            </w:r>
            <w:r w:rsidRPr="00475E8E">
              <w:rPr>
                <w:color w:val="000000" w:themeColor="text1"/>
                <w:sz w:val="20"/>
                <w:szCs w:val="22"/>
                <w:shd w:val="clear" w:color="auto" w:fill="FFFFFF"/>
              </w:rPr>
              <w:t xml:space="preserve"> (</w:t>
            </w:r>
            <w:r>
              <w:rPr>
                <w:color w:val="000000" w:themeColor="text1"/>
                <w:sz w:val="20"/>
                <w:szCs w:val="22"/>
                <w:shd w:val="clear" w:color="auto" w:fill="FFFFFF"/>
                <w:lang w:val="en-US"/>
              </w:rPr>
              <w:t>m</w:t>
            </w:r>
            <w:r w:rsidRPr="00475E8E">
              <w:rPr>
                <w:color w:val="000000" w:themeColor="text1"/>
                <w:sz w:val="20"/>
                <w:szCs w:val="22"/>
                <w:shd w:val="clear" w:color="auto" w:fill="FFFFFF"/>
              </w:rPr>
              <w:t>)</w:t>
            </w:r>
            <w:r w:rsidRPr="00475E8E">
              <w:rPr>
                <w:color w:val="000000" w:themeColor="text1"/>
                <w:sz w:val="20"/>
                <w:szCs w:val="22"/>
              </w:rPr>
              <w:br/>
            </w:r>
            <w:r>
              <w:rPr>
                <w:color w:val="000000" w:themeColor="text1"/>
                <w:sz w:val="20"/>
                <w:szCs w:val="22"/>
                <w:shd w:val="clear" w:color="auto" w:fill="FFFFFF"/>
              </w:rPr>
              <w:t>45 мг/</w:t>
            </w:r>
            <w:r w:rsidRPr="00475E8E">
              <w:rPr>
                <w:color w:val="000000" w:themeColor="text1"/>
                <w:sz w:val="20"/>
                <w:szCs w:val="22"/>
                <w:shd w:val="clear" w:color="auto" w:fill="FFFFFF"/>
              </w:rPr>
              <w:t xml:space="preserve">кг: грубая шерсть, сжатая поза (f); </w:t>
            </w:r>
            <w:r>
              <w:rPr>
                <w:color w:val="000000" w:themeColor="text1"/>
                <w:sz w:val="20"/>
                <w:szCs w:val="22"/>
                <w:shd w:val="clear" w:color="auto" w:fill="FFFFFF"/>
              </w:rPr>
              <w:t>снижение</w:t>
            </w:r>
            <w:r w:rsidRPr="00475E8E">
              <w:rPr>
                <w:color w:val="000000" w:themeColor="text1"/>
                <w:sz w:val="20"/>
                <w:szCs w:val="22"/>
                <w:shd w:val="clear" w:color="auto" w:fill="FFFFFF"/>
              </w:rPr>
              <w:t xml:space="preserve">  массы тела и сокращение потребления пищи; увеличение уровня глюкозы и холестерина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w:t>
            </w:r>
            <w:r>
              <w:rPr>
                <w:color w:val="000000" w:themeColor="text1"/>
                <w:sz w:val="20"/>
                <w:szCs w:val="22"/>
                <w:shd w:val="clear" w:color="auto" w:fill="FFFFFF"/>
              </w:rPr>
              <w:t>снижение</w:t>
            </w:r>
            <w:r w:rsidRPr="00475E8E">
              <w:rPr>
                <w:color w:val="000000" w:themeColor="text1"/>
                <w:sz w:val="20"/>
                <w:szCs w:val="22"/>
                <w:shd w:val="clear" w:color="auto" w:fill="FFFFFF"/>
              </w:rPr>
              <w:t xml:space="preserve"> уров</w:t>
            </w:r>
            <w:r>
              <w:rPr>
                <w:color w:val="000000" w:themeColor="text1"/>
                <w:sz w:val="20"/>
                <w:szCs w:val="22"/>
                <w:shd w:val="clear" w:color="auto" w:fill="FFFFFF"/>
              </w:rPr>
              <w:t>ня</w:t>
            </w:r>
            <w:r w:rsidRPr="00475E8E">
              <w:rPr>
                <w:color w:val="000000" w:themeColor="text1"/>
                <w:sz w:val="20"/>
                <w:szCs w:val="22"/>
                <w:shd w:val="clear" w:color="auto" w:fill="FFFFFF"/>
              </w:rPr>
              <w:t xml:space="preserve"> фосфора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увеличение </w:t>
            </w:r>
            <w:r>
              <w:rPr>
                <w:color w:val="000000" w:themeColor="text1"/>
                <w:sz w:val="20"/>
                <w:szCs w:val="22"/>
                <w:shd w:val="clear" w:color="auto" w:fill="FFFFFF"/>
              </w:rPr>
              <w:t>уровня</w:t>
            </w:r>
            <w:r w:rsidRPr="00475E8E">
              <w:rPr>
                <w:color w:val="000000" w:themeColor="text1"/>
                <w:sz w:val="20"/>
                <w:szCs w:val="22"/>
                <w:shd w:val="clear" w:color="auto" w:fill="FFFFFF"/>
              </w:rPr>
              <w:t xml:space="preserve"> глобулинов;  </w:t>
            </w:r>
            <w:r w:rsidRPr="00475E8E">
              <w:rPr>
                <w:color w:val="000000" w:themeColor="text1"/>
                <w:sz w:val="20"/>
                <w:szCs w:val="22"/>
              </w:rPr>
              <w:t>субэндокардиальное/интерстициальное кровоизлияние в сердце</w:t>
            </w:r>
            <w:r w:rsidRPr="00475E8E">
              <w:rPr>
                <w:color w:val="000000" w:themeColor="text1"/>
                <w:sz w:val="20"/>
                <w:szCs w:val="22"/>
                <w:shd w:val="clear" w:color="auto" w:fill="FFFFFF"/>
              </w:rPr>
              <w:t xml:space="preserve"> (f); </w:t>
            </w:r>
            <w:r w:rsidRPr="00475E8E">
              <w:rPr>
                <w:color w:val="000000" w:themeColor="text1"/>
                <w:sz w:val="20"/>
                <w:szCs w:val="22"/>
              </w:rPr>
              <w:t xml:space="preserve">снижение </w:t>
            </w:r>
            <w:r>
              <w:rPr>
                <w:color w:val="000000" w:themeColor="text1"/>
                <w:sz w:val="20"/>
                <w:szCs w:val="22"/>
              </w:rPr>
              <w:t xml:space="preserve">числа </w:t>
            </w:r>
            <w:r w:rsidRPr="00475E8E">
              <w:rPr>
                <w:color w:val="000000" w:themeColor="text1"/>
                <w:sz w:val="20"/>
                <w:szCs w:val="22"/>
              </w:rPr>
              <w:t>клеток в красном костном мозге</w:t>
            </w:r>
            <w:r w:rsidRPr="00475E8E">
              <w:rPr>
                <w:color w:val="000000" w:themeColor="text1"/>
                <w:sz w:val="20"/>
                <w:szCs w:val="22"/>
                <w:shd w:val="clear" w:color="auto" w:fill="FFFFFF"/>
              </w:rPr>
              <w:t xml:space="preserve"> (f)</w:t>
            </w:r>
          </w:p>
          <w:p w14:paraId="63928D5C"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sidRPr="00475E8E">
              <w:rPr>
                <w:color w:val="000000" w:themeColor="text1"/>
                <w:sz w:val="20"/>
                <w:szCs w:val="22"/>
              </w:rPr>
              <w:t>NTEL &lt; 5 мг/мг</w:t>
            </w:r>
          </w:p>
        </w:tc>
      </w:tr>
      <w:tr w:rsidR="000859AF" w:rsidRPr="00707D60" w14:paraId="0134DF4A" w14:textId="77777777" w:rsidTr="008A7500">
        <w:tc>
          <w:tcPr>
            <w:tcW w:w="1109" w:type="dxa"/>
            <w:vAlign w:val="center"/>
          </w:tcPr>
          <w:p w14:paraId="7D5EAE25" w14:textId="77777777" w:rsidR="000859AF" w:rsidRPr="00475E8E" w:rsidRDefault="000859AF" w:rsidP="000859AF">
            <w:pPr>
              <w:rPr>
                <w:color w:val="000000" w:themeColor="text1"/>
                <w:sz w:val="20"/>
                <w:szCs w:val="22"/>
              </w:rPr>
            </w:pPr>
            <w:r w:rsidRPr="00475E8E">
              <w:rPr>
                <w:color w:val="000000" w:themeColor="text1"/>
                <w:sz w:val="20"/>
                <w:szCs w:val="22"/>
              </w:rPr>
              <w:t>Обезьяны</w:t>
            </w:r>
          </w:p>
        </w:tc>
        <w:tc>
          <w:tcPr>
            <w:tcW w:w="1005" w:type="dxa"/>
            <w:vAlign w:val="center"/>
          </w:tcPr>
          <w:p w14:paraId="344BAE9D" w14:textId="77777777" w:rsidR="000859AF" w:rsidRPr="00475E8E" w:rsidRDefault="000859AF" w:rsidP="000859AF">
            <w:pPr>
              <w:rPr>
                <w:color w:val="000000" w:themeColor="text1"/>
                <w:sz w:val="20"/>
                <w:szCs w:val="22"/>
              </w:rPr>
            </w:pPr>
            <w:r w:rsidRPr="00475E8E">
              <w:rPr>
                <w:color w:val="000000" w:themeColor="text1"/>
                <w:sz w:val="20"/>
                <w:szCs w:val="22"/>
              </w:rPr>
              <w:t xml:space="preserve"> 26 недель</w:t>
            </w:r>
          </w:p>
        </w:tc>
        <w:tc>
          <w:tcPr>
            <w:tcW w:w="1109" w:type="dxa"/>
            <w:vAlign w:val="center"/>
          </w:tcPr>
          <w:p w14:paraId="56768989"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1C873812" w14:textId="77777777" w:rsidR="000859AF" w:rsidRPr="00475E8E" w:rsidRDefault="000859AF" w:rsidP="000859AF">
            <w:pPr>
              <w:rPr>
                <w:color w:val="000000" w:themeColor="text1"/>
                <w:sz w:val="20"/>
                <w:szCs w:val="22"/>
              </w:rPr>
            </w:pPr>
            <w:r w:rsidRPr="00475E8E">
              <w:rPr>
                <w:color w:val="000000" w:themeColor="text1"/>
                <w:sz w:val="20"/>
                <w:szCs w:val="22"/>
              </w:rPr>
              <w:t>4m, 4f, дополнительно  4m, 4f в группе контроля и 2m, 2f -  группа, получающие высокие дозировки</w:t>
            </w:r>
          </w:p>
        </w:tc>
        <w:tc>
          <w:tcPr>
            <w:tcW w:w="998" w:type="dxa"/>
            <w:vAlign w:val="center"/>
          </w:tcPr>
          <w:p w14:paraId="0A7EC237" w14:textId="77777777" w:rsidR="000859AF" w:rsidRPr="00475E8E" w:rsidRDefault="000859AF" w:rsidP="000859AF">
            <w:pPr>
              <w:rPr>
                <w:color w:val="000000" w:themeColor="text1"/>
                <w:sz w:val="20"/>
                <w:szCs w:val="22"/>
              </w:rPr>
            </w:pPr>
            <w:r w:rsidRPr="00475E8E">
              <w:rPr>
                <w:color w:val="000000" w:themeColor="text1"/>
                <w:sz w:val="20"/>
                <w:szCs w:val="22"/>
              </w:rPr>
              <w:t>0; 0,1; 0,5; 1,5; 5</w:t>
            </w:r>
          </w:p>
        </w:tc>
        <w:tc>
          <w:tcPr>
            <w:tcW w:w="4302" w:type="dxa"/>
            <w:vAlign w:val="center"/>
          </w:tcPr>
          <w:p w14:paraId="3BED69E2"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Pr>
                <w:color w:val="000000" w:themeColor="text1"/>
                <w:sz w:val="20"/>
                <w:szCs w:val="22"/>
                <w:shd w:val="clear" w:color="auto" w:fill="FFFFFF"/>
              </w:rPr>
              <w:t>≥ 0,5 мг/</w:t>
            </w:r>
            <w:r w:rsidRPr="00475E8E">
              <w:rPr>
                <w:color w:val="000000" w:themeColor="text1"/>
                <w:sz w:val="20"/>
                <w:szCs w:val="22"/>
                <w:shd w:val="clear" w:color="auto" w:fill="FFFFFF"/>
              </w:rPr>
              <w:t xml:space="preserve">кг: </w:t>
            </w:r>
            <w:r>
              <w:rPr>
                <w:color w:val="000000" w:themeColor="text1"/>
                <w:sz w:val="20"/>
                <w:szCs w:val="22"/>
                <w:shd w:val="clear" w:color="auto" w:fill="FFFFFF"/>
              </w:rPr>
              <w:t>повышенная</w:t>
            </w:r>
            <w:r w:rsidRPr="00475E8E">
              <w:rPr>
                <w:color w:val="000000" w:themeColor="text1"/>
                <w:sz w:val="20"/>
                <w:szCs w:val="22"/>
                <w:shd w:val="clear" w:color="auto" w:fill="FFFFFF"/>
              </w:rPr>
              <w:t xml:space="preserve"> травматичность кожи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w:t>
            </w:r>
            <w:r>
              <w:rPr>
                <w:color w:val="000000" w:themeColor="text1"/>
                <w:sz w:val="20"/>
                <w:szCs w:val="22"/>
                <w:shd w:val="clear" w:color="auto" w:fill="FFFFFF"/>
              </w:rPr>
              <w:t>снижение</w:t>
            </w:r>
            <w:r w:rsidRPr="00475E8E">
              <w:rPr>
                <w:color w:val="000000" w:themeColor="text1"/>
                <w:sz w:val="20"/>
                <w:szCs w:val="22"/>
                <w:shd w:val="clear" w:color="auto" w:fill="FFFFFF"/>
              </w:rPr>
              <w:t xml:space="preserve"> масс</w:t>
            </w:r>
            <w:r>
              <w:rPr>
                <w:color w:val="000000" w:themeColor="text1"/>
                <w:sz w:val="20"/>
                <w:szCs w:val="22"/>
                <w:shd w:val="clear" w:color="auto" w:fill="FFFFFF"/>
              </w:rPr>
              <w:t>ы</w:t>
            </w:r>
            <w:r w:rsidRPr="00475E8E">
              <w:rPr>
                <w:color w:val="000000" w:themeColor="text1"/>
                <w:sz w:val="20"/>
                <w:szCs w:val="22"/>
                <w:shd w:val="clear" w:color="auto" w:fill="FFFFFF"/>
              </w:rPr>
              <w:t xml:space="preserve"> тела; атрофия лимфоидной такни в селезенке; истощение лимфоузлов; </w:t>
            </w:r>
            <w:r>
              <w:rPr>
                <w:color w:val="000000" w:themeColor="text1"/>
                <w:sz w:val="20"/>
                <w:szCs w:val="22"/>
                <w:shd w:val="clear" w:color="auto" w:fill="FFFFFF"/>
              </w:rPr>
              <w:t>агрегация</w:t>
            </w:r>
            <w:r w:rsidRPr="00475E8E">
              <w:rPr>
                <w:color w:val="000000" w:themeColor="text1"/>
                <w:sz w:val="20"/>
                <w:szCs w:val="22"/>
                <w:shd w:val="clear" w:color="auto" w:fill="FFFFFF"/>
              </w:rPr>
              <w:t xml:space="preserve"> макрофагов в тонком кишечнике</w:t>
            </w:r>
          </w:p>
          <w:p w14:paraId="1E03DBE5"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Pr>
                <w:color w:val="000000" w:themeColor="text1"/>
                <w:sz w:val="20"/>
                <w:szCs w:val="22"/>
                <w:shd w:val="clear" w:color="auto" w:fill="FFFFFF"/>
              </w:rPr>
              <w:t>≥ 1,5 мг/</w:t>
            </w:r>
            <w:r w:rsidRPr="00475E8E">
              <w:rPr>
                <w:color w:val="000000" w:themeColor="text1"/>
                <w:sz w:val="20"/>
                <w:szCs w:val="22"/>
                <w:shd w:val="clear" w:color="auto" w:fill="FFFFFF"/>
              </w:rPr>
              <w:t xml:space="preserve">кг: </w:t>
            </w:r>
            <w:r>
              <w:rPr>
                <w:color w:val="000000" w:themeColor="text1"/>
                <w:sz w:val="20"/>
                <w:szCs w:val="22"/>
                <w:shd w:val="clear" w:color="auto" w:fill="FFFFFF"/>
              </w:rPr>
              <w:t>ранняя смертность</w:t>
            </w:r>
            <w:r w:rsidRPr="00475E8E">
              <w:rPr>
                <w:color w:val="000000" w:themeColor="text1"/>
                <w:sz w:val="20"/>
                <w:szCs w:val="22"/>
                <w:shd w:val="clear" w:color="auto" w:fill="FFFFFF"/>
              </w:rPr>
              <w:t xml:space="preserve"> (2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w:t>
            </w:r>
            <w:r>
              <w:rPr>
                <w:color w:val="000000" w:themeColor="text1"/>
                <w:sz w:val="20"/>
                <w:szCs w:val="22"/>
                <w:shd w:val="clear" w:color="auto" w:fill="FFFFFF"/>
              </w:rPr>
              <w:t>на</w:t>
            </w:r>
            <w:r w:rsidRPr="00475E8E">
              <w:rPr>
                <w:color w:val="000000" w:themeColor="text1"/>
                <w:sz w:val="20"/>
                <w:szCs w:val="22"/>
                <w:shd w:val="clear" w:color="auto" w:fill="FFFFFF"/>
              </w:rPr>
              <w:t xml:space="preserve"> неделях 14</w:t>
            </w:r>
            <w:r>
              <w:rPr>
                <w:color w:val="000000" w:themeColor="text1"/>
                <w:sz w:val="20"/>
                <w:szCs w:val="22"/>
                <w:shd w:val="clear" w:color="auto" w:fill="FFFFFF"/>
              </w:rPr>
              <w:t xml:space="preserve"> и </w:t>
            </w:r>
            <w:r w:rsidRPr="00475E8E">
              <w:rPr>
                <w:color w:val="000000" w:themeColor="text1"/>
                <w:sz w:val="20"/>
                <w:szCs w:val="22"/>
                <w:shd w:val="clear" w:color="auto" w:fill="FFFFFF"/>
              </w:rPr>
              <w:t xml:space="preserve">25 из-за плохого состояния здоровья; </w:t>
            </w:r>
            <w:r>
              <w:rPr>
                <w:color w:val="000000" w:themeColor="text1"/>
                <w:sz w:val="20"/>
                <w:szCs w:val="22"/>
                <w:shd w:val="clear" w:color="auto" w:fill="FFFFFF"/>
              </w:rPr>
              <w:t>повышенная</w:t>
            </w:r>
            <w:r w:rsidRPr="00475E8E">
              <w:rPr>
                <w:color w:val="000000" w:themeColor="text1"/>
                <w:sz w:val="20"/>
                <w:szCs w:val="22"/>
                <w:shd w:val="clear" w:color="auto" w:fill="FFFFFF"/>
              </w:rPr>
              <w:t xml:space="preserve"> травматичность кожи (+ </w:t>
            </w:r>
            <w:r>
              <w:rPr>
                <w:color w:val="000000" w:themeColor="text1"/>
                <w:sz w:val="20"/>
                <w:szCs w:val="22"/>
                <w:shd w:val="clear" w:color="auto" w:fill="FFFFFF"/>
                <w:lang w:val="en-US"/>
              </w:rPr>
              <w:t>f</w:t>
            </w:r>
            <w:r w:rsidRPr="00475E8E">
              <w:rPr>
                <w:color w:val="000000" w:themeColor="text1"/>
                <w:sz w:val="20"/>
                <w:szCs w:val="22"/>
                <w:shd w:val="clear" w:color="auto" w:fill="FFFFFF"/>
              </w:rPr>
              <w:t xml:space="preserve">); сокращение потребления </w:t>
            </w:r>
            <w:r>
              <w:rPr>
                <w:color w:val="000000" w:themeColor="text1"/>
                <w:sz w:val="20"/>
                <w:szCs w:val="22"/>
                <w:shd w:val="clear" w:color="auto" w:fill="FFFFFF"/>
              </w:rPr>
              <w:t>пищи; снижение числа</w:t>
            </w:r>
            <w:r w:rsidRPr="00475E8E">
              <w:rPr>
                <w:color w:val="000000" w:themeColor="text1"/>
                <w:sz w:val="20"/>
                <w:szCs w:val="22"/>
                <w:shd w:val="clear" w:color="auto" w:fill="FFFFFF"/>
              </w:rPr>
              <w:t xml:space="preserve"> эритроцитов; </w:t>
            </w:r>
            <w:r>
              <w:rPr>
                <w:color w:val="000000" w:themeColor="text1"/>
                <w:sz w:val="20"/>
                <w:szCs w:val="22"/>
                <w:shd w:val="clear" w:color="auto" w:fill="FFFFFF"/>
              </w:rPr>
              <w:t>повышение</w:t>
            </w:r>
            <w:r w:rsidRPr="00475E8E">
              <w:rPr>
                <w:color w:val="000000" w:themeColor="text1"/>
                <w:sz w:val="20"/>
                <w:szCs w:val="22"/>
                <w:shd w:val="clear" w:color="auto" w:fill="FFFFFF"/>
              </w:rPr>
              <w:t xml:space="preserve"> уров</w:t>
            </w:r>
            <w:r>
              <w:rPr>
                <w:color w:val="000000" w:themeColor="text1"/>
                <w:sz w:val="20"/>
                <w:szCs w:val="22"/>
                <w:shd w:val="clear" w:color="auto" w:fill="FFFFFF"/>
              </w:rPr>
              <w:t>ня</w:t>
            </w:r>
            <w:r w:rsidRPr="00475E8E">
              <w:rPr>
                <w:color w:val="000000" w:themeColor="text1"/>
                <w:sz w:val="20"/>
                <w:szCs w:val="22"/>
                <w:shd w:val="clear" w:color="auto" w:fill="FFFFFF"/>
              </w:rPr>
              <w:t xml:space="preserve"> нейтрофилов / моноцитов, фибриногена; </w:t>
            </w:r>
            <w:r>
              <w:rPr>
                <w:color w:val="000000" w:themeColor="text1"/>
                <w:sz w:val="20"/>
                <w:szCs w:val="22"/>
                <w:shd w:val="clear" w:color="auto" w:fill="FFFFFF"/>
              </w:rPr>
              <w:t>снижение</w:t>
            </w:r>
            <w:r w:rsidRPr="00475E8E">
              <w:rPr>
                <w:color w:val="000000" w:themeColor="text1"/>
                <w:sz w:val="20"/>
                <w:szCs w:val="22"/>
                <w:shd w:val="clear" w:color="auto" w:fill="FFFFFF"/>
              </w:rPr>
              <w:t xml:space="preserve"> уров</w:t>
            </w:r>
            <w:r>
              <w:rPr>
                <w:color w:val="000000" w:themeColor="text1"/>
                <w:sz w:val="20"/>
                <w:szCs w:val="22"/>
                <w:shd w:val="clear" w:color="auto" w:fill="FFFFFF"/>
              </w:rPr>
              <w:t>ня</w:t>
            </w:r>
            <w:r w:rsidRPr="00475E8E">
              <w:rPr>
                <w:color w:val="000000" w:themeColor="text1"/>
                <w:sz w:val="20"/>
                <w:szCs w:val="22"/>
                <w:shd w:val="clear" w:color="auto" w:fill="FFFFFF"/>
              </w:rPr>
              <w:t xml:space="preserve"> фосфора; повышенн</w:t>
            </w:r>
            <w:r>
              <w:rPr>
                <w:color w:val="000000" w:themeColor="text1"/>
                <w:sz w:val="20"/>
                <w:szCs w:val="22"/>
                <w:shd w:val="clear" w:color="auto" w:fill="FFFFFF"/>
              </w:rPr>
              <w:t>ие</w:t>
            </w:r>
            <w:r w:rsidRPr="00475E8E">
              <w:rPr>
                <w:color w:val="000000" w:themeColor="text1"/>
                <w:sz w:val="20"/>
                <w:szCs w:val="22"/>
                <w:shd w:val="clear" w:color="auto" w:fill="FFFFFF"/>
              </w:rPr>
              <w:t xml:space="preserve"> урове</w:t>
            </w:r>
            <w:r>
              <w:rPr>
                <w:color w:val="000000" w:themeColor="text1"/>
                <w:sz w:val="20"/>
                <w:szCs w:val="22"/>
                <w:shd w:val="clear" w:color="auto" w:fill="FFFFFF"/>
              </w:rPr>
              <w:t>ня</w:t>
            </w:r>
            <w:r w:rsidRPr="00475E8E">
              <w:rPr>
                <w:color w:val="000000" w:themeColor="text1"/>
                <w:sz w:val="20"/>
                <w:szCs w:val="22"/>
                <w:shd w:val="clear" w:color="auto" w:fill="FFFFFF"/>
              </w:rPr>
              <w:t xml:space="preserve"> холестерина; атрофия тимуса; дегенерация / некроз миокарда (1m); дегрануляция экзокринных клеток поджелудочной железы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уменьшение образования фолликулов и атрезия яичников </w:t>
            </w:r>
          </w:p>
          <w:p w14:paraId="15179D09"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5 мг/</w:t>
            </w:r>
            <w:r w:rsidRPr="00475E8E">
              <w:rPr>
                <w:color w:val="000000" w:themeColor="text1"/>
                <w:sz w:val="20"/>
                <w:szCs w:val="22"/>
              </w:rPr>
              <w:t>кг: досрочное прекращение исследования на 9/10 неделе из-за повреждений кожи, плохого состояния здоровья, потер</w:t>
            </w:r>
            <w:r>
              <w:rPr>
                <w:color w:val="000000" w:themeColor="text1"/>
                <w:sz w:val="20"/>
                <w:szCs w:val="22"/>
              </w:rPr>
              <w:t>и</w:t>
            </w:r>
            <w:r w:rsidRPr="00475E8E">
              <w:rPr>
                <w:color w:val="000000" w:themeColor="text1"/>
                <w:sz w:val="20"/>
                <w:szCs w:val="22"/>
              </w:rPr>
              <w:t xml:space="preserve"> </w:t>
            </w:r>
            <w:r>
              <w:rPr>
                <w:color w:val="000000" w:themeColor="text1"/>
                <w:sz w:val="20"/>
                <w:szCs w:val="22"/>
              </w:rPr>
              <w:t>массы</w:t>
            </w:r>
            <w:r w:rsidRPr="00475E8E">
              <w:rPr>
                <w:color w:val="000000" w:themeColor="text1"/>
                <w:sz w:val="20"/>
                <w:szCs w:val="22"/>
              </w:rPr>
              <w:t xml:space="preserve"> тела; </w:t>
            </w:r>
            <w:r>
              <w:rPr>
                <w:color w:val="000000" w:themeColor="text1"/>
                <w:sz w:val="20"/>
                <w:szCs w:val="22"/>
              </w:rPr>
              <w:lastRenderedPageBreak/>
              <w:t xml:space="preserve">отмечалось также </w:t>
            </w:r>
            <w:r w:rsidRPr="00475E8E">
              <w:rPr>
                <w:color w:val="000000" w:themeColor="text1"/>
                <w:sz w:val="20"/>
                <w:szCs w:val="22"/>
              </w:rPr>
              <w:t>увеличени</w:t>
            </w:r>
            <w:r>
              <w:rPr>
                <w:color w:val="000000" w:themeColor="text1"/>
                <w:sz w:val="20"/>
                <w:szCs w:val="22"/>
              </w:rPr>
              <w:t>е</w:t>
            </w:r>
            <w:r w:rsidRPr="00475E8E">
              <w:rPr>
                <w:color w:val="000000" w:themeColor="text1"/>
                <w:sz w:val="20"/>
                <w:szCs w:val="22"/>
              </w:rPr>
              <w:t xml:space="preserve"> α2/β-глобулинов и уменьшение альбумин</w:t>
            </w:r>
            <w:r>
              <w:rPr>
                <w:color w:val="000000" w:themeColor="text1"/>
                <w:sz w:val="20"/>
                <w:szCs w:val="22"/>
              </w:rPr>
              <w:t>а</w:t>
            </w:r>
            <w:r w:rsidRPr="00475E8E">
              <w:rPr>
                <w:color w:val="000000" w:themeColor="text1"/>
                <w:sz w:val="20"/>
                <w:szCs w:val="22"/>
              </w:rPr>
              <w:t xml:space="preserve"> и отношения альбумин/ глобулин; повышенный уровень триглицеридов, воспаление слизистой оболочки толстой кишки; инфаркт дегенерация / некроз миокарда (</w:t>
            </w:r>
            <w:r>
              <w:rPr>
                <w:color w:val="000000" w:themeColor="text1"/>
                <w:sz w:val="20"/>
                <w:szCs w:val="22"/>
                <w:lang w:val="en-US"/>
              </w:rPr>
              <w:t>m</w:t>
            </w:r>
            <w:r w:rsidRPr="00475E8E">
              <w:rPr>
                <w:color w:val="000000" w:themeColor="text1"/>
                <w:sz w:val="20"/>
                <w:szCs w:val="22"/>
              </w:rPr>
              <w:t xml:space="preserve">); дегрануляция экзокринных клеток поджелудочной железы и увеличение </w:t>
            </w:r>
            <w:r>
              <w:rPr>
                <w:color w:val="000000" w:themeColor="text1"/>
                <w:sz w:val="20"/>
                <w:szCs w:val="22"/>
              </w:rPr>
              <w:t xml:space="preserve">частоты </w:t>
            </w:r>
            <w:r w:rsidRPr="00475E8E">
              <w:rPr>
                <w:color w:val="000000" w:themeColor="text1"/>
                <w:sz w:val="20"/>
                <w:szCs w:val="22"/>
              </w:rPr>
              <w:t>дегенераци</w:t>
            </w:r>
            <w:r>
              <w:rPr>
                <w:color w:val="000000" w:themeColor="text1"/>
                <w:sz w:val="20"/>
                <w:szCs w:val="22"/>
              </w:rPr>
              <w:t>и</w:t>
            </w:r>
            <w:r w:rsidRPr="00475E8E">
              <w:rPr>
                <w:color w:val="000000" w:themeColor="text1"/>
                <w:sz w:val="20"/>
                <w:szCs w:val="22"/>
              </w:rPr>
              <w:t xml:space="preserve"> клеток островков</w:t>
            </w:r>
            <w:r>
              <w:rPr>
                <w:color w:val="000000" w:themeColor="text1"/>
                <w:sz w:val="20"/>
                <w:szCs w:val="22"/>
              </w:rPr>
              <w:t xml:space="preserve"> Лангерганса</w:t>
            </w:r>
            <w:r w:rsidRPr="00475E8E">
              <w:rPr>
                <w:color w:val="000000" w:themeColor="text1"/>
                <w:sz w:val="20"/>
                <w:szCs w:val="22"/>
              </w:rPr>
              <w:t>; вакуолизация надпочечников</w:t>
            </w:r>
          </w:p>
          <w:p w14:paraId="45F028A1"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sidRPr="00475E8E">
              <w:rPr>
                <w:color w:val="000000" w:themeColor="text1"/>
                <w:sz w:val="20"/>
                <w:szCs w:val="22"/>
                <w:shd w:val="clear" w:color="auto" w:fill="FFFFFF"/>
              </w:rPr>
              <w:t>Вирусология: вирус Коксаки в плазме крови и сердечной ткани</w:t>
            </w:r>
          </w:p>
          <w:p w14:paraId="29537178"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NOAEL = 0,</w:t>
            </w:r>
            <w:r w:rsidRPr="00475E8E">
              <w:rPr>
                <w:color w:val="000000" w:themeColor="text1"/>
                <w:sz w:val="20"/>
                <w:szCs w:val="22"/>
              </w:rPr>
              <w:t>1 мг/кг</w:t>
            </w:r>
          </w:p>
        </w:tc>
      </w:tr>
      <w:tr w:rsidR="000859AF" w:rsidRPr="00707D60" w14:paraId="792EC515" w14:textId="77777777" w:rsidTr="008A7500">
        <w:tc>
          <w:tcPr>
            <w:tcW w:w="1109" w:type="dxa"/>
            <w:vAlign w:val="center"/>
          </w:tcPr>
          <w:p w14:paraId="6466D36D" w14:textId="77777777" w:rsidR="000859AF" w:rsidRPr="00475E8E" w:rsidRDefault="000859AF" w:rsidP="000859AF">
            <w:pPr>
              <w:rPr>
                <w:color w:val="000000" w:themeColor="text1"/>
                <w:sz w:val="20"/>
                <w:szCs w:val="22"/>
              </w:rPr>
            </w:pPr>
            <w:r w:rsidRPr="00475E8E">
              <w:rPr>
                <w:color w:val="000000" w:themeColor="text1"/>
                <w:sz w:val="20"/>
                <w:szCs w:val="22"/>
              </w:rPr>
              <w:lastRenderedPageBreak/>
              <w:t>Мини</w:t>
            </w:r>
            <w:r>
              <w:rPr>
                <w:color w:val="000000" w:themeColor="text1"/>
                <w:sz w:val="20"/>
                <w:szCs w:val="22"/>
              </w:rPr>
              <w:t>-</w:t>
            </w:r>
            <w:r w:rsidRPr="00475E8E">
              <w:rPr>
                <w:color w:val="000000" w:themeColor="text1"/>
                <w:sz w:val="20"/>
                <w:szCs w:val="22"/>
              </w:rPr>
              <w:t>пиг</w:t>
            </w:r>
            <w:r>
              <w:rPr>
                <w:color w:val="000000" w:themeColor="text1"/>
                <w:sz w:val="20"/>
                <w:szCs w:val="22"/>
              </w:rPr>
              <w:t>и</w:t>
            </w:r>
          </w:p>
        </w:tc>
        <w:tc>
          <w:tcPr>
            <w:tcW w:w="1005" w:type="dxa"/>
            <w:vAlign w:val="center"/>
          </w:tcPr>
          <w:p w14:paraId="57C9E99E" w14:textId="77777777" w:rsidR="000859AF" w:rsidRPr="00475E8E" w:rsidRDefault="000859AF" w:rsidP="000859AF">
            <w:pPr>
              <w:rPr>
                <w:color w:val="000000" w:themeColor="text1"/>
                <w:sz w:val="20"/>
                <w:szCs w:val="22"/>
              </w:rPr>
            </w:pPr>
            <w:r w:rsidRPr="00475E8E">
              <w:rPr>
                <w:color w:val="000000" w:themeColor="text1"/>
                <w:sz w:val="20"/>
                <w:szCs w:val="22"/>
              </w:rPr>
              <w:t>4 недели (и 4 недели восстановления)</w:t>
            </w:r>
          </w:p>
        </w:tc>
        <w:tc>
          <w:tcPr>
            <w:tcW w:w="1109" w:type="dxa"/>
            <w:vAlign w:val="center"/>
          </w:tcPr>
          <w:p w14:paraId="781442B6" w14:textId="77777777" w:rsidR="000859AF" w:rsidRPr="00475E8E" w:rsidRDefault="000859AF" w:rsidP="000859AF">
            <w:pPr>
              <w:rPr>
                <w:color w:val="000000" w:themeColor="text1"/>
                <w:sz w:val="20"/>
                <w:szCs w:val="22"/>
              </w:rPr>
            </w:pPr>
            <w:r w:rsidRPr="00475E8E">
              <w:rPr>
                <w:color w:val="000000" w:themeColor="text1"/>
                <w:sz w:val="20"/>
                <w:szCs w:val="22"/>
              </w:rPr>
              <w:t>Пероральный</w:t>
            </w:r>
          </w:p>
        </w:tc>
        <w:tc>
          <w:tcPr>
            <w:tcW w:w="833" w:type="dxa"/>
            <w:vAlign w:val="center"/>
          </w:tcPr>
          <w:p w14:paraId="3C504B09" w14:textId="77777777" w:rsidR="000859AF" w:rsidRPr="00475E8E" w:rsidRDefault="000859AF" w:rsidP="000859AF">
            <w:pPr>
              <w:rPr>
                <w:color w:val="000000" w:themeColor="text1"/>
                <w:sz w:val="20"/>
                <w:szCs w:val="22"/>
              </w:rPr>
            </w:pPr>
            <w:r w:rsidRPr="00475E8E">
              <w:rPr>
                <w:color w:val="000000" w:themeColor="text1"/>
                <w:sz w:val="20"/>
                <w:szCs w:val="22"/>
              </w:rPr>
              <w:t>3m, 3f, дополнительно  2m, 2f в группе восстановления</w:t>
            </w:r>
          </w:p>
        </w:tc>
        <w:tc>
          <w:tcPr>
            <w:tcW w:w="998" w:type="dxa"/>
            <w:vAlign w:val="center"/>
          </w:tcPr>
          <w:p w14:paraId="6F5B68F7" w14:textId="77777777" w:rsidR="000859AF" w:rsidRPr="00475E8E" w:rsidRDefault="000859AF" w:rsidP="000859AF">
            <w:pPr>
              <w:rPr>
                <w:color w:val="000000" w:themeColor="text1"/>
                <w:sz w:val="20"/>
                <w:szCs w:val="22"/>
              </w:rPr>
            </w:pPr>
            <w:r w:rsidRPr="00475E8E">
              <w:rPr>
                <w:color w:val="000000" w:themeColor="text1"/>
                <w:sz w:val="20"/>
                <w:szCs w:val="22"/>
              </w:rPr>
              <w:t>0; 1,5; 5; 15.</w:t>
            </w:r>
          </w:p>
          <w:p w14:paraId="20D6BDA0" w14:textId="77777777" w:rsidR="000859AF" w:rsidRPr="00475E8E" w:rsidRDefault="000859AF" w:rsidP="000859AF">
            <w:pPr>
              <w:rPr>
                <w:color w:val="000000" w:themeColor="text1"/>
                <w:sz w:val="20"/>
                <w:szCs w:val="22"/>
              </w:rPr>
            </w:pPr>
            <w:r w:rsidRPr="00475E8E">
              <w:rPr>
                <w:color w:val="000000" w:themeColor="text1"/>
                <w:sz w:val="20"/>
                <w:szCs w:val="22"/>
              </w:rPr>
              <w:t>Восстановление:15</w:t>
            </w:r>
          </w:p>
        </w:tc>
        <w:tc>
          <w:tcPr>
            <w:tcW w:w="4302" w:type="dxa"/>
            <w:vAlign w:val="center"/>
          </w:tcPr>
          <w:p w14:paraId="69355A32"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shd w:val="clear" w:color="auto" w:fill="FFFFFF"/>
              </w:rPr>
              <w:t>≥ 1,5 мг/</w:t>
            </w:r>
            <w:r w:rsidRPr="00475E8E">
              <w:rPr>
                <w:color w:val="000000" w:themeColor="text1"/>
                <w:sz w:val="20"/>
                <w:szCs w:val="22"/>
                <w:shd w:val="clear" w:color="auto" w:fill="FFFFFF"/>
              </w:rPr>
              <w:t>кг: диарея, связанная с усилением инвазии в кишечник (</w:t>
            </w:r>
            <w:r>
              <w:rPr>
                <w:color w:val="000000" w:themeColor="text1"/>
                <w:sz w:val="20"/>
                <w:szCs w:val="22"/>
                <w:shd w:val="clear" w:color="auto" w:fill="FFFFFF"/>
                <w:lang w:val="en-US"/>
              </w:rPr>
              <w:t>m</w:t>
            </w:r>
            <w:r w:rsidRPr="00475E8E">
              <w:rPr>
                <w:color w:val="000000" w:themeColor="text1"/>
                <w:sz w:val="20"/>
                <w:szCs w:val="22"/>
                <w:shd w:val="clear" w:color="auto" w:fill="FFFFFF"/>
              </w:rPr>
              <w:t>); уменьшение набора массы тела и потреблени</w:t>
            </w:r>
            <w:r>
              <w:rPr>
                <w:color w:val="000000" w:themeColor="text1"/>
                <w:sz w:val="20"/>
                <w:szCs w:val="22"/>
                <w:shd w:val="clear" w:color="auto" w:fill="FFFFFF"/>
              </w:rPr>
              <w:t>я</w:t>
            </w:r>
            <w:r w:rsidRPr="00475E8E">
              <w:rPr>
                <w:color w:val="000000" w:themeColor="text1"/>
                <w:sz w:val="20"/>
                <w:szCs w:val="22"/>
                <w:shd w:val="clear" w:color="auto" w:fill="FFFFFF"/>
              </w:rPr>
              <w:t xml:space="preserve"> пищи (</w:t>
            </w:r>
            <w:r>
              <w:rPr>
                <w:color w:val="000000" w:themeColor="text1"/>
                <w:sz w:val="20"/>
                <w:szCs w:val="22"/>
                <w:shd w:val="clear" w:color="auto" w:fill="FFFFFF"/>
                <w:lang w:val="en-US"/>
              </w:rPr>
              <w:t>m</w:t>
            </w:r>
            <w:r w:rsidRPr="00475E8E">
              <w:rPr>
                <w:color w:val="000000" w:themeColor="text1"/>
                <w:sz w:val="20"/>
                <w:szCs w:val="22"/>
                <w:shd w:val="clear" w:color="auto" w:fill="FFFFFF"/>
              </w:rPr>
              <w:t>); увеличенный уровень фибриноген и нейтрофилов (</w:t>
            </w:r>
            <w:r>
              <w:rPr>
                <w:color w:val="000000" w:themeColor="text1"/>
                <w:sz w:val="20"/>
                <w:szCs w:val="22"/>
                <w:shd w:val="clear" w:color="auto" w:fill="FFFFFF"/>
                <w:lang w:val="en-US"/>
              </w:rPr>
              <w:t>m</w:t>
            </w:r>
            <w:r w:rsidRPr="00475E8E">
              <w:rPr>
                <w:color w:val="000000" w:themeColor="text1"/>
                <w:sz w:val="20"/>
                <w:szCs w:val="22"/>
                <w:shd w:val="clear" w:color="auto" w:fill="FFFFFF"/>
              </w:rPr>
              <w:t>); снижение уровня альбумина и отношения альбумина / глобулин (</w:t>
            </w:r>
            <w:r>
              <w:rPr>
                <w:color w:val="000000" w:themeColor="text1"/>
                <w:sz w:val="20"/>
                <w:szCs w:val="22"/>
                <w:shd w:val="clear" w:color="auto" w:fill="FFFFFF"/>
                <w:lang w:val="en-US"/>
              </w:rPr>
              <w:t>m</w:t>
            </w:r>
            <w:r w:rsidRPr="00475E8E">
              <w:rPr>
                <w:color w:val="000000" w:themeColor="text1"/>
                <w:sz w:val="20"/>
                <w:szCs w:val="22"/>
                <w:shd w:val="clear" w:color="auto" w:fill="FFFFFF"/>
              </w:rPr>
              <w:t>); снижение уровня фосфора, щелочной фосфатазы и γ-глобулинов; повышение уровня глобулины α2 и β1; увеличение уровня β-липопротеинов и снижение уровня хиломикронов (</w:t>
            </w:r>
            <w:r>
              <w:rPr>
                <w:color w:val="000000" w:themeColor="text1"/>
                <w:sz w:val="20"/>
                <w:szCs w:val="22"/>
                <w:shd w:val="clear" w:color="auto" w:fill="FFFFFF"/>
                <w:lang w:val="en-US"/>
              </w:rPr>
              <w:t>m</w:t>
            </w:r>
            <w:r w:rsidRPr="00475E8E">
              <w:rPr>
                <w:color w:val="000000" w:themeColor="text1"/>
                <w:sz w:val="20"/>
                <w:szCs w:val="22"/>
                <w:shd w:val="clear" w:color="auto" w:fill="FFFFFF"/>
              </w:rPr>
              <w:t>); атрофия тимуса; атрофия / уменьшение лимфоидной активности в лимфоузлах; миелит и очаговый энцефалит (</w:t>
            </w:r>
            <w:r>
              <w:rPr>
                <w:color w:val="000000" w:themeColor="text1"/>
                <w:sz w:val="20"/>
                <w:szCs w:val="22"/>
                <w:shd w:val="clear" w:color="auto" w:fill="FFFFFF"/>
                <w:lang w:val="en-US"/>
              </w:rPr>
              <w:t>m</w:t>
            </w:r>
            <w:r w:rsidRPr="00475E8E">
              <w:rPr>
                <w:color w:val="000000" w:themeColor="text1"/>
                <w:sz w:val="20"/>
                <w:szCs w:val="22"/>
                <w:shd w:val="clear" w:color="auto" w:fill="FFFFFF"/>
              </w:rPr>
              <w:t xml:space="preserve">); </w:t>
            </w:r>
            <w:r w:rsidRPr="00475E8E">
              <w:rPr>
                <w:color w:val="000000" w:themeColor="text1"/>
                <w:sz w:val="20"/>
                <w:szCs w:val="22"/>
              </w:rPr>
              <w:t>дерматит; тестикулярная трубчатая атрофия и олигоспермия в придатках яичек.</w:t>
            </w:r>
          </w:p>
          <w:p w14:paraId="3ED21D69"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Pr>
                <w:color w:val="000000" w:themeColor="text1"/>
                <w:sz w:val="20"/>
                <w:szCs w:val="22"/>
                <w:shd w:val="clear" w:color="auto" w:fill="FFFFFF"/>
              </w:rPr>
              <w:t>≥ 5 мг/</w:t>
            </w:r>
            <w:r w:rsidRPr="00475E8E">
              <w:rPr>
                <w:color w:val="000000" w:themeColor="text1"/>
                <w:sz w:val="20"/>
                <w:szCs w:val="22"/>
                <w:shd w:val="clear" w:color="auto" w:fill="FFFFFF"/>
              </w:rPr>
              <w:t>кг: лимфоидное истощение в селезенке (1f); некротические фолликулы в матке; микровакуолизация надпочечников</w:t>
            </w:r>
          </w:p>
          <w:p w14:paraId="1DBF188B"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Pr>
                <w:color w:val="000000" w:themeColor="text1"/>
                <w:sz w:val="20"/>
                <w:szCs w:val="22"/>
              </w:rPr>
              <w:t>15 мг/</w:t>
            </w:r>
            <w:r w:rsidRPr="00475E8E">
              <w:rPr>
                <w:color w:val="000000" w:themeColor="text1"/>
                <w:sz w:val="20"/>
                <w:szCs w:val="22"/>
              </w:rPr>
              <w:t>кг: диарея с одним летальным исходом (</w:t>
            </w:r>
            <w:r>
              <w:rPr>
                <w:color w:val="000000" w:themeColor="text1"/>
                <w:sz w:val="20"/>
                <w:szCs w:val="22"/>
                <w:lang w:val="en-US"/>
              </w:rPr>
              <w:t>m</w:t>
            </w:r>
            <w:r w:rsidRPr="00475E8E">
              <w:rPr>
                <w:color w:val="000000" w:themeColor="text1"/>
                <w:sz w:val="20"/>
                <w:szCs w:val="22"/>
              </w:rPr>
              <w:t xml:space="preserve">) / </w:t>
            </w:r>
            <w:r>
              <w:rPr>
                <w:color w:val="000000" w:themeColor="text1"/>
                <w:sz w:val="20"/>
                <w:szCs w:val="22"/>
              </w:rPr>
              <w:t>ранняя смертность</w:t>
            </w:r>
            <w:r w:rsidRPr="00475E8E">
              <w:rPr>
                <w:color w:val="000000" w:themeColor="text1"/>
                <w:sz w:val="20"/>
                <w:szCs w:val="22"/>
              </w:rPr>
              <w:t xml:space="preserve"> (3 </w:t>
            </w:r>
            <w:r>
              <w:rPr>
                <w:color w:val="000000" w:themeColor="text1"/>
                <w:sz w:val="20"/>
                <w:szCs w:val="22"/>
                <w:lang w:val="en-US"/>
              </w:rPr>
              <w:t>m</w:t>
            </w:r>
            <w:r w:rsidRPr="00475E8E">
              <w:rPr>
                <w:color w:val="000000" w:themeColor="text1"/>
                <w:sz w:val="20"/>
                <w:szCs w:val="22"/>
              </w:rPr>
              <w:t xml:space="preserve"> / 1f)</w:t>
            </w:r>
          </w:p>
          <w:p w14:paraId="471D4657"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sidRPr="00475E8E">
              <w:rPr>
                <w:color w:val="000000" w:themeColor="text1"/>
                <w:sz w:val="20"/>
                <w:szCs w:val="22"/>
              </w:rPr>
              <w:t>из-за эрозии кишечника и инвазии; уменьшение набора массы тела и потребления пищи; уменьшение уровня тромбоцитов (</w:t>
            </w:r>
            <w:r>
              <w:rPr>
                <w:color w:val="000000" w:themeColor="text1"/>
                <w:sz w:val="20"/>
                <w:szCs w:val="22"/>
                <w:lang w:val="en-US"/>
              </w:rPr>
              <w:t>m</w:t>
            </w:r>
            <w:r w:rsidRPr="00475E8E">
              <w:rPr>
                <w:color w:val="000000" w:themeColor="text1"/>
                <w:sz w:val="20"/>
                <w:szCs w:val="22"/>
              </w:rPr>
              <w:t xml:space="preserve">); увеличение уровня мочевины и креатинина (2f); снижение холинэстеразы; увеличение </w:t>
            </w:r>
            <w:r>
              <w:rPr>
                <w:color w:val="000000" w:themeColor="text1"/>
                <w:sz w:val="20"/>
                <w:szCs w:val="22"/>
              </w:rPr>
              <w:t>липопротеинов низкой плотности (</w:t>
            </w:r>
            <w:r w:rsidRPr="00475E8E">
              <w:rPr>
                <w:color w:val="000000" w:themeColor="text1"/>
                <w:sz w:val="20"/>
                <w:szCs w:val="22"/>
              </w:rPr>
              <w:t>ЛПНП</w:t>
            </w:r>
            <w:r>
              <w:rPr>
                <w:color w:val="000000" w:themeColor="text1"/>
                <w:sz w:val="20"/>
                <w:szCs w:val="22"/>
              </w:rPr>
              <w:t>)</w:t>
            </w:r>
            <w:r w:rsidRPr="00475E8E">
              <w:rPr>
                <w:color w:val="000000" w:themeColor="text1"/>
                <w:sz w:val="20"/>
                <w:szCs w:val="22"/>
              </w:rPr>
              <w:t xml:space="preserve"> (LDL-3 до LDL-6) и уменьш</w:t>
            </w:r>
            <w:r>
              <w:rPr>
                <w:color w:val="000000" w:themeColor="text1"/>
                <w:sz w:val="20"/>
                <w:szCs w:val="22"/>
              </w:rPr>
              <w:t>ение</w:t>
            </w:r>
            <w:r w:rsidRPr="00475E8E">
              <w:rPr>
                <w:color w:val="000000" w:themeColor="text1"/>
                <w:sz w:val="20"/>
                <w:szCs w:val="22"/>
              </w:rPr>
              <w:t xml:space="preserve"> </w:t>
            </w:r>
            <w:r>
              <w:rPr>
                <w:color w:val="000000" w:themeColor="text1"/>
                <w:sz w:val="20"/>
                <w:szCs w:val="22"/>
              </w:rPr>
              <w:t>липопротеина высокой плотности (</w:t>
            </w:r>
            <w:r w:rsidRPr="00475E8E">
              <w:rPr>
                <w:color w:val="000000" w:themeColor="text1"/>
                <w:sz w:val="20"/>
                <w:szCs w:val="22"/>
              </w:rPr>
              <w:t>Л</w:t>
            </w:r>
            <w:r>
              <w:rPr>
                <w:color w:val="000000" w:themeColor="text1"/>
                <w:sz w:val="20"/>
                <w:szCs w:val="22"/>
              </w:rPr>
              <w:t>П</w:t>
            </w:r>
            <w:r w:rsidRPr="00475E8E">
              <w:rPr>
                <w:color w:val="000000" w:themeColor="text1"/>
                <w:sz w:val="20"/>
                <w:szCs w:val="22"/>
              </w:rPr>
              <w:t>ВП</w:t>
            </w:r>
            <w:r>
              <w:rPr>
                <w:color w:val="000000" w:themeColor="text1"/>
                <w:sz w:val="20"/>
                <w:szCs w:val="22"/>
              </w:rPr>
              <w:t>)</w:t>
            </w:r>
            <w:r w:rsidRPr="00475E8E">
              <w:rPr>
                <w:color w:val="000000" w:themeColor="text1"/>
                <w:sz w:val="20"/>
                <w:szCs w:val="22"/>
              </w:rPr>
              <w:t>-2а; лимфоидное истощение селезенки (</w:t>
            </w:r>
            <w:r>
              <w:rPr>
                <w:color w:val="000000" w:themeColor="text1"/>
                <w:sz w:val="20"/>
                <w:szCs w:val="22"/>
                <w:lang w:val="en-US"/>
              </w:rPr>
              <w:t>m</w:t>
            </w:r>
            <w:r>
              <w:rPr>
                <w:color w:val="000000" w:themeColor="text1"/>
                <w:sz w:val="20"/>
                <w:szCs w:val="22"/>
              </w:rPr>
              <w:t xml:space="preserve">); вакуолизация </w:t>
            </w:r>
            <w:r w:rsidRPr="00475E8E">
              <w:rPr>
                <w:color w:val="000000" w:themeColor="text1"/>
                <w:sz w:val="20"/>
                <w:szCs w:val="22"/>
              </w:rPr>
              <w:t>экзокринных клеток поджелудочной железы с некрозом (</w:t>
            </w:r>
            <w:r>
              <w:rPr>
                <w:color w:val="000000" w:themeColor="text1"/>
                <w:sz w:val="20"/>
                <w:szCs w:val="22"/>
                <w:lang w:val="en-US"/>
              </w:rPr>
              <w:t>m</w:t>
            </w:r>
            <w:r w:rsidRPr="00475E8E">
              <w:rPr>
                <w:color w:val="000000" w:themeColor="text1"/>
                <w:sz w:val="20"/>
                <w:szCs w:val="22"/>
              </w:rPr>
              <w:t>); атрофия влагалища и матки. Восстановление всех изменения, за исключением яичек.</w:t>
            </w:r>
          </w:p>
          <w:p w14:paraId="49205A23" w14:textId="77777777" w:rsidR="000859AF" w:rsidRPr="00475E8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rPr>
            </w:pPr>
            <w:r w:rsidRPr="00475E8E">
              <w:rPr>
                <w:color w:val="000000" w:themeColor="text1"/>
                <w:sz w:val="20"/>
                <w:szCs w:val="22"/>
              </w:rPr>
              <w:t>NTEL &lt; 1.5 мг/мг</w:t>
            </w:r>
          </w:p>
        </w:tc>
      </w:tr>
      <w:tr w:rsidR="000859AF" w:rsidRPr="00E75A3B" w14:paraId="6CA02171" w14:textId="77777777" w:rsidTr="008A7500">
        <w:tc>
          <w:tcPr>
            <w:tcW w:w="9356" w:type="dxa"/>
            <w:gridSpan w:val="6"/>
          </w:tcPr>
          <w:p w14:paraId="124BA4B4" w14:textId="77777777" w:rsidR="000859AF" w:rsidRPr="00E75A3B"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0"/>
                <w:szCs w:val="20"/>
                <w:shd w:val="clear" w:color="auto" w:fill="FFFFFF"/>
              </w:rPr>
            </w:pPr>
            <w:r w:rsidRPr="00E75A3B">
              <w:rPr>
                <w:b/>
                <w:color w:val="000000" w:themeColor="text1"/>
                <w:sz w:val="20"/>
                <w:szCs w:val="20"/>
                <w:shd w:val="clear" w:color="auto" w:fill="FFFFFF"/>
              </w:rPr>
              <w:t>Примечание:</w:t>
            </w:r>
          </w:p>
          <w:p w14:paraId="7AFA3A6B" w14:textId="77777777" w:rsidR="000859AF" w:rsidRPr="00E75A3B"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2"/>
                <w:shd w:val="clear" w:color="auto" w:fill="FFFFFF"/>
              </w:rPr>
            </w:pPr>
            <w:r w:rsidRPr="00E75A3B">
              <w:rPr>
                <w:sz w:val="20"/>
                <w:szCs w:val="20"/>
                <w:lang w:val="en-US" w:eastAsia="ru-RU"/>
              </w:rPr>
              <w:t>NTEL</w:t>
            </w:r>
            <w:r w:rsidRPr="00E75A3B">
              <w:rPr>
                <w:sz w:val="20"/>
                <w:szCs w:val="20"/>
                <w:lang w:eastAsia="ru-RU"/>
              </w:rPr>
              <w:t xml:space="preserve"> - </w:t>
            </w:r>
            <w:r w:rsidRPr="00E75A3B">
              <w:rPr>
                <w:sz w:val="20"/>
                <w:szCs w:val="20"/>
                <w:lang w:val="en-US" w:eastAsia="ru-RU"/>
              </w:rPr>
              <w:t>no</w:t>
            </w:r>
            <w:r w:rsidRPr="00E75A3B">
              <w:rPr>
                <w:sz w:val="20"/>
                <w:szCs w:val="20"/>
                <w:lang w:eastAsia="ru-RU"/>
              </w:rPr>
              <w:t xml:space="preserve"> </w:t>
            </w:r>
            <w:r w:rsidRPr="00E75A3B">
              <w:rPr>
                <w:sz w:val="20"/>
                <w:szCs w:val="20"/>
                <w:lang w:val="en-US" w:eastAsia="ru-RU"/>
              </w:rPr>
              <w:t>toxic</w:t>
            </w:r>
            <w:r w:rsidRPr="00E75A3B">
              <w:rPr>
                <w:sz w:val="20"/>
                <w:szCs w:val="20"/>
                <w:lang w:eastAsia="ru-RU"/>
              </w:rPr>
              <w:t xml:space="preserve"> </w:t>
            </w:r>
            <w:r w:rsidRPr="00E75A3B">
              <w:rPr>
                <w:sz w:val="20"/>
                <w:szCs w:val="20"/>
                <w:lang w:val="en-US" w:eastAsia="ru-RU"/>
              </w:rPr>
              <w:t>effect</w:t>
            </w:r>
            <w:r w:rsidRPr="00E75A3B">
              <w:rPr>
                <w:sz w:val="20"/>
                <w:szCs w:val="20"/>
                <w:lang w:eastAsia="ru-RU"/>
              </w:rPr>
              <w:t xml:space="preserve"> </w:t>
            </w:r>
            <w:r w:rsidRPr="00E75A3B">
              <w:rPr>
                <w:sz w:val="20"/>
                <w:szCs w:val="20"/>
                <w:lang w:val="en-US" w:eastAsia="ru-RU"/>
              </w:rPr>
              <w:t>level</w:t>
            </w:r>
            <w:r w:rsidRPr="00E75A3B">
              <w:rPr>
                <w:sz w:val="20"/>
                <w:szCs w:val="20"/>
                <w:lang w:eastAsia="ru-RU"/>
              </w:rPr>
              <w:t xml:space="preserve">, </w:t>
            </w:r>
            <w:r w:rsidRPr="00E75A3B">
              <w:rPr>
                <w:color w:val="000000" w:themeColor="text1"/>
                <w:sz w:val="20"/>
                <w:szCs w:val="20"/>
                <w:lang w:eastAsia="ru-RU"/>
              </w:rPr>
              <w:t>уровень препарата без токсического эффекта</w:t>
            </w:r>
            <w:r w:rsidRPr="00E75A3B">
              <w:rPr>
                <w:sz w:val="20"/>
                <w:szCs w:val="20"/>
                <w:lang w:eastAsia="ru-RU"/>
              </w:rPr>
              <w:t xml:space="preserve">; </w:t>
            </w:r>
            <w:r w:rsidRPr="00E75A3B">
              <w:rPr>
                <w:sz w:val="20"/>
                <w:szCs w:val="20"/>
                <w:lang w:val="en-US" w:eastAsia="ru-RU"/>
              </w:rPr>
              <w:t>NOAEL</w:t>
            </w:r>
            <w:r w:rsidRPr="00E75A3B">
              <w:rPr>
                <w:sz w:val="20"/>
                <w:szCs w:val="20"/>
                <w:lang w:eastAsia="ru-RU"/>
              </w:rPr>
              <w:t xml:space="preserve"> - </w:t>
            </w:r>
            <w:r w:rsidRPr="00E75A3B">
              <w:rPr>
                <w:sz w:val="20"/>
                <w:szCs w:val="20"/>
                <w:lang w:val="en-US" w:eastAsia="ru-RU"/>
              </w:rPr>
              <w:t>no</w:t>
            </w:r>
            <w:r w:rsidRPr="00E75A3B">
              <w:rPr>
                <w:sz w:val="20"/>
                <w:szCs w:val="20"/>
                <w:lang w:eastAsia="ru-RU"/>
              </w:rPr>
              <w:t xml:space="preserve"> </w:t>
            </w:r>
            <w:r w:rsidRPr="00E75A3B">
              <w:rPr>
                <w:sz w:val="20"/>
                <w:szCs w:val="20"/>
                <w:lang w:val="en-US" w:eastAsia="ru-RU"/>
              </w:rPr>
              <w:t>observed</w:t>
            </w:r>
            <w:r w:rsidRPr="00E75A3B">
              <w:rPr>
                <w:sz w:val="20"/>
                <w:szCs w:val="20"/>
                <w:lang w:eastAsia="ru-RU"/>
              </w:rPr>
              <w:t xml:space="preserve"> </w:t>
            </w:r>
            <w:r w:rsidRPr="00E75A3B">
              <w:rPr>
                <w:sz w:val="20"/>
                <w:szCs w:val="20"/>
                <w:lang w:val="en-US" w:eastAsia="ru-RU"/>
              </w:rPr>
              <w:t>adverse</w:t>
            </w:r>
            <w:r w:rsidRPr="00E75A3B">
              <w:rPr>
                <w:sz w:val="20"/>
                <w:szCs w:val="20"/>
                <w:lang w:eastAsia="ru-RU"/>
              </w:rPr>
              <w:t xml:space="preserve"> </w:t>
            </w:r>
            <w:r w:rsidRPr="00E75A3B">
              <w:rPr>
                <w:sz w:val="20"/>
                <w:szCs w:val="20"/>
                <w:lang w:val="en-US" w:eastAsia="ru-RU"/>
              </w:rPr>
              <w:t>effect</w:t>
            </w:r>
            <w:r w:rsidRPr="00E75A3B">
              <w:rPr>
                <w:sz w:val="20"/>
                <w:szCs w:val="20"/>
                <w:lang w:eastAsia="ru-RU"/>
              </w:rPr>
              <w:t xml:space="preserve"> </w:t>
            </w:r>
            <w:r w:rsidRPr="00E75A3B">
              <w:rPr>
                <w:sz w:val="20"/>
                <w:szCs w:val="20"/>
                <w:lang w:val="en-US" w:eastAsia="ru-RU"/>
              </w:rPr>
              <w:t>level</w:t>
            </w:r>
            <w:r w:rsidRPr="00E75A3B">
              <w:rPr>
                <w:sz w:val="20"/>
                <w:szCs w:val="20"/>
                <w:lang w:eastAsia="ru-RU"/>
              </w:rPr>
              <w:t xml:space="preserve">, </w:t>
            </w:r>
            <w:r w:rsidRPr="00E75A3B">
              <w:rPr>
                <w:rFonts w:eastAsia="Calibri"/>
                <w:iCs/>
                <w:sz w:val="20"/>
                <w:szCs w:val="20"/>
                <w:shd w:val="clear" w:color="auto" w:fill="FFFFFF"/>
              </w:rPr>
              <w:t>максимальная доза препарата, не приводящая к развитию наблюдаемых нежелательных эффектов</w:t>
            </w:r>
            <w:r w:rsidRPr="00E75A3B">
              <w:rPr>
                <w:sz w:val="20"/>
                <w:szCs w:val="20"/>
                <w:lang w:eastAsia="ru-RU"/>
              </w:rPr>
              <w:t xml:space="preserve">; </w:t>
            </w:r>
            <w:r w:rsidRPr="00E75A3B">
              <w:rPr>
                <w:sz w:val="20"/>
                <w:szCs w:val="20"/>
                <w:lang w:val="en-US" w:eastAsia="ru-RU"/>
              </w:rPr>
              <w:t>m</w:t>
            </w:r>
            <w:r w:rsidRPr="00E75A3B">
              <w:rPr>
                <w:sz w:val="20"/>
                <w:szCs w:val="20"/>
                <w:lang w:eastAsia="ru-RU"/>
              </w:rPr>
              <w:t xml:space="preserve"> - </w:t>
            </w:r>
            <w:r w:rsidRPr="00E75A3B">
              <w:rPr>
                <w:sz w:val="20"/>
                <w:szCs w:val="20"/>
                <w:lang w:val="en-US" w:eastAsia="ru-RU"/>
              </w:rPr>
              <w:t>males</w:t>
            </w:r>
            <w:r w:rsidRPr="00E75A3B">
              <w:rPr>
                <w:sz w:val="20"/>
                <w:szCs w:val="20"/>
                <w:lang w:eastAsia="ru-RU"/>
              </w:rPr>
              <w:t xml:space="preserve"> (самцы); </w:t>
            </w:r>
            <w:r w:rsidRPr="00E75A3B">
              <w:rPr>
                <w:sz w:val="20"/>
                <w:szCs w:val="20"/>
                <w:lang w:val="en-US" w:eastAsia="ru-RU"/>
              </w:rPr>
              <w:t>f</w:t>
            </w:r>
            <w:r w:rsidRPr="00E75A3B">
              <w:rPr>
                <w:sz w:val="20"/>
                <w:szCs w:val="20"/>
                <w:lang w:eastAsia="ru-RU"/>
              </w:rPr>
              <w:t xml:space="preserve"> - </w:t>
            </w:r>
            <w:r w:rsidRPr="00E75A3B">
              <w:rPr>
                <w:sz w:val="20"/>
                <w:szCs w:val="20"/>
                <w:lang w:val="en-US" w:eastAsia="ru-RU"/>
              </w:rPr>
              <w:t>females</w:t>
            </w:r>
            <w:r w:rsidRPr="00E75A3B">
              <w:rPr>
                <w:sz w:val="20"/>
                <w:szCs w:val="20"/>
                <w:lang w:eastAsia="ru-RU"/>
              </w:rPr>
              <w:t xml:space="preserve"> (самки)</w:t>
            </w:r>
          </w:p>
        </w:tc>
      </w:tr>
    </w:tbl>
    <w:p w14:paraId="562FCE95" w14:textId="77777777" w:rsidR="000859AF" w:rsidRDefault="000859AF" w:rsidP="000859AF">
      <w:pPr>
        <w:spacing w:after="0" w:line="240" w:lineRule="auto"/>
        <w:ind w:firstLine="709"/>
        <w:rPr>
          <w:highlight w:val="yellow"/>
        </w:rPr>
      </w:pPr>
    </w:p>
    <w:p w14:paraId="0314FE94" w14:textId="77777777" w:rsidR="000859AF" w:rsidRDefault="000859AF" w:rsidP="000859AF">
      <w:pPr>
        <w:spacing w:after="0" w:line="240" w:lineRule="auto"/>
      </w:pPr>
      <w:r w:rsidRPr="00F918EE">
        <w:rPr>
          <w:b/>
        </w:rPr>
        <w:t>Таблца 3-</w:t>
      </w:r>
      <w:r w:rsidRPr="000859AF">
        <w:rPr>
          <w:b/>
        </w:rPr>
        <w:t>4</w:t>
      </w:r>
      <w:r w:rsidRPr="00F918EE">
        <w:rPr>
          <w:b/>
        </w:rPr>
        <w:t xml:space="preserve">. </w:t>
      </w:r>
      <w:r w:rsidRPr="00F918EE">
        <w:t>Сводная</w:t>
      </w:r>
      <w:r w:rsidRPr="002160D1">
        <w:t xml:space="preserve"> таблица результатов токсикологических исследований эверолимуса при многократном пероральном введении.</w:t>
      </w:r>
    </w:p>
    <w:tbl>
      <w:tblPr>
        <w:tblOverlap w:val="never"/>
        <w:tblW w:w="5000" w:type="pct"/>
        <w:tblInd w:w="-10" w:type="dxa"/>
        <w:tblLook w:val="04A0" w:firstRow="1" w:lastRow="0" w:firstColumn="1" w:lastColumn="0" w:noHBand="0" w:noVBand="1"/>
      </w:tblPr>
      <w:tblGrid>
        <w:gridCol w:w="1503"/>
        <w:gridCol w:w="2442"/>
        <w:gridCol w:w="910"/>
        <w:gridCol w:w="910"/>
        <w:gridCol w:w="825"/>
        <w:gridCol w:w="910"/>
        <w:gridCol w:w="910"/>
        <w:gridCol w:w="926"/>
      </w:tblGrid>
      <w:tr w:rsidR="005D5DBF" w:rsidRPr="003A5CBD" w14:paraId="32F8ECC5" w14:textId="77777777" w:rsidTr="008A7500">
        <w:trPr>
          <w:trHeight w:val="20"/>
          <w:tblHeader/>
        </w:trPr>
        <w:tc>
          <w:tcPr>
            <w:tcW w:w="1510" w:type="dxa"/>
            <w:vMerge w:val="restart"/>
            <w:tcBorders>
              <w:top w:val="single" w:sz="8" w:space="0" w:color="auto"/>
              <w:left w:val="single" w:sz="8" w:space="0" w:color="auto"/>
              <w:right w:val="nil"/>
            </w:tcBorders>
            <w:shd w:val="clear" w:color="000000" w:fill="D9D9D9"/>
            <w:vAlign w:val="center"/>
            <w:hideMark/>
          </w:tcPr>
          <w:p w14:paraId="59F8019A" w14:textId="77777777" w:rsidR="005D5DBF" w:rsidRPr="003A5CBD" w:rsidRDefault="005D5DB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Вид</w:t>
            </w:r>
          </w:p>
          <w:p w14:paraId="57771C13" w14:textId="49BA8944" w:rsidR="005D5DBF" w:rsidRPr="003A5CBD" w:rsidRDefault="005D5DBF" w:rsidP="0071249E">
            <w:pPr>
              <w:spacing w:after="0" w:line="240" w:lineRule="auto"/>
              <w:jc w:val="center"/>
              <w:rPr>
                <w:rFonts w:eastAsia="Times New Roman"/>
                <w:b/>
                <w:bCs/>
                <w:color w:val="000000"/>
                <w:lang w:eastAsia="ru-RU"/>
              </w:rPr>
            </w:pPr>
          </w:p>
        </w:tc>
        <w:tc>
          <w:tcPr>
            <w:tcW w:w="2442" w:type="dxa"/>
            <w:tcBorders>
              <w:top w:val="single" w:sz="8" w:space="0" w:color="auto"/>
              <w:left w:val="single" w:sz="8" w:space="0" w:color="auto"/>
              <w:bottom w:val="single" w:sz="8" w:space="0" w:color="auto"/>
              <w:right w:val="nil"/>
            </w:tcBorders>
            <w:shd w:val="clear" w:color="000000" w:fill="D9D9D9"/>
            <w:vAlign w:val="center"/>
            <w:hideMark/>
          </w:tcPr>
          <w:p w14:paraId="0F7CFA78" w14:textId="77777777" w:rsidR="005D5DBF" w:rsidRPr="003A5CBD" w:rsidRDefault="005D5DB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Результаты</w:t>
            </w:r>
          </w:p>
        </w:tc>
        <w:tc>
          <w:tcPr>
            <w:tcW w:w="2652"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14:paraId="48A197D9" w14:textId="77777777" w:rsidR="005D5DBF" w:rsidRPr="003A5CBD" w:rsidRDefault="005D5DBF" w:rsidP="005D5DBF">
            <w:pPr>
              <w:spacing w:after="0" w:line="240" w:lineRule="auto"/>
              <w:jc w:val="center"/>
              <w:rPr>
                <w:rFonts w:eastAsia="Times New Roman"/>
                <w:b/>
                <w:bCs/>
                <w:color w:val="000000"/>
                <w:lang w:eastAsia="ru-RU"/>
              </w:rPr>
            </w:pPr>
            <w:r w:rsidRPr="003A5CBD">
              <w:rPr>
                <w:rFonts w:eastAsia="Times New Roman"/>
                <w:b/>
                <w:bCs/>
                <w:color w:val="000000"/>
                <w:lang w:eastAsia="ru-RU" w:bidi="en-US"/>
              </w:rPr>
              <w:t>LOEL (мг/кг)</w:t>
            </w:r>
          </w:p>
        </w:tc>
        <w:tc>
          <w:tcPr>
            <w:tcW w:w="2752" w:type="dxa"/>
            <w:gridSpan w:val="3"/>
            <w:tcBorders>
              <w:top w:val="single" w:sz="8" w:space="0" w:color="auto"/>
              <w:left w:val="nil"/>
              <w:bottom w:val="single" w:sz="8" w:space="0" w:color="auto"/>
              <w:right w:val="single" w:sz="8" w:space="0" w:color="000000"/>
            </w:tcBorders>
            <w:shd w:val="clear" w:color="000000" w:fill="D9D9D9"/>
            <w:vAlign w:val="center"/>
            <w:hideMark/>
          </w:tcPr>
          <w:p w14:paraId="7A4B39E5" w14:textId="77777777" w:rsidR="005D5DBF" w:rsidRPr="003A5CBD" w:rsidRDefault="005D5DBF" w:rsidP="003520C2">
            <w:pPr>
              <w:spacing w:after="0" w:line="240" w:lineRule="auto"/>
              <w:jc w:val="center"/>
              <w:rPr>
                <w:rFonts w:eastAsia="Times New Roman"/>
                <w:b/>
                <w:bCs/>
                <w:color w:val="000000"/>
                <w:lang w:eastAsia="ru-RU"/>
              </w:rPr>
            </w:pPr>
            <w:r w:rsidRPr="003A5CBD">
              <w:rPr>
                <w:rFonts w:eastAsia="Times New Roman"/>
                <w:b/>
                <w:bCs/>
                <w:color w:val="000000"/>
                <w:lang w:eastAsia="ru-RU" w:bidi="en-US"/>
              </w:rPr>
              <w:t>NOAEL (мг/кг)</w:t>
            </w:r>
          </w:p>
        </w:tc>
      </w:tr>
      <w:tr w:rsidR="005D5DBF" w:rsidRPr="003A5CBD" w14:paraId="2D532733" w14:textId="77777777" w:rsidTr="008A7500">
        <w:trPr>
          <w:trHeight w:val="20"/>
        </w:trPr>
        <w:tc>
          <w:tcPr>
            <w:tcW w:w="1510" w:type="dxa"/>
            <w:vMerge/>
            <w:tcBorders>
              <w:left w:val="single" w:sz="8" w:space="0" w:color="auto"/>
              <w:bottom w:val="single" w:sz="8" w:space="0" w:color="auto"/>
              <w:right w:val="nil"/>
            </w:tcBorders>
            <w:shd w:val="clear" w:color="000000" w:fill="D9D9D9"/>
            <w:vAlign w:val="center"/>
            <w:hideMark/>
          </w:tcPr>
          <w:p w14:paraId="12A00EAC" w14:textId="2AFD7ED9" w:rsidR="005D5DBF" w:rsidRPr="003A5CBD" w:rsidRDefault="005D5DBF" w:rsidP="0071249E">
            <w:pPr>
              <w:spacing w:after="0" w:line="240" w:lineRule="auto"/>
              <w:jc w:val="center"/>
              <w:rPr>
                <w:rFonts w:eastAsia="Times New Roman"/>
                <w:color w:val="000000"/>
                <w:lang w:eastAsia="ru-RU"/>
              </w:rPr>
            </w:pPr>
          </w:p>
        </w:tc>
        <w:tc>
          <w:tcPr>
            <w:tcW w:w="2442" w:type="dxa"/>
            <w:tcBorders>
              <w:top w:val="nil"/>
              <w:left w:val="single" w:sz="8" w:space="0" w:color="auto"/>
              <w:bottom w:val="single" w:sz="8" w:space="0" w:color="auto"/>
              <w:right w:val="nil"/>
            </w:tcBorders>
            <w:shd w:val="clear" w:color="000000" w:fill="D9D9D9"/>
            <w:vAlign w:val="center"/>
            <w:hideMark/>
          </w:tcPr>
          <w:p w14:paraId="215F8C71" w14:textId="77777777" w:rsidR="005D5DBF" w:rsidRPr="003A5CBD" w:rsidRDefault="005D5DB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продолжительность</w:t>
            </w:r>
          </w:p>
        </w:tc>
        <w:tc>
          <w:tcPr>
            <w:tcW w:w="911" w:type="dxa"/>
            <w:tcBorders>
              <w:top w:val="nil"/>
              <w:left w:val="single" w:sz="8" w:space="0" w:color="auto"/>
              <w:bottom w:val="single" w:sz="8" w:space="0" w:color="auto"/>
              <w:right w:val="nil"/>
            </w:tcBorders>
            <w:shd w:val="clear" w:color="000000" w:fill="D9D9D9"/>
            <w:vAlign w:val="center"/>
            <w:hideMark/>
          </w:tcPr>
          <w:p w14:paraId="699B881D" w14:textId="77777777" w:rsidR="005D5DBF" w:rsidRPr="003A5CBD" w:rsidRDefault="005D5DBF" w:rsidP="005D5DBF">
            <w:pPr>
              <w:spacing w:after="0" w:line="240" w:lineRule="auto"/>
              <w:jc w:val="center"/>
              <w:rPr>
                <w:rFonts w:eastAsia="Times New Roman"/>
                <w:b/>
                <w:bCs/>
                <w:color w:val="000000"/>
                <w:lang w:eastAsia="ru-RU"/>
              </w:rPr>
            </w:pPr>
            <w:r w:rsidRPr="003A5CBD">
              <w:rPr>
                <w:rFonts w:eastAsia="Times New Roman"/>
                <w:b/>
                <w:bCs/>
                <w:color w:val="000000"/>
                <w:lang w:eastAsia="ru-RU" w:bidi="en-US"/>
              </w:rPr>
              <w:t>3 мес.</w:t>
            </w:r>
          </w:p>
        </w:tc>
        <w:tc>
          <w:tcPr>
            <w:tcW w:w="911" w:type="dxa"/>
            <w:tcBorders>
              <w:top w:val="nil"/>
              <w:left w:val="single" w:sz="8" w:space="0" w:color="auto"/>
              <w:bottom w:val="single" w:sz="8" w:space="0" w:color="auto"/>
              <w:right w:val="nil"/>
            </w:tcBorders>
            <w:shd w:val="clear" w:color="000000" w:fill="D9D9D9"/>
            <w:vAlign w:val="center"/>
            <w:hideMark/>
          </w:tcPr>
          <w:p w14:paraId="0EC1C22A" w14:textId="1430CE45" w:rsidR="005D5DBF" w:rsidRPr="003A5CBD" w:rsidRDefault="005D5DB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000000" w:fill="D9D9D9"/>
            <w:vAlign w:val="center"/>
            <w:hideMark/>
          </w:tcPr>
          <w:p w14:paraId="3A4281E0" w14:textId="77777777" w:rsidR="005D5DBF" w:rsidRPr="003A5CBD" w:rsidRDefault="005D5DBF" w:rsidP="00AA5270">
            <w:pPr>
              <w:spacing w:after="0" w:line="240" w:lineRule="auto"/>
              <w:jc w:val="center"/>
              <w:rPr>
                <w:rFonts w:eastAsia="Times New Roman"/>
                <w:b/>
                <w:bCs/>
                <w:color w:val="000000"/>
                <w:lang w:eastAsia="ru-RU"/>
              </w:rPr>
            </w:pPr>
            <w:r w:rsidRPr="003A5CBD">
              <w:rPr>
                <w:rFonts w:eastAsia="Times New Roman"/>
                <w:b/>
                <w:bCs/>
                <w:color w:val="000000"/>
                <w:lang w:eastAsia="ru-RU" w:bidi="en-US"/>
              </w:rPr>
              <w:t>2 г</w:t>
            </w:r>
          </w:p>
        </w:tc>
        <w:tc>
          <w:tcPr>
            <w:tcW w:w="911" w:type="dxa"/>
            <w:tcBorders>
              <w:top w:val="nil"/>
              <w:left w:val="single" w:sz="8" w:space="0" w:color="auto"/>
              <w:bottom w:val="single" w:sz="8" w:space="0" w:color="auto"/>
              <w:right w:val="nil"/>
            </w:tcBorders>
            <w:shd w:val="clear" w:color="000000" w:fill="D9D9D9"/>
            <w:vAlign w:val="center"/>
            <w:hideMark/>
          </w:tcPr>
          <w:p w14:paraId="247D4631" w14:textId="77777777" w:rsidR="005D5DBF" w:rsidRPr="003A5CBD" w:rsidRDefault="005D5DBF" w:rsidP="00AA5270">
            <w:pPr>
              <w:spacing w:after="0" w:line="240" w:lineRule="auto"/>
              <w:jc w:val="center"/>
              <w:rPr>
                <w:rFonts w:eastAsia="Times New Roman"/>
                <w:b/>
                <w:bCs/>
                <w:color w:val="000000"/>
                <w:lang w:eastAsia="ru-RU"/>
              </w:rPr>
            </w:pPr>
            <w:r w:rsidRPr="003A5CBD">
              <w:rPr>
                <w:rFonts w:eastAsia="Times New Roman"/>
                <w:b/>
                <w:bCs/>
                <w:color w:val="000000"/>
                <w:lang w:eastAsia="ru-RU" w:bidi="en-US"/>
              </w:rPr>
              <w:t>3 мес.</w:t>
            </w:r>
          </w:p>
        </w:tc>
        <w:tc>
          <w:tcPr>
            <w:tcW w:w="911" w:type="dxa"/>
            <w:tcBorders>
              <w:top w:val="nil"/>
              <w:left w:val="single" w:sz="8" w:space="0" w:color="auto"/>
              <w:bottom w:val="single" w:sz="8" w:space="0" w:color="auto"/>
              <w:right w:val="nil"/>
            </w:tcBorders>
            <w:shd w:val="clear" w:color="000000" w:fill="D9D9D9"/>
            <w:vAlign w:val="center"/>
            <w:hideMark/>
          </w:tcPr>
          <w:p w14:paraId="74FA9B24" w14:textId="2F65FB5E" w:rsidR="005D5DBF" w:rsidRPr="003A5CBD" w:rsidRDefault="005D5DB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000000" w:fill="D9D9D9"/>
            <w:vAlign w:val="center"/>
            <w:hideMark/>
          </w:tcPr>
          <w:p w14:paraId="4D1EB002" w14:textId="77777777" w:rsidR="005D5DBF" w:rsidRPr="003A5CBD" w:rsidRDefault="005D5DBF" w:rsidP="00A61901">
            <w:pPr>
              <w:spacing w:after="0" w:line="240" w:lineRule="auto"/>
              <w:jc w:val="center"/>
              <w:rPr>
                <w:rFonts w:eastAsia="Times New Roman"/>
                <w:b/>
                <w:bCs/>
                <w:color w:val="000000"/>
                <w:lang w:eastAsia="ru-RU"/>
              </w:rPr>
            </w:pPr>
            <w:r w:rsidRPr="003A5CBD">
              <w:rPr>
                <w:rFonts w:eastAsia="Times New Roman"/>
                <w:b/>
                <w:bCs/>
                <w:color w:val="000000"/>
                <w:lang w:eastAsia="ru-RU" w:bidi="en-US"/>
              </w:rPr>
              <w:t>2 г</w:t>
            </w:r>
          </w:p>
        </w:tc>
      </w:tr>
      <w:tr w:rsidR="000859AF" w:rsidRPr="003A5CBD" w14:paraId="53C20C4A" w14:textId="77777777" w:rsidTr="008A7500">
        <w:trPr>
          <w:trHeight w:val="20"/>
        </w:trPr>
        <w:tc>
          <w:tcPr>
            <w:tcW w:w="15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13ADA3" w14:textId="245B5FE0"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Мыш</w:t>
            </w:r>
            <w:r>
              <w:rPr>
                <w:rFonts w:eastAsia="Times New Roman"/>
                <w:color w:val="000000"/>
                <w:lang w:eastAsia="ru-RU" w:bidi="en-US"/>
              </w:rPr>
              <w:t>и</w:t>
            </w:r>
          </w:p>
        </w:tc>
        <w:tc>
          <w:tcPr>
            <w:tcW w:w="2442" w:type="dxa"/>
            <w:tcBorders>
              <w:top w:val="nil"/>
              <w:left w:val="nil"/>
              <w:bottom w:val="single" w:sz="8" w:space="0" w:color="auto"/>
              <w:right w:val="nil"/>
            </w:tcBorders>
            <w:shd w:val="clear" w:color="auto" w:fill="auto"/>
            <w:vAlign w:val="center"/>
            <w:hideMark/>
          </w:tcPr>
          <w:p w14:paraId="0FF92574" w14:textId="77777777" w:rsidR="000859AF" w:rsidRPr="0071249E" w:rsidRDefault="000859AF" w:rsidP="005D5DB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тимуса</w:t>
            </w:r>
          </w:p>
        </w:tc>
        <w:tc>
          <w:tcPr>
            <w:tcW w:w="911" w:type="dxa"/>
            <w:tcBorders>
              <w:top w:val="nil"/>
              <w:left w:val="single" w:sz="8" w:space="0" w:color="auto"/>
              <w:bottom w:val="single" w:sz="8" w:space="0" w:color="auto"/>
              <w:right w:val="nil"/>
            </w:tcBorders>
            <w:shd w:val="clear" w:color="auto" w:fill="auto"/>
            <w:vAlign w:val="center"/>
            <w:hideMark/>
          </w:tcPr>
          <w:p w14:paraId="641E8172"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0158D5FF" w14:textId="766917DE"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48165A79"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1C99AEB3"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0,15</w:t>
            </w:r>
          </w:p>
        </w:tc>
        <w:tc>
          <w:tcPr>
            <w:tcW w:w="911" w:type="dxa"/>
            <w:tcBorders>
              <w:top w:val="nil"/>
              <w:left w:val="single" w:sz="8" w:space="0" w:color="auto"/>
              <w:bottom w:val="single" w:sz="8" w:space="0" w:color="auto"/>
              <w:right w:val="nil"/>
            </w:tcBorders>
            <w:shd w:val="clear" w:color="auto" w:fill="auto"/>
            <w:vAlign w:val="center"/>
            <w:hideMark/>
          </w:tcPr>
          <w:p w14:paraId="4ECFC6B1" w14:textId="38C58DDE"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140660F3" w14:textId="0DE05EFC" w:rsidR="000859AF" w:rsidRPr="003A5CBD" w:rsidRDefault="000859AF" w:rsidP="00A61901">
            <w:pPr>
              <w:spacing w:after="0" w:line="240" w:lineRule="auto"/>
              <w:jc w:val="center"/>
              <w:rPr>
                <w:rFonts w:eastAsia="Times New Roman"/>
                <w:color w:val="000000"/>
                <w:lang w:eastAsia="ru-RU"/>
              </w:rPr>
            </w:pPr>
          </w:p>
        </w:tc>
      </w:tr>
      <w:tr w:rsidR="000859AF" w:rsidRPr="003A5CBD" w14:paraId="201DC825"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565E4DB2"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7AD78532"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Поражения кожи</w:t>
            </w:r>
          </w:p>
        </w:tc>
        <w:tc>
          <w:tcPr>
            <w:tcW w:w="911" w:type="dxa"/>
            <w:tcBorders>
              <w:top w:val="nil"/>
              <w:left w:val="single" w:sz="8" w:space="0" w:color="auto"/>
              <w:bottom w:val="single" w:sz="8" w:space="0" w:color="auto"/>
              <w:right w:val="nil"/>
            </w:tcBorders>
            <w:shd w:val="clear" w:color="auto" w:fill="auto"/>
            <w:vAlign w:val="center"/>
            <w:hideMark/>
          </w:tcPr>
          <w:p w14:paraId="391DBFB5"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455055D9" w14:textId="73A89B26"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35FA5088" w14:textId="2654E416"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EF03E0E"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41899852" w14:textId="21BEED65"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56A55795" w14:textId="34A60785" w:rsidR="000859AF" w:rsidRPr="003A5CBD" w:rsidRDefault="000859AF" w:rsidP="00A61901">
            <w:pPr>
              <w:spacing w:after="0" w:line="240" w:lineRule="auto"/>
              <w:jc w:val="center"/>
              <w:rPr>
                <w:rFonts w:eastAsia="Times New Roman"/>
                <w:color w:val="000000"/>
                <w:lang w:eastAsia="ru-RU"/>
              </w:rPr>
            </w:pPr>
          </w:p>
        </w:tc>
      </w:tr>
      <w:tr w:rsidR="000859AF" w:rsidRPr="003A5CBD" w14:paraId="1632EC8B"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1940530"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1697E2CC"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Дегенерация почечных канальцев</w:t>
            </w:r>
          </w:p>
        </w:tc>
        <w:tc>
          <w:tcPr>
            <w:tcW w:w="911" w:type="dxa"/>
            <w:tcBorders>
              <w:top w:val="nil"/>
              <w:left w:val="single" w:sz="8" w:space="0" w:color="auto"/>
              <w:bottom w:val="single" w:sz="8" w:space="0" w:color="auto"/>
              <w:right w:val="nil"/>
            </w:tcBorders>
            <w:shd w:val="clear" w:color="auto" w:fill="auto"/>
            <w:vAlign w:val="center"/>
            <w:hideMark/>
          </w:tcPr>
          <w:p w14:paraId="5BE47636"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6697E81B" w14:textId="607B4C43"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6CB042A0" w14:textId="75298319"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40F8E6C4"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27B9C399" w14:textId="54975157"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1C91889F" w14:textId="4C1848CD" w:rsidR="000859AF" w:rsidRPr="003A5CBD" w:rsidRDefault="000859AF" w:rsidP="00A61901">
            <w:pPr>
              <w:spacing w:after="0" w:line="240" w:lineRule="auto"/>
              <w:jc w:val="center"/>
              <w:rPr>
                <w:rFonts w:eastAsia="Times New Roman"/>
                <w:color w:val="000000"/>
                <w:lang w:eastAsia="ru-RU"/>
              </w:rPr>
            </w:pPr>
          </w:p>
        </w:tc>
      </w:tr>
      <w:tr w:rsidR="000859AF" w:rsidRPr="003A5CBD" w14:paraId="027F9C5A"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AA94D7D"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C0E88B5"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Легочные макрофаги</w:t>
            </w:r>
          </w:p>
        </w:tc>
        <w:tc>
          <w:tcPr>
            <w:tcW w:w="911" w:type="dxa"/>
            <w:tcBorders>
              <w:top w:val="nil"/>
              <w:left w:val="single" w:sz="8" w:space="0" w:color="auto"/>
              <w:bottom w:val="single" w:sz="8" w:space="0" w:color="auto"/>
              <w:right w:val="nil"/>
            </w:tcBorders>
            <w:shd w:val="clear" w:color="auto" w:fill="auto"/>
            <w:vAlign w:val="center"/>
            <w:hideMark/>
          </w:tcPr>
          <w:p w14:paraId="249F487E"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0DACE138" w14:textId="5AADC447"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3C48D3D9" w14:textId="574FAF88"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0F3EFA4"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393D4F2E" w14:textId="270DE925"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00136112" w14:textId="5BB60A21" w:rsidR="000859AF" w:rsidRPr="003A5CBD" w:rsidRDefault="000859AF" w:rsidP="00A61901">
            <w:pPr>
              <w:spacing w:after="0" w:line="240" w:lineRule="auto"/>
              <w:jc w:val="center"/>
              <w:rPr>
                <w:rFonts w:eastAsia="Times New Roman"/>
                <w:color w:val="000000"/>
                <w:lang w:eastAsia="ru-RU"/>
              </w:rPr>
            </w:pPr>
          </w:p>
        </w:tc>
      </w:tr>
      <w:tr w:rsidR="000859AF" w:rsidRPr="003A5CBD" w14:paraId="00B9D0EC"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749DCDA2"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64E6BC66"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Зародышевые клетки семенников</w:t>
            </w:r>
          </w:p>
        </w:tc>
        <w:tc>
          <w:tcPr>
            <w:tcW w:w="911" w:type="dxa"/>
            <w:tcBorders>
              <w:top w:val="nil"/>
              <w:left w:val="single" w:sz="8" w:space="0" w:color="auto"/>
              <w:bottom w:val="single" w:sz="8" w:space="0" w:color="auto"/>
              <w:right w:val="nil"/>
            </w:tcBorders>
            <w:shd w:val="clear" w:color="auto" w:fill="auto"/>
            <w:vAlign w:val="center"/>
            <w:hideMark/>
          </w:tcPr>
          <w:p w14:paraId="02D6891F"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7B572B99" w14:textId="71AF7E16"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5A307568"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10150C0C"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0,15</w:t>
            </w:r>
          </w:p>
        </w:tc>
        <w:tc>
          <w:tcPr>
            <w:tcW w:w="911" w:type="dxa"/>
            <w:tcBorders>
              <w:top w:val="nil"/>
              <w:left w:val="single" w:sz="8" w:space="0" w:color="auto"/>
              <w:bottom w:val="single" w:sz="8" w:space="0" w:color="auto"/>
              <w:right w:val="nil"/>
            </w:tcBorders>
            <w:shd w:val="clear" w:color="auto" w:fill="auto"/>
            <w:vAlign w:val="center"/>
            <w:hideMark/>
          </w:tcPr>
          <w:p w14:paraId="127BE61A" w14:textId="7484F39F"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363740B3" w14:textId="2B830EAD" w:rsidR="000859AF" w:rsidRPr="003A5CBD" w:rsidRDefault="000859AF" w:rsidP="00A61901">
            <w:pPr>
              <w:spacing w:after="0" w:line="240" w:lineRule="auto"/>
              <w:jc w:val="center"/>
              <w:rPr>
                <w:rFonts w:eastAsia="Times New Roman"/>
                <w:color w:val="000000"/>
                <w:lang w:eastAsia="ru-RU"/>
              </w:rPr>
            </w:pPr>
          </w:p>
        </w:tc>
      </w:tr>
      <w:tr w:rsidR="000859AF" w:rsidRPr="003A5CBD" w14:paraId="7AD25766"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7390A28E"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EB923F7"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матки / уменьшение развития фолликулов</w:t>
            </w:r>
          </w:p>
        </w:tc>
        <w:tc>
          <w:tcPr>
            <w:tcW w:w="911" w:type="dxa"/>
            <w:tcBorders>
              <w:top w:val="nil"/>
              <w:left w:val="single" w:sz="8" w:space="0" w:color="auto"/>
              <w:bottom w:val="single" w:sz="8" w:space="0" w:color="auto"/>
              <w:right w:val="nil"/>
            </w:tcBorders>
            <w:shd w:val="clear" w:color="auto" w:fill="auto"/>
            <w:vAlign w:val="center"/>
            <w:hideMark/>
          </w:tcPr>
          <w:p w14:paraId="6FA57BD7"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3A8CE164" w14:textId="5DD6DCAF"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49AF7D96" w14:textId="16DD1D9D"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6C71CF89"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6533B81F" w14:textId="3BC5C310"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0C2B791F" w14:textId="2CD90B0A" w:rsidR="000859AF" w:rsidRPr="003A5CBD" w:rsidRDefault="000859AF" w:rsidP="00A61901">
            <w:pPr>
              <w:spacing w:after="0" w:line="240" w:lineRule="auto"/>
              <w:jc w:val="center"/>
              <w:rPr>
                <w:rFonts w:eastAsia="Times New Roman"/>
                <w:color w:val="000000"/>
                <w:lang w:eastAsia="ru-RU"/>
              </w:rPr>
            </w:pPr>
          </w:p>
        </w:tc>
      </w:tr>
      <w:tr w:rsidR="000859AF" w:rsidRPr="003A5CBD" w14:paraId="16BBF85F" w14:textId="77777777" w:rsidTr="008A7500">
        <w:trPr>
          <w:trHeight w:val="20"/>
        </w:trPr>
        <w:tc>
          <w:tcPr>
            <w:tcW w:w="1510" w:type="dxa"/>
            <w:tcBorders>
              <w:top w:val="nil"/>
              <w:left w:val="single" w:sz="8" w:space="0" w:color="auto"/>
              <w:bottom w:val="single" w:sz="8" w:space="0" w:color="auto"/>
              <w:right w:val="nil"/>
            </w:tcBorders>
            <w:shd w:val="clear" w:color="auto" w:fill="D9D9D9" w:themeFill="background1" w:themeFillShade="D9"/>
            <w:vAlign w:val="center"/>
            <w:hideMark/>
          </w:tcPr>
          <w:p w14:paraId="726FECA5" w14:textId="1D894A63" w:rsidR="000859AF" w:rsidRPr="003A5CBD" w:rsidRDefault="000859AF" w:rsidP="005D5DBF">
            <w:pPr>
              <w:spacing w:after="0" w:line="240" w:lineRule="auto"/>
              <w:jc w:val="left"/>
              <w:rPr>
                <w:rFonts w:eastAsia="Times New Roman"/>
                <w:color w:val="000000"/>
                <w:lang w:eastAsia="ru-RU"/>
              </w:rPr>
            </w:pPr>
          </w:p>
        </w:tc>
        <w:tc>
          <w:tcPr>
            <w:tcW w:w="2442" w:type="dxa"/>
            <w:tcBorders>
              <w:top w:val="nil"/>
              <w:left w:val="single" w:sz="8" w:space="0" w:color="auto"/>
              <w:bottom w:val="single" w:sz="8" w:space="0" w:color="auto"/>
              <w:right w:val="nil"/>
            </w:tcBorders>
            <w:shd w:val="clear" w:color="000000" w:fill="D9D9D9"/>
            <w:vAlign w:val="center"/>
            <w:hideMark/>
          </w:tcPr>
          <w:p w14:paraId="4AD67B3D" w14:textId="77777777" w:rsidR="000859AF" w:rsidRPr="003A5CBD" w:rsidRDefault="000859AF" w:rsidP="003520C2">
            <w:pPr>
              <w:spacing w:after="0" w:line="240" w:lineRule="auto"/>
              <w:jc w:val="left"/>
              <w:rPr>
                <w:rFonts w:eastAsia="Times New Roman"/>
                <w:b/>
                <w:bCs/>
                <w:color w:val="000000"/>
                <w:lang w:eastAsia="ru-RU"/>
              </w:rPr>
            </w:pPr>
            <w:r w:rsidRPr="003A5CBD">
              <w:rPr>
                <w:rFonts w:eastAsia="Times New Roman"/>
                <w:b/>
                <w:bCs/>
                <w:color w:val="000000"/>
                <w:lang w:eastAsia="ru-RU" w:bidi="en-US"/>
              </w:rPr>
              <w:t>продолжительность</w:t>
            </w:r>
          </w:p>
        </w:tc>
        <w:tc>
          <w:tcPr>
            <w:tcW w:w="911" w:type="dxa"/>
            <w:tcBorders>
              <w:top w:val="nil"/>
              <w:left w:val="single" w:sz="8" w:space="0" w:color="auto"/>
              <w:bottom w:val="single" w:sz="8" w:space="0" w:color="auto"/>
              <w:right w:val="nil"/>
            </w:tcBorders>
            <w:shd w:val="clear" w:color="000000" w:fill="D9D9D9"/>
            <w:vAlign w:val="center"/>
            <w:hideMark/>
          </w:tcPr>
          <w:p w14:paraId="2142B265" w14:textId="77777777" w:rsidR="000859AF" w:rsidRPr="003A5CBD" w:rsidRDefault="000859AF" w:rsidP="005D5DBF">
            <w:pPr>
              <w:spacing w:after="0" w:line="240" w:lineRule="auto"/>
              <w:jc w:val="center"/>
              <w:rPr>
                <w:rFonts w:eastAsia="Times New Roman"/>
                <w:b/>
                <w:bCs/>
                <w:color w:val="000000"/>
                <w:lang w:eastAsia="ru-RU"/>
              </w:rPr>
            </w:pPr>
            <w:r w:rsidRPr="003A5CBD">
              <w:rPr>
                <w:rFonts w:eastAsia="Times New Roman"/>
                <w:b/>
                <w:bCs/>
                <w:color w:val="000000"/>
                <w:lang w:eastAsia="ru-RU" w:bidi="en-US"/>
              </w:rPr>
              <w:t>1 мес.</w:t>
            </w:r>
          </w:p>
        </w:tc>
        <w:tc>
          <w:tcPr>
            <w:tcW w:w="911" w:type="dxa"/>
            <w:tcBorders>
              <w:top w:val="nil"/>
              <w:left w:val="single" w:sz="8" w:space="0" w:color="auto"/>
              <w:bottom w:val="single" w:sz="8" w:space="0" w:color="auto"/>
              <w:right w:val="nil"/>
            </w:tcBorders>
            <w:shd w:val="clear" w:color="000000" w:fill="D9D9D9"/>
            <w:vAlign w:val="center"/>
            <w:hideMark/>
          </w:tcPr>
          <w:p w14:paraId="16C2A15D" w14:textId="77777777" w:rsidR="000859AF" w:rsidRPr="003A5CBD" w:rsidRDefault="000859AF" w:rsidP="003520C2">
            <w:pPr>
              <w:spacing w:after="0" w:line="240" w:lineRule="auto"/>
              <w:jc w:val="center"/>
              <w:rPr>
                <w:rFonts w:eastAsia="Times New Roman"/>
                <w:b/>
                <w:bCs/>
                <w:color w:val="000000"/>
                <w:lang w:eastAsia="ru-RU"/>
              </w:rPr>
            </w:pPr>
            <w:r w:rsidRPr="003A5CBD">
              <w:rPr>
                <w:rFonts w:eastAsia="Times New Roman"/>
                <w:b/>
                <w:bCs/>
                <w:color w:val="000000"/>
                <w:lang w:eastAsia="ru-RU" w:bidi="en-US"/>
              </w:rPr>
              <w:t>6 мес.</w:t>
            </w:r>
          </w:p>
        </w:tc>
        <w:tc>
          <w:tcPr>
            <w:tcW w:w="830" w:type="dxa"/>
            <w:tcBorders>
              <w:top w:val="nil"/>
              <w:left w:val="single" w:sz="8" w:space="0" w:color="auto"/>
              <w:bottom w:val="single" w:sz="8" w:space="0" w:color="auto"/>
              <w:right w:val="nil"/>
            </w:tcBorders>
            <w:shd w:val="clear" w:color="000000" w:fill="D9D9D9"/>
            <w:vAlign w:val="center"/>
            <w:hideMark/>
          </w:tcPr>
          <w:p w14:paraId="43B52A00" w14:textId="77777777" w:rsidR="000859AF" w:rsidRPr="003A5CBD" w:rsidRDefault="000859AF" w:rsidP="00AA5270">
            <w:pPr>
              <w:spacing w:after="0" w:line="240" w:lineRule="auto"/>
              <w:jc w:val="center"/>
              <w:rPr>
                <w:rFonts w:eastAsia="Times New Roman"/>
                <w:b/>
                <w:bCs/>
                <w:color w:val="000000"/>
                <w:lang w:eastAsia="ru-RU"/>
              </w:rPr>
            </w:pPr>
            <w:r w:rsidRPr="003A5CBD">
              <w:rPr>
                <w:rFonts w:eastAsia="Times New Roman"/>
                <w:b/>
                <w:bCs/>
                <w:color w:val="000000"/>
                <w:lang w:eastAsia="ru-RU" w:bidi="en-US"/>
              </w:rPr>
              <w:t>2 г</w:t>
            </w:r>
          </w:p>
        </w:tc>
        <w:tc>
          <w:tcPr>
            <w:tcW w:w="911" w:type="dxa"/>
            <w:tcBorders>
              <w:top w:val="nil"/>
              <w:left w:val="single" w:sz="8" w:space="0" w:color="auto"/>
              <w:bottom w:val="single" w:sz="8" w:space="0" w:color="auto"/>
              <w:right w:val="nil"/>
            </w:tcBorders>
            <w:shd w:val="clear" w:color="000000" w:fill="D9D9D9"/>
            <w:vAlign w:val="center"/>
            <w:hideMark/>
          </w:tcPr>
          <w:p w14:paraId="18192B34" w14:textId="77777777" w:rsidR="000859AF" w:rsidRPr="003A5CBD" w:rsidRDefault="000859AF" w:rsidP="00AA5270">
            <w:pPr>
              <w:spacing w:after="0" w:line="240" w:lineRule="auto"/>
              <w:jc w:val="center"/>
              <w:rPr>
                <w:rFonts w:eastAsia="Times New Roman"/>
                <w:b/>
                <w:bCs/>
                <w:color w:val="000000"/>
                <w:lang w:eastAsia="ru-RU"/>
              </w:rPr>
            </w:pPr>
            <w:r w:rsidRPr="003A5CBD">
              <w:rPr>
                <w:rFonts w:eastAsia="Times New Roman"/>
                <w:b/>
                <w:bCs/>
                <w:color w:val="000000"/>
                <w:lang w:eastAsia="ru-RU" w:bidi="en-US"/>
              </w:rPr>
              <w:t>1 мес.</w:t>
            </w:r>
          </w:p>
        </w:tc>
        <w:tc>
          <w:tcPr>
            <w:tcW w:w="911" w:type="dxa"/>
            <w:tcBorders>
              <w:top w:val="nil"/>
              <w:left w:val="single" w:sz="8" w:space="0" w:color="auto"/>
              <w:bottom w:val="single" w:sz="8" w:space="0" w:color="auto"/>
              <w:right w:val="nil"/>
            </w:tcBorders>
            <w:shd w:val="clear" w:color="000000" w:fill="D9D9D9"/>
            <w:vAlign w:val="center"/>
            <w:hideMark/>
          </w:tcPr>
          <w:p w14:paraId="189B1E45" w14:textId="77777777" w:rsidR="000859AF" w:rsidRPr="003A5CBD" w:rsidRDefault="000859AF" w:rsidP="0076709F">
            <w:pPr>
              <w:spacing w:after="0" w:line="240" w:lineRule="auto"/>
              <w:jc w:val="center"/>
              <w:rPr>
                <w:rFonts w:eastAsia="Times New Roman"/>
                <w:b/>
                <w:bCs/>
                <w:color w:val="000000"/>
                <w:lang w:eastAsia="ru-RU"/>
              </w:rPr>
            </w:pPr>
            <w:r w:rsidRPr="003A5CBD">
              <w:rPr>
                <w:rFonts w:eastAsia="Times New Roman"/>
                <w:b/>
                <w:bCs/>
                <w:color w:val="000000"/>
                <w:lang w:eastAsia="ru-RU" w:bidi="en-US"/>
              </w:rPr>
              <w:t>6 мес.</w:t>
            </w:r>
          </w:p>
        </w:tc>
        <w:tc>
          <w:tcPr>
            <w:tcW w:w="930" w:type="dxa"/>
            <w:tcBorders>
              <w:top w:val="nil"/>
              <w:left w:val="single" w:sz="8" w:space="0" w:color="auto"/>
              <w:bottom w:val="single" w:sz="8" w:space="0" w:color="auto"/>
              <w:right w:val="single" w:sz="8" w:space="0" w:color="auto"/>
            </w:tcBorders>
            <w:shd w:val="clear" w:color="000000" w:fill="D9D9D9"/>
            <w:vAlign w:val="center"/>
            <w:hideMark/>
          </w:tcPr>
          <w:p w14:paraId="11E4EF46" w14:textId="77777777" w:rsidR="000859AF" w:rsidRPr="003A5CBD" w:rsidRDefault="000859AF" w:rsidP="00A61901">
            <w:pPr>
              <w:spacing w:after="0" w:line="240" w:lineRule="auto"/>
              <w:jc w:val="center"/>
              <w:rPr>
                <w:rFonts w:eastAsia="Times New Roman"/>
                <w:b/>
                <w:bCs/>
                <w:color w:val="000000"/>
                <w:lang w:eastAsia="ru-RU"/>
              </w:rPr>
            </w:pPr>
            <w:r w:rsidRPr="003A5CBD">
              <w:rPr>
                <w:rFonts w:eastAsia="Times New Roman"/>
                <w:b/>
                <w:bCs/>
                <w:color w:val="000000"/>
                <w:lang w:eastAsia="ru-RU" w:bidi="en-US"/>
              </w:rPr>
              <w:t>2 г</w:t>
            </w:r>
          </w:p>
        </w:tc>
      </w:tr>
      <w:tr w:rsidR="000859AF" w:rsidRPr="003A5CBD" w14:paraId="074365A3" w14:textId="77777777" w:rsidTr="008A7500">
        <w:trPr>
          <w:trHeight w:val="20"/>
        </w:trPr>
        <w:tc>
          <w:tcPr>
            <w:tcW w:w="1510" w:type="dxa"/>
            <w:vMerge w:val="restart"/>
            <w:tcBorders>
              <w:top w:val="nil"/>
              <w:left w:val="single" w:sz="8" w:space="0" w:color="auto"/>
              <w:bottom w:val="single" w:sz="8" w:space="0" w:color="000000"/>
              <w:right w:val="single" w:sz="8" w:space="0" w:color="auto"/>
            </w:tcBorders>
            <w:shd w:val="clear" w:color="auto" w:fill="auto"/>
            <w:vAlign w:val="center"/>
            <w:hideMark/>
          </w:tcPr>
          <w:p w14:paraId="443400DF" w14:textId="6079D33D"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Крыс</w:t>
            </w:r>
            <w:r>
              <w:rPr>
                <w:rFonts w:eastAsia="Times New Roman"/>
                <w:color w:val="000000"/>
                <w:lang w:eastAsia="ru-RU" w:bidi="en-US"/>
              </w:rPr>
              <w:t>ы</w:t>
            </w:r>
          </w:p>
        </w:tc>
        <w:tc>
          <w:tcPr>
            <w:tcW w:w="2442" w:type="dxa"/>
            <w:tcBorders>
              <w:top w:val="nil"/>
              <w:left w:val="nil"/>
              <w:bottom w:val="single" w:sz="8" w:space="0" w:color="auto"/>
              <w:right w:val="nil"/>
            </w:tcBorders>
            <w:shd w:val="clear" w:color="auto" w:fill="auto"/>
            <w:vAlign w:val="center"/>
            <w:hideMark/>
          </w:tcPr>
          <w:p w14:paraId="1A1232DF" w14:textId="77777777" w:rsidR="000859AF" w:rsidRPr="0071249E" w:rsidRDefault="000859AF" w:rsidP="005D5DB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тимуса / лимфоидной ткани</w:t>
            </w:r>
          </w:p>
        </w:tc>
        <w:tc>
          <w:tcPr>
            <w:tcW w:w="911" w:type="dxa"/>
            <w:tcBorders>
              <w:top w:val="nil"/>
              <w:left w:val="single" w:sz="8" w:space="0" w:color="auto"/>
              <w:bottom w:val="single" w:sz="8" w:space="0" w:color="auto"/>
              <w:right w:val="nil"/>
            </w:tcBorders>
            <w:shd w:val="clear" w:color="auto" w:fill="auto"/>
            <w:vAlign w:val="center"/>
            <w:hideMark/>
          </w:tcPr>
          <w:p w14:paraId="47364FE8"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09A44848" w14:textId="77777777" w:rsidR="000859AF" w:rsidRPr="003A5CBD" w:rsidRDefault="000859AF" w:rsidP="003520C2">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7E75B331"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0468521F"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0,25</w:t>
            </w:r>
          </w:p>
        </w:tc>
        <w:tc>
          <w:tcPr>
            <w:tcW w:w="911" w:type="dxa"/>
            <w:tcBorders>
              <w:top w:val="nil"/>
              <w:left w:val="single" w:sz="8" w:space="0" w:color="auto"/>
              <w:bottom w:val="single" w:sz="8" w:space="0" w:color="auto"/>
              <w:right w:val="nil"/>
            </w:tcBorders>
            <w:shd w:val="clear" w:color="auto" w:fill="auto"/>
            <w:vAlign w:val="center"/>
            <w:hideMark/>
          </w:tcPr>
          <w:p w14:paraId="3123115B"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0,15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295D9C56"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4F955E0F"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F9EE240"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4D5A8864"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Хронический миокардит</w:t>
            </w:r>
          </w:p>
        </w:tc>
        <w:tc>
          <w:tcPr>
            <w:tcW w:w="911" w:type="dxa"/>
            <w:tcBorders>
              <w:top w:val="nil"/>
              <w:left w:val="single" w:sz="8" w:space="0" w:color="auto"/>
              <w:bottom w:val="single" w:sz="8" w:space="0" w:color="auto"/>
              <w:right w:val="nil"/>
            </w:tcBorders>
            <w:shd w:val="clear" w:color="auto" w:fill="auto"/>
            <w:vAlign w:val="center"/>
            <w:hideMark/>
          </w:tcPr>
          <w:p w14:paraId="252F47AF"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21DDD8DF" w14:textId="36F783F1"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56D5A3C0" w14:textId="508D956F"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CF7D431"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2A9434AB"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12B547EF"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504F1EEE"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046552B"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153E25CB"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Легочные альвеолярные макрофаги</w:t>
            </w:r>
          </w:p>
        </w:tc>
        <w:tc>
          <w:tcPr>
            <w:tcW w:w="911" w:type="dxa"/>
            <w:tcBorders>
              <w:top w:val="nil"/>
              <w:left w:val="single" w:sz="8" w:space="0" w:color="auto"/>
              <w:bottom w:val="single" w:sz="8" w:space="0" w:color="auto"/>
              <w:right w:val="nil"/>
            </w:tcBorders>
            <w:shd w:val="clear" w:color="auto" w:fill="auto"/>
            <w:vAlign w:val="center"/>
            <w:hideMark/>
          </w:tcPr>
          <w:p w14:paraId="0C3CA80D"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0E07C342" w14:textId="77777777" w:rsidR="000859AF" w:rsidRPr="003A5CBD" w:rsidRDefault="000859AF" w:rsidP="003520C2">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5ADA67DB"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07CF3532"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33388393"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0,15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1A1C7206"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199D9AC2"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066266A2"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80803FC"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Истощение зародышевых клеток семенников / вакуолизация канальцев</w:t>
            </w:r>
          </w:p>
        </w:tc>
        <w:tc>
          <w:tcPr>
            <w:tcW w:w="911" w:type="dxa"/>
            <w:tcBorders>
              <w:top w:val="nil"/>
              <w:left w:val="single" w:sz="8" w:space="0" w:color="auto"/>
              <w:bottom w:val="single" w:sz="8" w:space="0" w:color="auto"/>
              <w:right w:val="nil"/>
            </w:tcBorders>
            <w:shd w:val="clear" w:color="auto" w:fill="auto"/>
            <w:vAlign w:val="center"/>
            <w:hideMark/>
          </w:tcPr>
          <w:p w14:paraId="368D97B0"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71011D2A" w14:textId="77777777" w:rsidR="000859AF" w:rsidRPr="003A5CBD" w:rsidRDefault="000859AF" w:rsidP="003520C2">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830" w:type="dxa"/>
            <w:tcBorders>
              <w:top w:val="nil"/>
              <w:left w:val="single" w:sz="8" w:space="0" w:color="auto"/>
              <w:bottom w:val="single" w:sz="8" w:space="0" w:color="auto"/>
              <w:right w:val="nil"/>
            </w:tcBorders>
            <w:shd w:val="clear" w:color="auto" w:fill="auto"/>
            <w:vAlign w:val="center"/>
            <w:hideMark/>
          </w:tcPr>
          <w:p w14:paraId="52C8D97B"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7E4C1BDF"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48D63232"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5C508F7D"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0E54DF73"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4E46D0FA"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DCBF21F"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матки</w:t>
            </w:r>
          </w:p>
        </w:tc>
        <w:tc>
          <w:tcPr>
            <w:tcW w:w="911" w:type="dxa"/>
            <w:tcBorders>
              <w:top w:val="nil"/>
              <w:left w:val="single" w:sz="8" w:space="0" w:color="auto"/>
              <w:bottom w:val="single" w:sz="8" w:space="0" w:color="auto"/>
              <w:right w:val="nil"/>
            </w:tcBorders>
            <w:shd w:val="clear" w:color="auto" w:fill="auto"/>
            <w:vAlign w:val="center"/>
            <w:hideMark/>
          </w:tcPr>
          <w:p w14:paraId="641446EE"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78F21716" w14:textId="62AA97D7"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7A6CA624" w14:textId="45900F1D"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352EBCB9"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11" w:type="dxa"/>
            <w:tcBorders>
              <w:top w:val="nil"/>
              <w:left w:val="single" w:sz="8" w:space="0" w:color="auto"/>
              <w:bottom w:val="single" w:sz="8" w:space="0" w:color="auto"/>
              <w:right w:val="nil"/>
            </w:tcBorders>
            <w:shd w:val="clear" w:color="auto" w:fill="auto"/>
            <w:vAlign w:val="center"/>
            <w:hideMark/>
          </w:tcPr>
          <w:p w14:paraId="5D0AD29B"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033E7681"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406EA904"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690CF52D"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3126AB3F"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Изменения хрусталика, глаза</w:t>
            </w:r>
          </w:p>
        </w:tc>
        <w:tc>
          <w:tcPr>
            <w:tcW w:w="911" w:type="dxa"/>
            <w:tcBorders>
              <w:top w:val="nil"/>
              <w:left w:val="single" w:sz="8" w:space="0" w:color="auto"/>
              <w:bottom w:val="single" w:sz="8" w:space="0" w:color="auto"/>
              <w:right w:val="nil"/>
            </w:tcBorders>
            <w:shd w:val="clear" w:color="auto" w:fill="auto"/>
            <w:vAlign w:val="center"/>
            <w:hideMark/>
          </w:tcPr>
          <w:p w14:paraId="338458F1"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7754F335" w14:textId="42A0969D"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11033A68"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43E46EE3"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2D7EE2C4"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77CE4D0B"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4492FADB"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7056C841"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4C4D6298"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Истощение кортикального слоя кости</w:t>
            </w:r>
          </w:p>
        </w:tc>
        <w:tc>
          <w:tcPr>
            <w:tcW w:w="911" w:type="dxa"/>
            <w:tcBorders>
              <w:top w:val="nil"/>
              <w:left w:val="single" w:sz="8" w:space="0" w:color="auto"/>
              <w:bottom w:val="single" w:sz="8" w:space="0" w:color="auto"/>
              <w:right w:val="nil"/>
            </w:tcBorders>
            <w:shd w:val="clear" w:color="auto" w:fill="auto"/>
            <w:vAlign w:val="center"/>
            <w:hideMark/>
          </w:tcPr>
          <w:p w14:paraId="4FCC3A28"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68E001AC" w14:textId="25BEDF07"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74AD07F6" w14:textId="267EC8CA"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2D175876"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73A97683" w14:textId="68E9BE87"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47348304"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79A1595C"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55AE8B8F"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242CCB49"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Липофусцин, почечные кортикальные канальцы</w:t>
            </w:r>
          </w:p>
        </w:tc>
        <w:tc>
          <w:tcPr>
            <w:tcW w:w="911" w:type="dxa"/>
            <w:tcBorders>
              <w:top w:val="nil"/>
              <w:left w:val="single" w:sz="8" w:space="0" w:color="auto"/>
              <w:bottom w:val="single" w:sz="8" w:space="0" w:color="auto"/>
              <w:right w:val="nil"/>
            </w:tcBorders>
            <w:shd w:val="clear" w:color="auto" w:fill="auto"/>
            <w:vAlign w:val="center"/>
            <w:hideMark/>
          </w:tcPr>
          <w:p w14:paraId="657F7D4B" w14:textId="6A3F3661" w:rsidR="000859AF" w:rsidRPr="003A5CBD" w:rsidRDefault="000859AF" w:rsidP="005D5DBF">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66F694EA" w14:textId="77777777" w:rsidR="000859AF" w:rsidRPr="003A5CBD" w:rsidRDefault="000859AF" w:rsidP="003520C2">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1CBBB9B7"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0,3</w:t>
            </w:r>
          </w:p>
        </w:tc>
        <w:tc>
          <w:tcPr>
            <w:tcW w:w="911" w:type="dxa"/>
            <w:tcBorders>
              <w:top w:val="nil"/>
              <w:left w:val="single" w:sz="8" w:space="0" w:color="auto"/>
              <w:bottom w:val="single" w:sz="8" w:space="0" w:color="auto"/>
              <w:right w:val="nil"/>
            </w:tcBorders>
            <w:shd w:val="clear" w:color="auto" w:fill="auto"/>
            <w:vAlign w:val="center"/>
            <w:hideMark/>
          </w:tcPr>
          <w:p w14:paraId="68D059C0"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1C100467" w14:textId="77777777" w:rsidR="000859AF" w:rsidRPr="003A5CBD" w:rsidRDefault="000859AF" w:rsidP="0076709F">
            <w:pPr>
              <w:spacing w:after="0" w:line="240" w:lineRule="auto"/>
              <w:jc w:val="center"/>
              <w:rPr>
                <w:rFonts w:eastAsia="Times New Roman"/>
                <w:color w:val="000000"/>
                <w:lang w:eastAsia="ru-RU"/>
              </w:rPr>
            </w:pPr>
            <w:r w:rsidRPr="003A5CBD">
              <w:rPr>
                <w:rFonts w:eastAsia="Times New Roman"/>
                <w:color w:val="000000"/>
                <w:lang w:eastAsia="ru-RU" w:bidi="en-US"/>
              </w:rPr>
              <w:t>0,15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2D859B3E" w14:textId="77777777" w:rsidR="000859AF" w:rsidRPr="003A5CBD" w:rsidRDefault="000859AF" w:rsidP="00A61901">
            <w:pPr>
              <w:spacing w:after="0" w:line="240" w:lineRule="auto"/>
              <w:jc w:val="center"/>
              <w:rPr>
                <w:rFonts w:eastAsia="Times New Roman"/>
                <w:color w:val="000000"/>
                <w:lang w:eastAsia="ru-RU"/>
              </w:rPr>
            </w:pPr>
            <w:r w:rsidRPr="003A5CBD">
              <w:rPr>
                <w:rFonts w:eastAsia="Times New Roman"/>
                <w:color w:val="000000"/>
                <w:lang w:eastAsia="ru-RU" w:bidi="en-US"/>
              </w:rPr>
              <w:t>0,1</w:t>
            </w:r>
          </w:p>
        </w:tc>
      </w:tr>
      <w:tr w:rsidR="000859AF" w:rsidRPr="003A5CBD" w14:paraId="3C9CAECE" w14:textId="77777777" w:rsidTr="008A7500">
        <w:trPr>
          <w:trHeight w:val="20"/>
        </w:trPr>
        <w:tc>
          <w:tcPr>
            <w:tcW w:w="1510" w:type="dxa"/>
            <w:tcBorders>
              <w:top w:val="nil"/>
              <w:left w:val="single" w:sz="8" w:space="0" w:color="auto"/>
              <w:bottom w:val="single" w:sz="8" w:space="0" w:color="auto"/>
              <w:right w:val="nil"/>
            </w:tcBorders>
            <w:shd w:val="clear" w:color="000000" w:fill="D9D9D9"/>
            <w:vAlign w:val="center"/>
            <w:hideMark/>
          </w:tcPr>
          <w:p w14:paraId="3DEE1555" w14:textId="16161250" w:rsidR="000859AF" w:rsidRPr="003A5CBD" w:rsidRDefault="000859AF" w:rsidP="005D5DBF">
            <w:pPr>
              <w:spacing w:after="0" w:line="240" w:lineRule="auto"/>
              <w:jc w:val="left"/>
              <w:rPr>
                <w:rFonts w:eastAsia="Times New Roman"/>
                <w:color w:val="000000"/>
                <w:lang w:eastAsia="ru-RU"/>
              </w:rPr>
            </w:pPr>
          </w:p>
        </w:tc>
        <w:tc>
          <w:tcPr>
            <w:tcW w:w="2442" w:type="dxa"/>
            <w:tcBorders>
              <w:top w:val="nil"/>
              <w:left w:val="single" w:sz="8" w:space="0" w:color="auto"/>
              <w:bottom w:val="single" w:sz="8" w:space="0" w:color="auto"/>
              <w:right w:val="nil"/>
            </w:tcBorders>
            <w:shd w:val="clear" w:color="000000" w:fill="D9D9D9"/>
            <w:vAlign w:val="center"/>
            <w:hideMark/>
          </w:tcPr>
          <w:p w14:paraId="71B541E8" w14:textId="77777777" w:rsidR="000859AF" w:rsidRPr="003A5CBD" w:rsidRDefault="000859AF" w:rsidP="003520C2">
            <w:pPr>
              <w:spacing w:after="0" w:line="240" w:lineRule="auto"/>
              <w:jc w:val="left"/>
              <w:rPr>
                <w:rFonts w:eastAsia="Times New Roman"/>
                <w:b/>
                <w:bCs/>
                <w:color w:val="000000"/>
                <w:lang w:eastAsia="ru-RU"/>
              </w:rPr>
            </w:pPr>
            <w:r w:rsidRPr="003A5CBD">
              <w:rPr>
                <w:rFonts w:eastAsia="Times New Roman"/>
                <w:b/>
                <w:bCs/>
                <w:color w:val="000000"/>
                <w:lang w:eastAsia="ru-RU" w:bidi="en-US"/>
              </w:rPr>
              <w:t>Продолжительность</w:t>
            </w:r>
          </w:p>
        </w:tc>
        <w:tc>
          <w:tcPr>
            <w:tcW w:w="911" w:type="dxa"/>
            <w:tcBorders>
              <w:top w:val="nil"/>
              <w:left w:val="single" w:sz="8" w:space="0" w:color="auto"/>
              <w:bottom w:val="single" w:sz="8" w:space="0" w:color="auto"/>
              <w:right w:val="nil"/>
            </w:tcBorders>
            <w:shd w:val="clear" w:color="000000" w:fill="D9D9D9"/>
            <w:vAlign w:val="center"/>
            <w:hideMark/>
          </w:tcPr>
          <w:p w14:paraId="51AE4DED"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1 мес.</w:t>
            </w:r>
          </w:p>
        </w:tc>
        <w:tc>
          <w:tcPr>
            <w:tcW w:w="911" w:type="dxa"/>
            <w:tcBorders>
              <w:top w:val="nil"/>
              <w:left w:val="single" w:sz="8" w:space="0" w:color="auto"/>
              <w:bottom w:val="single" w:sz="8" w:space="0" w:color="auto"/>
              <w:right w:val="nil"/>
            </w:tcBorders>
            <w:shd w:val="clear" w:color="000000" w:fill="D9D9D9"/>
            <w:vAlign w:val="center"/>
            <w:hideMark/>
          </w:tcPr>
          <w:p w14:paraId="26F0657A" w14:textId="67C95031" w:rsidR="000859AF" w:rsidRPr="003A5CBD" w:rsidRDefault="000859AF" w:rsidP="0071249E">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000000" w:fill="D9D9D9"/>
            <w:vAlign w:val="center"/>
            <w:hideMark/>
          </w:tcPr>
          <w:p w14:paraId="6F71ADC4" w14:textId="31164C6E"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000000" w:fill="D9D9D9"/>
            <w:vAlign w:val="center"/>
            <w:hideMark/>
          </w:tcPr>
          <w:p w14:paraId="77243E19" w14:textId="3F7EEFA1"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000000" w:fill="D9D9D9"/>
            <w:vAlign w:val="center"/>
            <w:hideMark/>
          </w:tcPr>
          <w:p w14:paraId="446F35B3" w14:textId="03BBBAE6" w:rsidR="000859AF" w:rsidRPr="003A5CBD" w:rsidRDefault="000859AF" w:rsidP="0071249E">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000000" w:fill="D9D9D9"/>
            <w:vAlign w:val="center"/>
            <w:hideMark/>
          </w:tcPr>
          <w:p w14:paraId="796BEE2A" w14:textId="53FDC100" w:rsidR="000859AF" w:rsidRPr="003A5CBD" w:rsidRDefault="000859AF" w:rsidP="0071249E">
            <w:pPr>
              <w:spacing w:after="0" w:line="240" w:lineRule="auto"/>
              <w:jc w:val="center"/>
              <w:rPr>
                <w:rFonts w:eastAsia="Times New Roman"/>
                <w:color w:val="000000"/>
                <w:lang w:eastAsia="ru-RU"/>
              </w:rPr>
            </w:pPr>
          </w:p>
        </w:tc>
      </w:tr>
      <w:tr w:rsidR="000859AF" w:rsidRPr="003A5CBD" w14:paraId="274EF8EB" w14:textId="77777777" w:rsidTr="008A7500">
        <w:trPr>
          <w:trHeight w:val="20"/>
        </w:trPr>
        <w:tc>
          <w:tcPr>
            <w:tcW w:w="1510" w:type="dxa"/>
            <w:vMerge w:val="restart"/>
            <w:tcBorders>
              <w:top w:val="nil"/>
              <w:left w:val="single" w:sz="8" w:space="0" w:color="auto"/>
              <w:bottom w:val="single" w:sz="8" w:space="0" w:color="000000"/>
              <w:right w:val="single" w:sz="8" w:space="0" w:color="auto"/>
            </w:tcBorders>
            <w:shd w:val="clear" w:color="auto" w:fill="auto"/>
            <w:vAlign w:val="center"/>
            <w:hideMark/>
          </w:tcPr>
          <w:p w14:paraId="61EADDBD" w14:textId="3CA9B436" w:rsidR="000859AF" w:rsidRPr="003A5CBD" w:rsidRDefault="005D5DBF" w:rsidP="005D5DBF">
            <w:pPr>
              <w:spacing w:after="0" w:line="240" w:lineRule="auto"/>
              <w:jc w:val="left"/>
              <w:rPr>
                <w:rFonts w:eastAsia="Times New Roman"/>
                <w:color w:val="000000"/>
                <w:lang w:eastAsia="ru-RU"/>
              </w:rPr>
            </w:pPr>
            <w:r>
              <w:rPr>
                <w:rFonts w:eastAsia="Times New Roman"/>
                <w:color w:val="000000"/>
                <w:lang w:eastAsia="ru-RU" w:bidi="en-US"/>
              </w:rPr>
              <w:t>Мини-пиги</w:t>
            </w:r>
          </w:p>
        </w:tc>
        <w:tc>
          <w:tcPr>
            <w:tcW w:w="2442" w:type="dxa"/>
            <w:tcBorders>
              <w:top w:val="nil"/>
              <w:left w:val="nil"/>
              <w:bottom w:val="single" w:sz="8" w:space="0" w:color="auto"/>
              <w:right w:val="nil"/>
            </w:tcBorders>
            <w:shd w:val="clear" w:color="auto" w:fill="auto"/>
            <w:vAlign w:val="center"/>
            <w:hideMark/>
          </w:tcPr>
          <w:p w14:paraId="0A4991C0" w14:textId="77777777" w:rsidR="000859AF" w:rsidRPr="0071249E" w:rsidRDefault="000859AF" w:rsidP="005D5DB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тимуса / лимфоидной ткани</w:t>
            </w:r>
          </w:p>
        </w:tc>
        <w:tc>
          <w:tcPr>
            <w:tcW w:w="911" w:type="dxa"/>
            <w:tcBorders>
              <w:top w:val="nil"/>
              <w:left w:val="single" w:sz="8" w:space="0" w:color="auto"/>
              <w:bottom w:val="single" w:sz="8" w:space="0" w:color="auto"/>
              <w:right w:val="nil"/>
            </w:tcBorders>
            <w:shd w:val="clear" w:color="auto" w:fill="auto"/>
            <w:vAlign w:val="center"/>
            <w:hideMark/>
          </w:tcPr>
          <w:p w14:paraId="4369306B"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35733F28" w14:textId="48E206B9"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214AA38C" w14:textId="2228CC5D"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4770E64F" w14:textId="1234C782"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140443B" w14:textId="0DD670CA"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29867BFA" w14:textId="76B1AF73" w:rsidR="000859AF" w:rsidRPr="003A5CBD" w:rsidRDefault="000859AF" w:rsidP="00A61901">
            <w:pPr>
              <w:spacing w:after="0" w:line="240" w:lineRule="auto"/>
              <w:jc w:val="center"/>
              <w:rPr>
                <w:rFonts w:eastAsia="Times New Roman"/>
                <w:color w:val="000000"/>
                <w:lang w:eastAsia="ru-RU"/>
              </w:rPr>
            </w:pPr>
          </w:p>
        </w:tc>
      </w:tr>
      <w:tr w:rsidR="000859AF" w:rsidRPr="003A5CBD" w14:paraId="7683E93E"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1BB013B5"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4CF0D368"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Паразитарная инфекция с эрозией слизистой оболочки кишечника</w:t>
            </w:r>
          </w:p>
        </w:tc>
        <w:tc>
          <w:tcPr>
            <w:tcW w:w="911" w:type="dxa"/>
            <w:tcBorders>
              <w:top w:val="nil"/>
              <w:left w:val="single" w:sz="8" w:space="0" w:color="auto"/>
              <w:bottom w:val="single" w:sz="8" w:space="0" w:color="auto"/>
              <w:right w:val="nil"/>
            </w:tcBorders>
            <w:shd w:val="clear" w:color="auto" w:fill="auto"/>
            <w:vAlign w:val="center"/>
            <w:hideMark/>
          </w:tcPr>
          <w:p w14:paraId="4DEB0FA7"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4DC44F76" w14:textId="19A4C637"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7F293AE1" w14:textId="6154F422"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6BC4C1D9" w14:textId="1326B97C"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764D8243" w14:textId="4FA68A8F"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168B3BDA" w14:textId="431E78D9" w:rsidR="000859AF" w:rsidRPr="003A5CBD" w:rsidRDefault="000859AF" w:rsidP="00A61901">
            <w:pPr>
              <w:spacing w:after="0" w:line="240" w:lineRule="auto"/>
              <w:jc w:val="center"/>
              <w:rPr>
                <w:rFonts w:eastAsia="Times New Roman"/>
                <w:color w:val="000000"/>
                <w:lang w:eastAsia="ru-RU"/>
              </w:rPr>
            </w:pPr>
          </w:p>
        </w:tc>
      </w:tr>
      <w:tr w:rsidR="000859AF" w:rsidRPr="003A5CBD" w14:paraId="4492A7FB"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D97E191"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6B53CB0"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Фокальная ацинарная вакуолизация, клетки поджелудочной железы</w:t>
            </w:r>
          </w:p>
        </w:tc>
        <w:tc>
          <w:tcPr>
            <w:tcW w:w="911" w:type="dxa"/>
            <w:tcBorders>
              <w:top w:val="nil"/>
              <w:left w:val="single" w:sz="8" w:space="0" w:color="auto"/>
              <w:bottom w:val="single" w:sz="8" w:space="0" w:color="auto"/>
              <w:right w:val="nil"/>
            </w:tcBorders>
            <w:shd w:val="clear" w:color="auto" w:fill="auto"/>
            <w:vAlign w:val="center"/>
            <w:hideMark/>
          </w:tcPr>
          <w:p w14:paraId="71E5EA93"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1C6503EA" w14:textId="030F0210"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6A53DAE2" w14:textId="71CEE27F"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2E00F6C1"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76071E1B" w14:textId="28D4154E"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0A1AE367" w14:textId="6B4222C8" w:rsidR="000859AF" w:rsidRPr="003A5CBD" w:rsidRDefault="000859AF" w:rsidP="00A61901">
            <w:pPr>
              <w:spacing w:after="0" w:line="240" w:lineRule="auto"/>
              <w:jc w:val="center"/>
              <w:rPr>
                <w:rFonts w:eastAsia="Times New Roman"/>
                <w:color w:val="000000"/>
                <w:lang w:eastAsia="ru-RU"/>
              </w:rPr>
            </w:pPr>
          </w:p>
        </w:tc>
      </w:tr>
      <w:tr w:rsidR="000859AF" w:rsidRPr="003A5CBD" w14:paraId="7E5B04C2"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49431F8D"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nil"/>
              <w:right w:val="nil"/>
            </w:tcBorders>
            <w:shd w:val="clear" w:color="auto" w:fill="auto"/>
            <w:vAlign w:val="center"/>
            <w:hideMark/>
          </w:tcPr>
          <w:p w14:paraId="2F1E361F"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Усиление атрофии семенных канальцев</w:t>
            </w:r>
          </w:p>
        </w:tc>
        <w:tc>
          <w:tcPr>
            <w:tcW w:w="911" w:type="dxa"/>
            <w:tcBorders>
              <w:top w:val="nil"/>
              <w:left w:val="single" w:sz="8" w:space="0" w:color="auto"/>
              <w:bottom w:val="nil"/>
              <w:right w:val="single" w:sz="8" w:space="0" w:color="auto"/>
            </w:tcBorders>
            <w:shd w:val="clear" w:color="auto" w:fill="auto"/>
            <w:vAlign w:val="center"/>
            <w:hideMark/>
          </w:tcPr>
          <w:p w14:paraId="350F0B32"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nil"/>
              <w:bottom w:val="nil"/>
              <w:right w:val="single" w:sz="8" w:space="0" w:color="auto"/>
            </w:tcBorders>
            <w:shd w:val="clear" w:color="auto" w:fill="auto"/>
            <w:vAlign w:val="center"/>
            <w:hideMark/>
          </w:tcPr>
          <w:p w14:paraId="1D2D3F07" w14:textId="633D3D81"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nil"/>
              <w:bottom w:val="nil"/>
              <w:right w:val="single" w:sz="8" w:space="0" w:color="auto"/>
            </w:tcBorders>
            <w:shd w:val="clear" w:color="auto" w:fill="auto"/>
            <w:vAlign w:val="center"/>
            <w:hideMark/>
          </w:tcPr>
          <w:p w14:paraId="6BD7BC6B" w14:textId="3F6D589A"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nil"/>
              <w:bottom w:val="nil"/>
              <w:right w:val="single" w:sz="8" w:space="0" w:color="auto"/>
            </w:tcBorders>
            <w:shd w:val="clear" w:color="auto" w:fill="auto"/>
            <w:vAlign w:val="center"/>
            <w:hideMark/>
          </w:tcPr>
          <w:p w14:paraId="4E643CA5" w14:textId="60ECE482"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nil"/>
              <w:bottom w:val="nil"/>
              <w:right w:val="single" w:sz="8" w:space="0" w:color="auto"/>
            </w:tcBorders>
            <w:shd w:val="clear" w:color="auto" w:fill="auto"/>
            <w:vAlign w:val="center"/>
            <w:hideMark/>
          </w:tcPr>
          <w:p w14:paraId="767775CE" w14:textId="7B0743E3"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nil"/>
              <w:bottom w:val="nil"/>
              <w:right w:val="single" w:sz="8" w:space="0" w:color="auto"/>
            </w:tcBorders>
            <w:shd w:val="clear" w:color="auto" w:fill="auto"/>
            <w:vAlign w:val="center"/>
            <w:hideMark/>
          </w:tcPr>
          <w:p w14:paraId="5FEF674E" w14:textId="60C4548C" w:rsidR="000859AF" w:rsidRPr="003A5CBD" w:rsidRDefault="000859AF" w:rsidP="00A61901">
            <w:pPr>
              <w:spacing w:after="0" w:line="240" w:lineRule="auto"/>
              <w:jc w:val="center"/>
              <w:rPr>
                <w:rFonts w:eastAsia="Times New Roman"/>
                <w:color w:val="000000"/>
                <w:lang w:eastAsia="ru-RU"/>
              </w:rPr>
            </w:pPr>
          </w:p>
        </w:tc>
      </w:tr>
      <w:tr w:rsidR="000859AF" w:rsidRPr="003A5CBD" w14:paraId="745FE688"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04D27620" w14:textId="77777777" w:rsidR="000859AF" w:rsidRPr="003A5CBD" w:rsidRDefault="000859AF">
            <w:pPr>
              <w:spacing w:after="0" w:line="240" w:lineRule="auto"/>
              <w:jc w:val="left"/>
              <w:rPr>
                <w:rFonts w:eastAsia="Times New Roman"/>
                <w:color w:val="000000"/>
                <w:lang w:eastAsia="ru-RU"/>
              </w:rPr>
            </w:pPr>
          </w:p>
        </w:tc>
        <w:tc>
          <w:tcPr>
            <w:tcW w:w="2442" w:type="dxa"/>
            <w:tcBorders>
              <w:top w:val="single" w:sz="8" w:space="0" w:color="auto"/>
              <w:left w:val="nil"/>
              <w:bottom w:val="single" w:sz="8" w:space="0" w:color="auto"/>
              <w:right w:val="nil"/>
            </w:tcBorders>
            <w:shd w:val="clear" w:color="auto" w:fill="auto"/>
            <w:vAlign w:val="center"/>
            <w:hideMark/>
          </w:tcPr>
          <w:p w14:paraId="190A4F77"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матки / влагалища</w:t>
            </w:r>
          </w:p>
        </w:tc>
        <w:tc>
          <w:tcPr>
            <w:tcW w:w="911" w:type="dxa"/>
            <w:tcBorders>
              <w:top w:val="single" w:sz="8" w:space="0" w:color="auto"/>
              <w:left w:val="single" w:sz="8" w:space="0" w:color="auto"/>
              <w:bottom w:val="single" w:sz="8" w:space="0" w:color="auto"/>
              <w:right w:val="nil"/>
            </w:tcBorders>
            <w:shd w:val="clear" w:color="auto" w:fill="auto"/>
            <w:vAlign w:val="center"/>
            <w:hideMark/>
          </w:tcPr>
          <w:p w14:paraId="3B9757A8"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single" w:sz="8" w:space="0" w:color="auto"/>
              <w:left w:val="single" w:sz="8" w:space="0" w:color="auto"/>
              <w:bottom w:val="single" w:sz="8" w:space="0" w:color="auto"/>
              <w:right w:val="nil"/>
            </w:tcBorders>
            <w:shd w:val="clear" w:color="auto" w:fill="auto"/>
            <w:vAlign w:val="center"/>
            <w:hideMark/>
          </w:tcPr>
          <w:p w14:paraId="380A9030" w14:textId="66EC6D14" w:rsidR="000859AF" w:rsidRPr="003A5CBD" w:rsidRDefault="000859AF" w:rsidP="003520C2">
            <w:pPr>
              <w:spacing w:after="0" w:line="240" w:lineRule="auto"/>
              <w:jc w:val="center"/>
              <w:rPr>
                <w:rFonts w:eastAsia="Times New Roman"/>
                <w:color w:val="000000"/>
                <w:lang w:eastAsia="ru-RU"/>
              </w:rPr>
            </w:pPr>
          </w:p>
        </w:tc>
        <w:tc>
          <w:tcPr>
            <w:tcW w:w="830" w:type="dxa"/>
            <w:tcBorders>
              <w:top w:val="single" w:sz="8" w:space="0" w:color="auto"/>
              <w:left w:val="single" w:sz="8" w:space="0" w:color="auto"/>
              <w:bottom w:val="single" w:sz="8" w:space="0" w:color="auto"/>
              <w:right w:val="nil"/>
            </w:tcBorders>
            <w:shd w:val="clear" w:color="auto" w:fill="auto"/>
            <w:vAlign w:val="center"/>
            <w:hideMark/>
          </w:tcPr>
          <w:p w14:paraId="084A5835" w14:textId="17217986" w:rsidR="000859AF" w:rsidRPr="003A5CBD" w:rsidRDefault="000859AF" w:rsidP="00AA5270">
            <w:pPr>
              <w:spacing w:after="0" w:line="240" w:lineRule="auto"/>
              <w:jc w:val="center"/>
              <w:rPr>
                <w:rFonts w:eastAsia="Times New Roman"/>
                <w:color w:val="000000"/>
                <w:lang w:eastAsia="ru-RU"/>
              </w:rPr>
            </w:pPr>
          </w:p>
        </w:tc>
        <w:tc>
          <w:tcPr>
            <w:tcW w:w="911" w:type="dxa"/>
            <w:tcBorders>
              <w:top w:val="single" w:sz="8" w:space="0" w:color="auto"/>
              <w:left w:val="single" w:sz="8" w:space="0" w:color="auto"/>
              <w:bottom w:val="single" w:sz="8" w:space="0" w:color="auto"/>
              <w:right w:val="nil"/>
            </w:tcBorders>
            <w:shd w:val="clear" w:color="auto" w:fill="auto"/>
            <w:vAlign w:val="center"/>
            <w:hideMark/>
          </w:tcPr>
          <w:p w14:paraId="2726A9C5"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single" w:sz="8" w:space="0" w:color="auto"/>
              <w:left w:val="single" w:sz="8" w:space="0" w:color="auto"/>
              <w:bottom w:val="single" w:sz="8" w:space="0" w:color="auto"/>
              <w:right w:val="nil"/>
            </w:tcBorders>
            <w:shd w:val="clear" w:color="auto" w:fill="auto"/>
            <w:vAlign w:val="center"/>
            <w:hideMark/>
          </w:tcPr>
          <w:p w14:paraId="114BAD1B" w14:textId="7A3FDAAD" w:rsidR="000859AF" w:rsidRPr="003A5CBD" w:rsidRDefault="000859AF" w:rsidP="0076709F">
            <w:pPr>
              <w:spacing w:after="0" w:line="240" w:lineRule="auto"/>
              <w:jc w:val="center"/>
              <w:rPr>
                <w:rFonts w:eastAsia="Times New Roman"/>
                <w:color w:val="000000"/>
                <w:lang w:eastAsia="ru-RU"/>
              </w:rPr>
            </w:pPr>
          </w:p>
        </w:tc>
        <w:tc>
          <w:tcPr>
            <w:tcW w:w="9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3CA3AD" w14:textId="7EB5063F" w:rsidR="000859AF" w:rsidRPr="003A5CBD" w:rsidRDefault="000859AF" w:rsidP="00A61901">
            <w:pPr>
              <w:spacing w:after="0" w:line="240" w:lineRule="auto"/>
              <w:jc w:val="center"/>
              <w:rPr>
                <w:rFonts w:eastAsia="Times New Roman"/>
                <w:color w:val="000000"/>
                <w:lang w:eastAsia="ru-RU"/>
              </w:rPr>
            </w:pPr>
          </w:p>
        </w:tc>
      </w:tr>
      <w:tr w:rsidR="000859AF" w:rsidRPr="003A5CBD" w14:paraId="63906900"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1E1BE293"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2ECFDBEC"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Некроз фолликулов, яичников</w:t>
            </w:r>
          </w:p>
        </w:tc>
        <w:tc>
          <w:tcPr>
            <w:tcW w:w="911" w:type="dxa"/>
            <w:tcBorders>
              <w:top w:val="nil"/>
              <w:left w:val="single" w:sz="8" w:space="0" w:color="auto"/>
              <w:bottom w:val="single" w:sz="8" w:space="0" w:color="auto"/>
              <w:right w:val="nil"/>
            </w:tcBorders>
            <w:shd w:val="clear" w:color="auto" w:fill="auto"/>
            <w:vAlign w:val="center"/>
            <w:hideMark/>
          </w:tcPr>
          <w:p w14:paraId="7734C140" w14:textId="77777777" w:rsidR="000859AF" w:rsidRPr="003A5CBD" w:rsidRDefault="000859AF" w:rsidP="005D5DBF">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3DE6B042" w14:textId="01BD9235" w:rsidR="000859AF" w:rsidRPr="003A5CBD" w:rsidRDefault="000859AF" w:rsidP="003520C2">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56049F21" w14:textId="609E9D58" w:rsidR="000859AF" w:rsidRPr="003A5CBD" w:rsidRDefault="000859AF" w:rsidP="00AA5270">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0A5995F3" w14:textId="77777777" w:rsidR="000859AF" w:rsidRPr="003A5CBD" w:rsidRDefault="000859AF" w:rsidP="00AA5270">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29DA4067" w14:textId="40072B9D" w:rsidR="000859AF" w:rsidRPr="003A5CBD" w:rsidRDefault="000859AF" w:rsidP="0076709F">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34E580F1" w14:textId="6E20ED11" w:rsidR="000859AF" w:rsidRPr="003A5CBD" w:rsidRDefault="000859AF" w:rsidP="00A61901">
            <w:pPr>
              <w:spacing w:after="0" w:line="240" w:lineRule="auto"/>
              <w:jc w:val="center"/>
              <w:rPr>
                <w:rFonts w:eastAsia="Times New Roman"/>
                <w:color w:val="000000"/>
                <w:lang w:eastAsia="ru-RU"/>
              </w:rPr>
            </w:pPr>
          </w:p>
        </w:tc>
      </w:tr>
      <w:tr w:rsidR="000859AF" w:rsidRPr="003A5CBD" w14:paraId="1DFEA53A" w14:textId="77777777" w:rsidTr="008A7500">
        <w:trPr>
          <w:trHeight w:val="20"/>
        </w:trPr>
        <w:tc>
          <w:tcPr>
            <w:tcW w:w="1510" w:type="dxa"/>
            <w:tcBorders>
              <w:top w:val="nil"/>
              <w:left w:val="single" w:sz="8" w:space="0" w:color="auto"/>
              <w:bottom w:val="single" w:sz="8" w:space="0" w:color="auto"/>
              <w:right w:val="nil"/>
            </w:tcBorders>
            <w:shd w:val="clear" w:color="000000" w:fill="D9D9D9"/>
            <w:vAlign w:val="center"/>
            <w:hideMark/>
          </w:tcPr>
          <w:p w14:paraId="361921D5" w14:textId="00338683" w:rsidR="000859AF" w:rsidRPr="003A5CBD" w:rsidRDefault="000859AF" w:rsidP="005D5DBF">
            <w:pPr>
              <w:spacing w:after="0" w:line="240" w:lineRule="auto"/>
              <w:jc w:val="left"/>
              <w:rPr>
                <w:rFonts w:eastAsia="Times New Roman"/>
                <w:color w:val="000000"/>
                <w:lang w:eastAsia="ru-RU"/>
              </w:rPr>
            </w:pPr>
          </w:p>
        </w:tc>
        <w:tc>
          <w:tcPr>
            <w:tcW w:w="2442" w:type="dxa"/>
            <w:tcBorders>
              <w:top w:val="nil"/>
              <w:left w:val="single" w:sz="8" w:space="0" w:color="auto"/>
              <w:bottom w:val="single" w:sz="8" w:space="0" w:color="auto"/>
              <w:right w:val="nil"/>
            </w:tcBorders>
            <w:shd w:val="clear" w:color="000000" w:fill="D9D9D9"/>
            <w:vAlign w:val="center"/>
            <w:hideMark/>
          </w:tcPr>
          <w:p w14:paraId="7D33B361" w14:textId="77777777" w:rsidR="000859AF" w:rsidRPr="003A5CBD" w:rsidRDefault="000859AF" w:rsidP="003520C2">
            <w:pPr>
              <w:spacing w:after="0" w:line="240" w:lineRule="auto"/>
              <w:jc w:val="left"/>
              <w:rPr>
                <w:rFonts w:eastAsia="Times New Roman"/>
                <w:b/>
                <w:bCs/>
                <w:color w:val="000000"/>
                <w:lang w:eastAsia="ru-RU"/>
              </w:rPr>
            </w:pPr>
            <w:r w:rsidRPr="003A5CBD">
              <w:rPr>
                <w:rFonts w:eastAsia="Times New Roman"/>
                <w:b/>
                <w:bCs/>
                <w:color w:val="000000"/>
                <w:lang w:eastAsia="ru-RU" w:bidi="en-US"/>
              </w:rPr>
              <w:t>Продолжительность</w:t>
            </w:r>
          </w:p>
        </w:tc>
        <w:tc>
          <w:tcPr>
            <w:tcW w:w="911" w:type="dxa"/>
            <w:tcBorders>
              <w:top w:val="nil"/>
              <w:left w:val="single" w:sz="8" w:space="0" w:color="auto"/>
              <w:bottom w:val="single" w:sz="8" w:space="0" w:color="auto"/>
              <w:right w:val="nil"/>
            </w:tcBorders>
            <w:shd w:val="clear" w:color="000000" w:fill="D9D9D9"/>
            <w:vAlign w:val="center"/>
            <w:hideMark/>
          </w:tcPr>
          <w:p w14:paraId="4375899F"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1 мес.</w:t>
            </w:r>
          </w:p>
        </w:tc>
        <w:tc>
          <w:tcPr>
            <w:tcW w:w="911" w:type="dxa"/>
            <w:tcBorders>
              <w:top w:val="nil"/>
              <w:left w:val="single" w:sz="8" w:space="0" w:color="auto"/>
              <w:bottom w:val="single" w:sz="8" w:space="0" w:color="auto"/>
              <w:right w:val="nil"/>
            </w:tcBorders>
            <w:shd w:val="clear" w:color="000000" w:fill="D9D9D9"/>
            <w:vAlign w:val="center"/>
            <w:hideMark/>
          </w:tcPr>
          <w:p w14:paraId="0F2D7C7F"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6 мес.</w:t>
            </w:r>
          </w:p>
        </w:tc>
        <w:tc>
          <w:tcPr>
            <w:tcW w:w="830" w:type="dxa"/>
            <w:tcBorders>
              <w:top w:val="nil"/>
              <w:left w:val="single" w:sz="8" w:space="0" w:color="auto"/>
              <w:bottom w:val="single" w:sz="8" w:space="0" w:color="auto"/>
              <w:right w:val="nil"/>
            </w:tcBorders>
            <w:shd w:val="clear" w:color="000000" w:fill="D9D9D9"/>
            <w:vAlign w:val="center"/>
            <w:hideMark/>
          </w:tcPr>
          <w:p w14:paraId="5F0DBE8B"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1 год</w:t>
            </w:r>
          </w:p>
        </w:tc>
        <w:tc>
          <w:tcPr>
            <w:tcW w:w="911" w:type="dxa"/>
            <w:tcBorders>
              <w:top w:val="nil"/>
              <w:left w:val="single" w:sz="8" w:space="0" w:color="auto"/>
              <w:bottom w:val="single" w:sz="8" w:space="0" w:color="auto"/>
              <w:right w:val="nil"/>
            </w:tcBorders>
            <w:shd w:val="clear" w:color="000000" w:fill="D9D9D9"/>
            <w:vAlign w:val="center"/>
            <w:hideMark/>
          </w:tcPr>
          <w:p w14:paraId="2D53D35B"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1 мес.</w:t>
            </w:r>
          </w:p>
        </w:tc>
        <w:tc>
          <w:tcPr>
            <w:tcW w:w="911" w:type="dxa"/>
            <w:tcBorders>
              <w:top w:val="nil"/>
              <w:left w:val="single" w:sz="8" w:space="0" w:color="auto"/>
              <w:bottom w:val="single" w:sz="8" w:space="0" w:color="auto"/>
              <w:right w:val="nil"/>
            </w:tcBorders>
            <w:shd w:val="clear" w:color="000000" w:fill="D9D9D9"/>
            <w:vAlign w:val="center"/>
            <w:hideMark/>
          </w:tcPr>
          <w:p w14:paraId="03E02361"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6 мес.</w:t>
            </w:r>
          </w:p>
        </w:tc>
        <w:tc>
          <w:tcPr>
            <w:tcW w:w="930" w:type="dxa"/>
            <w:tcBorders>
              <w:top w:val="nil"/>
              <w:left w:val="single" w:sz="8" w:space="0" w:color="auto"/>
              <w:bottom w:val="single" w:sz="8" w:space="0" w:color="auto"/>
              <w:right w:val="single" w:sz="8" w:space="0" w:color="auto"/>
            </w:tcBorders>
            <w:shd w:val="clear" w:color="000000" w:fill="D9D9D9"/>
            <w:vAlign w:val="center"/>
            <w:hideMark/>
          </w:tcPr>
          <w:p w14:paraId="48B9E122" w14:textId="77777777" w:rsidR="000859AF" w:rsidRPr="003A5CBD" w:rsidRDefault="000859AF" w:rsidP="0071249E">
            <w:pPr>
              <w:spacing w:after="0" w:line="240" w:lineRule="auto"/>
              <w:jc w:val="center"/>
              <w:rPr>
                <w:rFonts w:eastAsia="Times New Roman"/>
                <w:b/>
                <w:bCs/>
                <w:color w:val="000000"/>
                <w:lang w:eastAsia="ru-RU"/>
              </w:rPr>
            </w:pPr>
            <w:r w:rsidRPr="003A5CBD">
              <w:rPr>
                <w:rFonts w:eastAsia="Times New Roman"/>
                <w:b/>
                <w:bCs/>
                <w:color w:val="000000"/>
                <w:lang w:eastAsia="ru-RU" w:bidi="en-US"/>
              </w:rPr>
              <w:t>1 год</w:t>
            </w:r>
          </w:p>
        </w:tc>
      </w:tr>
      <w:tr w:rsidR="000859AF" w:rsidRPr="003A5CBD" w14:paraId="3F28BC5F" w14:textId="77777777" w:rsidTr="008A7500">
        <w:trPr>
          <w:trHeight w:val="20"/>
        </w:trPr>
        <w:tc>
          <w:tcPr>
            <w:tcW w:w="1510" w:type="dxa"/>
            <w:vMerge w:val="restart"/>
            <w:tcBorders>
              <w:top w:val="nil"/>
              <w:left w:val="single" w:sz="8" w:space="0" w:color="auto"/>
              <w:bottom w:val="single" w:sz="8" w:space="0" w:color="000000"/>
              <w:right w:val="single" w:sz="8" w:space="0" w:color="auto"/>
            </w:tcBorders>
            <w:shd w:val="clear" w:color="auto" w:fill="auto"/>
            <w:vAlign w:val="center"/>
            <w:hideMark/>
          </w:tcPr>
          <w:p w14:paraId="4D156DAC" w14:textId="77777777" w:rsidR="000859AF" w:rsidRPr="003A5CBD" w:rsidRDefault="000859AF" w:rsidP="005D5DBF">
            <w:pPr>
              <w:spacing w:after="0" w:line="240" w:lineRule="auto"/>
              <w:jc w:val="left"/>
              <w:rPr>
                <w:rFonts w:eastAsia="Times New Roman"/>
                <w:color w:val="000000"/>
                <w:lang w:eastAsia="ru-RU"/>
              </w:rPr>
            </w:pPr>
            <w:r w:rsidRPr="003A5CBD">
              <w:rPr>
                <w:rFonts w:eastAsia="Times New Roman"/>
                <w:color w:val="000000"/>
                <w:lang w:eastAsia="ru-RU" w:bidi="en-US"/>
              </w:rPr>
              <w:t>Яванские макаки</w:t>
            </w:r>
          </w:p>
        </w:tc>
        <w:tc>
          <w:tcPr>
            <w:tcW w:w="2442" w:type="dxa"/>
            <w:tcBorders>
              <w:top w:val="nil"/>
              <w:left w:val="nil"/>
              <w:bottom w:val="single" w:sz="8" w:space="0" w:color="auto"/>
              <w:right w:val="nil"/>
            </w:tcBorders>
            <w:shd w:val="clear" w:color="auto" w:fill="auto"/>
            <w:vAlign w:val="center"/>
            <w:hideMark/>
          </w:tcPr>
          <w:p w14:paraId="4A1D43E3" w14:textId="77777777" w:rsidR="000859AF" w:rsidRPr="0071249E" w:rsidRDefault="000859AF" w:rsidP="005D5DB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тимуса</w:t>
            </w:r>
          </w:p>
        </w:tc>
        <w:tc>
          <w:tcPr>
            <w:tcW w:w="911" w:type="dxa"/>
            <w:tcBorders>
              <w:top w:val="nil"/>
              <w:left w:val="single" w:sz="8" w:space="0" w:color="auto"/>
              <w:bottom w:val="single" w:sz="8" w:space="0" w:color="auto"/>
              <w:right w:val="nil"/>
            </w:tcBorders>
            <w:shd w:val="clear" w:color="auto" w:fill="auto"/>
            <w:vAlign w:val="center"/>
            <w:hideMark/>
          </w:tcPr>
          <w:p w14:paraId="5FC24496"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3ACE28A0"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830" w:type="dxa"/>
            <w:tcBorders>
              <w:top w:val="nil"/>
              <w:left w:val="single" w:sz="8" w:space="0" w:color="auto"/>
              <w:bottom w:val="single" w:sz="8" w:space="0" w:color="auto"/>
              <w:right w:val="nil"/>
            </w:tcBorders>
            <w:shd w:val="clear" w:color="auto" w:fill="auto"/>
            <w:vAlign w:val="center"/>
            <w:hideMark/>
          </w:tcPr>
          <w:p w14:paraId="11F95ED0" w14:textId="53BC0144"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26B71F7D"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5A3FD4A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5DCDE72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43D64C9D"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18CF6B1F"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684D393C"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лимфоидной ткани селезенки</w:t>
            </w:r>
          </w:p>
        </w:tc>
        <w:tc>
          <w:tcPr>
            <w:tcW w:w="911" w:type="dxa"/>
            <w:tcBorders>
              <w:top w:val="nil"/>
              <w:left w:val="single" w:sz="8" w:space="0" w:color="auto"/>
              <w:bottom w:val="single" w:sz="8" w:space="0" w:color="auto"/>
              <w:right w:val="nil"/>
            </w:tcBorders>
            <w:shd w:val="clear" w:color="auto" w:fill="auto"/>
            <w:vAlign w:val="center"/>
            <w:hideMark/>
          </w:tcPr>
          <w:p w14:paraId="75999CBE"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211F1F15"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41F83E6C"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0,9</w:t>
            </w:r>
          </w:p>
        </w:tc>
        <w:tc>
          <w:tcPr>
            <w:tcW w:w="911" w:type="dxa"/>
            <w:tcBorders>
              <w:top w:val="nil"/>
              <w:left w:val="single" w:sz="8" w:space="0" w:color="auto"/>
              <w:bottom w:val="single" w:sz="8" w:space="0" w:color="auto"/>
              <w:right w:val="nil"/>
            </w:tcBorders>
            <w:shd w:val="clear" w:color="auto" w:fill="auto"/>
            <w:vAlign w:val="center"/>
            <w:hideMark/>
          </w:tcPr>
          <w:p w14:paraId="6B7F8E3F"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&lt; 1,5</w:t>
            </w:r>
          </w:p>
        </w:tc>
        <w:tc>
          <w:tcPr>
            <w:tcW w:w="911" w:type="dxa"/>
            <w:tcBorders>
              <w:top w:val="nil"/>
              <w:left w:val="single" w:sz="8" w:space="0" w:color="auto"/>
              <w:bottom w:val="single" w:sz="8" w:space="0" w:color="auto"/>
              <w:right w:val="nil"/>
            </w:tcBorders>
            <w:shd w:val="clear" w:color="auto" w:fill="auto"/>
            <w:vAlign w:val="center"/>
            <w:hideMark/>
          </w:tcPr>
          <w:p w14:paraId="1780FF00"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&lt; 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4AC35D12"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79EE296A"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0F45EB0B"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856CDD5"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Поражения кожи</w:t>
            </w:r>
          </w:p>
        </w:tc>
        <w:tc>
          <w:tcPr>
            <w:tcW w:w="911" w:type="dxa"/>
            <w:tcBorders>
              <w:top w:val="nil"/>
              <w:left w:val="single" w:sz="8" w:space="0" w:color="auto"/>
              <w:bottom w:val="single" w:sz="8" w:space="0" w:color="auto"/>
              <w:right w:val="nil"/>
            </w:tcBorders>
            <w:shd w:val="clear" w:color="auto" w:fill="auto"/>
            <w:vAlign w:val="center"/>
            <w:hideMark/>
          </w:tcPr>
          <w:p w14:paraId="052306C6"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2BC79BB8"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23ADA7C1" w14:textId="6E8977F3"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8095CA5"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7A34155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&lt; 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3B244815"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47519EB4"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40B7B4E7"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62A3E33F"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Гистиоцитоз кишечника</w:t>
            </w:r>
          </w:p>
        </w:tc>
        <w:tc>
          <w:tcPr>
            <w:tcW w:w="911" w:type="dxa"/>
            <w:tcBorders>
              <w:top w:val="nil"/>
              <w:left w:val="single" w:sz="8" w:space="0" w:color="auto"/>
              <w:bottom w:val="single" w:sz="8" w:space="0" w:color="auto"/>
              <w:right w:val="nil"/>
            </w:tcBorders>
            <w:shd w:val="clear" w:color="auto" w:fill="auto"/>
            <w:vAlign w:val="center"/>
            <w:hideMark/>
          </w:tcPr>
          <w:p w14:paraId="4451E63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911" w:type="dxa"/>
            <w:tcBorders>
              <w:top w:val="nil"/>
              <w:left w:val="single" w:sz="8" w:space="0" w:color="auto"/>
              <w:bottom w:val="single" w:sz="8" w:space="0" w:color="auto"/>
              <w:right w:val="nil"/>
            </w:tcBorders>
            <w:shd w:val="clear" w:color="auto" w:fill="auto"/>
            <w:vAlign w:val="center"/>
            <w:hideMark/>
          </w:tcPr>
          <w:p w14:paraId="14F9AF43"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830" w:type="dxa"/>
            <w:tcBorders>
              <w:top w:val="nil"/>
              <w:left w:val="single" w:sz="8" w:space="0" w:color="auto"/>
              <w:bottom w:val="single" w:sz="8" w:space="0" w:color="auto"/>
              <w:right w:val="nil"/>
            </w:tcBorders>
            <w:shd w:val="clear" w:color="auto" w:fill="auto"/>
            <w:vAlign w:val="center"/>
            <w:hideMark/>
          </w:tcPr>
          <w:p w14:paraId="49C56AAA" w14:textId="2ACBA33C"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3599E6F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11" w:type="dxa"/>
            <w:tcBorders>
              <w:top w:val="nil"/>
              <w:left w:val="single" w:sz="8" w:space="0" w:color="auto"/>
              <w:bottom w:val="single" w:sz="8" w:space="0" w:color="auto"/>
              <w:right w:val="nil"/>
            </w:tcBorders>
            <w:shd w:val="clear" w:color="auto" w:fill="auto"/>
            <w:vAlign w:val="center"/>
            <w:hideMark/>
          </w:tcPr>
          <w:p w14:paraId="6C3F023F"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&lt; 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48462DA3"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7BA76AF3"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21424D16"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07941BD6"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Воспаление ЖК тракта</w:t>
            </w:r>
          </w:p>
        </w:tc>
        <w:tc>
          <w:tcPr>
            <w:tcW w:w="911" w:type="dxa"/>
            <w:tcBorders>
              <w:top w:val="nil"/>
              <w:left w:val="single" w:sz="8" w:space="0" w:color="auto"/>
              <w:bottom w:val="single" w:sz="8" w:space="0" w:color="auto"/>
              <w:right w:val="nil"/>
            </w:tcBorders>
            <w:shd w:val="clear" w:color="auto" w:fill="auto"/>
            <w:vAlign w:val="center"/>
            <w:hideMark/>
          </w:tcPr>
          <w:p w14:paraId="57FCA839" w14:textId="6141F54F"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12CE777D"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830" w:type="dxa"/>
            <w:tcBorders>
              <w:top w:val="nil"/>
              <w:left w:val="single" w:sz="8" w:space="0" w:color="auto"/>
              <w:bottom w:val="single" w:sz="8" w:space="0" w:color="auto"/>
              <w:right w:val="nil"/>
            </w:tcBorders>
            <w:shd w:val="clear" w:color="auto" w:fill="auto"/>
            <w:vAlign w:val="center"/>
            <w:hideMark/>
          </w:tcPr>
          <w:p w14:paraId="15CAB5A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0,3</w:t>
            </w:r>
          </w:p>
        </w:tc>
        <w:tc>
          <w:tcPr>
            <w:tcW w:w="911" w:type="dxa"/>
            <w:tcBorders>
              <w:top w:val="nil"/>
              <w:left w:val="single" w:sz="8" w:space="0" w:color="auto"/>
              <w:bottom w:val="single" w:sz="8" w:space="0" w:color="auto"/>
              <w:right w:val="nil"/>
            </w:tcBorders>
            <w:shd w:val="clear" w:color="auto" w:fill="auto"/>
            <w:vAlign w:val="center"/>
            <w:hideMark/>
          </w:tcPr>
          <w:p w14:paraId="1CA786D6"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61EC77F0"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47C214DE"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0,1</w:t>
            </w:r>
          </w:p>
        </w:tc>
      </w:tr>
      <w:tr w:rsidR="000859AF" w:rsidRPr="003A5CBD" w14:paraId="730BC09A"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60BEF877"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194EE7BE"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Дегенерация / некроз миокарда</w:t>
            </w:r>
          </w:p>
        </w:tc>
        <w:tc>
          <w:tcPr>
            <w:tcW w:w="911" w:type="dxa"/>
            <w:tcBorders>
              <w:top w:val="nil"/>
              <w:left w:val="single" w:sz="8" w:space="0" w:color="auto"/>
              <w:bottom w:val="single" w:sz="8" w:space="0" w:color="auto"/>
              <w:right w:val="nil"/>
            </w:tcBorders>
            <w:shd w:val="clear" w:color="auto" w:fill="auto"/>
            <w:vAlign w:val="center"/>
            <w:hideMark/>
          </w:tcPr>
          <w:p w14:paraId="031D16D4" w14:textId="3A6CC099"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0E017C5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830" w:type="dxa"/>
            <w:tcBorders>
              <w:top w:val="nil"/>
              <w:left w:val="single" w:sz="8" w:space="0" w:color="auto"/>
              <w:bottom w:val="single" w:sz="8" w:space="0" w:color="auto"/>
              <w:right w:val="nil"/>
            </w:tcBorders>
            <w:shd w:val="clear" w:color="auto" w:fill="auto"/>
            <w:vAlign w:val="center"/>
            <w:hideMark/>
          </w:tcPr>
          <w:p w14:paraId="6A0BC75C" w14:textId="792592CF"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60EBF64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5753E42C"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486558C8"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3E1EE52C"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24E8CCE2"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1208B406"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Дегенерация островковых клеток поджелудочной железы</w:t>
            </w:r>
          </w:p>
        </w:tc>
        <w:tc>
          <w:tcPr>
            <w:tcW w:w="911" w:type="dxa"/>
            <w:tcBorders>
              <w:top w:val="nil"/>
              <w:left w:val="single" w:sz="8" w:space="0" w:color="auto"/>
              <w:bottom w:val="single" w:sz="8" w:space="0" w:color="auto"/>
              <w:right w:val="nil"/>
            </w:tcBorders>
            <w:shd w:val="clear" w:color="auto" w:fill="auto"/>
            <w:vAlign w:val="center"/>
            <w:hideMark/>
          </w:tcPr>
          <w:p w14:paraId="72EF0D50" w14:textId="317DF840"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57DEACAC"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w:t>
            </w:r>
          </w:p>
        </w:tc>
        <w:tc>
          <w:tcPr>
            <w:tcW w:w="830" w:type="dxa"/>
            <w:tcBorders>
              <w:top w:val="nil"/>
              <w:left w:val="single" w:sz="8" w:space="0" w:color="auto"/>
              <w:bottom w:val="single" w:sz="8" w:space="0" w:color="auto"/>
              <w:right w:val="nil"/>
            </w:tcBorders>
            <w:shd w:val="clear" w:color="auto" w:fill="auto"/>
            <w:vAlign w:val="center"/>
            <w:hideMark/>
          </w:tcPr>
          <w:p w14:paraId="14933102" w14:textId="48A97C33"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6DCBCA2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3E163ADE"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75DD1942"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59B95D67"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424AADEA"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45FEB72F"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Уменьшение развития фолликулярных клеток, яичники</w:t>
            </w:r>
          </w:p>
        </w:tc>
        <w:tc>
          <w:tcPr>
            <w:tcW w:w="911" w:type="dxa"/>
            <w:tcBorders>
              <w:top w:val="nil"/>
              <w:left w:val="single" w:sz="8" w:space="0" w:color="auto"/>
              <w:bottom w:val="single" w:sz="8" w:space="0" w:color="auto"/>
              <w:right w:val="nil"/>
            </w:tcBorders>
            <w:shd w:val="clear" w:color="auto" w:fill="auto"/>
            <w:vAlign w:val="center"/>
            <w:hideMark/>
          </w:tcPr>
          <w:p w14:paraId="57C6635C" w14:textId="290E9F46"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70DE9FBA"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1,5</w:t>
            </w:r>
          </w:p>
        </w:tc>
        <w:tc>
          <w:tcPr>
            <w:tcW w:w="830" w:type="dxa"/>
            <w:tcBorders>
              <w:top w:val="nil"/>
              <w:left w:val="single" w:sz="8" w:space="0" w:color="auto"/>
              <w:bottom w:val="single" w:sz="8" w:space="0" w:color="auto"/>
              <w:right w:val="nil"/>
            </w:tcBorders>
            <w:shd w:val="clear" w:color="auto" w:fill="auto"/>
            <w:vAlign w:val="center"/>
            <w:hideMark/>
          </w:tcPr>
          <w:p w14:paraId="27A2A493" w14:textId="310105BD"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25905493"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2D095595"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0,5</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5A250839"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0,9</w:t>
            </w:r>
          </w:p>
        </w:tc>
      </w:tr>
      <w:tr w:rsidR="000859AF" w:rsidRPr="003A5CBD" w14:paraId="66416BDF" w14:textId="77777777" w:rsidTr="008A7500">
        <w:trPr>
          <w:trHeight w:val="20"/>
        </w:trPr>
        <w:tc>
          <w:tcPr>
            <w:tcW w:w="1510" w:type="dxa"/>
            <w:vMerge/>
            <w:tcBorders>
              <w:top w:val="nil"/>
              <w:left w:val="single" w:sz="8" w:space="0" w:color="auto"/>
              <w:bottom w:val="single" w:sz="8" w:space="0" w:color="000000"/>
              <w:right w:val="single" w:sz="8" w:space="0" w:color="auto"/>
            </w:tcBorders>
            <w:vAlign w:val="center"/>
            <w:hideMark/>
          </w:tcPr>
          <w:p w14:paraId="37412B6F" w14:textId="77777777" w:rsidR="000859AF" w:rsidRPr="003A5CBD" w:rsidRDefault="000859AF">
            <w:pPr>
              <w:spacing w:after="0" w:line="240" w:lineRule="auto"/>
              <w:jc w:val="left"/>
              <w:rPr>
                <w:rFonts w:eastAsia="Times New Roman"/>
                <w:color w:val="000000"/>
                <w:lang w:eastAsia="ru-RU"/>
              </w:rPr>
            </w:pPr>
          </w:p>
        </w:tc>
        <w:tc>
          <w:tcPr>
            <w:tcW w:w="2442" w:type="dxa"/>
            <w:tcBorders>
              <w:top w:val="nil"/>
              <w:left w:val="nil"/>
              <w:bottom w:val="single" w:sz="8" w:space="0" w:color="auto"/>
              <w:right w:val="nil"/>
            </w:tcBorders>
            <w:shd w:val="clear" w:color="auto" w:fill="auto"/>
            <w:vAlign w:val="center"/>
            <w:hideMark/>
          </w:tcPr>
          <w:p w14:paraId="5A2C1432" w14:textId="77777777" w:rsidR="000859AF" w:rsidRPr="0071249E" w:rsidRDefault="000859AF">
            <w:pPr>
              <w:spacing w:after="0" w:line="240" w:lineRule="auto"/>
              <w:jc w:val="left"/>
              <w:rPr>
                <w:rFonts w:eastAsia="Times New Roman"/>
                <w:color w:val="000000"/>
                <w:sz w:val="22"/>
                <w:szCs w:val="22"/>
                <w:lang w:eastAsia="ru-RU"/>
              </w:rPr>
            </w:pPr>
            <w:r w:rsidRPr="0071249E">
              <w:rPr>
                <w:rFonts w:eastAsia="Times New Roman"/>
                <w:color w:val="000000"/>
                <w:sz w:val="22"/>
                <w:szCs w:val="22"/>
                <w:lang w:eastAsia="ru-RU" w:bidi="en-US"/>
              </w:rPr>
              <w:t>Атрофия канальцев, семенники</w:t>
            </w:r>
          </w:p>
        </w:tc>
        <w:tc>
          <w:tcPr>
            <w:tcW w:w="911" w:type="dxa"/>
            <w:tcBorders>
              <w:top w:val="nil"/>
              <w:left w:val="single" w:sz="8" w:space="0" w:color="auto"/>
              <w:bottom w:val="single" w:sz="8" w:space="0" w:color="auto"/>
              <w:right w:val="nil"/>
            </w:tcBorders>
            <w:shd w:val="clear" w:color="auto" w:fill="auto"/>
            <w:vAlign w:val="center"/>
            <w:hideMark/>
          </w:tcPr>
          <w:p w14:paraId="680F97F4" w14:textId="0F45FE2D" w:rsidR="000859AF" w:rsidRPr="003A5CBD" w:rsidRDefault="000859AF" w:rsidP="0071249E">
            <w:pPr>
              <w:spacing w:after="0" w:line="240" w:lineRule="auto"/>
              <w:jc w:val="center"/>
              <w:rPr>
                <w:rFonts w:eastAsia="Times New Roman"/>
                <w:color w:val="000000"/>
                <w:lang w:eastAsia="ru-RU"/>
              </w:rPr>
            </w:pPr>
          </w:p>
        </w:tc>
        <w:tc>
          <w:tcPr>
            <w:tcW w:w="911" w:type="dxa"/>
            <w:tcBorders>
              <w:top w:val="nil"/>
              <w:left w:val="single" w:sz="8" w:space="0" w:color="auto"/>
              <w:bottom w:val="single" w:sz="8" w:space="0" w:color="auto"/>
              <w:right w:val="nil"/>
            </w:tcBorders>
            <w:shd w:val="clear" w:color="auto" w:fill="auto"/>
            <w:vAlign w:val="center"/>
            <w:hideMark/>
          </w:tcPr>
          <w:p w14:paraId="39456B05" w14:textId="0B34C803" w:rsidR="000859AF" w:rsidRPr="003A5CBD" w:rsidRDefault="000859AF" w:rsidP="0071249E">
            <w:pPr>
              <w:spacing w:after="0" w:line="240" w:lineRule="auto"/>
              <w:jc w:val="center"/>
              <w:rPr>
                <w:rFonts w:eastAsia="Times New Roman"/>
                <w:color w:val="000000"/>
                <w:lang w:eastAsia="ru-RU"/>
              </w:rPr>
            </w:pPr>
          </w:p>
        </w:tc>
        <w:tc>
          <w:tcPr>
            <w:tcW w:w="830" w:type="dxa"/>
            <w:tcBorders>
              <w:top w:val="nil"/>
              <w:left w:val="single" w:sz="8" w:space="0" w:color="auto"/>
              <w:bottom w:val="single" w:sz="8" w:space="0" w:color="auto"/>
              <w:right w:val="nil"/>
            </w:tcBorders>
            <w:shd w:val="clear" w:color="auto" w:fill="auto"/>
            <w:vAlign w:val="center"/>
            <w:hideMark/>
          </w:tcPr>
          <w:p w14:paraId="37277090"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0,3</w:t>
            </w:r>
          </w:p>
        </w:tc>
        <w:tc>
          <w:tcPr>
            <w:tcW w:w="911" w:type="dxa"/>
            <w:tcBorders>
              <w:top w:val="nil"/>
              <w:left w:val="single" w:sz="8" w:space="0" w:color="auto"/>
              <w:bottom w:val="single" w:sz="8" w:space="0" w:color="auto"/>
              <w:right w:val="nil"/>
            </w:tcBorders>
            <w:shd w:val="clear" w:color="auto" w:fill="auto"/>
            <w:vAlign w:val="center"/>
            <w:hideMark/>
          </w:tcPr>
          <w:p w14:paraId="7F1624A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&gt; 15</w:t>
            </w:r>
          </w:p>
        </w:tc>
        <w:tc>
          <w:tcPr>
            <w:tcW w:w="911" w:type="dxa"/>
            <w:tcBorders>
              <w:top w:val="nil"/>
              <w:left w:val="single" w:sz="8" w:space="0" w:color="auto"/>
              <w:bottom w:val="single" w:sz="8" w:space="0" w:color="auto"/>
              <w:right w:val="nil"/>
            </w:tcBorders>
            <w:shd w:val="clear" w:color="auto" w:fill="auto"/>
            <w:vAlign w:val="center"/>
            <w:hideMark/>
          </w:tcPr>
          <w:p w14:paraId="0F89A497" w14:textId="02E9CF65" w:rsidR="000859AF" w:rsidRPr="003A5CBD" w:rsidRDefault="000859AF" w:rsidP="0071249E">
            <w:pPr>
              <w:spacing w:after="0" w:line="240" w:lineRule="auto"/>
              <w:jc w:val="center"/>
              <w:rPr>
                <w:rFonts w:eastAsia="Times New Roman"/>
                <w:color w:val="000000"/>
                <w:lang w:eastAsia="ru-RU"/>
              </w:rPr>
            </w:pP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2E7C010F"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0,1</w:t>
            </w:r>
          </w:p>
        </w:tc>
      </w:tr>
    </w:tbl>
    <w:p w14:paraId="76D43887" w14:textId="77777777" w:rsidR="000859AF" w:rsidRDefault="000859AF" w:rsidP="000859AF">
      <w:pPr>
        <w:spacing w:after="0" w:line="240" w:lineRule="auto"/>
        <w:rPr>
          <w:highlight w:val="yellow"/>
        </w:rPr>
      </w:pPr>
    </w:p>
    <w:p w14:paraId="4689902C" w14:textId="77777777" w:rsidR="000859AF" w:rsidRDefault="000859AF" w:rsidP="000859AF">
      <w:pPr>
        <w:spacing w:after="0" w:line="240" w:lineRule="auto"/>
      </w:pPr>
      <w:r w:rsidRPr="00F918EE">
        <w:rPr>
          <w:b/>
        </w:rPr>
        <w:t>Таблица 3-</w:t>
      </w:r>
      <w:r w:rsidRPr="000859AF">
        <w:rPr>
          <w:b/>
        </w:rPr>
        <w:t>5</w:t>
      </w:r>
      <w:r w:rsidRPr="00F918EE">
        <w:rPr>
          <w:b/>
        </w:rPr>
        <w:t>.</w:t>
      </w:r>
      <w:r w:rsidRPr="00F918EE">
        <w:t xml:space="preserve"> Сравнительная</w:t>
      </w:r>
      <w:r w:rsidRPr="003A5CBD">
        <w:t xml:space="preserve"> системная экспозиция в исследованиях с пероральным введением э</w:t>
      </w:r>
      <w:r>
        <w:t>веролимуса</w:t>
      </w:r>
      <w:r w:rsidRPr="003A5CBD">
        <w:t>.</w:t>
      </w:r>
    </w:p>
    <w:tbl>
      <w:tblPr>
        <w:tblOverlap w:val="never"/>
        <w:tblW w:w="5000" w:type="pct"/>
        <w:tblInd w:w="-10" w:type="dxa"/>
        <w:tblLook w:val="04A0" w:firstRow="1" w:lastRow="0" w:firstColumn="1" w:lastColumn="0" w:noHBand="0" w:noVBand="1"/>
      </w:tblPr>
      <w:tblGrid>
        <w:gridCol w:w="1682"/>
        <w:gridCol w:w="860"/>
        <w:gridCol w:w="2826"/>
        <w:gridCol w:w="1132"/>
        <w:gridCol w:w="1076"/>
        <w:gridCol w:w="1760"/>
      </w:tblGrid>
      <w:tr w:rsidR="000859AF" w:rsidRPr="003A5CBD" w14:paraId="544DD324" w14:textId="77777777" w:rsidTr="008A7500">
        <w:trPr>
          <w:trHeight w:val="1104"/>
          <w:tblHeader/>
        </w:trPr>
        <w:tc>
          <w:tcPr>
            <w:tcW w:w="1689" w:type="dxa"/>
            <w:tcBorders>
              <w:top w:val="single" w:sz="8" w:space="0" w:color="auto"/>
              <w:left w:val="single" w:sz="8" w:space="0" w:color="auto"/>
              <w:bottom w:val="single" w:sz="8" w:space="0" w:color="000000"/>
              <w:right w:val="single" w:sz="8" w:space="0" w:color="auto"/>
            </w:tcBorders>
            <w:shd w:val="clear" w:color="000000" w:fill="D9D9D9"/>
            <w:vAlign w:val="center"/>
            <w:hideMark/>
          </w:tcPr>
          <w:p w14:paraId="266CCEDD" w14:textId="77777777" w:rsidR="000859AF" w:rsidRPr="0071249E" w:rsidRDefault="000859AF" w:rsidP="000859AF">
            <w:pPr>
              <w:spacing w:after="0" w:line="240" w:lineRule="auto"/>
              <w:jc w:val="left"/>
              <w:rPr>
                <w:rFonts w:eastAsia="Times New Roman"/>
                <w:b/>
                <w:color w:val="000000"/>
                <w:lang w:eastAsia="ru-RU"/>
              </w:rPr>
            </w:pPr>
            <w:r w:rsidRPr="0071249E">
              <w:rPr>
                <w:rFonts w:eastAsia="Times New Roman"/>
                <w:b/>
                <w:color w:val="000000"/>
                <w:lang w:eastAsia="ru-RU" w:bidi="en-US"/>
              </w:rPr>
              <w:t>Вид</w:t>
            </w:r>
          </w:p>
        </w:tc>
        <w:tc>
          <w:tcPr>
            <w:tcW w:w="862" w:type="dxa"/>
            <w:tcBorders>
              <w:top w:val="single" w:sz="8" w:space="0" w:color="auto"/>
              <w:left w:val="single" w:sz="8" w:space="0" w:color="auto"/>
              <w:bottom w:val="single" w:sz="8" w:space="0" w:color="000000"/>
              <w:right w:val="single" w:sz="8" w:space="0" w:color="auto"/>
            </w:tcBorders>
            <w:shd w:val="clear" w:color="000000" w:fill="D9D9D9"/>
            <w:vAlign w:val="center"/>
            <w:hideMark/>
          </w:tcPr>
          <w:p w14:paraId="3748B6D3" w14:textId="77777777" w:rsidR="000859AF" w:rsidRPr="0071249E" w:rsidRDefault="000859AF" w:rsidP="000859AF">
            <w:pPr>
              <w:spacing w:after="0" w:line="240" w:lineRule="auto"/>
              <w:jc w:val="left"/>
              <w:rPr>
                <w:rFonts w:eastAsia="Times New Roman"/>
                <w:b/>
                <w:color w:val="000000"/>
                <w:lang w:eastAsia="ru-RU"/>
              </w:rPr>
            </w:pPr>
            <w:r w:rsidRPr="0071249E">
              <w:rPr>
                <w:rFonts w:eastAsia="Times New Roman"/>
                <w:b/>
                <w:color w:val="000000"/>
                <w:lang w:eastAsia="ru-RU" w:bidi="en-US"/>
              </w:rPr>
              <w:t>Доза</w:t>
            </w:r>
          </w:p>
        </w:tc>
        <w:tc>
          <w:tcPr>
            <w:tcW w:w="2830" w:type="dxa"/>
            <w:tcBorders>
              <w:top w:val="single" w:sz="8" w:space="0" w:color="auto"/>
              <w:left w:val="single" w:sz="8" w:space="0" w:color="auto"/>
              <w:bottom w:val="single" w:sz="8" w:space="0" w:color="000000"/>
              <w:right w:val="single" w:sz="8" w:space="0" w:color="auto"/>
            </w:tcBorders>
            <w:shd w:val="clear" w:color="000000" w:fill="D9D9D9"/>
            <w:vAlign w:val="center"/>
            <w:hideMark/>
          </w:tcPr>
          <w:p w14:paraId="7B9A7B84" w14:textId="77777777" w:rsidR="000859AF" w:rsidRPr="0071249E" w:rsidRDefault="000859AF" w:rsidP="0071249E">
            <w:pPr>
              <w:spacing w:after="0" w:line="240" w:lineRule="auto"/>
              <w:jc w:val="center"/>
              <w:rPr>
                <w:rFonts w:eastAsia="Times New Roman"/>
                <w:b/>
                <w:color w:val="000000"/>
                <w:lang w:eastAsia="ru-RU"/>
              </w:rPr>
            </w:pPr>
            <w:r w:rsidRPr="0071249E">
              <w:rPr>
                <w:rFonts w:eastAsia="Times New Roman"/>
                <w:b/>
                <w:color w:val="000000"/>
                <w:lang w:eastAsia="ru-RU" w:bidi="en-US"/>
              </w:rPr>
              <w:t>Продолжительность (недели)</w:t>
            </w:r>
          </w:p>
        </w:tc>
        <w:tc>
          <w:tcPr>
            <w:tcW w:w="2212" w:type="dxa"/>
            <w:gridSpan w:val="2"/>
            <w:tcBorders>
              <w:top w:val="single" w:sz="8" w:space="0" w:color="auto"/>
              <w:left w:val="nil"/>
              <w:bottom w:val="single" w:sz="4" w:space="0" w:color="auto"/>
              <w:right w:val="single" w:sz="8" w:space="0" w:color="000000"/>
            </w:tcBorders>
            <w:shd w:val="clear" w:color="000000" w:fill="D9D9D9"/>
            <w:vAlign w:val="center"/>
            <w:hideMark/>
          </w:tcPr>
          <w:p w14:paraId="70816000" w14:textId="77777777" w:rsidR="000859AF" w:rsidRPr="0071249E" w:rsidRDefault="000859AF" w:rsidP="000859AF">
            <w:pPr>
              <w:spacing w:after="0" w:line="240" w:lineRule="auto"/>
              <w:jc w:val="left"/>
              <w:rPr>
                <w:rFonts w:eastAsia="Times New Roman"/>
                <w:b/>
                <w:color w:val="000000"/>
                <w:lang w:eastAsia="ru-RU"/>
              </w:rPr>
            </w:pPr>
            <w:r w:rsidRPr="0071249E">
              <w:rPr>
                <w:rFonts w:eastAsia="Times New Roman"/>
                <w:b/>
                <w:color w:val="000000"/>
                <w:lang w:eastAsia="ru-RU" w:bidi="en-US"/>
              </w:rPr>
              <w:t>AUC(0-24) нг•ч/мл</w:t>
            </w:r>
          </w:p>
        </w:tc>
        <w:tc>
          <w:tcPr>
            <w:tcW w:w="1763" w:type="dxa"/>
            <w:tcBorders>
              <w:top w:val="single" w:sz="8" w:space="0" w:color="auto"/>
              <w:left w:val="single" w:sz="8" w:space="0" w:color="auto"/>
              <w:bottom w:val="single" w:sz="8" w:space="0" w:color="000000"/>
              <w:right w:val="single" w:sz="8" w:space="0" w:color="auto"/>
            </w:tcBorders>
            <w:shd w:val="clear" w:color="000000" w:fill="D9D9D9"/>
            <w:vAlign w:val="center"/>
            <w:hideMark/>
          </w:tcPr>
          <w:p w14:paraId="2E4CD32B" w14:textId="77777777" w:rsidR="000859AF" w:rsidRPr="0071249E" w:rsidRDefault="000859AF" w:rsidP="000859AF">
            <w:pPr>
              <w:spacing w:after="0" w:line="240" w:lineRule="auto"/>
              <w:jc w:val="left"/>
              <w:rPr>
                <w:rFonts w:eastAsia="Times New Roman"/>
                <w:b/>
                <w:color w:val="000000"/>
                <w:lang w:eastAsia="ru-RU"/>
              </w:rPr>
            </w:pPr>
            <w:r w:rsidRPr="0071249E">
              <w:rPr>
                <w:rFonts w:eastAsia="Times New Roman"/>
                <w:b/>
                <w:color w:val="000000"/>
                <w:lang w:eastAsia="ru-RU" w:bidi="en-US"/>
              </w:rPr>
              <w:t>Кратность экспозиции у человека для NOAEL</w:t>
            </w:r>
          </w:p>
        </w:tc>
      </w:tr>
      <w:tr w:rsidR="000859AF" w:rsidRPr="003A5CBD" w14:paraId="638F213A" w14:textId="77777777" w:rsidTr="008A7500">
        <w:trPr>
          <w:trHeight w:val="20"/>
        </w:trPr>
        <w:tc>
          <w:tcPr>
            <w:tcW w:w="1689" w:type="dxa"/>
            <w:tcBorders>
              <w:top w:val="nil"/>
              <w:left w:val="single" w:sz="8" w:space="0" w:color="auto"/>
              <w:bottom w:val="nil"/>
              <w:right w:val="single" w:sz="8" w:space="0" w:color="auto"/>
            </w:tcBorders>
            <w:shd w:val="clear" w:color="auto" w:fill="auto"/>
            <w:vAlign w:val="center"/>
            <w:hideMark/>
          </w:tcPr>
          <w:p w14:paraId="48A9E099" w14:textId="5573486B"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Мыш</w:t>
            </w:r>
            <w:r>
              <w:rPr>
                <w:rFonts w:eastAsia="Times New Roman"/>
                <w:color w:val="000000"/>
                <w:lang w:eastAsia="ru-RU" w:bidi="en-US"/>
              </w:rPr>
              <w:t>и</w:t>
            </w:r>
          </w:p>
        </w:tc>
        <w:tc>
          <w:tcPr>
            <w:tcW w:w="862" w:type="dxa"/>
            <w:tcBorders>
              <w:top w:val="nil"/>
              <w:left w:val="nil"/>
              <w:bottom w:val="nil"/>
              <w:right w:val="single" w:sz="8" w:space="0" w:color="auto"/>
            </w:tcBorders>
            <w:shd w:val="clear" w:color="auto" w:fill="auto"/>
            <w:vAlign w:val="center"/>
            <w:hideMark/>
          </w:tcPr>
          <w:p w14:paraId="381A233A"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2830" w:type="dxa"/>
            <w:tcBorders>
              <w:top w:val="nil"/>
              <w:left w:val="nil"/>
              <w:bottom w:val="nil"/>
              <w:right w:val="single" w:sz="8" w:space="0" w:color="auto"/>
            </w:tcBorders>
            <w:shd w:val="clear" w:color="auto" w:fill="auto"/>
            <w:vAlign w:val="center"/>
            <w:hideMark/>
          </w:tcPr>
          <w:p w14:paraId="5DC63326"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1134" w:type="dxa"/>
            <w:tcBorders>
              <w:top w:val="single" w:sz="4" w:space="0" w:color="auto"/>
              <w:left w:val="nil"/>
              <w:bottom w:val="nil"/>
              <w:right w:val="single" w:sz="8" w:space="0" w:color="auto"/>
            </w:tcBorders>
            <w:shd w:val="clear" w:color="auto" w:fill="auto"/>
            <w:vAlign w:val="center"/>
            <w:hideMark/>
          </w:tcPr>
          <w:p w14:paraId="17A512CC"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Самцы</w:t>
            </w:r>
          </w:p>
        </w:tc>
        <w:tc>
          <w:tcPr>
            <w:tcW w:w="1078" w:type="dxa"/>
            <w:tcBorders>
              <w:top w:val="single" w:sz="4" w:space="0" w:color="auto"/>
              <w:left w:val="nil"/>
              <w:bottom w:val="nil"/>
              <w:right w:val="single" w:sz="8" w:space="0" w:color="auto"/>
            </w:tcBorders>
            <w:shd w:val="clear" w:color="auto" w:fill="auto"/>
            <w:vAlign w:val="center"/>
            <w:hideMark/>
          </w:tcPr>
          <w:p w14:paraId="32CED55B"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Самки</w:t>
            </w:r>
          </w:p>
        </w:tc>
        <w:tc>
          <w:tcPr>
            <w:tcW w:w="1763" w:type="dxa"/>
            <w:tcBorders>
              <w:top w:val="nil"/>
              <w:left w:val="nil"/>
              <w:bottom w:val="nil"/>
              <w:right w:val="single" w:sz="8" w:space="0" w:color="auto"/>
            </w:tcBorders>
            <w:shd w:val="clear" w:color="auto" w:fill="auto"/>
            <w:vAlign w:val="center"/>
            <w:hideMark/>
          </w:tcPr>
          <w:p w14:paraId="43DBD535"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r>
      <w:tr w:rsidR="000859AF" w:rsidRPr="003A5CBD" w14:paraId="13694187" w14:textId="77777777" w:rsidTr="008A7500">
        <w:trPr>
          <w:trHeight w:val="20"/>
        </w:trPr>
        <w:tc>
          <w:tcPr>
            <w:tcW w:w="1689" w:type="dxa"/>
            <w:tcBorders>
              <w:top w:val="nil"/>
              <w:left w:val="single" w:sz="8" w:space="0" w:color="auto"/>
              <w:bottom w:val="nil"/>
              <w:right w:val="single" w:sz="8" w:space="0" w:color="auto"/>
            </w:tcBorders>
            <w:shd w:val="clear" w:color="auto" w:fill="auto"/>
            <w:vAlign w:val="center"/>
            <w:hideMark/>
          </w:tcPr>
          <w:p w14:paraId="04FA9926"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nil"/>
              <w:bottom w:val="nil"/>
              <w:right w:val="single" w:sz="8" w:space="0" w:color="auto"/>
            </w:tcBorders>
            <w:shd w:val="clear" w:color="auto" w:fill="auto"/>
            <w:vAlign w:val="center"/>
            <w:hideMark/>
          </w:tcPr>
          <w:p w14:paraId="1CD1E99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0,15</w:t>
            </w:r>
          </w:p>
        </w:tc>
        <w:tc>
          <w:tcPr>
            <w:tcW w:w="2830" w:type="dxa"/>
            <w:tcBorders>
              <w:top w:val="nil"/>
              <w:left w:val="nil"/>
              <w:bottom w:val="nil"/>
              <w:right w:val="single" w:sz="8" w:space="0" w:color="auto"/>
            </w:tcBorders>
            <w:shd w:val="clear" w:color="auto" w:fill="auto"/>
            <w:vAlign w:val="center"/>
            <w:hideMark/>
          </w:tcPr>
          <w:p w14:paraId="3BFA6AA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13</w:t>
            </w:r>
          </w:p>
        </w:tc>
        <w:tc>
          <w:tcPr>
            <w:tcW w:w="1134" w:type="dxa"/>
            <w:tcBorders>
              <w:top w:val="nil"/>
              <w:left w:val="nil"/>
              <w:bottom w:val="nil"/>
              <w:right w:val="single" w:sz="8" w:space="0" w:color="auto"/>
            </w:tcBorders>
            <w:shd w:val="clear" w:color="auto" w:fill="auto"/>
            <w:vAlign w:val="center"/>
            <w:hideMark/>
          </w:tcPr>
          <w:p w14:paraId="10DAF9CA"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803</w:t>
            </w:r>
          </w:p>
        </w:tc>
        <w:tc>
          <w:tcPr>
            <w:tcW w:w="1078" w:type="dxa"/>
            <w:tcBorders>
              <w:top w:val="nil"/>
              <w:left w:val="nil"/>
              <w:bottom w:val="nil"/>
              <w:right w:val="single" w:sz="8" w:space="0" w:color="auto"/>
            </w:tcBorders>
            <w:shd w:val="clear" w:color="auto" w:fill="auto"/>
            <w:vAlign w:val="center"/>
            <w:hideMark/>
          </w:tcPr>
          <w:p w14:paraId="3BAD81CA"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362</w:t>
            </w:r>
          </w:p>
        </w:tc>
        <w:tc>
          <w:tcPr>
            <w:tcW w:w="1763" w:type="dxa"/>
            <w:tcBorders>
              <w:top w:val="nil"/>
              <w:left w:val="nil"/>
              <w:bottom w:val="nil"/>
              <w:right w:val="single" w:sz="8" w:space="0" w:color="auto"/>
            </w:tcBorders>
            <w:shd w:val="clear" w:color="auto" w:fill="auto"/>
            <w:vAlign w:val="center"/>
            <w:hideMark/>
          </w:tcPr>
          <w:p w14:paraId="0A590032"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3,1</w:t>
            </w:r>
          </w:p>
        </w:tc>
      </w:tr>
      <w:tr w:rsidR="000859AF" w:rsidRPr="003A5CBD" w14:paraId="26DE0FA2" w14:textId="77777777" w:rsidTr="008A7500">
        <w:trPr>
          <w:trHeight w:val="20"/>
        </w:trPr>
        <w:tc>
          <w:tcPr>
            <w:tcW w:w="1689" w:type="dxa"/>
            <w:tcBorders>
              <w:top w:val="nil"/>
              <w:left w:val="single" w:sz="8" w:space="0" w:color="auto"/>
              <w:bottom w:val="nil"/>
              <w:right w:val="single" w:sz="8" w:space="0" w:color="auto"/>
            </w:tcBorders>
            <w:shd w:val="clear" w:color="auto" w:fill="auto"/>
            <w:vAlign w:val="center"/>
            <w:hideMark/>
          </w:tcPr>
          <w:p w14:paraId="480396D5"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nil"/>
              <w:bottom w:val="nil"/>
              <w:right w:val="single" w:sz="8" w:space="0" w:color="auto"/>
            </w:tcBorders>
            <w:shd w:val="clear" w:color="auto" w:fill="auto"/>
            <w:vAlign w:val="center"/>
            <w:hideMark/>
          </w:tcPr>
          <w:p w14:paraId="4CBE4B7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0,5</w:t>
            </w:r>
          </w:p>
        </w:tc>
        <w:tc>
          <w:tcPr>
            <w:tcW w:w="2830" w:type="dxa"/>
            <w:tcBorders>
              <w:top w:val="nil"/>
              <w:left w:val="nil"/>
              <w:bottom w:val="nil"/>
              <w:right w:val="single" w:sz="8" w:space="0" w:color="auto"/>
            </w:tcBorders>
            <w:shd w:val="clear" w:color="auto" w:fill="auto"/>
            <w:vAlign w:val="center"/>
            <w:hideMark/>
          </w:tcPr>
          <w:p w14:paraId="3B61BECA" w14:textId="3182C1AE" w:rsidR="000859AF" w:rsidRPr="003A5CBD" w:rsidRDefault="000859AF" w:rsidP="0071249E">
            <w:pPr>
              <w:spacing w:after="0" w:line="240" w:lineRule="auto"/>
              <w:jc w:val="center"/>
              <w:rPr>
                <w:rFonts w:eastAsia="Times New Roman"/>
                <w:color w:val="000000"/>
                <w:lang w:eastAsia="ru-RU"/>
              </w:rPr>
            </w:pPr>
          </w:p>
        </w:tc>
        <w:tc>
          <w:tcPr>
            <w:tcW w:w="1134" w:type="dxa"/>
            <w:tcBorders>
              <w:top w:val="nil"/>
              <w:left w:val="nil"/>
              <w:bottom w:val="nil"/>
              <w:right w:val="single" w:sz="8" w:space="0" w:color="auto"/>
            </w:tcBorders>
            <w:shd w:val="clear" w:color="auto" w:fill="auto"/>
            <w:vAlign w:val="center"/>
            <w:hideMark/>
          </w:tcPr>
          <w:p w14:paraId="2FE12BD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1174</w:t>
            </w:r>
          </w:p>
        </w:tc>
        <w:tc>
          <w:tcPr>
            <w:tcW w:w="1078" w:type="dxa"/>
            <w:tcBorders>
              <w:top w:val="nil"/>
              <w:left w:val="nil"/>
              <w:bottom w:val="nil"/>
              <w:right w:val="single" w:sz="8" w:space="0" w:color="auto"/>
            </w:tcBorders>
            <w:shd w:val="clear" w:color="auto" w:fill="auto"/>
            <w:vAlign w:val="center"/>
            <w:hideMark/>
          </w:tcPr>
          <w:p w14:paraId="6C5AC1FF"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1258</w:t>
            </w:r>
          </w:p>
        </w:tc>
        <w:tc>
          <w:tcPr>
            <w:tcW w:w="1763" w:type="dxa"/>
            <w:tcBorders>
              <w:top w:val="nil"/>
              <w:left w:val="nil"/>
              <w:bottom w:val="nil"/>
              <w:right w:val="single" w:sz="8" w:space="0" w:color="auto"/>
            </w:tcBorders>
            <w:shd w:val="clear" w:color="auto" w:fill="auto"/>
            <w:vAlign w:val="center"/>
            <w:hideMark/>
          </w:tcPr>
          <w:p w14:paraId="70D1420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4,8</w:t>
            </w:r>
          </w:p>
        </w:tc>
      </w:tr>
      <w:tr w:rsidR="000859AF" w:rsidRPr="003A5CBD" w14:paraId="4EF3AFD5" w14:textId="77777777" w:rsidTr="008A7500">
        <w:trPr>
          <w:trHeight w:val="20"/>
        </w:trPr>
        <w:tc>
          <w:tcPr>
            <w:tcW w:w="1689" w:type="dxa"/>
            <w:tcBorders>
              <w:top w:val="nil"/>
              <w:left w:val="single" w:sz="8" w:space="0" w:color="auto"/>
              <w:bottom w:val="nil"/>
              <w:right w:val="single" w:sz="8" w:space="0" w:color="auto"/>
            </w:tcBorders>
            <w:shd w:val="clear" w:color="auto" w:fill="auto"/>
            <w:vAlign w:val="center"/>
            <w:hideMark/>
          </w:tcPr>
          <w:p w14:paraId="300A89A7"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nil"/>
              <w:bottom w:val="nil"/>
              <w:right w:val="single" w:sz="8" w:space="0" w:color="auto"/>
            </w:tcBorders>
            <w:shd w:val="clear" w:color="auto" w:fill="auto"/>
            <w:vAlign w:val="center"/>
            <w:hideMark/>
          </w:tcPr>
          <w:p w14:paraId="1F4F904E"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nil"/>
              <w:bottom w:val="nil"/>
              <w:right w:val="single" w:sz="8" w:space="0" w:color="auto"/>
            </w:tcBorders>
            <w:shd w:val="clear" w:color="auto" w:fill="auto"/>
            <w:vAlign w:val="center"/>
            <w:hideMark/>
          </w:tcPr>
          <w:p w14:paraId="4A5FC27F" w14:textId="004D0A81" w:rsidR="000859AF" w:rsidRPr="003A5CBD" w:rsidRDefault="000859AF" w:rsidP="0071249E">
            <w:pPr>
              <w:spacing w:after="0" w:line="240" w:lineRule="auto"/>
              <w:jc w:val="center"/>
              <w:rPr>
                <w:rFonts w:eastAsia="Times New Roman"/>
                <w:color w:val="000000"/>
                <w:lang w:eastAsia="ru-RU"/>
              </w:rPr>
            </w:pPr>
          </w:p>
        </w:tc>
        <w:tc>
          <w:tcPr>
            <w:tcW w:w="1134" w:type="dxa"/>
            <w:tcBorders>
              <w:top w:val="nil"/>
              <w:left w:val="nil"/>
              <w:bottom w:val="nil"/>
              <w:right w:val="single" w:sz="8" w:space="0" w:color="auto"/>
            </w:tcBorders>
            <w:shd w:val="clear" w:color="auto" w:fill="auto"/>
            <w:vAlign w:val="center"/>
            <w:hideMark/>
          </w:tcPr>
          <w:p w14:paraId="56B56AE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3472</w:t>
            </w:r>
          </w:p>
        </w:tc>
        <w:tc>
          <w:tcPr>
            <w:tcW w:w="1078" w:type="dxa"/>
            <w:tcBorders>
              <w:top w:val="nil"/>
              <w:left w:val="nil"/>
              <w:bottom w:val="nil"/>
              <w:right w:val="single" w:sz="8" w:space="0" w:color="auto"/>
            </w:tcBorders>
            <w:shd w:val="clear" w:color="auto" w:fill="auto"/>
            <w:vAlign w:val="center"/>
            <w:hideMark/>
          </w:tcPr>
          <w:p w14:paraId="08D25DC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4877</w:t>
            </w:r>
          </w:p>
        </w:tc>
        <w:tc>
          <w:tcPr>
            <w:tcW w:w="1763" w:type="dxa"/>
            <w:tcBorders>
              <w:top w:val="nil"/>
              <w:left w:val="nil"/>
              <w:bottom w:val="nil"/>
              <w:right w:val="single" w:sz="8" w:space="0" w:color="auto"/>
            </w:tcBorders>
            <w:shd w:val="clear" w:color="auto" w:fill="auto"/>
            <w:vAlign w:val="center"/>
            <w:hideMark/>
          </w:tcPr>
          <w:p w14:paraId="0963A669" w14:textId="68258399" w:rsidR="000859AF" w:rsidRPr="003A5CBD" w:rsidRDefault="000859AF" w:rsidP="0071249E">
            <w:pPr>
              <w:spacing w:after="0" w:line="240" w:lineRule="auto"/>
              <w:jc w:val="center"/>
              <w:rPr>
                <w:rFonts w:eastAsia="Times New Roman"/>
                <w:color w:val="000000"/>
                <w:lang w:eastAsia="ru-RU"/>
              </w:rPr>
            </w:pPr>
          </w:p>
        </w:tc>
      </w:tr>
      <w:tr w:rsidR="000859AF" w:rsidRPr="003A5CBD" w14:paraId="654F59F7" w14:textId="77777777" w:rsidTr="008A7500">
        <w:trPr>
          <w:trHeight w:val="20"/>
        </w:trPr>
        <w:tc>
          <w:tcPr>
            <w:tcW w:w="1689" w:type="dxa"/>
            <w:tcBorders>
              <w:top w:val="nil"/>
              <w:left w:val="single" w:sz="8" w:space="0" w:color="auto"/>
              <w:bottom w:val="nil"/>
              <w:right w:val="single" w:sz="8" w:space="0" w:color="auto"/>
            </w:tcBorders>
            <w:shd w:val="clear" w:color="auto" w:fill="auto"/>
            <w:vAlign w:val="center"/>
            <w:hideMark/>
          </w:tcPr>
          <w:p w14:paraId="75AD663A"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nil"/>
              <w:bottom w:val="nil"/>
              <w:right w:val="single" w:sz="8" w:space="0" w:color="auto"/>
            </w:tcBorders>
            <w:shd w:val="clear" w:color="auto" w:fill="auto"/>
            <w:vAlign w:val="center"/>
            <w:hideMark/>
          </w:tcPr>
          <w:p w14:paraId="1837B5D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5</w:t>
            </w:r>
          </w:p>
        </w:tc>
        <w:tc>
          <w:tcPr>
            <w:tcW w:w="2830" w:type="dxa"/>
            <w:tcBorders>
              <w:top w:val="nil"/>
              <w:left w:val="nil"/>
              <w:bottom w:val="nil"/>
              <w:right w:val="single" w:sz="8" w:space="0" w:color="auto"/>
            </w:tcBorders>
            <w:shd w:val="clear" w:color="auto" w:fill="auto"/>
            <w:vAlign w:val="center"/>
            <w:hideMark/>
          </w:tcPr>
          <w:p w14:paraId="2C478279" w14:textId="2698A59F" w:rsidR="000859AF" w:rsidRPr="003A5CBD" w:rsidRDefault="000859AF" w:rsidP="0071249E">
            <w:pPr>
              <w:spacing w:after="0" w:line="240" w:lineRule="auto"/>
              <w:jc w:val="center"/>
              <w:rPr>
                <w:rFonts w:eastAsia="Times New Roman"/>
                <w:color w:val="000000"/>
                <w:lang w:eastAsia="ru-RU"/>
              </w:rPr>
            </w:pPr>
          </w:p>
        </w:tc>
        <w:tc>
          <w:tcPr>
            <w:tcW w:w="1134" w:type="dxa"/>
            <w:tcBorders>
              <w:top w:val="nil"/>
              <w:left w:val="nil"/>
              <w:bottom w:val="nil"/>
              <w:right w:val="single" w:sz="8" w:space="0" w:color="auto"/>
            </w:tcBorders>
            <w:shd w:val="clear" w:color="auto" w:fill="auto"/>
            <w:vAlign w:val="center"/>
            <w:hideMark/>
          </w:tcPr>
          <w:p w14:paraId="4E652A7B"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19420</w:t>
            </w:r>
          </w:p>
        </w:tc>
        <w:tc>
          <w:tcPr>
            <w:tcW w:w="1078" w:type="dxa"/>
            <w:tcBorders>
              <w:top w:val="nil"/>
              <w:left w:val="nil"/>
              <w:bottom w:val="nil"/>
              <w:right w:val="single" w:sz="8" w:space="0" w:color="auto"/>
            </w:tcBorders>
            <w:shd w:val="clear" w:color="auto" w:fill="auto"/>
            <w:vAlign w:val="center"/>
            <w:hideMark/>
          </w:tcPr>
          <w:p w14:paraId="1A1B9850"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11363</w:t>
            </w:r>
          </w:p>
        </w:tc>
        <w:tc>
          <w:tcPr>
            <w:tcW w:w="1763" w:type="dxa"/>
            <w:tcBorders>
              <w:top w:val="nil"/>
              <w:left w:val="nil"/>
              <w:bottom w:val="nil"/>
              <w:right w:val="single" w:sz="8" w:space="0" w:color="auto"/>
            </w:tcBorders>
            <w:shd w:val="clear" w:color="auto" w:fill="auto"/>
            <w:vAlign w:val="center"/>
            <w:hideMark/>
          </w:tcPr>
          <w:p w14:paraId="2FAEF08F" w14:textId="023671D5" w:rsidR="000859AF" w:rsidRPr="003A5CBD" w:rsidRDefault="000859AF" w:rsidP="0071249E">
            <w:pPr>
              <w:spacing w:after="0" w:line="240" w:lineRule="auto"/>
              <w:jc w:val="center"/>
              <w:rPr>
                <w:rFonts w:eastAsia="Times New Roman"/>
                <w:color w:val="000000"/>
                <w:lang w:eastAsia="ru-RU"/>
              </w:rPr>
            </w:pPr>
          </w:p>
        </w:tc>
      </w:tr>
      <w:tr w:rsidR="000859AF" w:rsidRPr="003A5CBD" w14:paraId="2A53E979" w14:textId="77777777" w:rsidTr="008A7500">
        <w:trPr>
          <w:trHeight w:val="20"/>
        </w:trPr>
        <w:tc>
          <w:tcPr>
            <w:tcW w:w="1689" w:type="dxa"/>
            <w:tcBorders>
              <w:top w:val="nil"/>
              <w:left w:val="single" w:sz="8" w:space="0" w:color="auto"/>
              <w:bottom w:val="single" w:sz="8" w:space="0" w:color="auto"/>
              <w:right w:val="single" w:sz="8" w:space="0" w:color="auto"/>
            </w:tcBorders>
            <w:shd w:val="clear" w:color="auto" w:fill="auto"/>
            <w:vAlign w:val="center"/>
            <w:hideMark/>
          </w:tcPr>
          <w:p w14:paraId="303B4587"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nil"/>
              <w:bottom w:val="single" w:sz="8" w:space="0" w:color="auto"/>
              <w:right w:val="single" w:sz="8" w:space="0" w:color="auto"/>
            </w:tcBorders>
            <w:shd w:val="clear" w:color="auto" w:fill="auto"/>
            <w:vAlign w:val="center"/>
            <w:hideMark/>
          </w:tcPr>
          <w:p w14:paraId="6CE71BFD"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nil"/>
              <w:bottom w:val="single" w:sz="8" w:space="0" w:color="auto"/>
              <w:right w:val="single" w:sz="8" w:space="0" w:color="auto"/>
            </w:tcBorders>
            <w:shd w:val="clear" w:color="auto" w:fill="auto"/>
            <w:vAlign w:val="center"/>
            <w:hideMark/>
          </w:tcPr>
          <w:p w14:paraId="7929B1D7" w14:textId="4916856D" w:rsidR="000859AF" w:rsidRPr="003A5CBD" w:rsidRDefault="000859AF" w:rsidP="0071249E">
            <w:pPr>
              <w:spacing w:after="0" w:line="240" w:lineRule="auto"/>
              <w:jc w:val="center"/>
              <w:rPr>
                <w:rFonts w:eastAsia="Times New Roman"/>
                <w:color w:val="000000"/>
                <w:lang w:eastAsia="ru-RU"/>
              </w:rPr>
            </w:pPr>
          </w:p>
        </w:tc>
        <w:tc>
          <w:tcPr>
            <w:tcW w:w="1134" w:type="dxa"/>
            <w:tcBorders>
              <w:top w:val="nil"/>
              <w:left w:val="nil"/>
              <w:bottom w:val="single" w:sz="8" w:space="0" w:color="auto"/>
              <w:right w:val="single" w:sz="8" w:space="0" w:color="auto"/>
            </w:tcBorders>
            <w:shd w:val="clear" w:color="auto" w:fill="auto"/>
            <w:vAlign w:val="center"/>
            <w:hideMark/>
          </w:tcPr>
          <w:p w14:paraId="4F988BC0"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45955</w:t>
            </w:r>
          </w:p>
        </w:tc>
        <w:tc>
          <w:tcPr>
            <w:tcW w:w="1078" w:type="dxa"/>
            <w:tcBorders>
              <w:top w:val="nil"/>
              <w:left w:val="nil"/>
              <w:bottom w:val="single" w:sz="8" w:space="0" w:color="auto"/>
              <w:right w:val="single" w:sz="8" w:space="0" w:color="auto"/>
            </w:tcBorders>
            <w:shd w:val="clear" w:color="auto" w:fill="auto"/>
            <w:vAlign w:val="center"/>
            <w:hideMark/>
          </w:tcPr>
          <w:p w14:paraId="2A362E5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43206</w:t>
            </w:r>
          </w:p>
        </w:tc>
        <w:tc>
          <w:tcPr>
            <w:tcW w:w="1763" w:type="dxa"/>
            <w:tcBorders>
              <w:top w:val="nil"/>
              <w:left w:val="nil"/>
              <w:bottom w:val="single" w:sz="8" w:space="0" w:color="auto"/>
              <w:right w:val="single" w:sz="8" w:space="0" w:color="auto"/>
            </w:tcBorders>
            <w:shd w:val="clear" w:color="auto" w:fill="auto"/>
            <w:vAlign w:val="center"/>
            <w:hideMark/>
          </w:tcPr>
          <w:p w14:paraId="7B9BFD5E" w14:textId="7DB9A568" w:rsidR="000859AF" w:rsidRPr="003A5CBD" w:rsidRDefault="000859AF" w:rsidP="0071249E">
            <w:pPr>
              <w:spacing w:after="0" w:line="240" w:lineRule="auto"/>
              <w:jc w:val="center"/>
              <w:rPr>
                <w:rFonts w:eastAsia="Times New Roman"/>
                <w:color w:val="000000"/>
                <w:lang w:eastAsia="ru-RU"/>
              </w:rPr>
            </w:pPr>
          </w:p>
        </w:tc>
      </w:tr>
      <w:tr w:rsidR="000859AF" w:rsidRPr="003A5CBD" w14:paraId="53FD2DEA"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70309734" w14:textId="42AE11AE"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Мыш</w:t>
            </w:r>
            <w:r>
              <w:rPr>
                <w:rFonts w:eastAsia="Times New Roman"/>
                <w:color w:val="000000"/>
                <w:lang w:eastAsia="ru-RU" w:bidi="en-US"/>
              </w:rPr>
              <w:t>и</w:t>
            </w:r>
          </w:p>
        </w:tc>
        <w:tc>
          <w:tcPr>
            <w:tcW w:w="862" w:type="dxa"/>
            <w:tcBorders>
              <w:top w:val="nil"/>
              <w:left w:val="single" w:sz="8" w:space="0" w:color="auto"/>
              <w:bottom w:val="nil"/>
              <w:right w:val="nil"/>
            </w:tcBorders>
            <w:shd w:val="clear" w:color="auto" w:fill="auto"/>
            <w:vAlign w:val="center"/>
            <w:hideMark/>
          </w:tcPr>
          <w:p w14:paraId="1325945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w:t>
            </w:r>
          </w:p>
        </w:tc>
        <w:tc>
          <w:tcPr>
            <w:tcW w:w="2830" w:type="dxa"/>
            <w:tcBorders>
              <w:top w:val="nil"/>
              <w:left w:val="single" w:sz="8" w:space="0" w:color="auto"/>
              <w:bottom w:val="nil"/>
              <w:right w:val="nil"/>
            </w:tcBorders>
            <w:shd w:val="clear" w:color="auto" w:fill="auto"/>
            <w:vAlign w:val="center"/>
            <w:hideMark/>
          </w:tcPr>
          <w:p w14:paraId="23B8770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101</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76BBA5A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160</w:t>
            </w:r>
          </w:p>
        </w:tc>
        <w:tc>
          <w:tcPr>
            <w:tcW w:w="1763" w:type="dxa"/>
            <w:tcBorders>
              <w:top w:val="nil"/>
              <w:left w:val="nil"/>
              <w:bottom w:val="nil"/>
              <w:right w:val="single" w:sz="8" w:space="0" w:color="auto"/>
            </w:tcBorders>
            <w:shd w:val="clear" w:color="auto" w:fill="auto"/>
            <w:vAlign w:val="center"/>
            <w:hideMark/>
          </w:tcPr>
          <w:p w14:paraId="17CDFA04" w14:textId="560B8D5B" w:rsidR="000859AF" w:rsidRPr="003A5CBD" w:rsidRDefault="000859AF" w:rsidP="0071249E">
            <w:pPr>
              <w:spacing w:after="0" w:line="240" w:lineRule="auto"/>
              <w:jc w:val="center"/>
              <w:rPr>
                <w:rFonts w:eastAsia="Times New Roman"/>
                <w:color w:val="000000"/>
                <w:lang w:eastAsia="ru-RU"/>
              </w:rPr>
            </w:pPr>
          </w:p>
        </w:tc>
      </w:tr>
      <w:tr w:rsidR="000859AF" w:rsidRPr="003A5CBD" w14:paraId="6A8B6C3F"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32D74845"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07FC45E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0,3</w:t>
            </w:r>
          </w:p>
        </w:tc>
        <w:tc>
          <w:tcPr>
            <w:tcW w:w="2830" w:type="dxa"/>
            <w:tcBorders>
              <w:top w:val="nil"/>
              <w:left w:val="single" w:sz="8" w:space="0" w:color="auto"/>
              <w:bottom w:val="nil"/>
              <w:right w:val="nil"/>
            </w:tcBorders>
            <w:shd w:val="clear" w:color="auto" w:fill="auto"/>
            <w:vAlign w:val="center"/>
            <w:hideMark/>
          </w:tcPr>
          <w:p w14:paraId="74116ECD" w14:textId="00098576"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5BD492CD"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380</w:t>
            </w:r>
          </w:p>
        </w:tc>
        <w:tc>
          <w:tcPr>
            <w:tcW w:w="1763" w:type="dxa"/>
            <w:tcBorders>
              <w:top w:val="nil"/>
              <w:left w:val="nil"/>
              <w:bottom w:val="nil"/>
              <w:right w:val="single" w:sz="8" w:space="0" w:color="auto"/>
            </w:tcBorders>
            <w:shd w:val="clear" w:color="auto" w:fill="auto"/>
            <w:vAlign w:val="center"/>
            <w:hideMark/>
          </w:tcPr>
          <w:p w14:paraId="0510A4B5" w14:textId="143AAF4F" w:rsidR="000859AF" w:rsidRPr="003A5CBD" w:rsidRDefault="000859AF" w:rsidP="0071249E">
            <w:pPr>
              <w:spacing w:after="0" w:line="240" w:lineRule="auto"/>
              <w:jc w:val="center"/>
              <w:rPr>
                <w:rFonts w:eastAsia="Times New Roman"/>
                <w:color w:val="000000"/>
                <w:lang w:eastAsia="ru-RU"/>
              </w:rPr>
            </w:pPr>
          </w:p>
        </w:tc>
      </w:tr>
      <w:tr w:rsidR="000859AF" w:rsidRPr="003A5CBD" w14:paraId="71D653C9" w14:textId="77777777" w:rsidTr="008A7500">
        <w:trPr>
          <w:trHeight w:val="20"/>
        </w:trPr>
        <w:tc>
          <w:tcPr>
            <w:tcW w:w="1689" w:type="dxa"/>
            <w:tcBorders>
              <w:top w:val="nil"/>
              <w:left w:val="single" w:sz="8" w:space="0" w:color="auto"/>
              <w:bottom w:val="single" w:sz="4" w:space="0" w:color="auto"/>
              <w:right w:val="nil"/>
            </w:tcBorders>
            <w:shd w:val="clear" w:color="auto" w:fill="auto"/>
            <w:vAlign w:val="center"/>
            <w:hideMark/>
          </w:tcPr>
          <w:p w14:paraId="01C4AB72"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single" w:sz="4" w:space="0" w:color="auto"/>
              <w:right w:val="nil"/>
            </w:tcBorders>
            <w:shd w:val="clear" w:color="auto" w:fill="auto"/>
            <w:vAlign w:val="center"/>
            <w:hideMark/>
          </w:tcPr>
          <w:p w14:paraId="70F1DFDF"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0,9</w:t>
            </w:r>
          </w:p>
        </w:tc>
        <w:tc>
          <w:tcPr>
            <w:tcW w:w="2830" w:type="dxa"/>
            <w:tcBorders>
              <w:top w:val="nil"/>
              <w:left w:val="single" w:sz="8" w:space="0" w:color="auto"/>
              <w:bottom w:val="single" w:sz="4" w:space="0" w:color="auto"/>
              <w:right w:val="nil"/>
            </w:tcBorders>
            <w:shd w:val="clear" w:color="auto" w:fill="auto"/>
            <w:vAlign w:val="center"/>
            <w:hideMark/>
          </w:tcPr>
          <w:p w14:paraId="0A265558" w14:textId="0851B1B3"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4" w:space="0" w:color="auto"/>
              <w:right w:val="single" w:sz="8" w:space="0" w:color="000000"/>
            </w:tcBorders>
            <w:shd w:val="clear" w:color="auto" w:fill="auto"/>
            <w:vAlign w:val="center"/>
            <w:hideMark/>
          </w:tcPr>
          <w:p w14:paraId="7BA4C797"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2231</w:t>
            </w:r>
          </w:p>
        </w:tc>
        <w:tc>
          <w:tcPr>
            <w:tcW w:w="1763" w:type="dxa"/>
            <w:tcBorders>
              <w:top w:val="nil"/>
              <w:left w:val="nil"/>
              <w:bottom w:val="single" w:sz="4" w:space="0" w:color="auto"/>
              <w:right w:val="single" w:sz="8" w:space="0" w:color="auto"/>
            </w:tcBorders>
            <w:shd w:val="clear" w:color="auto" w:fill="auto"/>
            <w:vAlign w:val="center"/>
            <w:hideMark/>
          </w:tcPr>
          <w:p w14:paraId="7B89D5A7"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8,6</w:t>
            </w:r>
          </w:p>
        </w:tc>
      </w:tr>
      <w:tr w:rsidR="000859AF" w:rsidRPr="003A5CBD" w14:paraId="1E514DE8" w14:textId="77777777" w:rsidTr="008A7500">
        <w:trPr>
          <w:trHeight w:val="44"/>
        </w:trPr>
        <w:tc>
          <w:tcPr>
            <w:tcW w:w="1689" w:type="dxa"/>
            <w:tcBorders>
              <w:top w:val="single" w:sz="4" w:space="0" w:color="auto"/>
              <w:left w:val="single" w:sz="8" w:space="0" w:color="auto"/>
              <w:bottom w:val="nil"/>
              <w:right w:val="nil"/>
            </w:tcBorders>
            <w:shd w:val="clear" w:color="auto" w:fill="auto"/>
            <w:vAlign w:val="center"/>
            <w:hideMark/>
          </w:tcPr>
          <w:p w14:paraId="46594A6B" w14:textId="2AE90DC3"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Крыс</w:t>
            </w:r>
            <w:r>
              <w:rPr>
                <w:rFonts w:eastAsia="Times New Roman"/>
                <w:color w:val="000000"/>
                <w:lang w:eastAsia="ru-RU" w:bidi="en-US"/>
              </w:rPr>
              <w:t>ы</w:t>
            </w:r>
          </w:p>
        </w:tc>
        <w:tc>
          <w:tcPr>
            <w:tcW w:w="862" w:type="dxa"/>
            <w:tcBorders>
              <w:top w:val="single" w:sz="4" w:space="0" w:color="auto"/>
              <w:left w:val="single" w:sz="8" w:space="0" w:color="auto"/>
              <w:bottom w:val="nil"/>
              <w:right w:val="nil"/>
            </w:tcBorders>
            <w:shd w:val="clear" w:color="auto" w:fill="auto"/>
            <w:vAlign w:val="center"/>
            <w:hideMark/>
          </w:tcPr>
          <w:p w14:paraId="6A88C33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0,5</w:t>
            </w:r>
          </w:p>
        </w:tc>
        <w:tc>
          <w:tcPr>
            <w:tcW w:w="2830" w:type="dxa"/>
            <w:tcBorders>
              <w:top w:val="single" w:sz="4" w:space="0" w:color="auto"/>
              <w:left w:val="single" w:sz="8" w:space="0" w:color="auto"/>
              <w:bottom w:val="nil"/>
              <w:right w:val="nil"/>
            </w:tcBorders>
            <w:shd w:val="clear" w:color="auto" w:fill="auto"/>
            <w:vAlign w:val="center"/>
            <w:hideMark/>
          </w:tcPr>
          <w:p w14:paraId="1BB5CE6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4</w:t>
            </w:r>
          </w:p>
        </w:tc>
        <w:tc>
          <w:tcPr>
            <w:tcW w:w="2212" w:type="dxa"/>
            <w:gridSpan w:val="2"/>
            <w:tcBorders>
              <w:top w:val="single" w:sz="4" w:space="0" w:color="auto"/>
              <w:left w:val="single" w:sz="8" w:space="0" w:color="auto"/>
              <w:bottom w:val="nil"/>
              <w:right w:val="single" w:sz="8" w:space="0" w:color="000000"/>
            </w:tcBorders>
            <w:shd w:val="clear" w:color="auto" w:fill="auto"/>
            <w:vAlign w:val="center"/>
            <w:hideMark/>
          </w:tcPr>
          <w:p w14:paraId="28BB17F6"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79</w:t>
            </w:r>
          </w:p>
        </w:tc>
        <w:tc>
          <w:tcPr>
            <w:tcW w:w="1763" w:type="dxa"/>
            <w:tcBorders>
              <w:top w:val="single" w:sz="4" w:space="0" w:color="auto"/>
              <w:left w:val="nil"/>
              <w:bottom w:val="nil"/>
              <w:right w:val="single" w:sz="8" w:space="0" w:color="auto"/>
            </w:tcBorders>
            <w:shd w:val="clear" w:color="auto" w:fill="auto"/>
            <w:vAlign w:val="center"/>
            <w:hideMark/>
          </w:tcPr>
          <w:p w14:paraId="2C92FF1A"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0,3</w:t>
            </w:r>
          </w:p>
        </w:tc>
      </w:tr>
      <w:tr w:rsidR="000859AF" w:rsidRPr="003A5CBD" w14:paraId="3784A73C"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30267F5F"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4FF11AEE"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nil"/>
              <w:right w:val="nil"/>
            </w:tcBorders>
            <w:shd w:val="clear" w:color="auto" w:fill="auto"/>
            <w:vAlign w:val="center"/>
            <w:hideMark/>
          </w:tcPr>
          <w:p w14:paraId="6FA2F7DF" w14:textId="411ACB7D"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5A0C16ED"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435</w:t>
            </w:r>
          </w:p>
        </w:tc>
        <w:tc>
          <w:tcPr>
            <w:tcW w:w="1763" w:type="dxa"/>
            <w:tcBorders>
              <w:top w:val="nil"/>
              <w:left w:val="nil"/>
              <w:bottom w:val="nil"/>
              <w:right w:val="single" w:sz="8" w:space="0" w:color="auto"/>
            </w:tcBorders>
            <w:shd w:val="clear" w:color="auto" w:fill="auto"/>
            <w:vAlign w:val="center"/>
            <w:hideMark/>
          </w:tcPr>
          <w:p w14:paraId="1CD8781D" w14:textId="2A64159C" w:rsidR="000859AF" w:rsidRPr="003A5CBD" w:rsidRDefault="000859AF" w:rsidP="0071249E">
            <w:pPr>
              <w:spacing w:after="0" w:line="240" w:lineRule="auto"/>
              <w:jc w:val="center"/>
              <w:rPr>
                <w:rFonts w:eastAsia="Times New Roman"/>
                <w:color w:val="000000"/>
                <w:lang w:eastAsia="ru-RU"/>
              </w:rPr>
            </w:pPr>
          </w:p>
        </w:tc>
      </w:tr>
      <w:tr w:rsidR="000859AF" w:rsidRPr="003A5CBD" w14:paraId="2314C32F"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77107333"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4D20538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5</w:t>
            </w:r>
          </w:p>
        </w:tc>
        <w:tc>
          <w:tcPr>
            <w:tcW w:w="2830" w:type="dxa"/>
            <w:tcBorders>
              <w:top w:val="nil"/>
              <w:left w:val="single" w:sz="8" w:space="0" w:color="auto"/>
              <w:bottom w:val="nil"/>
              <w:right w:val="nil"/>
            </w:tcBorders>
            <w:shd w:val="clear" w:color="auto" w:fill="auto"/>
            <w:vAlign w:val="center"/>
            <w:hideMark/>
          </w:tcPr>
          <w:p w14:paraId="6C314060" w14:textId="3BFD4907"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387F9704"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1468</w:t>
            </w:r>
          </w:p>
        </w:tc>
        <w:tc>
          <w:tcPr>
            <w:tcW w:w="1763" w:type="dxa"/>
            <w:tcBorders>
              <w:top w:val="nil"/>
              <w:left w:val="nil"/>
              <w:bottom w:val="nil"/>
              <w:right w:val="single" w:sz="8" w:space="0" w:color="auto"/>
            </w:tcBorders>
            <w:shd w:val="clear" w:color="auto" w:fill="auto"/>
            <w:vAlign w:val="center"/>
            <w:hideMark/>
          </w:tcPr>
          <w:p w14:paraId="11D13CC3" w14:textId="5C9DC614" w:rsidR="000859AF" w:rsidRPr="003A5CBD" w:rsidRDefault="000859AF" w:rsidP="0071249E">
            <w:pPr>
              <w:spacing w:after="0" w:line="240" w:lineRule="auto"/>
              <w:jc w:val="center"/>
              <w:rPr>
                <w:rFonts w:eastAsia="Times New Roman"/>
                <w:color w:val="000000"/>
                <w:lang w:eastAsia="ru-RU"/>
              </w:rPr>
            </w:pPr>
          </w:p>
        </w:tc>
      </w:tr>
      <w:tr w:rsidR="000859AF" w:rsidRPr="003A5CBD" w14:paraId="7370AE8D"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6E909A58"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3C7E0B9E"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nil"/>
              <w:right w:val="nil"/>
            </w:tcBorders>
            <w:shd w:val="clear" w:color="auto" w:fill="auto"/>
            <w:vAlign w:val="center"/>
            <w:hideMark/>
          </w:tcPr>
          <w:p w14:paraId="4A908A95" w14:textId="7EE77844"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26215C5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6076</w:t>
            </w:r>
          </w:p>
        </w:tc>
        <w:tc>
          <w:tcPr>
            <w:tcW w:w="1763" w:type="dxa"/>
            <w:tcBorders>
              <w:top w:val="nil"/>
              <w:left w:val="nil"/>
              <w:bottom w:val="nil"/>
              <w:right w:val="single" w:sz="8" w:space="0" w:color="auto"/>
            </w:tcBorders>
            <w:shd w:val="clear" w:color="auto" w:fill="auto"/>
            <w:vAlign w:val="center"/>
            <w:hideMark/>
          </w:tcPr>
          <w:p w14:paraId="68DFF96D" w14:textId="2BC4E740" w:rsidR="000859AF" w:rsidRPr="003A5CBD" w:rsidRDefault="000859AF" w:rsidP="0071249E">
            <w:pPr>
              <w:spacing w:after="0" w:line="240" w:lineRule="auto"/>
              <w:jc w:val="center"/>
              <w:rPr>
                <w:rFonts w:eastAsia="Times New Roman"/>
                <w:color w:val="000000"/>
                <w:lang w:eastAsia="ru-RU"/>
              </w:rPr>
            </w:pPr>
          </w:p>
        </w:tc>
      </w:tr>
      <w:tr w:rsidR="000859AF" w:rsidRPr="003A5CBD" w14:paraId="14304368" w14:textId="77777777" w:rsidTr="008A7500">
        <w:trPr>
          <w:trHeight w:val="20"/>
        </w:trPr>
        <w:tc>
          <w:tcPr>
            <w:tcW w:w="1689" w:type="dxa"/>
            <w:tcBorders>
              <w:top w:val="single" w:sz="8" w:space="0" w:color="auto"/>
              <w:left w:val="single" w:sz="8" w:space="0" w:color="auto"/>
              <w:bottom w:val="nil"/>
              <w:right w:val="nil"/>
            </w:tcBorders>
            <w:shd w:val="clear" w:color="auto" w:fill="auto"/>
            <w:vAlign w:val="center"/>
            <w:hideMark/>
          </w:tcPr>
          <w:p w14:paraId="44E53CE6" w14:textId="49C1CB9B"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Крыс</w:t>
            </w:r>
            <w:r>
              <w:rPr>
                <w:rFonts w:eastAsia="Times New Roman"/>
                <w:color w:val="000000"/>
                <w:lang w:eastAsia="ru-RU" w:bidi="en-US"/>
              </w:rPr>
              <w:t>ы</w:t>
            </w:r>
          </w:p>
        </w:tc>
        <w:tc>
          <w:tcPr>
            <w:tcW w:w="862" w:type="dxa"/>
            <w:tcBorders>
              <w:top w:val="single" w:sz="8" w:space="0" w:color="auto"/>
              <w:left w:val="single" w:sz="8" w:space="0" w:color="auto"/>
              <w:bottom w:val="nil"/>
              <w:right w:val="nil"/>
            </w:tcBorders>
            <w:shd w:val="clear" w:color="auto" w:fill="auto"/>
            <w:vAlign w:val="center"/>
            <w:hideMark/>
          </w:tcPr>
          <w:p w14:paraId="295E302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0,15</w:t>
            </w:r>
          </w:p>
        </w:tc>
        <w:tc>
          <w:tcPr>
            <w:tcW w:w="2830" w:type="dxa"/>
            <w:tcBorders>
              <w:top w:val="single" w:sz="8" w:space="0" w:color="auto"/>
              <w:left w:val="single" w:sz="8" w:space="0" w:color="auto"/>
              <w:bottom w:val="nil"/>
              <w:right w:val="nil"/>
            </w:tcBorders>
            <w:shd w:val="clear" w:color="auto" w:fill="auto"/>
            <w:vAlign w:val="center"/>
            <w:hideMark/>
          </w:tcPr>
          <w:p w14:paraId="1D691D09"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26</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648B9AD7"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8</w:t>
            </w:r>
          </w:p>
        </w:tc>
        <w:tc>
          <w:tcPr>
            <w:tcW w:w="1763" w:type="dxa"/>
            <w:tcBorders>
              <w:top w:val="single" w:sz="8" w:space="0" w:color="auto"/>
              <w:left w:val="nil"/>
              <w:bottom w:val="nil"/>
              <w:right w:val="single" w:sz="8" w:space="0" w:color="auto"/>
            </w:tcBorders>
            <w:shd w:val="clear" w:color="auto" w:fill="auto"/>
            <w:vAlign w:val="center"/>
            <w:hideMark/>
          </w:tcPr>
          <w:p w14:paraId="5AC00943"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0,03</w:t>
            </w:r>
          </w:p>
        </w:tc>
      </w:tr>
      <w:tr w:rsidR="000859AF" w:rsidRPr="003A5CBD" w14:paraId="194403AC"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1A96AE1F"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21A29DBA"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0,5</w:t>
            </w:r>
          </w:p>
        </w:tc>
        <w:tc>
          <w:tcPr>
            <w:tcW w:w="2830" w:type="dxa"/>
            <w:tcBorders>
              <w:top w:val="nil"/>
              <w:left w:val="single" w:sz="8" w:space="0" w:color="auto"/>
              <w:bottom w:val="nil"/>
              <w:right w:val="nil"/>
            </w:tcBorders>
            <w:shd w:val="clear" w:color="auto" w:fill="auto"/>
            <w:vAlign w:val="center"/>
            <w:hideMark/>
          </w:tcPr>
          <w:p w14:paraId="7689A077" w14:textId="10FDCA08"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18DDE26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29</w:t>
            </w:r>
          </w:p>
        </w:tc>
        <w:tc>
          <w:tcPr>
            <w:tcW w:w="1763" w:type="dxa"/>
            <w:tcBorders>
              <w:top w:val="nil"/>
              <w:left w:val="nil"/>
              <w:bottom w:val="nil"/>
              <w:right w:val="single" w:sz="8" w:space="0" w:color="auto"/>
            </w:tcBorders>
            <w:shd w:val="clear" w:color="auto" w:fill="auto"/>
            <w:vAlign w:val="center"/>
            <w:hideMark/>
          </w:tcPr>
          <w:p w14:paraId="134355EC" w14:textId="3BE85100" w:rsidR="000859AF" w:rsidRPr="003A5CBD" w:rsidRDefault="000859AF" w:rsidP="0071249E">
            <w:pPr>
              <w:spacing w:after="0" w:line="240" w:lineRule="auto"/>
              <w:jc w:val="center"/>
              <w:rPr>
                <w:rFonts w:eastAsia="Times New Roman"/>
                <w:color w:val="000000"/>
                <w:lang w:eastAsia="ru-RU"/>
              </w:rPr>
            </w:pPr>
          </w:p>
        </w:tc>
      </w:tr>
      <w:tr w:rsidR="000859AF" w:rsidRPr="003A5CBD" w14:paraId="2A78DD66" w14:textId="77777777" w:rsidTr="008A7500">
        <w:trPr>
          <w:trHeight w:val="20"/>
        </w:trPr>
        <w:tc>
          <w:tcPr>
            <w:tcW w:w="1689" w:type="dxa"/>
            <w:tcBorders>
              <w:top w:val="nil"/>
              <w:left w:val="single" w:sz="8" w:space="0" w:color="auto"/>
              <w:bottom w:val="single" w:sz="8" w:space="0" w:color="auto"/>
              <w:right w:val="nil"/>
            </w:tcBorders>
            <w:shd w:val="clear" w:color="auto" w:fill="auto"/>
            <w:vAlign w:val="center"/>
            <w:hideMark/>
          </w:tcPr>
          <w:p w14:paraId="614D9528"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single" w:sz="8" w:space="0" w:color="auto"/>
              <w:right w:val="nil"/>
            </w:tcBorders>
            <w:shd w:val="clear" w:color="auto" w:fill="auto"/>
            <w:vAlign w:val="center"/>
            <w:hideMark/>
          </w:tcPr>
          <w:p w14:paraId="785FF7CB"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single" w:sz="8" w:space="0" w:color="auto"/>
              <w:right w:val="nil"/>
            </w:tcBorders>
            <w:shd w:val="clear" w:color="auto" w:fill="auto"/>
            <w:vAlign w:val="center"/>
            <w:hideMark/>
          </w:tcPr>
          <w:p w14:paraId="14B225E7" w14:textId="733C5C29"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1164CBD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72</w:t>
            </w:r>
          </w:p>
        </w:tc>
        <w:tc>
          <w:tcPr>
            <w:tcW w:w="1763" w:type="dxa"/>
            <w:tcBorders>
              <w:top w:val="nil"/>
              <w:left w:val="nil"/>
              <w:bottom w:val="single" w:sz="8" w:space="0" w:color="auto"/>
              <w:right w:val="single" w:sz="8" w:space="0" w:color="auto"/>
            </w:tcBorders>
            <w:shd w:val="clear" w:color="auto" w:fill="auto"/>
            <w:vAlign w:val="center"/>
            <w:hideMark/>
          </w:tcPr>
          <w:p w14:paraId="62EC9E11" w14:textId="5A78432B" w:rsidR="000859AF" w:rsidRPr="003A5CBD" w:rsidRDefault="000859AF" w:rsidP="0071249E">
            <w:pPr>
              <w:spacing w:after="0" w:line="240" w:lineRule="auto"/>
              <w:jc w:val="center"/>
              <w:rPr>
                <w:rFonts w:eastAsia="Times New Roman"/>
                <w:color w:val="000000"/>
                <w:lang w:eastAsia="ru-RU"/>
              </w:rPr>
            </w:pPr>
          </w:p>
        </w:tc>
      </w:tr>
      <w:tr w:rsidR="000859AF" w:rsidRPr="003A5CBD" w14:paraId="3390A8AD"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79D2691E" w14:textId="2AACC404"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Крыс</w:t>
            </w:r>
            <w:r>
              <w:rPr>
                <w:rFonts w:eastAsia="Times New Roman"/>
                <w:color w:val="000000"/>
                <w:lang w:eastAsia="ru-RU" w:bidi="en-US"/>
              </w:rPr>
              <w:t>ы</w:t>
            </w:r>
          </w:p>
        </w:tc>
        <w:tc>
          <w:tcPr>
            <w:tcW w:w="862" w:type="dxa"/>
            <w:tcBorders>
              <w:top w:val="nil"/>
              <w:left w:val="single" w:sz="8" w:space="0" w:color="auto"/>
              <w:bottom w:val="nil"/>
              <w:right w:val="nil"/>
            </w:tcBorders>
            <w:shd w:val="clear" w:color="auto" w:fill="auto"/>
            <w:vAlign w:val="center"/>
            <w:hideMark/>
          </w:tcPr>
          <w:p w14:paraId="1817A6A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w:t>
            </w:r>
          </w:p>
        </w:tc>
        <w:tc>
          <w:tcPr>
            <w:tcW w:w="2830" w:type="dxa"/>
            <w:tcBorders>
              <w:top w:val="nil"/>
              <w:left w:val="single" w:sz="8" w:space="0" w:color="auto"/>
              <w:bottom w:val="nil"/>
              <w:right w:val="nil"/>
            </w:tcBorders>
            <w:shd w:val="clear" w:color="auto" w:fill="auto"/>
            <w:vAlign w:val="center"/>
            <w:hideMark/>
          </w:tcPr>
          <w:p w14:paraId="5E6106CB"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104</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4B4E877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2</w:t>
            </w:r>
          </w:p>
        </w:tc>
        <w:tc>
          <w:tcPr>
            <w:tcW w:w="1763" w:type="dxa"/>
            <w:tcBorders>
              <w:top w:val="nil"/>
              <w:left w:val="nil"/>
              <w:bottom w:val="nil"/>
              <w:right w:val="single" w:sz="8" w:space="0" w:color="auto"/>
            </w:tcBorders>
            <w:shd w:val="clear" w:color="auto" w:fill="auto"/>
            <w:vAlign w:val="center"/>
            <w:hideMark/>
          </w:tcPr>
          <w:p w14:paraId="1EAED0E5" w14:textId="52B59E1D" w:rsidR="000859AF" w:rsidRPr="003A5CBD" w:rsidRDefault="000859AF" w:rsidP="0071249E">
            <w:pPr>
              <w:spacing w:after="0" w:line="240" w:lineRule="auto"/>
              <w:jc w:val="center"/>
              <w:rPr>
                <w:rFonts w:eastAsia="Times New Roman"/>
                <w:color w:val="000000"/>
                <w:lang w:eastAsia="ru-RU"/>
              </w:rPr>
            </w:pPr>
          </w:p>
        </w:tc>
      </w:tr>
      <w:tr w:rsidR="000859AF" w:rsidRPr="003A5CBD" w14:paraId="0D37E630"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4FA3B343"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5620F6F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0,3</w:t>
            </w:r>
          </w:p>
        </w:tc>
        <w:tc>
          <w:tcPr>
            <w:tcW w:w="2830" w:type="dxa"/>
            <w:tcBorders>
              <w:top w:val="nil"/>
              <w:left w:val="single" w:sz="8" w:space="0" w:color="auto"/>
              <w:bottom w:val="nil"/>
              <w:right w:val="nil"/>
            </w:tcBorders>
            <w:shd w:val="clear" w:color="auto" w:fill="auto"/>
            <w:vAlign w:val="center"/>
            <w:hideMark/>
          </w:tcPr>
          <w:p w14:paraId="49AE6114" w14:textId="6DA88721"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41CF1AD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19</w:t>
            </w:r>
          </w:p>
        </w:tc>
        <w:tc>
          <w:tcPr>
            <w:tcW w:w="1763" w:type="dxa"/>
            <w:tcBorders>
              <w:top w:val="nil"/>
              <w:left w:val="nil"/>
              <w:bottom w:val="nil"/>
              <w:right w:val="single" w:sz="8" w:space="0" w:color="auto"/>
            </w:tcBorders>
            <w:shd w:val="clear" w:color="auto" w:fill="auto"/>
            <w:vAlign w:val="center"/>
            <w:hideMark/>
          </w:tcPr>
          <w:p w14:paraId="4144F355" w14:textId="1C7FA20B" w:rsidR="000859AF" w:rsidRPr="003A5CBD" w:rsidRDefault="000859AF" w:rsidP="0071249E">
            <w:pPr>
              <w:spacing w:after="0" w:line="240" w:lineRule="auto"/>
              <w:jc w:val="center"/>
              <w:rPr>
                <w:rFonts w:eastAsia="Times New Roman"/>
                <w:color w:val="000000"/>
                <w:lang w:eastAsia="ru-RU"/>
              </w:rPr>
            </w:pPr>
          </w:p>
        </w:tc>
      </w:tr>
      <w:tr w:rsidR="000859AF" w:rsidRPr="003A5CBD" w14:paraId="7F2E00AA" w14:textId="77777777" w:rsidTr="008A7500">
        <w:trPr>
          <w:trHeight w:val="20"/>
        </w:trPr>
        <w:tc>
          <w:tcPr>
            <w:tcW w:w="1689" w:type="dxa"/>
            <w:tcBorders>
              <w:top w:val="nil"/>
              <w:left w:val="single" w:sz="8" w:space="0" w:color="auto"/>
              <w:bottom w:val="single" w:sz="8" w:space="0" w:color="auto"/>
              <w:right w:val="nil"/>
            </w:tcBorders>
            <w:shd w:val="clear" w:color="auto" w:fill="auto"/>
            <w:vAlign w:val="center"/>
            <w:hideMark/>
          </w:tcPr>
          <w:p w14:paraId="34867EE7"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lastRenderedPageBreak/>
              <w:t> </w:t>
            </w:r>
          </w:p>
        </w:tc>
        <w:tc>
          <w:tcPr>
            <w:tcW w:w="862" w:type="dxa"/>
            <w:tcBorders>
              <w:top w:val="nil"/>
              <w:left w:val="single" w:sz="8" w:space="0" w:color="auto"/>
              <w:bottom w:val="single" w:sz="8" w:space="0" w:color="auto"/>
              <w:right w:val="nil"/>
            </w:tcBorders>
            <w:shd w:val="clear" w:color="auto" w:fill="auto"/>
            <w:vAlign w:val="center"/>
            <w:hideMark/>
          </w:tcPr>
          <w:p w14:paraId="26BF37FD"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0,9</w:t>
            </w:r>
          </w:p>
        </w:tc>
        <w:tc>
          <w:tcPr>
            <w:tcW w:w="2830" w:type="dxa"/>
            <w:tcBorders>
              <w:top w:val="nil"/>
              <w:left w:val="single" w:sz="8" w:space="0" w:color="auto"/>
              <w:bottom w:val="single" w:sz="8" w:space="0" w:color="auto"/>
              <w:right w:val="nil"/>
            </w:tcBorders>
            <w:shd w:val="clear" w:color="auto" w:fill="auto"/>
            <w:vAlign w:val="center"/>
            <w:hideMark/>
          </w:tcPr>
          <w:p w14:paraId="10D3B71C" w14:textId="7554EF1A"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25246A9D"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91</w:t>
            </w:r>
          </w:p>
        </w:tc>
        <w:tc>
          <w:tcPr>
            <w:tcW w:w="1763" w:type="dxa"/>
            <w:tcBorders>
              <w:top w:val="nil"/>
              <w:left w:val="nil"/>
              <w:bottom w:val="single" w:sz="8" w:space="0" w:color="auto"/>
              <w:right w:val="single" w:sz="8" w:space="0" w:color="auto"/>
            </w:tcBorders>
            <w:shd w:val="clear" w:color="auto" w:fill="auto"/>
            <w:vAlign w:val="center"/>
            <w:hideMark/>
          </w:tcPr>
          <w:p w14:paraId="011AE0C8"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0,4</w:t>
            </w:r>
          </w:p>
        </w:tc>
      </w:tr>
      <w:tr w:rsidR="000859AF" w:rsidRPr="003A5CBD" w14:paraId="4D949743"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22DC79D0" w14:textId="40E8849A" w:rsidR="000859AF" w:rsidRPr="003A5CBD" w:rsidRDefault="005D5DBF" w:rsidP="000859AF">
            <w:pPr>
              <w:spacing w:after="0" w:line="240" w:lineRule="auto"/>
              <w:jc w:val="left"/>
              <w:rPr>
                <w:rFonts w:eastAsia="Times New Roman"/>
                <w:color w:val="000000"/>
                <w:lang w:eastAsia="ru-RU"/>
              </w:rPr>
            </w:pPr>
            <w:r>
              <w:rPr>
                <w:rFonts w:eastAsia="Times New Roman"/>
                <w:color w:val="000000"/>
                <w:lang w:eastAsia="ru-RU" w:bidi="en-US"/>
              </w:rPr>
              <w:t>Мини-пиги</w:t>
            </w:r>
          </w:p>
        </w:tc>
        <w:tc>
          <w:tcPr>
            <w:tcW w:w="862" w:type="dxa"/>
            <w:tcBorders>
              <w:top w:val="nil"/>
              <w:left w:val="single" w:sz="8" w:space="0" w:color="auto"/>
              <w:bottom w:val="nil"/>
              <w:right w:val="nil"/>
            </w:tcBorders>
            <w:shd w:val="clear" w:color="auto" w:fill="auto"/>
            <w:vAlign w:val="center"/>
            <w:hideMark/>
          </w:tcPr>
          <w:p w14:paraId="7F39EFC2"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nil"/>
              <w:right w:val="nil"/>
            </w:tcBorders>
            <w:shd w:val="clear" w:color="auto" w:fill="auto"/>
            <w:vAlign w:val="center"/>
            <w:hideMark/>
          </w:tcPr>
          <w:p w14:paraId="6CAFE574"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4</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3302764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2670</w:t>
            </w:r>
          </w:p>
        </w:tc>
        <w:tc>
          <w:tcPr>
            <w:tcW w:w="1763" w:type="dxa"/>
            <w:tcBorders>
              <w:top w:val="nil"/>
              <w:left w:val="nil"/>
              <w:bottom w:val="nil"/>
              <w:right w:val="single" w:sz="8" w:space="0" w:color="auto"/>
            </w:tcBorders>
            <w:shd w:val="clear" w:color="auto" w:fill="auto"/>
            <w:vAlign w:val="center"/>
            <w:hideMark/>
          </w:tcPr>
          <w:p w14:paraId="00801AE6" w14:textId="67783BDD" w:rsidR="000859AF" w:rsidRPr="003A5CBD" w:rsidRDefault="000859AF" w:rsidP="0071249E">
            <w:pPr>
              <w:spacing w:after="0" w:line="240" w:lineRule="auto"/>
              <w:jc w:val="center"/>
              <w:rPr>
                <w:rFonts w:eastAsia="Times New Roman"/>
                <w:color w:val="000000"/>
                <w:lang w:eastAsia="ru-RU"/>
              </w:rPr>
            </w:pPr>
          </w:p>
        </w:tc>
      </w:tr>
      <w:tr w:rsidR="000859AF" w:rsidRPr="003A5CBD" w14:paraId="64F7C997"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587BB789"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1D3CF20A"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5</w:t>
            </w:r>
          </w:p>
        </w:tc>
        <w:tc>
          <w:tcPr>
            <w:tcW w:w="2830" w:type="dxa"/>
            <w:tcBorders>
              <w:top w:val="nil"/>
              <w:left w:val="single" w:sz="8" w:space="0" w:color="auto"/>
              <w:bottom w:val="nil"/>
              <w:right w:val="nil"/>
            </w:tcBorders>
            <w:shd w:val="clear" w:color="auto" w:fill="auto"/>
            <w:vAlign w:val="center"/>
            <w:hideMark/>
          </w:tcPr>
          <w:p w14:paraId="461E395B" w14:textId="5665AADC"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108B3C1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6057</w:t>
            </w:r>
          </w:p>
        </w:tc>
        <w:tc>
          <w:tcPr>
            <w:tcW w:w="1763" w:type="dxa"/>
            <w:tcBorders>
              <w:top w:val="nil"/>
              <w:left w:val="nil"/>
              <w:bottom w:val="nil"/>
              <w:right w:val="single" w:sz="8" w:space="0" w:color="auto"/>
            </w:tcBorders>
            <w:shd w:val="clear" w:color="auto" w:fill="auto"/>
            <w:vAlign w:val="center"/>
            <w:hideMark/>
          </w:tcPr>
          <w:p w14:paraId="488D04A3" w14:textId="0A9D6C26" w:rsidR="000859AF" w:rsidRPr="003A5CBD" w:rsidRDefault="000859AF" w:rsidP="0071249E">
            <w:pPr>
              <w:spacing w:after="0" w:line="240" w:lineRule="auto"/>
              <w:jc w:val="center"/>
              <w:rPr>
                <w:rFonts w:eastAsia="Times New Roman"/>
                <w:color w:val="000000"/>
                <w:lang w:eastAsia="ru-RU"/>
              </w:rPr>
            </w:pPr>
          </w:p>
        </w:tc>
      </w:tr>
      <w:tr w:rsidR="000859AF" w:rsidRPr="003A5CBD" w14:paraId="6BFF4A93" w14:textId="77777777" w:rsidTr="008A7500">
        <w:trPr>
          <w:trHeight w:val="20"/>
        </w:trPr>
        <w:tc>
          <w:tcPr>
            <w:tcW w:w="1689" w:type="dxa"/>
            <w:tcBorders>
              <w:top w:val="nil"/>
              <w:left w:val="single" w:sz="8" w:space="0" w:color="auto"/>
              <w:bottom w:val="single" w:sz="8" w:space="0" w:color="auto"/>
              <w:right w:val="nil"/>
            </w:tcBorders>
            <w:shd w:val="clear" w:color="auto" w:fill="auto"/>
            <w:vAlign w:val="center"/>
            <w:hideMark/>
          </w:tcPr>
          <w:p w14:paraId="10FD80AC"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single" w:sz="8" w:space="0" w:color="auto"/>
              <w:right w:val="nil"/>
            </w:tcBorders>
            <w:shd w:val="clear" w:color="auto" w:fill="auto"/>
            <w:vAlign w:val="center"/>
            <w:hideMark/>
          </w:tcPr>
          <w:p w14:paraId="683DFFA7"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single" w:sz="8" w:space="0" w:color="auto"/>
              <w:right w:val="nil"/>
            </w:tcBorders>
            <w:shd w:val="clear" w:color="auto" w:fill="auto"/>
            <w:vAlign w:val="center"/>
            <w:hideMark/>
          </w:tcPr>
          <w:p w14:paraId="2D859A36" w14:textId="1558A1DA"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7979DCB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7856</w:t>
            </w:r>
          </w:p>
        </w:tc>
        <w:tc>
          <w:tcPr>
            <w:tcW w:w="1763" w:type="dxa"/>
            <w:tcBorders>
              <w:top w:val="nil"/>
              <w:left w:val="nil"/>
              <w:bottom w:val="single" w:sz="8" w:space="0" w:color="auto"/>
              <w:right w:val="single" w:sz="8" w:space="0" w:color="auto"/>
            </w:tcBorders>
            <w:shd w:val="clear" w:color="auto" w:fill="auto"/>
            <w:vAlign w:val="center"/>
            <w:hideMark/>
          </w:tcPr>
          <w:p w14:paraId="53151CD0" w14:textId="544A9FA2" w:rsidR="000859AF" w:rsidRPr="003A5CBD" w:rsidRDefault="000859AF" w:rsidP="0071249E">
            <w:pPr>
              <w:spacing w:after="0" w:line="240" w:lineRule="auto"/>
              <w:jc w:val="center"/>
              <w:rPr>
                <w:rFonts w:eastAsia="Times New Roman"/>
                <w:color w:val="000000"/>
                <w:lang w:eastAsia="ru-RU"/>
              </w:rPr>
            </w:pPr>
          </w:p>
        </w:tc>
      </w:tr>
      <w:tr w:rsidR="000859AF" w:rsidRPr="003A5CBD" w14:paraId="59A1BF33"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3BDCE2A3" w14:textId="669DC262"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Макак</w:t>
            </w:r>
            <w:r>
              <w:rPr>
                <w:rFonts w:eastAsia="Times New Roman"/>
                <w:color w:val="000000"/>
                <w:lang w:eastAsia="ru-RU" w:bidi="en-US"/>
              </w:rPr>
              <w:t>и</w:t>
            </w:r>
          </w:p>
        </w:tc>
        <w:tc>
          <w:tcPr>
            <w:tcW w:w="862" w:type="dxa"/>
            <w:tcBorders>
              <w:top w:val="nil"/>
              <w:left w:val="single" w:sz="8" w:space="0" w:color="auto"/>
              <w:bottom w:val="nil"/>
              <w:right w:val="nil"/>
            </w:tcBorders>
            <w:shd w:val="clear" w:color="auto" w:fill="auto"/>
            <w:vAlign w:val="center"/>
            <w:hideMark/>
          </w:tcPr>
          <w:p w14:paraId="23EF5D03"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nil"/>
              <w:right w:val="nil"/>
            </w:tcBorders>
            <w:shd w:val="clear" w:color="auto" w:fill="auto"/>
            <w:vAlign w:val="center"/>
            <w:hideMark/>
          </w:tcPr>
          <w:p w14:paraId="30CFEEBE"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4</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3406C0C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1086</w:t>
            </w:r>
          </w:p>
        </w:tc>
        <w:tc>
          <w:tcPr>
            <w:tcW w:w="1763" w:type="dxa"/>
            <w:tcBorders>
              <w:top w:val="nil"/>
              <w:left w:val="nil"/>
              <w:bottom w:val="nil"/>
              <w:right w:val="single" w:sz="8" w:space="0" w:color="auto"/>
            </w:tcBorders>
            <w:shd w:val="clear" w:color="auto" w:fill="auto"/>
            <w:vAlign w:val="center"/>
            <w:hideMark/>
          </w:tcPr>
          <w:p w14:paraId="021E25EE" w14:textId="4DDADBAC" w:rsidR="000859AF" w:rsidRPr="003A5CBD" w:rsidRDefault="000859AF" w:rsidP="0071249E">
            <w:pPr>
              <w:spacing w:after="0" w:line="240" w:lineRule="auto"/>
              <w:jc w:val="center"/>
              <w:rPr>
                <w:rFonts w:eastAsia="Times New Roman"/>
                <w:color w:val="000000"/>
                <w:lang w:eastAsia="ru-RU"/>
              </w:rPr>
            </w:pPr>
          </w:p>
        </w:tc>
      </w:tr>
      <w:tr w:rsidR="000859AF" w:rsidRPr="003A5CBD" w14:paraId="234FE388"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2D30FA06"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4AF4714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5</w:t>
            </w:r>
          </w:p>
        </w:tc>
        <w:tc>
          <w:tcPr>
            <w:tcW w:w="2830" w:type="dxa"/>
            <w:tcBorders>
              <w:top w:val="nil"/>
              <w:left w:val="single" w:sz="8" w:space="0" w:color="auto"/>
              <w:bottom w:val="nil"/>
              <w:right w:val="nil"/>
            </w:tcBorders>
            <w:shd w:val="clear" w:color="auto" w:fill="auto"/>
            <w:vAlign w:val="center"/>
            <w:hideMark/>
          </w:tcPr>
          <w:p w14:paraId="1EAA7402" w14:textId="0445D934"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0C31219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3204</w:t>
            </w:r>
          </w:p>
        </w:tc>
        <w:tc>
          <w:tcPr>
            <w:tcW w:w="1763" w:type="dxa"/>
            <w:tcBorders>
              <w:top w:val="nil"/>
              <w:left w:val="nil"/>
              <w:bottom w:val="nil"/>
              <w:right w:val="single" w:sz="8" w:space="0" w:color="auto"/>
            </w:tcBorders>
            <w:shd w:val="clear" w:color="auto" w:fill="auto"/>
            <w:vAlign w:val="center"/>
            <w:hideMark/>
          </w:tcPr>
          <w:p w14:paraId="53E21517" w14:textId="602A3CCF" w:rsidR="000859AF" w:rsidRPr="003A5CBD" w:rsidRDefault="000859AF" w:rsidP="0071249E">
            <w:pPr>
              <w:spacing w:after="0" w:line="240" w:lineRule="auto"/>
              <w:jc w:val="center"/>
              <w:rPr>
                <w:rFonts w:eastAsia="Times New Roman"/>
                <w:color w:val="000000"/>
                <w:lang w:eastAsia="ru-RU"/>
              </w:rPr>
            </w:pPr>
          </w:p>
        </w:tc>
      </w:tr>
      <w:tr w:rsidR="000859AF" w:rsidRPr="003A5CBD" w14:paraId="0B256819" w14:textId="77777777" w:rsidTr="008A7500">
        <w:trPr>
          <w:trHeight w:val="20"/>
        </w:trPr>
        <w:tc>
          <w:tcPr>
            <w:tcW w:w="1689" w:type="dxa"/>
            <w:tcBorders>
              <w:top w:val="nil"/>
              <w:left w:val="single" w:sz="8" w:space="0" w:color="auto"/>
              <w:bottom w:val="single" w:sz="8" w:space="0" w:color="auto"/>
              <w:right w:val="nil"/>
            </w:tcBorders>
            <w:shd w:val="clear" w:color="auto" w:fill="auto"/>
            <w:vAlign w:val="center"/>
            <w:hideMark/>
          </w:tcPr>
          <w:p w14:paraId="4AD89985"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single" w:sz="8" w:space="0" w:color="auto"/>
              <w:right w:val="nil"/>
            </w:tcBorders>
            <w:shd w:val="clear" w:color="auto" w:fill="auto"/>
            <w:vAlign w:val="center"/>
            <w:hideMark/>
          </w:tcPr>
          <w:p w14:paraId="7286573C"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single" w:sz="8" w:space="0" w:color="auto"/>
              <w:right w:val="nil"/>
            </w:tcBorders>
            <w:shd w:val="clear" w:color="auto" w:fill="auto"/>
            <w:vAlign w:val="center"/>
            <w:hideMark/>
          </w:tcPr>
          <w:p w14:paraId="26CD836C" w14:textId="06AA4B6E"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35378BFE"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6978</w:t>
            </w:r>
          </w:p>
        </w:tc>
        <w:tc>
          <w:tcPr>
            <w:tcW w:w="1763" w:type="dxa"/>
            <w:tcBorders>
              <w:top w:val="nil"/>
              <w:left w:val="nil"/>
              <w:bottom w:val="single" w:sz="8" w:space="0" w:color="auto"/>
              <w:right w:val="single" w:sz="8" w:space="0" w:color="auto"/>
            </w:tcBorders>
            <w:shd w:val="clear" w:color="auto" w:fill="auto"/>
            <w:vAlign w:val="center"/>
            <w:hideMark/>
          </w:tcPr>
          <w:p w14:paraId="2F026D3C" w14:textId="4F6BBD8B" w:rsidR="000859AF" w:rsidRPr="003A5CBD" w:rsidRDefault="000859AF" w:rsidP="0071249E">
            <w:pPr>
              <w:spacing w:after="0" w:line="240" w:lineRule="auto"/>
              <w:jc w:val="center"/>
              <w:rPr>
                <w:rFonts w:eastAsia="Times New Roman"/>
                <w:color w:val="000000"/>
                <w:lang w:eastAsia="ru-RU"/>
              </w:rPr>
            </w:pPr>
          </w:p>
        </w:tc>
      </w:tr>
      <w:tr w:rsidR="000859AF" w:rsidRPr="003A5CBD" w14:paraId="4770E68E"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35173DA1" w14:textId="538E8C15"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Макак</w:t>
            </w:r>
            <w:r>
              <w:rPr>
                <w:rFonts w:eastAsia="Times New Roman"/>
                <w:color w:val="000000"/>
                <w:lang w:eastAsia="ru-RU" w:bidi="en-US"/>
              </w:rPr>
              <w:t>и</w:t>
            </w:r>
          </w:p>
        </w:tc>
        <w:tc>
          <w:tcPr>
            <w:tcW w:w="862" w:type="dxa"/>
            <w:tcBorders>
              <w:top w:val="nil"/>
              <w:left w:val="single" w:sz="8" w:space="0" w:color="auto"/>
              <w:bottom w:val="nil"/>
              <w:right w:val="nil"/>
            </w:tcBorders>
            <w:shd w:val="clear" w:color="auto" w:fill="auto"/>
            <w:vAlign w:val="center"/>
            <w:hideMark/>
          </w:tcPr>
          <w:p w14:paraId="57A42C5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w:t>
            </w:r>
          </w:p>
        </w:tc>
        <w:tc>
          <w:tcPr>
            <w:tcW w:w="2830" w:type="dxa"/>
            <w:tcBorders>
              <w:top w:val="nil"/>
              <w:left w:val="single" w:sz="8" w:space="0" w:color="auto"/>
              <w:bottom w:val="nil"/>
              <w:right w:val="nil"/>
            </w:tcBorders>
            <w:shd w:val="clear" w:color="auto" w:fill="auto"/>
            <w:vAlign w:val="center"/>
            <w:hideMark/>
          </w:tcPr>
          <w:p w14:paraId="50450FAB" w14:textId="4E1C5C87"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0476F0B6"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189</w:t>
            </w:r>
          </w:p>
        </w:tc>
        <w:tc>
          <w:tcPr>
            <w:tcW w:w="1763" w:type="dxa"/>
            <w:tcBorders>
              <w:top w:val="nil"/>
              <w:left w:val="nil"/>
              <w:bottom w:val="nil"/>
              <w:right w:val="single" w:sz="8" w:space="0" w:color="auto"/>
            </w:tcBorders>
            <w:shd w:val="clear" w:color="auto" w:fill="auto"/>
            <w:vAlign w:val="center"/>
            <w:hideMark/>
          </w:tcPr>
          <w:p w14:paraId="61FD2492" w14:textId="7353705C" w:rsidR="000859AF" w:rsidRPr="003A5CBD" w:rsidRDefault="000859AF" w:rsidP="0071249E">
            <w:pPr>
              <w:spacing w:after="0" w:line="240" w:lineRule="auto"/>
              <w:jc w:val="center"/>
              <w:rPr>
                <w:rFonts w:eastAsia="Times New Roman"/>
                <w:color w:val="000000"/>
                <w:lang w:eastAsia="ru-RU"/>
              </w:rPr>
            </w:pPr>
          </w:p>
        </w:tc>
      </w:tr>
      <w:tr w:rsidR="000859AF" w:rsidRPr="003A5CBD" w14:paraId="02731CE7"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5149B68B"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13ECCDFD"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0,5</w:t>
            </w:r>
          </w:p>
        </w:tc>
        <w:tc>
          <w:tcPr>
            <w:tcW w:w="2830" w:type="dxa"/>
            <w:tcBorders>
              <w:top w:val="nil"/>
              <w:left w:val="single" w:sz="8" w:space="0" w:color="auto"/>
              <w:bottom w:val="nil"/>
              <w:right w:val="nil"/>
            </w:tcBorders>
            <w:shd w:val="clear" w:color="auto" w:fill="auto"/>
            <w:vAlign w:val="center"/>
            <w:hideMark/>
          </w:tcPr>
          <w:p w14:paraId="7EA70E1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26</w:t>
            </w:r>
          </w:p>
        </w:tc>
        <w:tc>
          <w:tcPr>
            <w:tcW w:w="2212" w:type="dxa"/>
            <w:gridSpan w:val="2"/>
            <w:tcBorders>
              <w:top w:val="nil"/>
              <w:left w:val="single" w:sz="8" w:space="0" w:color="auto"/>
              <w:bottom w:val="nil"/>
              <w:right w:val="single" w:sz="8" w:space="0" w:color="000000"/>
            </w:tcBorders>
            <w:shd w:val="clear" w:color="auto" w:fill="auto"/>
            <w:vAlign w:val="center"/>
            <w:hideMark/>
          </w:tcPr>
          <w:p w14:paraId="69D393FD"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412</w:t>
            </w:r>
          </w:p>
        </w:tc>
        <w:tc>
          <w:tcPr>
            <w:tcW w:w="1763" w:type="dxa"/>
            <w:tcBorders>
              <w:top w:val="nil"/>
              <w:left w:val="nil"/>
              <w:bottom w:val="nil"/>
              <w:right w:val="single" w:sz="8" w:space="0" w:color="auto"/>
            </w:tcBorders>
            <w:shd w:val="clear" w:color="auto" w:fill="auto"/>
            <w:vAlign w:val="center"/>
            <w:hideMark/>
          </w:tcPr>
          <w:p w14:paraId="74E14DD0"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1,6</w:t>
            </w:r>
          </w:p>
        </w:tc>
      </w:tr>
      <w:tr w:rsidR="000859AF" w:rsidRPr="003A5CBD" w14:paraId="39C91D4A" w14:textId="77777777" w:rsidTr="008A7500">
        <w:trPr>
          <w:trHeight w:val="20"/>
        </w:trPr>
        <w:tc>
          <w:tcPr>
            <w:tcW w:w="1689" w:type="dxa"/>
            <w:tcBorders>
              <w:top w:val="nil"/>
              <w:left w:val="single" w:sz="8" w:space="0" w:color="auto"/>
              <w:bottom w:val="single" w:sz="8" w:space="0" w:color="auto"/>
              <w:right w:val="nil"/>
            </w:tcBorders>
            <w:shd w:val="clear" w:color="auto" w:fill="auto"/>
            <w:vAlign w:val="center"/>
            <w:hideMark/>
          </w:tcPr>
          <w:p w14:paraId="15287275"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single" w:sz="8" w:space="0" w:color="auto"/>
              <w:right w:val="nil"/>
            </w:tcBorders>
            <w:shd w:val="clear" w:color="auto" w:fill="auto"/>
            <w:vAlign w:val="center"/>
            <w:hideMark/>
          </w:tcPr>
          <w:p w14:paraId="4BBBB03F"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1,5</w:t>
            </w:r>
          </w:p>
        </w:tc>
        <w:tc>
          <w:tcPr>
            <w:tcW w:w="2830" w:type="dxa"/>
            <w:tcBorders>
              <w:top w:val="nil"/>
              <w:left w:val="single" w:sz="8" w:space="0" w:color="auto"/>
              <w:bottom w:val="single" w:sz="8" w:space="0" w:color="auto"/>
              <w:right w:val="nil"/>
            </w:tcBorders>
            <w:shd w:val="clear" w:color="auto" w:fill="auto"/>
            <w:vAlign w:val="center"/>
            <w:hideMark/>
          </w:tcPr>
          <w:p w14:paraId="7A654523" w14:textId="31168F45"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single" w:sz="8" w:space="0" w:color="auto"/>
              <w:right w:val="single" w:sz="8" w:space="0" w:color="000000"/>
            </w:tcBorders>
            <w:shd w:val="clear" w:color="auto" w:fill="auto"/>
            <w:vAlign w:val="center"/>
            <w:hideMark/>
          </w:tcPr>
          <w:p w14:paraId="1A1A514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1162</w:t>
            </w:r>
          </w:p>
        </w:tc>
        <w:tc>
          <w:tcPr>
            <w:tcW w:w="1763" w:type="dxa"/>
            <w:tcBorders>
              <w:top w:val="nil"/>
              <w:left w:val="nil"/>
              <w:bottom w:val="single" w:sz="8" w:space="0" w:color="auto"/>
              <w:right w:val="single" w:sz="8" w:space="0" w:color="auto"/>
            </w:tcBorders>
            <w:shd w:val="clear" w:color="auto" w:fill="auto"/>
            <w:vAlign w:val="center"/>
            <w:hideMark/>
          </w:tcPr>
          <w:p w14:paraId="7EAC79C9" w14:textId="630A64B8" w:rsidR="000859AF" w:rsidRPr="003A5CBD" w:rsidRDefault="000859AF" w:rsidP="0071249E">
            <w:pPr>
              <w:spacing w:after="0" w:line="240" w:lineRule="auto"/>
              <w:jc w:val="center"/>
              <w:rPr>
                <w:rFonts w:eastAsia="Times New Roman"/>
                <w:color w:val="000000"/>
                <w:lang w:eastAsia="ru-RU"/>
              </w:rPr>
            </w:pPr>
          </w:p>
        </w:tc>
      </w:tr>
      <w:tr w:rsidR="000859AF" w:rsidRPr="003A5CBD" w14:paraId="39996E43"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737570BA" w14:textId="1DE7C70F" w:rsidR="000859AF" w:rsidRPr="003A5CBD" w:rsidRDefault="005D5DBF" w:rsidP="005D5DBF">
            <w:pPr>
              <w:spacing w:after="0" w:line="240" w:lineRule="auto"/>
              <w:jc w:val="left"/>
              <w:rPr>
                <w:rFonts w:eastAsia="Times New Roman"/>
                <w:color w:val="000000"/>
                <w:lang w:eastAsia="ru-RU"/>
              </w:rPr>
            </w:pPr>
            <w:r w:rsidRPr="003A5CBD">
              <w:rPr>
                <w:rFonts w:eastAsia="Times New Roman"/>
                <w:color w:val="000000"/>
                <w:lang w:eastAsia="ru-RU" w:bidi="en-US"/>
              </w:rPr>
              <w:t>Макак</w:t>
            </w:r>
            <w:r>
              <w:rPr>
                <w:rFonts w:eastAsia="Times New Roman"/>
                <w:color w:val="000000"/>
                <w:lang w:eastAsia="ru-RU" w:bidi="en-US"/>
              </w:rPr>
              <w:t>и</w:t>
            </w:r>
          </w:p>
        </w:tc>
        <w:tc>
          <w:tcPr>
            <w:tcW w:w="862" w:type="dxa"/>
            <w:tcBorders>
              <w:top w:val="nil"/>
              <w:left w:val="single" w:sz="8" w:space="0" w:color="auto"/>
              <w:bottom w:val="nil"/>
              <w:right w:val="nil"/>
            </w:tcBorders>
            <w:shd w:val="clear" w:color="auto" w:fill="auto"/>
            <w:vAlign w:val="center"/>
            <w:hideMark/>
          </w:tcPr>
          <w:p w14:paraId="7B728F6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0,1</w:t>
            </w:r>
          </w:p>
        </w:tc>
        <w:tc>
          <w:tcPr>
            <w:tcW w:w="2830" w:type="dxa"/>
            <w:tcBorders>
              <w:top w:val="nil"/>
              <w:left w:val="single" w:sz="8" w:space="0" w:color="auto"/>
              <w:bottom w:val="nil"/>
              <w:right w:val="nil"/>
            </w:tcBorders>
            <w:shd w:val="clear" w:color="auto" w:fill="auto"/>
            <w:vAlign w:val="center"/>
            <w:hideMark/>
          </w:tcPr>
          <w:p w14:paraId="74F4113F"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52</w:t>
            </w:r>
          </w:p>
        </w:tc>
        <w:tc>
          <w:tcPr>
            <w:tcW w:w="2212" w:type="dxa"/>
            <w:gridSpan w:val="2"/>
            <w:tcBorders>
              <w:top w:val="single" w:sz="8" w:space="0" w:color="auto"/>
              <w:left w:val="single" w:sz="8" w:space="0" w:color="auto"/>
              <w:bottom w:val="nil"/>
              <w:right w:val="single" w:sz="8" w:space="0" w:color="000000"/>
            </w:tcBorders>
            <w:shd w:val="clear" w:color="auto" w:fill="auto"/>
            <w:vAlign w:val="center"/>
            <w:hideMark/>
          </w:tcPr>
          <w:p w14:paraId="52468BF5"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79</w:t>
            </w:r>
          </w:p>
        </w:tc>
        <w:tc>
          <w:tcPr>
            <w:tcW w:w="1763" w:type="dxa"/>
            <w:tcBorders>
              <w:top w:val="nil"/>
              <w:left w:val="nil"/>
              <w:bottom w:val="nil"/>
              <w:right w:val="single" w:sz="8" w:space="0" w:color="auto"/>
            </w:tcBorders>
            <w:shd w:val="clear" w:color="auto" w:fill="auto"/>
            <w:vAlign w:val="center"/>
            <w:hideMark/>
          </w:tcPr>
          <w:p w14:paraId="77740965" w14:textId="20C6C4E2" w:rsidR="000859AF" w:rsidRPr="003A5CBD" w:rsidRDefault="000859AF" w:rsidP="0071249E">
            <w:pPr>
              <w:spacing w:after="0" w:line="240" w:lineRule="auto"/>
              <w:jc w:val="center"/>
              <w:rPr>
                <w:rFonts w:eastAsia="Times New Roman"/>
                <w:color w:val="000000"/>
                <w:lang w:eastAsia="ru-RU"/>
              </w:rPr>
            </w:pPr>
          </w:p>
        </w:tc>
      </w:tr>
      <w:tr w:rsidR="000859AF" w:rsidRPr="003A5CBD" w14:paraId="325B74A1" w14:textId="77777777" w:rsidTr="008A7500">
        <w:trPr>
          <w:trHeight w:val="80"/>
        </w:trPr>
        <w:tc>
          <w:tcPr>
            <w:tcW w:w="1689" w:type="dxa"/>
            <w:tcBorders>
              <w:top w:val="nil"/>
              <w:left w:val="single" w:sz="8" w:space="0" w:color="auto"/>
              <w:bottom w:val="nil"/>
              <w:right w:val="nil"/>
            </w:tcBorders>
            <w:shd w:val="clear" w:color="auto" w:fill="auto"/>
            <w:vAlign w:val="center"/>
            <w:hideMark/>
          </w:tcPr>
          <w:p w14:paraId="4E27E2DF"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6B375961"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0,3</w:t>
            </w:r>
          </w:p>
        </w:tc>
        <w:tc>
          <w:tcPr>
            <w:tcW w:w="2830" w:type="dxa"/>
            <w:tcBorders>
              <w:top w:val="nil"/>
              <w:left w:val="single" w:sz="8" w:space="0" w:color="auto"/>
              <w:bottom w:val="nil"/>
              <w:right w:val="nil"/>
            </w:tcBorders>
            <w:shd w:val="clear" w:color="auto" w:fill="auto"/>
            <w:vAlign w:val="center"/>
            <w:hideMark/>
          </w:tcPr>
          <w:p w14:paraId="456CCC4F" w14:textId="498316F1" w:rsidR="000859AF" w:rsidRPr="003A5CBD" w:rsidRDefault="000859AF" w:rsidP="0071249E">
            <w:pPr>
              <w:spacing w:after="0" w:line="240" w:lineRule="auto"/>
              <w:jc w:val="center"/>
              <w:rPr>
                <w:rFonts w:eastAsia="Times New Roman"/>
                <w:color w:val="000000"/>
                <w:lang w:eastAsia="ru-RU"/>
              </w:rPr>
            </w:pPr>
          </w:p>
        </w:tc>
        <w:tc>
          <w:tcPr>
            <w:tcW w:w="2212" w:type="dxa"/>
            <w:gridSpan w:val="2"/>
            <w:tcBorders>
              <w:top w:val="nil"/>
              <w:left w:val="single" w:sz="8" w:space="0" w:color="auto"/>
              <w:bottom w:val="nil"/>
              <w:right w:val="single" w:sz="8" w:space="0" w:color="000000"/>
            </w:tcBorders>
            <w:shd w:val="clear" w:color="auto" w:fill="auto"/>
            <w:vAlign w:val="center"/>
            <w:hideMark/>
          </w:tcPr>
          <w:p w14:paraId="79E6C617" w14:textId="77777777" w:rsidR="000859AF" w:rsidRPr="003A5CBD" w:rsidRDefault="000859AF" w:rsidP="000859AF">
            <w:pPr>
              <w:spacing w:after="0" w:line="240" w:lineRule="auto"/>
              <w:jc w:val="right"/>
              <w:rPr>
                <w:rFonts w:eastAsia="Times New Roman"/>
                <w:b/>
                <w:bCs/>
                <w:color w:val="000000"/>
                <w:lang w:eastAsia="ru-RU"/>
              </w:rPr>
            </w:pPr>
            <w:r w:rsidRPr="003A5CBD">
              <w:rPr>
                <w:rFonts w:eastAsia="Times New Roman"/>
                <w:b/>
                <w:bCs/>
                <w:color w:val="000000"/>
                <w:lang w:eastAsia="ru-RU" w:bidi="en-US"/>
              </w:rPr>
              <w:t>226</w:t>
            </w:r>
          </w:p>
        </w:tc>
        <w:tc>
          <w:tcPr>
            <w:tcW w:w="1763" w:type="dxa"/>
            <w:tcBorders>
              <w:top w:val="nil"/>
              <w:left w:val="nil"/>
              <w:bottom w:val="nil"/>
              <w:right w:val="single" w:sz="8" w:space="0" w:color="auto"/>
            </w:tcBorders>
            <w:shd w:val="clear" w:color="auto" w:fill="auto"/>
            <w:vAlign w:val="center"/>
            <w:hideMark/>
          </w:tcPr>
          <w:p w14:paraId="254A66EE"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0,86</w:t>
            </w:r>
          </w:p>
        </w:tc>
      </w:tr>
      <w:tr w:rsidR="000859AF" w:rsidRPr="003A5CBD" w14:paraId="7AD6F4E0" w14:textId="77777777" w:rsidTr="008A7500">
        <w:trPr>
          <w:trHeight w:val="20"/>
        </w:trPr>
        <w:tc>
          <w:tcPr>
            <w:tcW w:w="1689" w:type="dxa"/>
            <w:tcBorders>
              <w:top w:val="nil"/>
              <w:left w:val="single" w:sz="8" w:space="0" w:color="auto"/>
              <w:bottom w:val="nil"/>
              <w:right w:val="nil"/>
            </w:tcBorders>
            <w:shd w:val="clear" w:color="auto" w:fill="auto"/>
            <w:vAlign w:val="center"/>
            <w:hideMark/>
          </w:tcPr>
          <w:p w14:paraId="799618DB"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c>
          <w:tcPr>
            <w:tcW w:w="862" w:type="dxa"/>
            <w:tcBorders>
              <w:top w:val="nil"/>
              <w:left w:val="single" w:sz="8" w:space="0" w:color="auto"/>
              <w:bottom w:val="nil"/>
              <w:right w:val="nil"/>
            </w:tcBorders>
            <w:shd w:val="clear" w:color="auto" w:fill="auto"/>
            <w:vAlign w:val="center"/>
            <w:hideMark/>
          </w:tcPr>
          <w:p w14:paraId="0E4477A2"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0,9</w:t>
            </w:r>
          </w:p>
        </w:tc>
        <w:tc>
          <w:tcPr>
            <w:tcW w:w="2830" w:type="dxa"/>
            <w:tcBorders>
              <w:top w:val="nil"/>
              <w:left w:val="single" w:sz="8" w:space="0" w:color="auto"/>
              <w:bottom w:val="nil"/>
              <w:right w:val="nil"/>
            </w:tcBorders>
            <w:shd w:val="clear" w:color="auto" w:fill="auto"/>
            <w:vAlign w:val="center"/>
            <w:hideMark/>
          </w:tcPr>
          <w:p w14:paraId="73AE2EE1" w14:textId="77777777" w:rsidR="000859AF" w:rsidRPr="003A5CBD" w:rsidRDefault="000859AF" w:rsidP="0071249E">
            <w:pPr>
              <w:spacing w:after="0" w:line="240" w:lineRule="auto"/>
              <w:jc w:val="center"/>
              <w:rPr>
                <w:rFonts w:eastAsia="Times New Roman"/>
                <w:color w:val="000000"/>
                <w:lang w:eastAsia="ru-RU"/>
              </w:rPr>
            </w:pPr>
            <w:r w:rsidRPr="003A5CBD">
              <w:rPr>
                <w:rFonts w:eastAsia="Times New Roman"/>
                <w:color w:val="000000"/>
                <w:lang w:eastAsia="ru-RU" w:bidi="en-US"/>
              </w:rPr>
              <w:t>-39</w:t>
            </w:r>
          </w:p>
        </w:tc>
        <w:tc>
          <w:tcPr>
            <w:tcW w:w="2212" w:type="dxa"/>
            <w:gridSpan w:val="2"/>
            <w:tcBorders>
              <w:top w:val="nil"/>
              <w:left w:val="single" w:sz="8" w:space="0" w:color="auto"/>
              <w:bottom w:val="nil"/>
              <w:right w:val="single" w:sz="8" w:space="0" w:color="000000"/>
            </w:tcBorders>
            <w:shd w:val="clear" w:color="auto" w:fill="auto"/>
            <w:vAlign w:val="center"/>
            <w:hideMark/>
          </w:tcPr>
          <w:p w14:paraId="7C49744E" w14:textId="77777777" w:rsidR="000859AF" w:rsidRPr="003A5CBD" w:rsidRDefault="000859AF" w:rsidP="000859AF">
            <w:pPr>
              <w:spacing w:after="0" w:line="240" w:lineRule="auto"/>
              <w:jc w:val="right"/>
              <w:rPr>
                <w:rFonts w:eastAsia="Times New Roman"/>
                <w:color w:val="000000"/>
                <w:lang w:eastAsia="ru-RU"/>
              </w:rPr>
            </w:pPr>
            <w:r w:rsidRPr="003A5CBD">
              <w:rPr>
                <w:rFonts w:eastAsia="Times New Roman"/>
                <w:color w:val="000000"/>
                <w:lang w:eastAsia="ru-RU" w:bidi="en-US"/>
              </w:rPr>
              <w:t>706</w:t>
            </w:r>
          </w:p>
        </w:tc>
        <w:tc>
          <w:tcPr>
            <w:tcW w:w="1763" w:type="dxa"/>
            <w:tcBorders>
              <w:top w:val="nil"/>
              <w:left w:val="nil"/>
              <w:bottom w:val="nil"/>
              <w:right w:val="single" w:sz="8" w:space="0" w:color="auto"/>
            </w:tcBorders>
            <w:shd w:val="clear" w:color="auto" w:fill="auto"/>
            <w:vAlign w:val="center"/>
            <w:hideMark/>
          </w:tcPr>
          <w:p w14:paraId="28FFDD3B" w14:textId="77777777" w:rsidR="000859AF" w:rsidRPr="003A5CBD" w:rsidRDefault="000859AF" w:rsidP="000859AF">
            <w:pPr>
              <w:spacing w:after="0" w:line="240" w:lineRule="auto"/>
              <w:jc w:val="left"/>
              <w:rPr>
                <w:rFonts w:eastAsia="Times New Roman"/>
                <w:color w:val="000000"/>
                <w:lang w:eastAsia="ru-RU"/>
              </w:rPr>
            </w:pPr>
            <w:r w:rsidRPr="003A5CBD">
              <w:rPr>
                <w:rFonts w:eastAsia="Times New Roman"/>
                <w:color w:val="000000"/>
                <w:lang w:eastAsia="ru-RU" w:bidi="en-US"/>
              </w:rPr>
              <w:t> </w:t>
            </w:r>
          </w:p>
        </w:tc>
      </w:tr>
      <w:tr w:rsidR="000859AF" w:rsidRPr="003A5CBD" w14:paraId="13D0F3B6" w14:textId="77777777" w:rsidTr="008A7500">
        <w:trPr>
          <w:trHeight w:val="20"/>
        </w:trPr>
        <w:tc>
          <w:tcPr>
            <w:tcW w:w="9356" w:type="dxa"/>
            <w:gridSpan w:val="6"/>
            <w:tcBorders>
              <w:top w:val="single" w:sz="4" w:space="0" w:color="auto"/>
              <w:left w:val="single" w:sz="4" w:space="0" w:color="auto"/>
              <w:bottom w:val="single" w:sz="4" w:space="0" w:color="auto"/>
              <w:right w:val="single" w:sz="4" w:space="0" w:color="auto"/>
            </w:tcBorders>
            <w:shd w:val="clear" w:color="auto" w:fill="auto"/>
            <w:hideMark/>
          </w:tcPr>
          <w:p w14:paraId="237D2A6A" w14:textId="77777777" w:rsidR="000859AF" w:rsidRPr="003A5CBD" w:rsidRDefault="000859AF" w:rsidP="000859AF">
            <w:pPr>
              <w:spacing w:after="0" w:line="240" w:lineRule="auto"/>
              <w:jc w:val="left"/>
              <w:rPr>
                <w:rFonts w:eastAsia="Times New Roman"/>
                <w:color w:val="000000"/>
                <w:sz w:val="20"/>
                <w:szCs w:val="20"/>
                <w:lang w:eastAsia="ru-RU"/>
              </w:rPr>
            </w:pPr>
            <w:r w:rsidRPr="003A5CBD">
              <w:rPr>
                <w:rFonts w:eastAsia="Times New Roman"/>
                <w:b/>
                <w:color w:val="000000"/>
                <w:sz w:val="20"/>
                <w:szCs w:val="20"/>
                <w:lang w:eastAsia="ru-RU" w:bidi="en-US"/>
              </w:rPr>
              <w:t>Примечание:</w:t>
            </w:r>
            <w:r w:rsidRPr="003A5CBD">
              <w:rPr>
                <w:rFonts w:eastAsia="Times New Roman"/>
                <w:color w:val="000000"/>
                <w:sz w:val="20"/>
                <w:szCs w:val="20"/>
                <w:lang w:eastAsia="ru-RU" w:bidi="en-US"/>
              </w:rPr>
              <w:br/>
              <w:t xml:space="preserve">эспозиция при NOAEL </w:t>
            </w:r>
            <w:r w:rsidRPr="003A5CBD">
              <w:rPr>
                <w:rFonts w:eastAsia="Times New Roman"/>
                <w:b/>
                <w:color w:val="000000"/>
                <w:sz w:val="20"/>
                <w:szCs w:val="20"/>
                <w:lang w:eastAsia="ru-RU" w:bidi="en-US"/>
              </w:rPr>
              <w:t>жирным шрифтом</w:t>
            </w:r>
          </w:p>
        </w:tc>
      </w:tr>
    </w:tbl>
    <w:p w14:paraId="5222405E" w14:textId="77777777" w:rsidR="000859AF" w:rsidRPr="00AE36E3" w:rsidRDefault="000859AF" w:rsidP="000859AF">
      <w:pPr>
        <w:spacing w:after="0" w:line="240" w:lineRule="auto"/>
        <w:rPr>
          <w:highlight w:val="yellow"/>
        </w:rPr>
      </w:pPr>
    </w:p>
    <w:p w14:paraId="070C3948" w14:textId="77777777" w:rsidR="000859AF" w:rsidRPr="000859AF" w:rsidRDefault="000859AF" w:rsidP="000859AF">
      <w:pPr>
        <w:pStyle w:val="3"/>
        <w:spacing w:before="0" w:after="240" w:line="240" w:lineRule="auto"/>
        <w:rPr>
          <w:rStyle w:val="apple-converted-space"/>
          <w:rFonts w:ascii="Times New Roman" w:eastAsia="Calibri" w:hAnsi="Times New Roman"/>
          <w:bCs w:val="0"/>
          <w:color w:val="000000" w:themeColor="text1"/>
          <w:shd w:val="clear" w:color="auto" w:fill="FFFFFF"/>
        </w:rPr>
      </w:pPr>
      <w:bookmarkStart w:id="217" w:name="_Toc115217951"/>
      <w:bookmarkStart w:id="218" w:name="_Toc118124186"/>
      <w:bookmarkStart w:id="219" w:name="_Toc119313755"/>
      <w:bookmarkEnd w:id="213"/>
      <w:r w:rsidRPr="000859AF">
        <w:rPr>
          <w:rFonts w:ascii="Times New Roman" w:hAnsi="Times New Roman"/>
          <w:color w:val="000000" w:themeColor="text1"/>
        </w:rPr>
        <w:t>3.3.3.</w:t>
      </w:r>
      <w:bookmarkStart w:id="220" w:name="_Toc477355751"/>
      <w:r w:rsidRPr="000859AF">
        <w:rPr>
          <w:rFonts w:ascii="Times New Roman" w:hAnsi="Times New Roman"/>
          <w:color w:val="000000" w:themeColor="text1"/>
        </w:rPr>
        <w:t xml:space="preserve"> </w:t>
      </w:r>
      <w:r w:rsidRPr="000859AF">
        <w:rPr>
          <w:rStyle w:val="apple-converted-space"/>
          <w:rFonts w:ascii="Times New Roman" w:eastAsia="Calibri" w:hAnsi="Times New Roman"/>
          <w:bCs w:val="0"/>
          <w:color w:val="000000" w:themeColor="text1"/>
          <w:shd w:val="clear" w:color="auto" w:fill="FFFFFF"/>
        </w:rPr>
        <w:t>Генотоксичность</w:t>
      </w:r>
      <w:bookmarkEnd w:id="217"/>
      <w:bookmarkEnd w:id="218"/>
      <w:bookmarkEnd w:id="219"/>
      <w:bookmarkEnd w:id="220"/>
    </w:p>
    <w:p w14:paraId="7AFE3E8B" w14:textId="77777777" w:rsidR="000859AF" w:rsidRPr="00F918EE" w:rsidRDefault="000859AF" w:rsidP="000859AF">
      <w:pPr>
        <w:spacing w:line="240" w:lineRule="auto"/>
        <w:ind w:firstLine="709"/>
        <w:contextualSpacing/>
        <w:rPr>
          <w:lang w:bidi="en-US"/>
        </w:rPr>
      </w:pPr>
      <w:bookmarkStart w:id="221" w:name="_Toc477355752"/>
      <w:r w:rsidRPr="00F918EE">
        <w:rPr>
          <w:lang w:bidi="en-US"/>
        </w:rPr>
        <w:t xml:space="preserve">Согласно требованиям ICH к серии испытаний на генотоксичность были выполнены исследования как </w:t>
      </w:r>
      <w:r w:rsidRPr="00F918EE">
        <w:rPr>
          <w:i/>
          <w:iCs/>
          <w:lang w:bidi="en-US"/>
        </w:rPr>
        <w:t>in vivo</w:t>
      </w:r>
      <w:r w:rsidRPr="00F918EE">
        <w:rPr>
          <w:lang w:bidi="en-US"/>
        </w:rPr>
        <w:t xml:space="preserve">, так и </w:t>
      </w:r>
      <w:r w:rsidRPr="00F918EE">
        <w:rPr>
          <w:i/>
          <w:iCs/>
          <w:lang w:bidi="en-US"/>
        </w:rPr>
        <w:t>in vitro.</w:t>
      </w:r>
    </w:p>
    <w:p w14:paraId="06B24DF7" w14:textId="77777777" w:rsidR="000859AF" w:rsidRPr="00F918EE" w:rsidRDefault="000859AF" w:rsidP="000859AF">
      <w:pPr>
        <w:spacing w:line="240" w:lineRule="auto"/>
        <w:ind w:firstLine="709"/>
        <w:contextualSpacing/>
        <w:rPr>
          <w:rFonts w:eastAsia="Times New Roman"/>
          <w:color w:val="000000" w:themeColor="text1"/>
          <w:szCs w:val="28"/>
          <w:lang w:eastAsia="ru-RU"/>
        </w:rPr>
      </w:pPr>
      <w:r w:rsidRPr="00F918EE">
        <w:rPr>
          <w:rFonts w:eastAsia="Times New Roman"/>
          <w:color w:val="000000" w:themeColor="text1"/>
          <w:szCs w:val="28"/>
          <w:lang w:eastAsia="ru-RU"/>
        </w:rPr>
        <w:t>Эверолимус не был мутагенным в бактериальном тесте Эймса (</w:t>
      </w:r>
      <w:r w:rsidRPr="00F918EE">
        <w:rPr>
          <w:rFonts w:eastAsia="Times New Roman"/>
          <w:i/>
          <w:color w:val="000000" w:themeColor="text1"/>
          <w:szCs w:val="28"/>
          <w:lang w:eastAsia="ru-RU"/>
        </w:rPr>
        <w:t>Salmonella typhimurium</w:t>
      </w:r>
      <w:r w:rsidRPr="00F918EE">
        <w:rPr>
          <w:rFonts w:eastAsia="Times New Roman"/>
          <w:color w:val="000000" w:themeColor="text1"/>
          <w:szCs w:val="28"/>
          <w:lang w:eastAsia="ru-RU"/>
        </w:rPr>
        <w:t xml:space="preserve"> TA98, TA97a, TA100, TAI02 и TAI535) и не был кластогенным в тесте хромосомных аберраций на клетках китайского хомячка V79 (CHO) в присутствии или в отсутствие метаболической активации. Эверолимус не оказывал мутагенного действия на клетках мышиной лимфомы L5187Y в присутствии или в отсутствие метаболической активации в печени крыс. Пероральное введение эверолимуса в дозе до 500 мг/кг/день не вызывало образования микронуклеуса у мышей.</w:t>
      </w:r>
    </w:p>
    <w:p w14:paraId="0165ACC3" w14:textId="5A9D41BC" w:rsidR="000859AF" w:rsidRDefault="000859AF" w:rsidP="000859AF">
      <w:pPr>
        <w:spacing w:line="240" w:lineRule="auto"/>
        <w:ind w:firstLine="709"/>
        <w:contextualSpacing/>
        <w:rPr>
          <w:rFonts w:eastAsia="Times New Roman"/>
          <w:color w:val="000000" w:themeColor="text1"/>
          <w:szCs w:val="28"/>
          <w:lang w:eastAsia="ru-RU"/>
        </w:rPr>
      </w:pPr>
      <w:r w:rsidRPr="00F918EE">
        <w:rPr>
          <w:lang w:bidi="en-US"/>
        </w:rPr>
        <w:t>Результаты исследований генотоксичности представлены в</w:t>
      </w:r>
      <w:r>
        <w:rPr>
          <w:lang w:bidi="en-US"/>
        </w:rPr>
        <w:t xml:space="preserve"> </w:t>
      </w:r>
      <w:r w:rsidRPr="00F918EE">
        <w:rPr>
          <w:lang w:bidi="en-US"/>
        </w:rPr>
        <w:t>таблице 3-6.</w:t>
      </w:r>
      <w:r>
        <w:rPr>
          <w:rFonts w:eastAsia="Times New Roman"/>
          <w:color w:val="000000" w:themeColor="text1"/>
          <w:szCs w:val="28"/>
          <w:lang w:eastAsia="ru-RU"/>
        </w:rPr>
        <w:t xml:space="preserve"> </w:t>
      </w:r>
      <w:r w:rsidRPr="00F918EE">
        <w:rPr>
          <w:rFonts w:eastAsia="Times New Roman"/>
          <w:color w:val="000000" w:themeColor="text1"/>
          <w:szCs w:val="28"/>
          <w:lang w:eastAsia="ru-RU"/>
        </w:rPr>
        <w:t>Основываясь на отрицательных результатах этих исследований, можно сделать вывод об отсутствии гентоксичности эверолимуса [</w:t>
      </w:r>
      <w:r w:rsidRPr="00693820">
        <w:rPr>
          <w:rFonts w:eastAsia="Times New Roman"/>
          <w:color w:val="000000" w:themeColor="text1"/>
          <w:szCs w:val="28"/>
          <w:lang w:eastAsia="ru-RU"/>
        </w:rPr>
        <w:t>6</w:t>
      </w:r>
      <w:r w:rsidRPr="00F918EE">
        <w:rPr>
          <w:rFonts w:eastAsia="Times New Roman"/>
          <w:color w:val="000000" w:themeColor="text1"/>
          <w:szCs w:val="28"/>
          <w:lang w:eastAsia="ru-RU"/>
        </w:rPr>
        <w:t>].</w:t>
      </w:r>
    </w:p>
    <w:p w14:paraId="34A178E0" w14:textId="77777777" w:rsidR="000859AF" w:rsidRDefault="000859AF" w:rsidP="000859AF">
      <w:pPr>
        <w:spacing w:line="240" w:lineRule="auto"/>
        <w:ind w:firstLine="709"/>
        <w:contextualSpacing/>
        <w:rPr>
          <w:rFonts w:eastAsia="Times New Roman"/>
          <w:color w:val="000000" w:themeColor="text1"/>
          <w:szCs w:val="28"/>
          <w:lang w:eastAsia="ru-RU"/>
        </w:rPr>
      </w:pPr>
    </w:p>
    <w:p w14:paraId="77469EF5" w14:textId="77777777" w:rsidR="008A7500" w:rsidRDefault="008A7500" w:rsidP="000859AF">
      <w:pPr>
        <w:spacing w:line="240" w:lineRule="auto"/>
        <w:contextualSpacing/>
        <w:rPr>
          <w:rFonts w:eastAsia="Times New Roman"/>
          <w:b/>
          <w:color w:val="000000" w:themeColor="text1"/>
          <w:szCs w:val="28"/>
          <w:lang w:eastAsia="ru-RU"/>
        </w:rPr>
        <w:sectPr w:rsidR="008A7500" w:rsidSect="00AB01E2">
          <w:pgSz w:w="11906" w:h="16838"/>
          <w:pgMar w:top="1134" w:right="849" w:bottom="1134" w:left="1701" w:header="708" w:footer="709" w:gutter="0"/>
          <w:cols w:space="708"/>
          <w:docGrid w:linePitch="360"/>
        </w:sectPr>
      </w:pPr>
    </w:p>
    <w:p w14:paraId="31A70085" w14:textId="4C8A78BC" w:rsidR="000859AF" w:rsidRDefault="000859AF" w:rsidP="000859AF">
      <w:pPr>
        <w:spacing w:line="240" w:lineRule="auto"/>
        <w:contextualSpacing/>
        <w:rPr>
          <w:rFonts w:eastAsia="Times New Roman"/>
          <w:color w:val="000000" w:themeColor="text1"/>
          <w:szCs w:val="28"/>
          <w:lang w:eastAsia="ru-RU"/>
        </w:rPr>
      </w:pPr>
      <w:r w:rsidRPr="00F918EE">
        <w:rPr>
          <w:rFonts w:eastAsia="Times New Roman"/>
          <w:b/>
          <w:color w:val="000000" w:themeColor="text1"/>
          <w:szCs w:val="28"/>
          <w:lang w:eastAsia="ru-RU"/>
        </w:rPr>
        <w:lastRenderedPageBreak/>
        <w:t>Таблица 3-6.</w:t>
      </w:r>
      <w:r>
        <w:rPr>
          <w:rFonts w:eastAsia="Times New Roman"/>
          <w:color w:val="000000" w:themeColor="text1"/>
          <w:szCs w:val="28"/>
          <w:lang w:eastAsia="ru-RU"/>
        </w:rPr>
        <w:t xml:space="preserve"> Результаты исследований генотоксичности эверолимуса.</w:t>
      </w:r>
    </w:p>
    <w:tbl>
      <w:tblPr>
        <w:tblOverlap w:val="never"/>
        <w:tblW w:w="5000" w:type="pct"/>
        <w:tblCellMar>
          <w:left w:w="10" w:type="dxa"/>
          <w:right w:w="10" w:type="dxa"/>
        </w:tblCellMar>
        <w:tblLook w:val="0000" w:firstRow="0" w:lastRow="0" w:firstColumn="0" w:lastColumn="0" w:noHBand="0" w:noVBand="0"/>
      </w:tblPr>
      <w:tblGrid>
        <w:gridCol w:w="2397"/>
        <w:gridCol w:w="1552"/>
        <w:gridCol w:w="1021"/>
        <w:gridCol w:w="2404"/>
        <w:gridCol w:w="1972"/>
      </w:tblGrid>
      <w:tr w:rsidR="000859AF" w:rsidRPr="003B7700" w14:paraId="1011F919" w14:textId="77777777" w:rsidTr="000859AF">
        <w:trPr>
          <w:tblHeader/>
        </w:trPr>
        <w:tc>
          <w:tcPr>
            <w:tcW w:w="1286" w:type="pct"/>
            <w:tcBorders>
              <w:top w:val="single" w:sz="4" w:space="0" w:color="auto"/>
              <w:left w:val="single" w:sz="4" w:space="0" w:color="auto"/>
            </w:tcBorders>
            <w:shd w:val="clear" w:color="auto" w:fill="D9D9D9" w:themeFill="background1" w:themeFillShade="D9"/>
          </w:tcPr>
          <w:p w14:paraId="6ECBB6CF" w14:textId="77777777" w:rsidR="000859AF" w:rsidRPr="003E0910" w:rsidRDefault="000859AF" w:rsidP="0071249E">
            <w:pPr>
              <w:spacing w:after="120" w:line="240" w:lineRule="auto"/>
              <w:jc w:val="center"/>
              <w:rPr>
                <w:b/>
                <w:lang w:bidi="en-US"/>
              </w:rPr>
            </w:pPr>
            <w:r w:rsidRPr="003E0910">
              <w:rPr>
                <w:b/>
                <w:lang w:bidi="en-US"/>
              </w:rPr>
              <w:t>Тип исследования</w:t>
            </w:r>
          </w:p>
        </w:tc>
        <w:tc>
          <w:tcPr>
            <w:tcW w:w="834" w:type="pct"/>
            <w:tcBorders>
              <w:top w:val="single" w:sz="4" w:space="0" w:color="auto"/>
              <w:left w:val="single" w:sz="4" w:space="0" w:color="auto"/>
            </w:tcBorders>
            <w:shd w:val="clear" w:color="auto" w:fill="D9D9D9" w:themeFill="background1" w:themeFillShade="D9"/>
          </w:tcPr>
          <w:p w14:paraId="18310625" w14:textId="77777777" w:rsidR="000859AF" w:rsidRPr="003E0910" w:rsidRDefault="000859AF" w:rsidP="0071249E">
            <w:pPr>
              <w:spacing w:after="120" w:line="240" w:lineRule="auto"/>
              <w:jc w:val="center"/>
              <w:rPr>
                <w:b/>
                <w:lang w:bidi="en-US"/>
              </w:rPr>
            </w:pPr>
            <w:r>
              <w:rPr>
                <w:b/>
                <w:lang w:bidi="en-US"/>
              </w:rPr>
              <w:t>В</w:t>
            </w:r>
            <w:r w:rsidRPr="003E0910">
              <w:rPr>
                <w:b/>
                <w:lang w:bidi="en-US"/>
              </w:rPr>
              <w:t>ид</w:t>
            </w:r>
          </w:p>
        </w:tc>
        <w:tc>
          <w:tcPr>
            <w:tcW w:w="531" w:type="pct"/>
            <w:tcBorders>
              <w:top w:val="single" w:sz="4" w:space="0" w:color="auto"/>
              <w:left w:val="single" w:sz="4" w:space="0" w:color="auto"/>
            </w:tcBorders>
            <w:shd w:val="clear" w:color="auto" w:fill="D9D9D9" w:themeFill="background1" w:themeFillShade="D9"/>
          </w:tcPr>
          <w:p w14:paraId="2BC57A8E" w14:textId="77777777" w:rsidR="000859AF" w:rsidRPr="003E0910" w:rsidRDefault="000859AF" w:rsidP="0071249E">
            <w:pPr>
              <w:spacing w:after="120" w:line="240" w:lineRule="auto"/>
              <w:jc w:val="center"/>
              <w:rPr>
                <w:b/>
                <w:lang w:bidi="en-US"/>
              </w:rPr>
            </w:pPr>
            <w:r>
              <w:rPr>
                <w:b/>
                <w:lang w:bidi="en-US"/>
              </w:rPr>
              <w:t>П</w:t>
            </w:r>
            <w:r w:rsidRPr="003E0910">
              <w:rPr>
                <w:b/>
                <w:lang w:bidi="en-US"/>
              </w:rPr>
              <w:t>уть введения</w:t>
            </w:r>
          </w:p>
        </w:tc>
        <w:tc>
          <w:tcPr>
            <w:tcW w:w="1290" w:type="pct"/>
            <w:tcBorders>
              <w:top w:val="single" w:sz="4" w:space="0" w:color="auto"/>
              <w:left w:val="single" w:sz="4" w:space="0" w:color="auto"/>
            </w:tcBorders>
            <w:shd w:val="clear" w:color="auto" w:fill="D9D9D9" w:themeFill="background1" w:themeFillShade="D9"/>
          </w:tcPr>
          <w:p w14:paraId="51FB6D81" w14:textId="77777777" w:rsidR="000859AF" w:rsidRPr="003E0910" w:rsidRDefault="000859AF" w:rsidP="0071249E">
            <w:pPr>
              <w:spacing w:after="120" w:line="240" w:lineRule="auto"/>
              <w:jc w:val="center"/>
              <w:rPr>
                <w:b/>
                <w:lang w:bidi="en-US"/>
              </w:rPr>
            </w:pPr>
            <w:r>
              <w:rPr>
                <w:b/>
                <w:lang w:bidi="en-US"/>
              </w:rPr>
              <w:t>Д</w:t>
            </w:r>
            <w:r w:rsidRPr="003E0910">
              <w:rPr>
                <w:b/>
                <w:lang w:bidi="en-US"/>
              </w:rPr>
              <w:t>оза</w:t>
            </w:r>
          </w:p>
        </w:tc>
        <w:tc>
          <w:tcPr>
            <w:tcW w:w="1060" w:type="pct"/>
            <w:tcBorders>
              <w:top w:val="single" w:sz="4" w:space="0" w:color="auto"/>
              <w:left w:val="single" w:sz="4" w:space="0" w:color="auto"/>
              <w:right w:val="single" w:sz="4" w:space="0" w:color="auto"/>
            </w:tcBorders>
            <w:shd w:val="clear" w:color="auto" w:fill="D9D9D9" w:themeFill="background1" w:themeFillShade="D9"/>
          </w:tcPr>
          <w:p w14:paraId="35A4D87D" w14:textId="77777777" w:rsidR="000859AF" w:rsidRPr="003E0910" w:rsidRDefault="000859AF" w:rsidP="0071249E">
            <w:pPr>
              <w:spacing w:after="120" w:line="240" w:lineRule="auto"/>
              <w:jc w:val="center"/>
              <w:rPr>
                <w:b/>
                <w:lang w:bidi="en-US"/>
              </w:rPr>
            </w:pPr>
            <w:r w:rsidRPr="003E0910">
              <w:rPr>
                <w:b/>
                <w:lang w:bidi="en-US"/>
              </w:rPr>
              <w:t>Исход</w:t>
            </w:r>
          </w:p>
        </w:tc>
      </w:tr>
      <w:tr w:rsidR="000859AF" w:rsidRPr="003B7700" w14:paraId="75CC69F2" w14:textId="77777777" w:rsidTr="0071249E">
        <w:tc>
          <w:tcPr>
            <w:tcW w:w="1286" w:type="pct"/>
            <w:tcBorders>
              <w:top w:val="single" w:sz="4" w:space="0" w:color="auto"/>
              <w:left w:val="single" w:sz="4" w:space="0" w:color="auto"/>
            </w:tcBorders>
            <w:shd w:val="clear" w:color="auto" w:fill="auto"/>
          </w:tcPr>
          <w:p w14:paraId="1C8DE4B7" w14:textId="77777777" w:rsidR="000859AF" w:rsidRPr="003B7700" w:rsidRDefault="000859AF" w:rsidP="000859AF">
            <w:pPr>
              <w:spacing w:after="120" w:line="240" w:lineRule="auto"/>
              <w:rPr>
                <w:lang w:bidi="en-US"/>
              </w:rPr>
            </w:pPr>
            <w:r>
              <w:rPr>
                <w:lang w:bidi="en-US"/>
              </w:rPr>
              <w:t>Анализ</w:t>
            </w:r>
            <w:r w:rsidRPr="003B7700">
              <w:rPr>
                <w:lang w:bidi="en-US"/>
              </w:rPr>
              <w:t xml:space="preserve"> обратных мутаций бактерий </w:t>
            </w:r>
            <w:r w:rsidRPr="003B7700">
              <w:rPr>
                <w:i/>
                <w:lang w:bidi="en-US"/>
              </w:rPr>
              <w:t>in vitro</w:t>
            </w:r>
            <w:r w:rsidRPr="003B7700">
              <w:rPr>
                <w:lang w:bidi="en-US"/>
              </w:rPr>
              <w:t xml:space="preserve"> (тест Эймса)</w:t>
            </w:r>
          </w:p>
        </w:tc>
        <w:tc>
          <w:tcPr>
            <w:tcW w:w="834" w:type="pct"/>
            <w:tcBorders>
              <w:top w:val="single" w:sz="4" w:space="0" w:color="auto"/>
              <w:left w:val="single" w:sz="4" w:space="0" w:color="auto"/>
            </w:tcBorders>
            <w:shd w:val="clear" w:color="auto" w:fill="auto"/>
            <w:vAlign w:val="center"/>
          </w:tcPr>
          <w:p w14:paraId="0A8BEF8A" w14:textId="77777777" w:rsidR="000859AF" w:rsidRPr="0071249E" w:rsidRDefault="000859AF" w:rsidP="0071249E">
            <w:pPr>
              <w:spacing w:after="120" w:line="240" w:lineRule="auto"/>
              <w:jc w:val="center"/>
              <w:rPr>
                <w:i/>
                <w:lang w:bidi="en-US"/>
              </w:rPr>
            </w:pPr>
            <w:r w:rsidRPr="0071249E">
              <w:rPr>
                <w:i/>
                <w:lang w:bidi="en-US"/>
              </w:rPr>
              <w:t>S. typhimurium</w:t>
            </w:r>
          </w:p>
        </w:tc>
        <w:tc>
          <w:tcPr>
            <w:tcW w:w="531" w:type="pct"/>
            <w:tcBorders>
              <w:top w:val="single" w:sz="4" w:space="0" w:color="auto"/>
              <w:left w:val="single" w:sz="4" w:space="0" w:color="auto"/>
            </w:tcBorders>
            <w:shd w:val="clear" w:color="auto" w:fill="auto"/>
            <w:vAlign w:val="center"/>
          </w:tcPr>
          <w:p w14:paraId="3571374F" w14:textId="77777777" w:rsidR="000859AF" w:rsidRPr="0071249E" w:rsidRDefault="000859AF" w:rsidP="0071249E">
            <w:pPr>
              <w:spacing w:after="120" w:line="240" w:lineRule="auto"/>
              <w:jc w:val="center"/>
              <w:rPr>
                <w:i/>
                <w:lang w:bidi="en-US"/>
              </w:rPr>
            </w:pPr>
            <w:r w:rsidRPr="0071249E">
              <w:rPr>
                <w:i/>
                <w:lang w:bidi="en-US"/>
              </w:rPr>
              <w:t>In vitro</w:t>
            </w:r>
          </w:p>
        </w:tc>
        <w:tc>
          <w:tcPr>
            <w:tcW w:w="1290" w:type="pct"/>
            <w:tcBorders>
              <w:top w:val="single" w:sz="4" w:space="0" w:color="auto"/>
              <w:left w:val="single" w:sz="4" w:space="0" w:color="auto"/>
            </w:tcBorders>
            <w:shd w:val="clear" w:color="auto" w:fill="auto"/>
            <w:vAlign w:val="center"/>
          </w:tcPr>
          <w:p w14:paraId="536391B0" w14:textId="5DEFBC3C" w:rsidR="000859AF" w:rsidRPr="003B7700" w:rsidRDefault="000859AF" w:rsidP="0071249E">
            <w:pPr>
              <w:spacing w:after="120" w:line="240" w:lineRule="auto"/>
              <w:jc w:val="center"/>
              <w:rPr>
                <w:lang w:bidi="en-US"/>
              </w:rPr>
            </w:pPr>
            <w:r w:rsidRPr="003B7700">
              <w:rPr>
                <w:lang w:bidi="en-US"/>
              </w:rPr>
              <w:t>8-5000  г/чашка, +/- S9</w:t>
            </w:r>
          </w:p>
        </w:tc>
        <w:tc>
          <w:tcPr>
            <w:tcW w:w="1060" w:type="pct"/>
            <w:tcBorders>
              <w:top w:val="single" w:sz="4" w:space="0" w:color="auto"/>
              <w:left w:val="single" w:sz="4" w:space="0" w:color="auto"/>
              <w:right w:val="single" w:sz="4" w:space="0" w:color="auto"/>
            </w:tcBorders>
            <w:shd w:val="clear" w:color="auto" w:fill="auto"/>
            <w:vAlign w:val="center"/>
          </w:tcPr>
          <w:p w14:paraId="2DD8EB6C" w14:textId="77777777" w:rsidR="000859AF" w:rsidRPr="003B7700" w:rsidRDefault="000859AF" w:rsidP="0071249E">
            <w:pPr>
              <w:spacing w:after="120" w:line="240" w:lineRule="auto"/>
              <w:jc w:val="center"/>
              <w:rPr>
                <w:lang w:bidi="en-US"/>
              </w:rPr>
            </w:pPr>
            <w:r w:rsidRPr="003B7700">
              <w:rPr>
                <w:lang w:bidi="en-US"/>
              </w:rPr>
              <w:t>отрицательный результат</w:t>
            </w:r>
          </w:p>
        </w:tc>
      </w:tr>
      <w:tr w:rsidR="000859AF" w:rsidRPr="003B7700" w14:paraId="4940B9F3" w14:textId="77777777" w:rsidTr="0071249E">
        <w:tc>
          <w:tcPr>
            <w:tcW w:w="1286" w:type="pct"/>
            <w:tcBorders>
              <w:top w:val="single" w:sz="4" w:space="0" w:color="auto"/>
              <w:left w:val="single" w:sz="4" w:space="0" w:color="auto"/>
            </w:tcBorders>
            <w:shd w:val="clear" w:color="auto" w:fill="auto"/>
          </w:tcPr>
          <w:p w14:paraId="3E094F57" w14:textId="77777777" w:rsidR="000859AF" w:rsidRPr="003B7700" w:rsidRDefault="000859AF" w:rsidP="000859AF">
            <w:pPr>
              <w:spacing w:after="120" w:line="240" w:lineRule="auto"/>
              <w:rPr>
                <w:lang w:bidi="en-US"/>
              </w:rPr>
            </w:pPr>
            <w:r w:rsidRPr="003B7700">
              <w:rPr>
                <w:lang w:bidi="en-US"/>
              </w:rPr>
              <w:t xml:space="preserve">Тест на клетках лимфомы </w:t>
            </w:r>
            <w:r>
              <w:rPr>
                <w:lang w:bidi="en-US"/>
              </w:rPr>
              <w:t>млекопитающих (</w:t>
            </w:r>
            <w:r w:rsidRPr="003B7700">
              <w:rPr>
                <w:lang w:bidi="en-US"/>
              </w:rPr>
              <w:t>мышей</w:t>
            </w:r>
            <w:r>
              <w:rPr>
                <w:lang w:bidi="en-US"/>
              </w:rPr>
              <w:t>)</w:t>
            </w:r>
            <w:r w:rsidRPr="003B7700">
              <w:rPr>
                <w:lang w:bidi="en-US"/>
              </w:rPr>
              <w:t xml:space="preserve"> </w:t>
            </w:r>
            <w:r w:rsidRPr="003B7700">
              <w:rPr>
                <w:i/>
                <w:lang w:bidi="en-US"/>
              </w:rPr>
              <w:t>in vitro</w:t>
            </w:r>
            <w:r w:rsidRPr="003B7700">
              <w:rPr>
                <w:lang w:bidi="en-US"/>
              </w:rPr>
              <w:t>, клетки L5178Y</w:t>
            </w:r>
          </w:p>
        </w:tc>
        <w:tc>
          <w:tcPr>
            <w:tcW w:w="834" w:type="pct"/>
            <w:tcBorders>
              <w:top w:val="single" w:sz="4" w:space="0" w:color="auto"/>
              <w:left w:val="single" w:sz="4" w:space="0" w:color="auto"/>
            </w:tcBorders>
            <w:shd w:val="clear" w:color="auto" w:fill="auto"/>
            <w:vAlign w:val="center"/>
          </w:tcPr>
          <w:p w14:paraId="0635A223" w14:textId="77777777" w:rsidR="000859AF" w:rsidRPr="003B7700" w:rsidRDefault="000859AF" w:rsidP="0071249E">
            <w:pPr>
              <w:spacing w:after="120" w:line="240" w:lineRule="auto"/>
              <w:jc w:val="center"/>
              <w:rPr>
                <w:lang w:bidi="en-US"/>
              </w:rPr>
            </w:pPr>
            <w:r w:rsidRPr="003B7700">
              <w:rPr>
                <w:lang w:bidi="en-US"/>
              </w:rPr>
              <w:t>----</w:t>
            </w:r>
          </w:p>
        </w:tc>
        <w:tc>
          <w:tcPr>
            <w:tcW w:w="531" w:type="pct"/>
            <w:tcBorders>
              <w:top w:val="single" w:sz="4" w:space="0" w:color="auto"/>
              <w:left w:val="single" w:sz="4" w:space="0" w:color="auto"/>
            </w:tcBorders>
            <w:shd w:val="clear" w:color="auto" w:fill="auto"/>
            <w:vAlign w:val="center"/>
          </w:tcPr>
          <w:p w14:paraId="5299D0E9" w14:textId="77777777" w:rsidR="000859AF" w:rsidRPr="0071249E" w:rsidRDefault="000859AF" w:rsidP="0071249E">
            <w:pPr>
              <w:spacing w:after="120" w:line="240" w:lineRule="auto"/>
              <w:jc w:val="center"/>
              <w:rPr>
                <w:i/>
                <w:lang w:bidi="en-US"/>
              </w:rPr>
            </w:pPr>
            <w:r w:rsidRPr="0071249E">
              <w:rPr>
                <w:i/>
                <w:lang w:bidi="en-US"/>
              </w:rPr>
              <w:t>In vitro</w:t>
            </w:r>
          </w:p>
        </w:tc>
        <w:tc>
          <w:tcPr>
            <w:tcW w:w="1290" w:type="pct"/>
            <w:tcBorders>
              <w:top w:val="single" w:sz="4" w:space="0" w:color="auto"/>
              <w:left w:val="single" w:sz="4" w:space="0" w:color="auto"/>
            </w:tcBorders>
            <w:shd w:val="clear" w:color="auto" w:fill="auto"/>
            <w:vAlign w:val="center"/>
          </w:tcPr>
          <w:p w14:paraId="71F05D53" w14:textId="51153C10" w:rsidR="000859AF" w:rsidRPr="003B7700" w:rsidRDefault="000859AF" w:rsidP="0071249E">
            <w:pPr>
              <w:spacing w:after="120" w:line="240" w:lineRule="auto"/>
              <w:jc w:val="center"/>
              <w:rPr>
                <w:lang w:bidi="en-US"/>
              </w:rPr>
            </w:pPr>
            <w:r w:rsidRPr="003B7700">
              <w:rPr>
                <w:lang w:bidi="en-US"/>
              </w:rPr>
              <w:t>7,5-90  г/мл, +/- S9</w:t>
            </w:r>
          </w:p>
          <w:p w14:paraId="2D391B76" w14:textId="36AE0BBA" w:rsidR="000859AF" w:rsidRPr="003B7700" w:rsidRDefault="000859AF" w:rsidP="0071249E">
            <w:pPr>
              <w:spacing w:after="120" w:line="240" w:lineRule="auto"/>
              <w:jc w:val="center"/>
              <w:rPr>
                <w:lang w:bidi="en-US"/>
              </w:rPr>
            </w:pPr>
            <w:r w:rsidRPr="003B7700">
              <w:rPr>
                <w:lang w:bidi="en-US"/>
              </w:rPr>
              <w:t>15-120  г/мл, +/- S9</w:t>
            </w:r>
          </w:p>
        </w:tc>
        <w:tc>
          <w:tcPr>
            <w:tcW w:w="1060" w:type="pct"/>
            <w:tcBorders>
              <w:top w:val="single" w:sz="4" w:space="0" w:color="auto"/>
              <w:left w:val="single" w:sz="4" w:space="0" w:color="auto"/>
              <w:right w:val="single" w:sz="4" w:space="0" w:color="auto"/>
            </w:tcBorders>
            <w:shd w:val="clear" w:color="auto" w:fill="auto"/>
            <w:vAlign w:val="center"/>
          </w:tcPr>
          <w:p w14:paraId="02DF3D56" w14:textId="77777777" w:rsidR="000859AF" w:rsidRPr="003B7700" w:rsidRDefault="000859AF" w:rsidP="0071249E">
            <w:pPr>
              <w:spacing w:after="120" w:line="240" w:lineRule="auto"/>
              <w:jc w:val="center"/>
              <w:rPr>
                <w:lang w:bidi="en-US"/>
              </w:rPr>
            </w:pPr>
            <w:r>
              <w:rPr>
                <w:lang w:bidi="en-US"/>
              </w:rPr>
              <w:t>о</w:t>
            </w:r>
            <w:r w:rsidRPr="003B7700">
              <w:rPr>
                <w:lang w:bidi="en-US"/>
              </w:rPr>
              <w:t>трицательный результат</w:t>
            </w:r>
          </w:p>
        </w:tc>
      </w:tr>
      <w:tr w:rsidR="000859AF" w:rsidRPr="003B7700" w14:paraId="6A54E8C5" w14:textId="77777777" w:rsidTr="0071249E">
        <w:trPr>
          <w:trHeight w:val="677"/>
        </w:trPr>
        <w:tc>
          <w:tcPr>
            <w:tcW w:w="1286" w:type="pct"/>
            <w:tcBorders>
              <w:top w:val="single" w:sz="4" w:space="0" w:color="auto"/>
              <w:left w:val="single" w:sz="4" w:space="0" w:color="auto"/>
            </w:tcBorders>
            <w:shd w:val="clear" w:color="auto" w:fill="auto"/>
          </w:tcPr>
          <w:p w14:paraId="532A717A" w14:textId="77777777" w:rsidR="000859AF" w:rsidRPr="003B7700" w:rsidRDefault="000859AF" w:rsidP="000859AF">
            <w:pPr>
              <w:spacing w:after="120" w:line="240" w:lineRule="auto"/>
              <w:rPr>
                <w:lang w:bidi="en-US"/>
              </w:rPr>
            </w:pPr>
            <w:r w:rsidRPr="003B7700">
              <w:rPr>
                <w:lang w:bidi="en-US"/>
              </w:rPr>
              <w:t>Клетки китайского хомячка V79</w:t>
            </w:r>
          </w:p>
        </w:tc>
        <w:tc>
          <w:tcPr>
            <w:tcW w:w="834" w:type="pct"/>
            <w:tcBorders>
              <w:top w:val="single" w:sz="4" w:space="0" w:color="auto"/>
              <w:left w:val="single" w:sz="4" w:space="0" w:color="auto"/>
            </w:tcBorders>
            <w:shd w:val="clear" w:color="auto" w:fill="auto"/>
            <w:vAlign w:val="center"/>
          </w:tcPr>
          <w:p w14:paraId="1E5029C4" w14:textId="77777777" w:rsidR="000859AF" w:rsidRPr="003B7700" w:rsidRDefault="000859AF" w:rsidP="0071249E">
            <w:pPr>
              <w:spacing w:after="120" w:line="240" w:lineRule="auto"/>
              <w:jc w:val="center"/>
              <w:rPr>
                <w:lang w:bidi="en-US"/>
              </w:rPr>
            </w:pPr>
            <w:r w:rsidRPr="003B7700">
              <w:rPr>
                <w:lang w:bidi="en-US"/>
              </w:rPr>
              <w:t>----</w:t>
            </w:r>
          </w:p>
        </w:tc>
        <w:tc>
          <w:tcPr>
            <w:tcW w:w="531" w:type="pct"/>
            <w:tcBorders>
              <w:top w:val="single" w:sz="4" w:space="0" w:color="auto"/>
              <w:left w:val="single" w:sz="4" w:space="0" w:color="auto"/>
            </w:tcBorders>
            <w:shd w:val="clear" w:color="auto" w:fill="auto"/>
            <w:vAlign w:val="center"/>
          </w:tcPr>
          <w:p w14:paraId="045F12E2" w14:textId="77777777" w:rsidR="000859AF" w:rsidRPr="0071249E" w:rsidRDefault="000859AF" w:rsidP="0071249E">
            <w:pPr>
              <w:spacing w:after="120" w:line="240" w:lineRule="auto"/>
              <w:jc w:val="center"/>
              <w:rPr>
                <w:i/>
                <w:lang w:bidi="en-US"/>
              </w:rPr>
            </w:pPr>
            <w:r w:rsidRPr="0071249E">
              <w:rPr>
                <w:i/>
                <w:lang w:bidi="en-US"/>
              </w:rPr>
              <w:t>In vitro</w:t>
            </w:r>
          </w:p>
        </w:tc>
        <w:tc>
          <w:tcPr>
            <w:tcW w:w="1290" w:type="pct"/>
            <w:tcBorders>
              <w:top w:val="single" w:sz="4" w:space="0" w:color="auto"/>
              <w:left w:val="single" w:sz="4" w:space="0" w:color="auto"/>
            </w:tcBorders>
            <w:shd w:val="clear" w:color="auto" w:fill="auto"/>
            <w:vAlign w:val="center"/>
          </w:tcPr>
          <w:p w14:paraId="4E6410F0" w14:textId="4E04B736" w:rsidR="000859AF" w:rsidRPr="003B7700" w:rsidRDefault="000859AF" w:rsidP="0071249E">
            <w:pPr>
              <w:spacing w:after="120" w:line="240" w:lineRule="auto"/>
              <w:jc w:val="center"/>
              <w:rPr>
                <w:lang w:bidi="en-US"/>
              </w:rPr>
            </w:pPr>
            <w:r w:rsidRPr="003B7700">
              <w:rPr>
                <w:lang w:bidi="en-US"/>
              </w:rPr>
              <w:t>15-81  г/мл, - S9</w:t>
            </w:r>
          </w:p>
          <w:p w14:paraId="6FEAA0CD" w14:textId="25F567E3" w:rsidR="000859AF" w:rsidRPr="003B7700" w:rsidRDefault="000859AF" w:rsidP="0071249E">
            <w:pPr>
              <w:spacing w:after="120" w:line="240" w:lineRule="auto"/>
              <w:jc w:val="center"/>
              <w:rPr>
                <w:lang w:bidi="en-US"/>
              </w:rPr>
            </w:pPr>
            <w:r w:rsidRPr="003B7700">
              <w:rPr>
                <w:lang w:bidi="en-US"/>
              </w:rPr>
              <w:t>57-131  г/мл, + S9</w:t>
            </w:r>
          </w:p>
        </w:tc>
        <w:tc>
          <w:tcPr>
            <w:tcW w:w="1060" w:type="pct"/>
            <w:tcBorders>
              <w:top w:val="single" w:sz="4" w:space="0" w:color="auto"/>
              <w:left w:val="single" w:sz="4" w:space="0" w:color="auto"/>
              <w:right w:val="single" w:sz="4" w:space="0" w:color="auto"/>
            </w:tcBorders>
            <w:shd w:val="clear" w:color="auto" w:fill="auto"/>
            <w:vAlign w:val="center"/>
          </w:tcPr>
          <w:p w14:paraId="1727BB9B" w14:textId="77777777" w:rsidR="000859AF" w:rsidRPr="003B7700" w:rsidRDefault="000859AF" w:rsidP="0071249E">
            <w:pPr>
              <w:spacing w:after="120" w:line="240" w:lineRule="auto"/>
              <w:jc w:val="center"/>
              <w:rPr>
                <w:lang w:bidi="en-US"/>
              </w:rPr>
            </w:pPr>
            <w:r w:rsidRPr="003B7700">
              <w:rPr>
                <w:lang w:bidi="en-US"/>
              </w:rPr>
              <w:t>отрицательный результат</w:t>
            </w:r>
          </w:p>
        </w:tc>
      </w:tr>
      <w:tr w:rsidR="000859AF" w:rsidRPr="003B7700" w14:paraId="4EE50096" w14:textId="77777777" w:rsidTr="0071249E">
        <w:trPr>
          <w:trHeight w:val="730"/>
        </w:trPr>
        <w:tc>
          <w:tcPr>
            <w:tcW w:w="1286" w:type="pct"/>
            <w:tcBorders>
              <w:top w:val="single" w:sz="4" w:space="0" w:color="auto"/>
              <w:left w:val="single" w:sz="4" w:space="0" w:color="auto"/>
              <w:bottom w:val="single" w:sz="4" w:space="0" w:color="auto"/>
            </w:tcBorders>
            <w:shd w:val="clear" w:color="auto" w:fill="auto"/>
          </w:tcPr>
          <w:p w14:paraId="5672C800" w14:textId="77777777" w:rsidR="000859AF" w:rsidRPr="003B7700" w:rsidRDefault="000859AF" w:rsidP="000859AF">
            <w:pPr>
              <w:spacing w:after="120" w:line="240" w:lineRule="auto"/>
              <w:rPr>
                <w:lang w:bidi="en-US"/>
              </w:rPr>
            </w:pPr>
            <w:r w:rsidRPr="003B7700">
              <w:rPr>
                <w:lang w:bidi="en-US"/>
              </w:rPr>
              <w:t xml:space="preserve">Анализ микроядер млекопитающих </w:t>
            </w:r>
            <w:r w:rsidRPr="003B7700">
              <w:rPr>
                <w:i/>
                <w:lang w:bidi="en-US"/>
              </w:rPr>
              <w:t>in vivo</w:t>
            </w:r>
          </w:p>
        </w:tc>
        <w:tc>
          <w:tcPr>
            <w:tcW w:w="834" w:type="pct"/>
            <w:tcBorders>
              <w:top w:val="single" w:sz="4" w:space="0" w:color="auto"/>
              <w:left w:val="single" w:sz="4" w:space="0" w:color="auto"/>
              <w:bottom w:val="single" w:sz="4" w:space="0" w:color="auto"/>
            </w:tcBorders>
            <w:shd w:val="clear" w:color="auto" w:fill="auto"/>
            <w:vAlign w:val="center"/>
          </w:tcPr>
          <w:p w14:paraId="0C6F7A33" w14:textId="77777777" w:rsidR="000859AF" w:rsidRPr="003B7700" w:rsidRDefault="000859AF" w:rsidP="0071249E">
            <w:pPr>
              <w:spacing w:after="120" w:line="240" w:lineRule="auto"/>
              <w:jc w:val="center"/>
              <w:rPr>
                <w:lang w:bidi="en-US"/>
              </w:rPr>
            </w:pPr>
            <w:r w:rsidRPr="003B7700">
              <w:rPr>
                <w:lang w:bidi="en-US"/>
              </w:rPr>
              <w:t>мышь</w:t>
            </w:r>
          </w:p>
        </w:tc>
        <w:tc>
          <w:tcPr>
            <w:tcW w:w="531" w:type="pct"/>
            <w:tcBorders>
              <w:top w:val="single" w:sz="4" w:space="0" w:color="auto"/>
              <w:left w:val="single" w:sz="4" w:space="0" w:color="auto"/>
              <w:bottom w:val="single" w:sz="4" w:space="0" w:color="auto"/>
            </w:tcBorders>
            <w:shd w:val="clear" w:color="auto" w:fill="auto"/>
            <w:vAlign w:val="center"/>
          </w:tcPr>
          <w:p w14:paraId="2BAFB3F8" w14:textId="77777777" w:rsidR="000859AF" w:rsidRPr="0071249E" w:rsidRDefault="000859AF" w:rsidP="0071249E">
            <w:pPr>
              <w:spacing w:after="120" w:line="240" w:lineRule="auto"/>
              <w:jc w:val="center"/>
              <w:rPr>
                <w:i/>
                <w:lang w:bidi="en-US"/>
              </w:rPr>
            </w:pPr>
            <w:r w:rsidRPr="0071249E">
              <w:rPr>
                <w:i/>
                <w:lang w:bidi="en-US"/>
              </w:rPr>
              <w:t>In vivo</w:t>
            </w:r>
          </w:p>
        </w:tc>
        <w:tc>
          <w:tcPr>
            <w:tcW w:w="1290" w:type="pct"/>
            <w:tcBorders>
              <w:top w:val="single" w:sz="4" w:space="0" w:color="auto"/>
              <w:left w:val="single" w:sz="4" w:space="0" w:color="auto"/>
              <w:bottom w:val="single" w:sz="4" w:space="0" w:color="auto"/>
            </w:tcBorders>
            <w:shd w:val="clear" w:color="auto" w:fill="auto"/>
            <w:vAlign w:val="center"/>
          </w:tcPr>
          <w:p w14:paraId="0E9808D7" w14:textId="77777777" w:rsidR="000859AF" w:rsidRPr="003B7700" w:rsidRDefault="000859AF" w:rsidP="0071249E">
            <w:pPr>
              <w:spacing w:after="120" w:line="240" w:lineRule="auto"/>
              <w:jc w:val="center"/>
              <w:rPr>
                <w:lang w:bidi="en-US"/>
              </w:rPr>
            </w:pPr>
            <w:r w:rsidRPr="003B7700">
              <w:rPr>
                <w:lang w:bidi="en-US"/>
              </w:rPr>
              <w:t>50, 160, 500</w:t>
            </w:r>
            <w:r>
              <w:rPr>
                <w:lang w:bidi="en-US"/>
              </w:rPr>
              <w:t> </w:t>
            </w:r>
            <w:r w:rsidRPr="003B7700">
              <w:rPr>
                <w:lang w:bidi="en-US"/>
              </w:rPr>
              <w:t>мг/кг</w:t>
            </w:r>
          </w:p>
        </w:tc>
        <w:tc>
          <w:tcPr>
            <w:tcW w:w="1060" w:type="pct"/>
            <w:tcBorders>
              <w:top w:val="single" w:sz="4" w:space="0" w:color="auto"/>
              <w:left w:val="single" w:sz="4" w:space="0" w:color="auto"/>
              <w:bottom w:val="single" w:sz="4" w:space="0" w:color="auto"/>
              <w:right w:val="single" w:sz="4" w:space="0" w:color="auto"/>
            </w:tcBorders>
            <w:shd w:val="clear" w:color="auto" w:fill="auto"/>
            <w:vAlign w:val="center"/>
          </w:tcPr>
          <w:p w14:paraId="7997C81D" w14:textId="77777777" w:rsidR="000859AF" w:rsidRPr="003B7700" w:rsidRDefault="000859AF" w:rsidP="0071249E">
            <w:pPr>
              <w:spacing w:after="120" w:line="240" w:lineRule="auto"/>
              <w:jc w:val="center"/>
              <w:rPr>
                <w:lang w:bidi="en-US"/>
              </w:rPr>
            </w:pPr>
            <w:r w:rsidRPr="003B7700">
              <w:rPr>
                <w:lang w:bidi="en-US"/>
              </w:rPr>
              <w:t>отрицательный результат</w:t>
            </w:r>
          </w:p>
        </w:tc>
      </w:tr>
    </w:tbl>
    <w:p w14:paraId="3AA6B65C" w14:textId="77777777" w:rsidR="000859AF" w:rsidRPr="00F918EE" w:rsidRDefault="000859AF" w:rsidP="000859AF">
      <w:pPr>
        <w:pStyle w:val="3"/>
        <w:spacing w:after="240" w:line="240" w:lineRule="auto"/>
        <w:contextualSpacing/>
        <w:rPr>
          <w:rFonts w:ascii="Times New Roman" w:hAnsi="Times New Roman"/>
          <w:color w:val="000000" w:themeColor="text1"/>
        </w:rPr>
      </w:pPr>
      <w:bookmarkStart w:id="222" w:name="_Toc115217952"/>
      <w:bookmarkStart w:id="223" w:name="_Toc118124187"/>
      <w:bookmarkStart w:id="224" w:name="_Toc119313756"/>
      <w:r w:rsidRPr="00F918EE">
        <w:rPr>
          <w:rFonts w:ascii="Times New Roman" w:hAnsi="Times New Roman"/>
          <w:color w:val="000000" w:themeColor="text1"/>
        </w:rPr>
        <w:t>3.3.4. Канцерогенность</w:t>
      </w:r>
      <w:bookmarkEnd w:id="221"/>
      <w:bookmarkEnd w:id="222"/>
      <w:bookmarkEnd w:id="223"/>
      <w:bookmarkEnd w:id="224"/>
    </w:p>
    <w:p w14:paraId="28AEB0C7" w14:textId="77777777" w:rsidR="000859AF" w:rsidRPr="00F918E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color w:val="000000" w:themeColor="text1"/>
          <w:szCs w:val="28"/>
        </w:rPr>
      </w:pPr>
      <w:r w:rsidRPr="00F918EE">
        <w:rPr>
          <w:rFonts w:eastAsia="Times New Roman"/>
          <w:color w:val="000000" w:themeColor="text1"/>
          <w:szCs w:val="28"/>
          <w:lang w:eastAsia="ru-RU"/>
        </w:rPr>
        <w:t xml:space="preserve">При введении эверолимуса в течение до 2 лет у мышей и крыс не обнаружено никакого канцерогенного потенциала в самых высоких дозах </w:t>
      </w:r>
      <w:r w:rsidRPr="00F918EE">
        <w:rPr>
          <w:color w:val="000000" w:themeColor="text1"/>
          <w:szCs w:val="28"/>
        </w:rPr>
        <w:t>[1].</w:t>
      </w:r>
    </w:p>
    <w:p w14:paraId="50C09576" w14:textId="77777777" w:rsidR="000859AF" w:rsidRPr="00F918EE" w:rsidRDefault="000859AF" w:rsidP="0008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rFonts w:eastAsia="Times New Roman"/>
          <w:color w:val="000000" w:themeColor="text1"/>
          <w:szCs w:val="28"/>
          <w:lang w:eastAsia="ru-RU"/>
        </w:rPr>
      </w:pPr>
      <w:r w:rsidRPr="00F918EE">
        <w:rPr>
          <w:rFonts w:eastAsia="Times New Roman"/>
          <w:color w:val="000000" w:themeColor="text1"/>
          <w:szCs w:val="28"/>
          <w:lang w:eastAsia="ru-RU"/>
        </w:rPr>
        <w:t>В исследованиях канцерогенности на мышах и крысах не было выявлено канцерогенного потенциала вплоть до высокой дозы 0,9 мг/кг. Уровни воздействия были выше соответствующего системного воздействия у человека только в исследовании на мышах [5].</w:t>
      </w:r>
    </w:p>
    <w:p w14:paraId="0732C18A" w14:textId="77777777" w:rsidR="000859AF" w:rsidRPr="00DE6CF2" w:rsidRDefault="000859AF" w:rsidP="000859AF">
      <w:pPr>
        <w:spacing w:after="120" w:line="240" w:lineRule="auto"/>
        <w:ind w:firstLine="709"/>
        <w:contextualSpacing/>
        <w:rPr>
          <w:lang w:bidi="en-US"/>
        </w:rPr>
      </w:pPr>
      <w:r w:rsidRPr="00F918EE">
        <w:rPr>
          <w:lang w:bidi="en-US"/>
        </w:rPr>
        <w:t>В 104</w:t>
      </w:r>
      <w:r w:rsidRPr="00F918EE">
        <w:rPr>
          <w:lang w:bidi="en-US"/>
        </w:rPr>
        <w:noBreakHyphen/>
        <w:t>недельном исследовании канцерогенности на мышах статистический обзор не выявил тенденций в отношении смертности от дозы для самцов и самок мышей. Положительных линейных тенденций не было обнаружено у самцов мышей, тогда как у самок была выявлена одна положительная тенденция. Остеома бедра (включая сустав), редкая опухоль, была значимой у самок (р=0,021) по сравнению с объединенной контрольной группой, однако частота развития остеомы бедра находилась в пределах исторических контрольных показателей встречаемости. Парные сравнения для этой опухоли не были значимыми ни для одной из дозовых групп по сравнению с комбинированной контрольной группой. Ни одна из других наблюдаемых неопластических опухолей не была статистически значимой при анализе тенденций или точных тестов [6].</w:t>
      </w:r>
    </w:p>
    <w:p w14:paraId="41376D4D" w14:textId="77777777" w:rsidR="000859AF" w:rsidRPr="00707D60" w:rsidRDefault="000859AF" w:rsidP="000859AF">
      <w:pPr>
        <w:pStyle w:val="3"/>
        <w:spacing w:after="240" w:line="240" w:lineRule="auto"/>
        <w:contextualSpacing/>
        <w:rPr>
          <w:rFonts w:ascii="Times New Roman" w:hAnsi="Times New Roman"/>
          <w:color w:val="000000" w:themeColor="text1"/>
        </w:rPr>
      </w:pPr>
      <w:bookmarkStart w:id="225" w:name="_Toc477355753"/>
      <w:bookmarkStart w:id="226" w:name="_Toc115217953"/>
      <w:bookmarkStart w:id="227" w:name="_Toc118124188"/>
      <w:bookmarkStart w:id="228" w:name="_Toc119313757"/>
      <w:r w:rsidRPr="00707D60">
        <w:rPr>
          <w:rFonts w:ascii="Times New Roman" w:hAnsi="Times New Roman"/>
          <w:color w:val="000000" w:themeColor="text1"/>
        </w:rPr>
        <w:t>3.3.5. Репродуктивная и онтогенетическая токсичность</w:t>
      </w:r>
      <w:bookmarkEnd w:id="225"/>
      <w:bookmarkEnd w:id="226"/>
      <w:bookmarkEnd w:id="227"/>
      <w:bookmarkEnd w:id="228"/>
    </w:p>
    <w:p w14:paraId="0668F639" w14:textId="77777777" w:rsidR="000859AF" w:rsidRPr="000859AF" w:rsidRDefault="000859AF" w:rsidP="000859AF">
      <w:pPr>
        <w:pStyle w:val="4"/>
        <w:spacing w:after="240" w:line="240" w:lineRule="auto"/>
        <w:contextualSpacing/>
        <w:rPr>
          <w:rFonts w:ascii="Times New Roman" w:hAnsi="Times New Roman"/>
          <w:color w:val="000000" w:themeColor="text1"/>
          <w:sz w:val="24"/>
          <w:szCs w:val="24"/>
        </w:rPr>
      </w:pPr>
      <w:bookmarkStart w:id="229" w:name="_Toc115217954"/>
      <w:bookmarkStart w:id="230" w:name="_Toc118124189"/>
      <w:bookmarkStart w:id="231" w:name="_Toc119313758"/>
      <w:r w:rsidRPr="000859AF">
        <w:rPr>
          <w:rFonts w:ascii="Times New Roman" w:hAnsi="Times New Roman"/>
          <w:color w:val="000000" w:themeColor="text1"/>
          <w:sz w:val="24"/>
          <w:szCs w:val="24"/>
        </w:rPr>
        <w:t>3.3.5.1. Влияние на фертильность и ранняя эмбриональная токсичность</w:t>
      </w:r>
      <w:bookmarkEnd w:id="229"/>
      <w:bookmarkEnd w:id="230"/>
      <w:bookmarkEnd w:id="231"/>
    </w:p>
    <w:p w14:paraId="03BA949E" w14:textId="77777777" w:rsidR="000859AF" w:rsidRPr="00F918EE" w:rsidRDefault="000859AF" w:rsidP="000859AF">
      <w:pPr>
        <w:pStyle w:val="HTML0"/>
        <w:shd w:val="clear" w:color="auto" w:fill="FFFFFF"/>
        <w:ind w:firstLine="709"/>
        <w:contextualSpacing/>
        <w:jc w:val="both"/>
        <w:rPr>
          <w:rFonts w:ascii="Times New Roman" w:hAnsi="Times New Roman" w:cs="Times New Roman"/>
          <w:color w:val="000000" w:themeColor="text1"/>
          <w:sz w:val="24"/>
          <w:szCs w:val="28"/>
        </w:rPr>
      </w:pPr>
      <w:bookmarkStart w:id="232" w:name="_Hlk113015990"/>
      <w:r w:rsidRPr="00F918EE">
        <w:rPr>
          <w:rFonts w:ascii="Times New Roman" w:hAnsi="Times New Roman" w:cs="Times New Roman"/>
          <w:color w:val="000000" w:themeColor="text1"/>
          <w:sz w:val="24"/>
          <w:szCs w:val="28"/>
        </w:rPr>
        <w:t>В исследовании мужской фертильности у крыс были отмечены следующие отклонения при введении эверолимуса в дозе 0,5 мг/кг и выше: изменение морфологии яичек и подвижности сперматозоидов; количество сперматозоидов и уровень тестостерона в плазме уменьшались при приеме 5 мг/кг, что привело к снижению фертильность у самцов. Имелись свидетельства обратимости данных изменений</w:t>
      </w:r>
      <w:bookmarkEnd w:id="232"/>
      <w:r w:rsidRPr="00F918EE">
        <w:rPr>
          <w:rFonts w:ascii="Times New Roman" w:hAnsi="Times New Roman" w:cs="Times New Roman"/>
          <w:color w:val="000000" w:themeColor="text1"/>
          <w:sz w:val="24"/>
          <w:szCs w:val="28"/>
        </w:rPr>
        <w:t xml:space="preserve"> [1]. </w:t>
      </w:r>
    </w:p>
    <w:p w14:paraId="27E435CF" w14:textId="77777777" w:rsidR="000859AF" w:rsidRPr="00F918EE" w:rsidRDefault="000859AF" w:rsidP="000859AF">
      <w:pPr>
        <w:spacing w:after="0" w:line="240" w:lineRule="auto"/>
        <w:ind w:firstLine="708"/>
      </w:pPr>
      <w:r w:rsidRPr="00F918EE">
        <w:t>После 10-13-недельного периода отсутствия лечения у 12 из 20 спарившихся самок была подтверждена беременность [6].</w:t>
      </w:r>
    </w:p>
    <w:p w14:paraId="78F119D1" w14:textId="77777777" w:rsidR="000859AF" w:rsidRPr="00707D60" w:rsidRDefault="000859AF" w:rsidP="000859AF">
      <w:pPr>
        <w:spacing w:after="0" w:line="240" w:lineRule="auto"/>
        <w:ind w:firstLine="708"/>
      </w:pPr>
      <w:r w:rsidRPr="00F918EE">
        <w:rPr>
          <w:lang w:bidi="en-US"/>
        </w:rPr>
        <w:t xml:space="preserve">Эверолимус не оказывал влияния на фертильность самок крыс. Исследование на неполовозрелых крысах выявило незначительное влияние на репродуктивные органы при всех дозах </w:t>
      </w:r>
      <w:r w:rsidRPr="00F918EE">
        <w:t>[6].</w:t>
      </w:r>
    </w:p>
    <w:p w14:paraId="54785C0A" w14:textId="77777777" w:rsidR="000859AF" w:rsidRPr="000859AF" w:rsidRDefault="000859AF" w:rsidP="000859AF">
      <w:pPr>
        <w:pStyle w:val="4"/>
        <w:spacing w:after="240" w:line="240" w:lineRule="auto"/>
        <w:rPr>
          <w:rFonts w:ascii="Times New Roman" w:hAnsi="Times New Roman"/>
          <w:color w:val="000000" w:themeColor="text1"/>
          <w:sz w:val="24"/>
          <w:szCs w:val="24"/>
        </w:rPr>
      </w:pPr>
      <w:bookmarkStart w:id="233" w:name="_Toc115217955"/>
      <w:bookmarkStart w:id="234" w:name="_Toc118124190"/>
      <w:bookmarkStart w:id="235" w:name="_Toc119313759"/>
      <w:r w:rsidRPr="000859AF">
        <w:rPr>
          <w:rFonts w:ascii="Times New Roman" w:hAnsi="Times New Roman"/>
          <w:color w:val="000000" w:themeColor="text1"/>
          <w:sz w:val="24"/>
          <w:szCs w:val="24"/>
        </w:rPr>
        <w:lastRenderedPageBreak/>
        <w:t>3.3.5.2. Эмбрио-фетальная токсичность</w:t>
      </w:r>
      <w:bookmarkEnd w:id="233"/>
      <w:bookmarkEnd w:id="234"/>
      <w:bookmarkEnd w:id="235"/>
    </w:p>
    <w:p w14:paraId="286FC1E1" w14:textId="77777777" w:rsidR="000859AF" w:rsidRPr="00F918EE" w:rsidRDefault="000859AF" w:rsidP="000859AF">
      <w:pPr>
        <w:pStyle w:val="HTML0"/>
        <w:shd w:val="clear" w:color="auto" w:fill="FFFFFF"/>
        <w:ind w:firstLine="709"/>
        <w:jc w:val="both"/>
        <w:rPr>
          <w:rFonts w:ascii="Times New Roman" w:hAnsi="Times New Roman" w:cs="Times New Roman"/>
          <w:color w:val="000000" w:themeColor="text1"/>
          <w:sz w:val="24"/>
          <w:szCs w:val="28"/>
        </w:rPr>
      </w:pPr>
      <w:bookmarkStart w:id="236" w:name="_Hlk113015997"/>
      <w:r w:rsidRPr="00F918EE">
        <w:rPr>
          <w:rFonts w:ascii="Times New Roman" w:hAnsi="Times New Roman" w:cs="Times New Roman"/>
          <w:color w:val="000000" w:themeColor="text1"/>
          <w:sz w:val="24"/>
          <w:szCs w:val="28"/>
        </w:rPr>
        <w:t xml:space="preserve">У крыс эверолимус вызывал эмбрио- и фетотоксичность при системном воздействии в дозировках ниже терапевтического уровня. Это проявлялось в увеличении смертности и снижении веса плода. </w:t>
      </w:r>
      <w:bookmarkEnd w:id="236"/>
      <w:r w:rsidRPr="00F918EE">
        <w:rPr>
          <w:rFonts w:ascii="Times New Roman" w:hAnsi="Times New Roman" w:cs="Times New Roman"/>
          <w:color w:val="000000" w:themeColor="text1"/>
          <w:sz w:val="24"/>
          <w:szCs w:val="28"/>
        </w:rPr>
        <w:t>Частота скелетных изменений и пороков развития (например, формирование стернальной щели) увеличивались при дозировках 0,3 и 0,9 мг/кг. У кроликов также была выявлена эмбриотоксичность [1].</w:t>
      </w:r>
    </w:p>
    <w:p w14:paraId="626D8AD6" w14:textId="77777777" w:rsidR="000859AF" w:rsidRPr="00F918EE" w:rsidRDefault="000859AF" w:rsidP="000859AF">
      <w:pPr>
        <w:pStyle w:val="HTML0"/>
        <w:shd w:val="clear" w:color="auto" w:fill="FFFFFF"/>
        <w:ind w:firstLine="709"/>
        <w:jc w:val="both"/>
        <w:rPr>
          <w:rFonts w:ascii="Times New Roman" w:hAnsi="Times New Roman" w:cs="Times New Roman"/>
          <w:color w:val="000000" w:themeColor="text1"/>
          <w:sz w:val="24"/>
          <w:szCs w:val="28"/>
        </w:rPr>
      </w:pPr>
      <w:r w:rsidRPr="00F918EE">
        <w:rPr>
          <w:rFonts w:ascii="Times New Roman" w:hAnsi="Times New Roman" w:cs="Times New Roman"/>
          <w:color w:val="000000" w:themeColor="text1"/>
          <w:sz w:val="24"/>
          <w:szCs w:val="28"/>
        </w:rPr>
        <w:t>Пероральное введение эверолимуса самкам крыс до спаривания и до 16-го дня беременности вызывало эмбрио-фетальную токсичность, включая повышенную резорбцию, предимплантационную и постимплантационную потерю, снижение числа живых плодов, пороки развития (например, расщелину грудины) и задержку развития скелета. Эффекты наблюдались при отсутствии материнской токсичности. Эмбриофетальная токсичность наблюдалась при дозах 0,1 мг/кг (0,6 мг/м</w:t>
      </w:r>
      <w:r w:rsidRPr="00F918EE">
        <w:rPr>
          <w:rFonts w:ascii="Times New Roman" w:hAnsi="Times New Roman" w:cs="Times New Roman"/>
          <w:color w:val="000000" w:themeColor="text1"/>
          <w:sz w:val="24"/>
          <w:szCs w:val="28"/>
          <w:vertAlign w:val="superscript"/>
        </w:rPr>
        <w:t>2</w:t>
      </w:r>
      <w:r w:rsidRPr="00F918EE">
        <w:rPr>
          <w:rFonts w:ascii="Times New Roman" w:hAnsi="Times New Roman" w:cs="Times New Roman"/>
          <w:color w:val="000000" w:themeColor="text1"/>
          <w:sz w:val="24"/>
          <w:szCs w:val="28"/>
        </w:rPr>
        <w:t>). У кроликов эмбриотоксичность проявлялась увеличением частоты резорбции эмбриона/плода при дозе 0,8 мг/кг (9,6 мг/м</w:t>
      </w:r>
      <w:r w:rsidRPr="00F918EE">
        <w:rPr>
          <w:rFonts w:ascii="Times New Roman" w:hAnsi="Times New Roman" w:cs="Times New Roman"/>
          <w:color w:val="000000" w:themeColor="text1"/>
          <w:sz w:val="24"/>
          <w:szCs w:val="28"/>
          <w:vertAlign w:val="superscript"/>
        </w:rPr>
        <w:t>2</w:t>
      </w:r>
      <w:r w:rsidRPr="00F918EE">
        <w:rPr>
          <w:rFonts w:ascii="Times New Roman" w:hAnsi="Times New Roman" w:cs="Times New Roman"/>
          <w:color w:val="000000" w:themeColor="text1"/>
          <w:sz w:val="24"/>
          <w:szCs w:val="28"/>
        </w:rPr>
        <w:t>) [6].</w:t>
      </w:r>
    </w:p>
    <w:p w14:paraId="1F741321" w14:textId="77777777" w:rsidR="000859AF" w:rsidRPr="00F918EE" w:rsidRDefault="000859AF" w:rsidP="000859AF">
      <w:pPr>
        <w:spacing w:after="0" w:line="240" w:lineRule="auto"/>
        <w:ind w:firstLine="709"/>
        <w:rPr>
          <w:sz w:val="22"/>
        </w:rPr>
      </w:pPr>
    </w:p>
    <w:p w14:paraId="430E953B" w14:textId="77777777" w:rsidR="000859AF" w:rsidRPr="000859AF" w:rsidRDefault="000859AF" w:rsidP="000859AF">
      <w:pPr>
        <w:pStyle w:val="4"/>
        <w:spacing w:before="0" w:line="240" w:lineRule="auto"/>
        <w:rPr>
          <w:rFonts w:ascii="Times New Roman" w:hAnsi="Times New Roman"/>
          <w:color w:val="000000" w:themeColor="text1"/>
          <w:sz w:val="24"/>
          <w:szCs w:val="24"/>
        </w:rPr>
      </w:pPr>
      <w:bookmarkStart w:id="237" w:name="_Toc115217956"/>
      <w:bookmarkStart w:id="238" w:name="_Toc118124191"/>
      <w:bookmarkStart w:id="239" w:name="_Toc119313760"/>
      <w:r w:rsidRPr="000859AF">
        <w:rPr>
          <w:rFonts w:ascii="Times New Roman" w:hAnsi="Times New Roman"/>
          <w:color w:val="000000" w:themeColor="text1"/>
          <w:sz w:val="24"/>
          <w:szCs w:val="24"/>
        </w:rPr>
        <w:t>3.3.5.3. Влияние на пренатальное и постнатальное развитие</w:t>
      </w:r>
      <w:bookmarkEnd w:id="237"/>
      <w:bookmarkEnd w:id="238"/>
      <w:bookmarkEnd w:id="239"/>
    </w:p>
    <w:p w14:paraId="217FD3C6" w14:textId="77777777" w:rsidR="000859AF" w:rsidRPr="00F918EE" w:rsidRDefault="000859AF" w:rsidP="000859AF">
      <w:pPr>
        <w:pStyle w:val="HTML0"/>
        <w:shd w:val="clear" w:color="auto" w:fill="FFFFFF"/>
        <w:ind w:firstLine="709"/>
        <w:jc w:val="both"/>
        <w:rPr>
          <w:rFonts w:ascii="Times New Roman" w:hAnsi="Times New Roman" w:cs="Times New Roman"/>
          <w:color w:val="000000" w:themeColor="text1"/>
          <w:sz w:val="24"/>
          <w:szCs w:val="28"/>
        </w:rPr>
      </w:pPr>
    </w:p>
    <w:p w14:paraId="3FEC1684" w14:textId="77777777" w:rsidR="000859AF" w:rsidRDefault="000859AF" w:rsidP="000859AF">
      <w:pPr>
        <w:pStyle w:val="HTML0"/>
        <w:shd w:val="clear" w:color="auto" w:fill="FFFFFF"/>
        <w:ind w:firstLine="709"/>
        <w:jc w:val="both"/>
        <w:rPr>
          <w:rFonts w:ascii="Times New Roman" w:hAnsi="Times New Roman" w:cs="Times New Roman"/>
          <w:color w:val="000000" w:themeColor="text1"/>
          <w:sz w:val="24"/>
          <w:szCs w:val="28"/>
        </w:rPr>
      </w:pPr>
      <w:r w:rsidRPr="00F918EE">
        <w:rPr>
          <w:rFonts w:ascii="Times New Roman" w:hAnsi="Times New Roman" w:cs="Times New Roman"/>
          <w:color w:val="000000" w:themeColor="text1"/>
          <w:sz w:val="24"/>
          <w:szCs w:val="28"/>
        </w:rPr>
        <w:t>Влияние эверолимуса на пре- и постнатальное развитие у крысы было ограничено незначительным влиянием на массу тела и выживаемость в F1-генерации при ≥ 0,1 мг/кг, что указывало на специфичный токсический потенциал [1, 6].</w:t>
      </w:r>
    </w:p>
    <w:p w14:paraId="5F2899A5" w14:textId="77777777" w:rsidR="000859AF" w:rsidRPr="00484FF2" w:rsidRDefault="000859AF" w:rsidP="000859AF">
      <w:pPr>
        <w:pStyle w:val="HTML0"/>
        <w:shd w:val="clear" w:color="auto" w:fill="FFFFFF"/>
        <w:ind w:firstLine="709"/>
        <w:jc w:val="both"/>
        <w:rPr>
          <w:rFonts w:ascii="Times New Roman" w:hAnsi="Times New Roman" w:cs="Times New Roman"/>
          <w:b/>
          <w:color w:val="000000" w:themeColor="text1"/>
          <w:sz w:val="24"/>
          <w:szCs w:val="28"/>
        </w:rPr>
      </w:pPr>
    </w:p>
    <w:p w14:paraId="339B4B06" w14:textId="77777777" w:rsidR="000859AF" w:rsidRPr="00484FF2" w:rsidRDefault="000859AF" w:rsidP="000859AF">
      <w:pPr>
        <w:pStyle w:val="HTML0"/>
        <w:shd w:val="clear" w:color="auto" w:fill="FFFFFF"/>
        <w:jc w:val="both"/>
        <w:rPr>
          <w:rFonts w:ascii="Times New Roman" w:hAnsi="Times New Roman" w:cs="Times New Roman"/>
          <w:color w:val="000000" w:themeColor="text1"/>
          <w:sz w:val="24"/>
          <w:szCs w:val="28"/>
        </w:rPr>
      </w:pPr>
      <w:r w:rsidRPr="00F918EE">
        <w:rPr>
          <w:rFonts w:ascii="Times New Roman" w:hAnsi="Times New Roman" w:cs="Times New Roman"/>
          <w:b/>
          <w:color w:val="000000" w:themeColor="text1"/>
          <w:sz w:val="24"/>
          <w:szCs w:val="28"/>
        </w:rPr>
        <w:t>Таблица 3</w:t>
      </w:r>
      <w:r w:rsidRPr="000859AF">
        <w:rPr>
          <w:rFonts w:ascii="Times New Roman" w:hAnsi="Times New Roman" w:cs="Times New Roman"/>
          <w:b/>
          <w:color w:val="000000" w:themeColor="text1"/>
          <w:sz w:val="24"/>
          <w:szCs w:val="28"/>
        </w:rPr>
        <w:t>-7</w:t>
      </w:r>
      <w:r w:rsidRPr="00F918EE">
        <w:rPr>
          <w:rFonts w:ascii="Times New Roman" w:hAnsi="Times New Roman" w:cs="Times New Roman"/>
          <w:b/>
          <w:color w:val="000000" w:themeColor="text1"/>
          <w:sz w:val="24"/>
          <w:szCs w:val="28"/>
        </w:rPr>
        <w:t>.</w:t>
      </w:r>
      <w:r>
        <w:rPr>
          <w:rFonts w:ascii="Times New Roman" w:hAnsi="Times New Roman" w:cs="Times New Roman"/>
          <w:color w:val="000000" w:themeColor="text1"/>
          <w:sz w:val="24"/>
          <w:szCs w:val="28"/>
        </w:rPr>
        <w:t xml:space="preserve"> Результаты исследований фертильности, эмбрио-фетальной токсичности, пре- и постнатального развития у крыс и кроликов [</w:t>
      </w:r>
      <w:r w:rsidRPr="00C50F13">
        <w:rPr>
          <w:rFonts w:ascii="Times New Roman" w:hAnsi="Times New Roman" w:cs="Times New Roman"/>
          <w:color w:val="000000" w:themeColor="text1"/>
          <w:sz w:val="24"/>
          <w:szCs w:val="28"/>
        </w:rPr>
        <w:t>6</w:t>
      </w:r>
      <w:r w:rsidRPr="00484FF2">
        <w:rPr>
          <w:rFonts w:ascii="Times New Roman" w:hAnsi="Times New Roman" w:cs="Times New Roman"/>
          <w:color w:val="000000" w:themeColor="text1"/>
          <w:sz w:val="24"/>
          <w:szCs w:val="28"/>
        </w:rPr>
        <w:t>].</w:t>
      </w:r>
    </w:p>
    <w:tbl>
      <w:tblPr>
        <w:tblOverlap w:val="never"/>
        <w:tblW w:w="5000" w:type="pct"/>
        <w:tblInd w:w="-10" w:type="dxa"/>
        <w:tblLook w:val="04A0" w:firstRow="1" w:lastRow="0" w:firstColumn="1" w:lastColumn="0" w:noHBand="0" w:noVBand="1"/>
      </w:tblPr>
      <w:tblGrid>
        <w:gridCol w:w="3328"/>
        <w:gridCol w:w="1352"/>
        <w:gridCol w:w="1173"/>
        <w:gridCol w:w="3483"/>
      </w:tblGrid>
      <w:tr w:rsidR="000859AF" w:rsidRPr="00484FF2" w14:paraId="54710667" w14:textId="77777777" w:rsidTr="008A7500">
        <w:trPr>
          <w:trHeight w:val="20"/>
          <w:tblHeader/>
        </w:trPr>
        <w:tc>
          <w:tcPr>
            <w:tcW w:w="3335" w:type="dxa"/>
            <w:tcBorders>
              <w:top w:val="single" w:sz="8" w:space="0" w:color="auto"/>
              <w:left w:val="single" w:sz="8" w:space="0" w:color="auto"/>
              <w:bottom w:val="nil"/>
              <w:right w:val="nil"/>
            </w:tcBorders>
            <w:shd w:val="clear" w:color="000000" w:fill="D9D9D9"/>
            <w:vAlign w:val="center"/>
            <w:hideMark/>
          </w:tcPr>
          <w:p w14:paraId="6799F739" w14:textId="77777777" w:rsidR="000859AF" w:rsidRPr="00484FF2" w:rsidRDefault="000859AF" w:rsidP="008A7500">
            <w:pPr>
              <w:spacing w:after="0" w:line="240" w:lineRule="auto"/>
              <w:jc w:val="center"/>
              <w:rPr>
                <w:rFonts w:eastAsia="Times New Roman"/>
                <w:b/>
                <w:bCs/>
                <w:color w:val="000000"/>
                <w:lang w:eastAsia="ru-RU"/>
              </w:rPr>
            </w:pPr>
            <w:r w:rsidRPr="00484FF2">
              <w:rPr>
                <w:rFonts w:eastAsia="Times New Roman"/>
                <w:b/>
                <w:bCs/>
                <w:color w:val="000000"/>
                <w:lang w:eastAsia="ru-RU" w:bidi="en-US"/>
              </w:rPr>
              <w:t>Исследование</w:t>
            </w:r>
          </w:p>
        </w:tc>
        <w:tc>
          <w:tcPr>
            <w:tcW w:w="1354" w:type="dxa"/>
            <w:tcBorders>
              <w:top w:val="single" w:sz="8" w:space="0" w:color="auto"/>
              <w:left w:val="single" w:sz="8" w:space="0" w:color="auto"/>
              <w:bottom w:val="nil"/>
              <w:right w:val="nil"/>
            </w:tcBorders>
            <w:shd w:val="clear" w:color="000000" w:fill="D9D9D9"/>
            <w:vAlign w:val="center"/>
            <w:hideMark/>
          </w:tcPr>
          <w:p w14:paraId="18AE41F1" w14:textId="77777777" w:rsidR="000859AF" w:rsidRPr="00484FF2" w:rsidRDefault="000859AF" w:rsidP="008A7500">
            <w:pPr>
              <w:spacing w:after="0" w:line="240" w:lineRule="auto"/>
              <w:jc w:val="center"/>
              <w:rPr>
                <w:rFonts w:eastAsia="Times New Roman"/>
                <w:b/>
                <w:bCs/>
                <w:color w:val="000000"/>
                <w:lang w:eastAsia="ru-RU"/>
              </w:rPr>
            </w:pPr>
            <w:r w:rsidRPr="00484FF2">
              <w:rPr>
                <w:rFonts w:eastAsia="Times New Roman"/>
                <w:b/>
                <w:bCs/>
                <w:color w:val="000000"/>
                <w:lang w:eastAsia="ru-RU" w:bidi="en-US"/>
              </w:rPr>
              <w:t>Вид</w:t>
            </w:r>
          </w:p>
        </w:tc>
        <w:tc>
          <w:tcPr>
            <w:tcW w:w="1175" w:type="dxa"/>
            <w:tcBorders>
              <w:top w:val="single" w:sz="8" w:space="0" w:color="auto"/>
              <w:left w:val="single" w:sz="8" w:space="0" w:color="auto"/>
              <w:bottom w:val="nil"/>
              <w:right w:val="nil"/>
            </w:tcBorders>
            <w:shd w:val="clear" w:color="000000" w:fill="D9D9D9"/>
            <w:vAlign w:val="center"/>
            <w:hideMark/>
          </w:tcPr>
          <w:p w14:paraId="7024742B" w14:textId="77777777" w:rsidR="000859AF" w:rsidRPr="00484FF2" w:rsidRDefault="000859AF" w:rsidP="008A7500">
            <w:pPr>
              <w:spacing w:after="0" w:line="240" w:lineRule="auto"/>
              <w:jc w:val="center"/>
              <w:rPr>
                <w:rFonts w:eastAsia="Times New Roman"/>
                <w:b/>
                <w:bCs/>
                <w:color w:val="000000"/>
                <w:lang w:eastAsia="ru-RU"/>
              </w:rPr>
            </w:pPr>
            <w:r w:rsidRPr="00484FF2">
              <w:rPr>
                <w:rFonts w:eastAsia="Times New Roman"/>
                <w:b/>
                <w:bCs/>
                <w:color w:val="000000"/>
                <w:lang w:eastAsia="ru-RU" w:bidi="en-US"/>
              </w:rPr>
              <w:t>Дозы (мг/кг)</w:t>
            </w:r>
          </w:p>
        </w:tc>
        <w:tc>
          <w:tcPr>
            <w:tcW w:w="3492" w:type="dxa"/>
            <w:tcBorders>
              <w:top w:val="single" w:sz="8" w:space="0" w:color="auto"/>
              <w:left w:val="single" w:sz="8" w:space="0" w:color="auto"/>
              <w:bottom w:val="nil"/>
              <w:right w:val="single" w:sz="8" w:space="0" w:color="auto"/>
            </w:tcBorders>
            <w:shd w:val="clear" w:color="000000" w:fill="D9D9D9"/>
            <w:vAlign w:val="center"/>
            <w:hideMark/>
          </w:tcPr>
          <w:p w14:paraId="4189899C" w14:textId="77777777" w:rsidR="000859AF" w:rsidRPr="00484FF2" w:rsidRDefault="000859AF" w:rsidP="008A7500">
            <w:pPr>
              <w:spacing w:after="0" w:line="240" w:lineRule="auto"/>
              <w:jc w:val="center"/>
              <w:rPr>
                <w:rFonts w:eastAsia="Times New Roman"/>
                <w:b/>
                <w:bCs/>
                <w:color w:val="000000"/>
                <w:lang w:eastAsia="ru-RU"/>
              </w:rPr>
            </w:pPr>
            <w:r w:rsidRPr="00484FF2">
              <w:rPr>
                <w:rFonts w:eastAsia="Times New Roman"/>
                <w:b/>
                <w:bCs/>
                <w:color w:val="000000"/>
                <w:lang w:eastAsia="ru-RU" w:bidi="en-US"/>
              </w:rPr>
              <w:t>Результаты</w:t>
            </w:r>
          </w:p>
        </w:tc>
      </w:tr>
      <w:tr w:rsidR="000859AF" w:rsidRPr="00484FF2" w14:paraId="623BEFAB" w14:textId="77777777" w:rsidTr="008A7500">
        <w:trPr>
          <w:trHeight w:val="20"/>
        </w:trPr>
        <w:tc>
          <w:tcPr>
            <w:tcW w:w="935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F0F8A5E" w14:textId="77777777" w:rsidR="000859AF" w:rsidRPr="00484FF2" w:rsidRDefault="000859AF" w:rsidP="000859AF">
            <w:pPr>
              <w:spacing w:after="0" w:line="240" w:lineRule="auto"/>
              <w:jc w:val="left"/>
              <w:rPr>
                <w:rFonts w:eastAsia="Times New Roman"/>
                <w:i/>
                <w:iCs/>
                <w:color w:val="000000"/>
                <w:lang w:eastAsia="ru-RU"/>
              </w:rPr>
            </w:pPr>
            <w:r w:rsidRPr="00484FF2">
              <w:rPr>
                <w:rFonts w:eastAsia="Times New Roman"/>
                <w:i/>
                <w:iCs/>
                <w:color w:val="000000"/>
                <w:lang w:eastAsia="ru-RU" w:bidi="en-US"/>
              </w:rPr>
              <w:t>Фертильность самцов</w:t>
            </w:r>
          </w:p>
        </w:tc>
      </w:tr>
      <w:tr w:rsidR="000859AF" w:rsidRPr="00484FF2" w14:paraId="5C30B527"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306663D1"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Определение диапазона доз для изучения фертильности (6 недель)</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63100398" w14:textId="484DF9B2" w:rsidR="000859AF" w:rsidRPr="00484FF2" w:rsidRDefault="005D5DBF" w:rsidP="005D5DBF">
            <w:pPr>
              <w:spacing w:after="0" w:line="240" w:lineRule="auto"/>
              <w:jc w:val="left"/>
              <w:rPr>
                <w:rFonts w:eastAsia="Times New Roman"/>
                <w:color w:val="000000"/>
                <w:lang w:eastAsia="ru-RU"/>
              </w:rPr>
            </w:pPr>
            <w:r w:rsidRPr="00484FF2">
              <w:rPr>
                <w:rFonts w:eastAsia="Times New Roman"/>
                <w:color w:val="000000"/>
                <w:lang w:eastAsia="ru-RU" w:bidi="en-US"/>
              </w:rPr>
              <w:t>Крыс</w:t>
            </w:r>
            <w:r>
              <w:rPr>
                <w:rFonts w:eastAsia="Times New Roman"/>
                <w:color w:val="000000"/>
                <w:lang w:eastAsia="ru-RU" w:bidi="en-US"/>
              </w:rPr>
              <w:t>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7866C0AC"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0, 0,15, 0,5, 1,5</w:t>
            </w:r>
          </w:p>
        </w:tc>
        <w:tc>
          <w:tcPr>
            <w:tcW w:w="3492" w:type="dxa"/>
            <w:tcBorders>
              <w:top w:val="nil"/>
              <w:left w:val="nil"/>
              <w:bottom w:val="nil"/>
              <w:right w:val="single" w:sz="8" w:space="0" w:color="auto"/>
            </w:tcBorders>
            <w:shd w:val="clear" w:color="auto" w:fill="auto"/>
            <w:vAlign w:val="center"/>
            <w:hideMark/>
          </w:tcPr>
          <w:p w14:paraId="18FA7A40"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rPr>
              <w:t>NOAEL (самцы): 0,5 мг/кг AUC=38 нг•ч/мл</w:t>
            </w:r>
          </w:p>
        </w:tc>
      </w:tr>
      <w:tr w:rsidR="000859AF" w:rsidRPr="00484FF2" w14:paraId="5C1AD8B3"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3A27315"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A25C546"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360DBD56"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48255AD7"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1,5 мг/кг: снижение прироста массы тела, потребления корма;</w:t>
            </w:r>
          </w:p>
        </w:tc>
      </w:tr>
      <w:tr w:rsidR="000859AF" w:rsidRPr="00484FF2" w14:paraId="412B7921"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0CF828C4"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2740A399"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75D0E77D"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6A4DAE7A"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xml:space="preserve">дегенерация и истощение половых клеток семенников не оказывают влияния на репродуктивную функцию самцов </w:t>
            </w:r>
          </w:p>
        </w:tc>
      </w:tr>
      <w:tr w:rsidR="000859AF" w:rsidRPr="00484FF2" w14:paraId="4BDBADCC"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3BD2B5AA"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13</w:t>
            </w:r>
            <w:r w:rsidRPr="00484FF2">
              <w:rPr>
                <w:rFonts w:eastAsia="Times New Roman"/>
                <w:color w:val="000000"/>
                <w:lang w:eastAsia="ru-RU" w:bidi="en-US"/>
              </w:rPr>
              <w:noBreakHyphen/>
              <w:t>недельное исследование фертильности с 13</w:t>
            </w:r>
            <w:r w:rsidRPr="00484FF2">
              <w:rPr>
                <w:rFonts w:eastAsia="Times New Roman"/>
                <w:color w:val="000000"/>
                <w:lang w:eastAsia="ru-RU" w:bidi="en-US"/>
              </w:rPr>
              <w:noBreakHyphen/>
              <w:t>недельным периодом восстановления</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1D9009F6" w14:textId="7270F056" w:rsidR="000859AF" w:rsidRPr="00484FF2" w:rsidRDefault="005D5DBF" w:rsidP="005D5DBF">
            <w:pPr>
              <w:spacing w:after="0" w:line="240" w:lineRule="auto"/>
              <w:jc w:val="left"/>
              <w:rPr>
                <w:rFonts w:eastAsia="Times New Roman"/>
                <w:color w:val="000000"/>
                <w:lang w:eastAsia="ru-RU"/>
              </w:rPr>
            </w:pPr>
            <w:r w:rsidRPr="00484FF2">
              <w:rPr>
                <w:rFonts w:eastAsia="Times New Roman"/>
                <w:color w:val="000000"/>
                <w:lang w:eastAsia="ru-RU" w:bidi="en-US"/>
              </w:rPr>
              <w:t>Крыс</w:t>
            </w:r>
            <w:r>
              <w:rPr>
                <w:rFonts w:eastAsia="Times New Roman"/>
                <w:color w:val="000000"/>
                <w:lang w:eastAsia="ru-RU" w:bidi="en-US"/>
              </w:rPr>
              <w:t>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39DAD59E"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0, 0,1, 0,5, 5</w:t>
            </w:r>
          </w:p>
        </w:tc>
        <w:tc>
          <w:tcPr>
            <w:tcW w:w="3492" w:type="dxa"/>
            <w:tcBorders>
              <w:top w:val="single" w:sz="8" w:space="0" w:color="auto"/>
              <w:left w:val="nil"/>
              <w:bottom w:val="nil"/>
              <w:right w:val="single" w:sz="8" w:space="0" w:color="auto"/>
            </w:tcBorders>
            <w:shd w:val="clear" w:color="auto" w:fill="auto"/>
            <w:vAlign w:val="center"/>
            <w:hideMark/>
          </w:tcPr>
          <w:p w14:paraId="1B41F188"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0,1 мг/кг; AUC=9,9 нг•ч/мл</w:t>
            </w:r>
          </w:p>
        </w:tc>
      </w:tr>
      <w:tr w:rsidR="000859AF" w:rsidRPr="00484FF2" w14:paraId="43B2595B"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45A73836"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3B2445EF"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799BC540"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67EB29E0"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0,5 мг/кг: снижение прироста массы тела</w:t>
            </w:r>
          </w:p>
        </w:tc>
      </w:tr>
      <w:tr w:rsidR="000859AF" w:rsidRPr="00484FF2" w14:paraId="79767E81"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2C1ACFE0"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BA599B9"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3B06FD6A"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16348F9F"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0,5 мг/кг: незначительное влияние на морфологию яичек</w:t>
            </w:r>
          </w:p>
        </w:tc>
      </w:tr>
      <w:tr w:rsidR="000859AF" w:rsidRPr="00484FF2" w14:paraId="0657215A"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1E02076"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E4A239D"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1D450239"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7B73036B"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5 мг/кг; снижение фертильности самцов, снижение уровня тестостерона, восстановление на 50 % через 13 недель</w:t>
            </w:r>
          </w:p>
        </w:tc>
      </w:tr>
      <w:tr w:rsidR="000859AF" w:rsidRPr="00484FF2" w14:paraId="42C4CAEF" w14:textId="77777777" w:rsidTr="008A7500">
        <w:trPr>
          <w:trHeight w:val="20"/>
        </w:trPr>
        <w:tc>
          <w:tcPr>
            <w:tcW w:w="935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7A72860" w14:textId="77777777" w:rsidR="000859AF" w:rsidRPr="00484FF2" w:rsidRDefault="000859AF" w:rsidP="000859AF">
            <w:pPr>
              <w:spacing w:after="0" w:line="240" w:lineRule="auto"/>
              <w:jc w:val="left"/>
              <w:rPr>
                <w:rFonts w:eastAsia="Times New Roman"/>
                <w:i/>
                <w:iCs/>
                <w:color w:val="000000"/>
                <w:lang w:eastAsia="ru-RU"/>
              </w:rPr>
            </w:pPr>
            <w:r w:rsidRPr="00484FF2">
              <w:rPr>
                <w:rFonts w:eastAsia="Times New Roman"/>
                <w:i/>
                <w:iCs/>
                <w:color w:val="000000"/>
                <w:lang w:eastAsia="ru-RU" w:bidi="en-US"/>
              </w:rPr>
              <w:t>Исследования эмбриофетотоксичности</w:t>
            </w:r>
          </w:p>
        </w:tc>
      </w:tr>
      <w:tr w:rsidR="000859AF" w:rsidRPr="00484FF2" w14:paraId="528627A8"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A076C"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определения диапазон доз для изучения репродуктивной токсичности с токсикокинетикой и плацентарным переносом</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1FEB707C" w14:textId="71C108CD" w:rsidR="000859AF" w:rsidRPr="00484FF2" w:rsidRDefault="005D5DBF" w:rsidP="005D5DBF">
            <w:pPr>
              <w:spacing w:after="0" w:line="240" w:lineRule="auto"/>
              <w:jc w:val="left"/>
              <w:rPr>
                <w:rFonts w:eastAsia="Times New Roman"/>
                <w:color w:val="000000"/>
                <w:lang w:eastAsia="ru-RU"/>
              </w:rPr>
            </w:pPr>
            <w:r w:rsidRPr="00484FF2">
              <w:rPr>
                <w:rFonts w:eastAsia="Times New Roman"/>
                <w:color w:val="000000"/>
                <w:lang w:eastAsia="ru-RU" w:bidi="en-US"/>
              </w:rPr>
              <w:t>Крыс</w:t>
            </w:r>
            <w:r>
              <w:rPr>
                <w:rFonts w:eastAsia="Times New Roman"/>
                <w:color w:val="000000"/>
                <w:lang w:eastAsia="ru-RU" w:bidi="en-US"/>
              </w:rPr>
              <w:t>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26470C02"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0, 0,15, 0,5, 1,5</w:t>
            </w:r>
          </w:p>
        </w:tc>
        <w:tc>
          <w:tcPr>
            <w:tcW w:w="3492" w:type="dxa"/>
            <w:tcBorders>
              <w:top w:val="nil"/>
              <w:left w:val="nil"/>
              <w:bottom w:val="nil"/>
              <w:right w:val="single" w:sz="8" w:space="0" w:color="auto"/>
            </w:tcBorders>
            <w:shd w:val="clear" w:color="auto" w:fill="auto"/>
            <w:vAlign w:val="center"/>
            <w:hideMark/>
          </w:tcPr>
          <w:p w14:paraId="0EA45CBB"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(для матери и эмбриона): 0,15 мг/кг; AUC= 10 нг•ч/мл</w:t>
            </w:r>
          </w:p>
        </w:tc>
      </w:tr>
      <w:tr w:rsidR="000859AF" w:rsidRPr="00484FF2" w14:paraId="47A5F44C"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7FAC3AEF"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0D5DDA0A"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48264CF"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7962355C"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0,5 мг/кг: снижение прироста массы тела; включая постимплантационную гибель</w:t>
            </w:r>
          </w:p>
        </w:tc>
      </w:tr>
      <w:tr w:rsidR="000859AF" w:rsidRPr="00484FF2" w14:paraId="3A384061"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4499D469"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5C76A0F3"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4E097E31"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5D3AF790"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1,5 мг/кг: снижение потребления корма, рассасывание всех имплантов</w:t>
            </w:r>
          </w:p>
        </w:tc>
      </w:tr>
      <w:tr w:rsidR="000859AF" w:rsidRPr="00484FF2" w14:paraId="0CE9CE1D"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1B0AA6C0"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фертильности и эмбриофетального развития</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02ABE19B" w14:textId="157BA087" w:rsidR="000859AF" w:rsidRPr="00484FF2" w:rsidRDefault="005D5DBF" w:rsidP="000859AF">
            <w:pPr>
              <w:spacing w:after="0" w:line="240" w:lineRule="auto"/>
              <w:jc w:val="left"/>
              <w:rPr>
                <w:rFonts w:eastAsia="Times New Roman"/>
                <w:color w:val="000000"/>
                <w:lang w:eastAsia="ru-RU"/>
              </w:rPr>
            </w:pPr>
            <w:r>
              <w:rPr>
                <w:rFonts w:eastAsia="Times New Roman"/>
                <w:color w:val="000000"/>
                <w:lang w:eastAsia="ru-RU" w:bidi="en-US"/>
              </w:rPr>
              <w:t>К</w:t>
            </w:r>
            <w:r w:rsidR="000859AF" w:rsidRPr="00484FF2">
              <w:rPr>
                <w:rFonts w:eastAsia="Times New Roman"/>
                <w:color w:val="000000"/>
                <w:lang w:eastAsia="ru-RU" w:bidi="en-US"/>
              </w:rPr>
              <w:t>рысы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16FAA039"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0, 0,1, 0,3, 0,9</w:t>
            </w:r>
          </w:p>
        </w:tc>
        <w:tc>
          <w:tcPr>
            <w:tcW w:w="3492" w:type="dxa"/>
            <w:tcBorders>
              <w:top w:val="single" w:sz="8" w:space="0" w:color="auto"/>
              <w:left w:val="nil"/>
              <w:bottom w:val="nil"/>
              <w:right w:val="single" w:sz="8" w:space="0" w:color="auto"/>
            </w:tcBorders>
            <w:shd w:val="clear" w:color="auto" w:fill="auto"/>
            <w:vAlign w:val="center"/>
            <w:hideMark/>
          </w:tcPr>
          <w:p w14:paraId="27E164EE"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(внутриутробное развитие) &lt; 0,1 мг/кг, AUC=20,0нг•ч/мл</w:t>
            </w:r>
          </w:p>
        </w:tc>
      </w:tr>
      <w:tr w:rsidR="000859AF" w:rsidRPr="00484FF2" w14:paraId="296EE119"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0094E53D"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6B2AF933"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AA70187"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23F281EB"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(мать) 0,3 мг/кг AUC=37,5 нг•ч/мл</w:t>
            </w:r>
          </w:p>
        </w:tc>
      </w:tr>
      <w:tr w:rsidR="000859AF" w:rsidRPr="00484FF2" w14:paraId="50CA685E"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1DBE55EC"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29F31068"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CC93F2B"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7F894935"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Эмбриональная ткань 0,8 нг/г</w:t>
            </w:r>
          </w:p>
        </w:tc>
      </w:tr>
      <w:tr w:rsidR="000859AF" w:rsidRPr="00484FF2" w14:paraId="6DE5489C"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0012D091"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6CD80C29"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375777A8"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31964BC3"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0,1 мг/кг: увеличение пред- и постимплантационной гибели, задержка развития скелета.</w:t>
            </w:r>
          </w:p>
        </w:tc>
      </w:tr>
      <w:tr w:rsidR="000859AF" w:rsidRPr="00484FF2" w14:paraId="7FDF0B9C"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101F8189"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23B917CC"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0ED2BB56"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45699DFF"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0,3 мг/кг; нарушение изменения массы тела; снижение массы плода; увеличение частоты пороков развития - грудных позвонков, ребер, сегментов грудины</w:t>
            </w:r>
          </w:p>
        </w:tc>
      </w:tr>
      <w:tr w:rsidR="000859AF" w:rsidRPr="00484FF2" w14:paraId="11EE198A"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2ACD66EB"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24F219F8"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76DAF557"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4902F7ED"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0,9 мг/кг: снижение потребления корма, повышение частоты формирования 14 пар ребер; 2 плода с расщелиной грудины</w:t>
            </w:r>
          </w:p>
        </w:tc>
      </w:tr>
      <w:tr w:rsidR="000859AF" w:rsidRPr="00484FF2" w14:paraId="65B4AC34"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76567FD2"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эмбриофетотоксичности с подбором диапазона доз</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6F72A06F" w14:textId="42CA1EDA" w:rsidR="000859AF" w:rsidRPr="00484FF2" w:rsidRDefault="005D5DBF" w:rsidP="000859AF">
            <w:pPr>
              <w:spacing w:after="0" w:line="240" w:lineRule="auto"/>
              <w:jc w:val="left"/>
              <w:rPr>
                <w:rFonts w:eastAsia="Times New Roman"/>
                <w:color w:val="000000"/>
                <w:lang w:eastAsia="ru-RU"/>
              </w:rPr>
            </w:pPr>
            <w:r>
              <w:rPr>
                <w:rFonts w:eastAsia="Times New Roman"/>
                <w:color w:val="000000"/>
                <w:lang w:eastAsia="ru-RU" w:bidi="en-US"/>
              </w:rPr>
              <w:t>К</w:t>
            </w:r>
            <w:r w:rsidR="000859AF" w:rsidRPr="00484FF2">
              <w:rPr>
                <w:rFonts w:eastAsia="Times New Roman"/>
                <w:color w:val="000000"/>
                <w:lang w:eastAsia="ru-RU" w:bidi="en-US"/>
              </w:rPr>
              <w:t>ролик</w:t>
            </w:r>
            <w:r>
              <w:rPr>
                <w:rFonts w:eastAsia="Times New Roman"/>
                <w:color w:val="000000"/>
                <w:lang w:eastAsia="ru-RU" w:bidi="en-US"/>
              </w:rPr>
              <w:t>и</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1B81B9FD"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0, 0,5, 1,0, 1,5, 5</w:t>
            </w:r>
          </w:p>
        </w:tc>
        <w:tc>
          <w:tcPr>
            <w:tcW w:w="3492" w:type="dxa"/>
            <w:tcBorders>
              <w:top w:val="single" w:sz="8" w:space="0" w:color="auto"/>
              <w:left w:val="nil"/>
              <w:bottom w:val="nil"/>
              <w:right w:val="single" w:sz="8" w:space="0" w:color="auto"/>
            </w:tcBorders>
            <w:shd w:val="clear" w:color="auto" w:fill="auto"/>
            <w:vAlign w:val="center"/>
            <w:hideMark/>
          </w:tcPr>
          <w:p w14:paraId="5AC8D588"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(внутриутробное развитие): 1,0 мг/кг; AUC= 178 нг•ч/мл</w:t>
            </w:r>
          </w:p>
        </w:tc>
      </w:tr>
      <w:tr w:rsidR="000859AF" w:rsidRPr="00484FF2" w14:paraId="17368A67"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F3F3303"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694D80E"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7313C05"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66D868BA"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(мать): &lt; 0,5 мг/кг</w:t>
            </w:r>
          </w:p>
        </w:tc>
      </w:tr>
      <w:tr w:rsidR="000859AF" w:rsidRPr="00484FF2" w14:paraId="70283BFC"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22685B4D"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8835033"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00A862FD"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56EA28B3"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0,5 мг/кг: снижение массы тела, потребления корма, потребления воды</w:t>
            </w:r>
          </w:p>
        </w:tc>
      </w:tr>
      <w:tr w:rsidR="000859AF" w:rsidRPr="00484FF2" w14:paraId="5A5F7A18"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292197F"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49E90D01"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0CA4C079"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2778A505"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xml:space="preserve">• 1,5 мг/кг: повышение постимплантационной гибели </w:t>
            </w:r>
          </w:p>
        </w:tc>
      </w:tr>
      <w:tr w:rsidR="000859AF" w:rsidRPr="00484FF2" w14:paraId="178AF037"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1BDBDD49"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эмбриофетального развития</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C508F1" w14:textId="5F0E79CB" w:rsidR="000859AF" w:rsidRPr="00484FF2" w:rsidRDefault="005D5DBF" w:rsidP="000859AF">
            <w:pPr>
              <w:spacing w:after="0" w:line="240" w:lineRule="auto"/>
              <w:jc w:val="left"/>
              <w:rPr>
                <w:rFonts w:eastAsia="Times New Roman"/>
                <w:color w:val="000000"/>
                <w:lang w:eastAsia="ru-RU"/>
              </w:rPr>
            </w:pPr>
            <w:r>
              <w:rPr>
                <w:rFonts w:eastAsia="Times New Roman"/>
                <w:color w:val="000000"/>
                <w:lang w:eastAsia="ru-RU" w:bidi="en-US"/>
              </w:rPr>
              <w:t>К</w:t>
            </w:r>
            <w:r w:rsidR="000859AF" w:rsidRPr="00484FF2">
              <w:rPr>
                <w:rFonts w:eastAsia="Times New Roman"/>
                <w:color w:val="000000"/>
                <w:lang w:eastAsia="ru-RU" w:bidi="en-US"/>
              </w:rPr>
              <w:t>ролик</w:t>
            </w:r>
            <w:r>
              <w:rPr>
                <w:rFonts w:eastAsia="Times New Roman"/>
                <w:color w:val="000000"/>
                <w:lang w:eastAsia="ru-RU" w:bidi="en-US"/>
              </w:rPr>
              <w:t>и</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0DF4F413"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0, 0,05, 0,2, 0,8</w:t>
            </w:r>
          </w:p>
        </w:tc>
        <w:tc>
          <w:tcPr>
            <w:tcW w:w="3492" w:type="dxa"/>
            <w:tcBorders>
              <w:top w:val="single" w:sz="8" w:space="0" w:color="auto"/>
              <w:left w:val="nil"/>
              <w:bottom w:val="nil"/>
              <w:right w:val="single" w:sz="8" w:space="0" w:color="auto"/>
            </w:tcBorders>
            <w:shd w:val="clear" w:color="auto" w:fill="auto"/>
            <w:vAlign w:val="center"/>
            <w:hideMark/>
          </w:tcPr>
          <w:p w14:paraId="09442D4F"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(внутриутробное развитие): 0,2 мг/кг;</w:t>
            </w:r>
          </w:p>
        </w:tc>
      </w:tr>
      <w:tr w:rsidR="000859AF" w:rsidRPr="00484FF2" w14:paraId="32DCCB63"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482E3084"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2F081D2F"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55456C2"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6F9143A4"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AUC=61,2 нг•ч/мл</w:t>
            </w:r>
          </w:p>
        </w:tc>
      </w:tr>
      <w:tr w:rsidR="000859AF" w:rsidRPr="00484FF2" w14:paraId="0CDF8E3D"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B736284"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74973BB7"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68DACC8C"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2CE5F472"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Эмбриональная ткань &lt; ПО (1 нг/г)</w:t>
            </w:r>
          </w:p>
        </w:tc>
      </w:tr>
      <w:tr w:rsidR="000859AF" w:rsidRPr="00484FF2" w14:paraId="1CE58174"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77605EF2"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4727713C"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4F2FE649"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7BA2500A"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rPr>
              <w:t>NOAEL (мать) 0,05 мг/кг AUC=18,4 нг•ч/мл</w:t>
            </w:r>
          </w:p>
        </w:tc>
      </w:tr>
      <w:tr w:rsidR="000859AF" w:rsidRPr="00484FF2" w14:paraId="06E5EF75"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2BA3EF52"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4B20EEC3"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49747DBD"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15089FC4"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0,2 мг/кг: одна самка погибла. Снижение массы тела, снижение потребления корма, включая позднюю резорбцию</w:t>
            </w:r>
          </w:p>
        </w:tc>
      </w:tr>
      <w:tr w:rsidR="000859AF" w:rsidRPr="00484FF2" w14:paraId="3CBC76E8"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3E201965"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707B12E0"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3C901DC0"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single" w:sz="8" w:space="0" w:color="auto"/>
              <w:right w:val="single" w:sz="8" w:space="0" w:color="auto"/>
            </w:tcBorders>
            <w:shd w:val="clear" w:color="auto" w:fill="auto"/>
            <w:vAlign w:val="center"/>
            <w:hideMark/>
          </w:tcPr>
          <w:p w14:paraId="7FD22AAF"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0,8 мг/кг: одна самка погибла; снижение массы тела, снижение потребления корма, включая позднюю резорбцию</w:t>
            </w:r>
          </w:p>
        </w:tc>
      </w:tr>
      <w:tr w:rsidR="000859AF" w:rsidRPr="00484FF2" w14:paraId="69CBC439" w14:textId="77777777" w:rsidTr="008A7500">
        <w:trPr>
          <w:trHeight w:val="20"/>
        </w:trPr>
        <w:tc>
          <w:tcPr>
            <w:tcW w:w="935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52A7B5F" w14:textId="77777777" w:rsidR="000859AF" w:rsidRPr="00484FF2" w:rsidRDefault="000859AF" w:rsidP="000859AF">
            <w:pPr>
              <w:spacing w:after="0" w:line="240" w:lineRule="auto"/>
              <w:jc w:val="left"/>
              <w:rPr>
                <w:rFonts w:eastAsia="Times New Roman"/>
                <w:i/>
                <w:iCs/>
                <w:color w:val="000000"/>
                <w:lang w:eastAsia="ru-RU"/>
              </w:rPr>
            </w:pPr>
            <w:r w:rsidRPr="00484FF2">
              <w:rPr>
                <w:rFonts w:eastAsia="Times New Roman"/>
                <w:i/>
                <w:iCs/>
                <w:color w:val="000000"/>
                <w:lang w:eastAsia="ru-RU" w:bidi="en-US"/>
              </w:rPr>
              <w:t>Исследование пре- и постнатального развития</w:t>
            </w:r>
          </w:p>
        </w:tc>
      </w:tr>
      <w:tr w:rsidR="000859AF" w:rsidRPr="00484FF2" w14:paraId="331DD5BB"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4933C14F"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пре- и постнатального развития</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618BBE2D" w14:textId="0212B868" w:rsidR="000859AF" w:rsidRPr="00484FF2" w:rsidRDefault="005D5DBF" w:rsidP="005D5DBF">
            <w:pPr>
              <w:spacing w:after="0" w:line="240" w:lineRule="auto"/>
              <w:jc w:val="left"/>
              <w:rPr>
                <w:rFonts w:eastAsia="Times New Roman"/>
                <w:color w:val="000000"/>
                <w:lang w:eastAsia="ru-RU"/>
              </w:rPr>
            </w:pPr>
            <w:r>
              <w:rPr>
                <w:rFonts w:eastAsia="Times New Roman"/>
                <w:color w:val="000000"/>
                <w:lang w:eastAsia="ru-RU" w:bidi="en-US"/>
              </w:rPr>
              <w:t>К</w:t>
            </w:r>
            <w:r w:rsidR="000859AF" w:rsidRPr="00484FF2">
              <w:rPr>
                <w:rFonts w:eastAsia="Times New Roman"/>
                <w:color w:val="000000"/>
                <w:lang w:eastAsia="ru-RU" w:bidi="en-US"/>
              </w:rPr>
              <w:t>рыс</w:t>
            </w:r>
            <w:r>
              <w:rPr>
                <w:rFonts w:eastAsia="Times New Roman"/>
                <w:color w:val="000000"/>
                <w:lang w:eastAsia="ru-RU" w:bidi="en-US"/>
              </w:rPr>
              <w:t>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490BB351"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0, 0,03, 0,1, 0,3</w:t>
            </w:r>
          </w:p>
        </w:tc>
        <w:tc>
          <w:tcPr>
            <w:tcW w:w="3492" w:type="dxa"/>
            <w:tcBorders>
              <w:top w:val="nil"/>
              <w:left w:val="nil"/>
              <w:bottom w:val="nil"/>
              <w:right w:val="single" w:sz="8" w:space="0" w:color="auto"/>
            </w:tcBorders>
            <w:shd w:val="clear" w:color="auto" w:fill="auto"/>
            <w:vAlign w:val="center"/>
            <w:hideMark/>
          </w:tcPr>
          <w:p w14:paraId="60EB04A3"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(поколение F0): 0,3 мг/кг</w:t>
            </w:r>
          </w:p>
        </w:tc>
      </w:tr>
      <w:tr w:rsidR="000859AF" w:rsidRPr="00484FF2" w14:paraId="64F973BB"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1A9D2BB8"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1AA301F2"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7A8E5B0E"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4248267D"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(поколение F1): 0,03</w:t>
            </w:r>
          </w:p>
        </w:tc>
      </w:tr>
      <w:tr w:rsidR="000859AF" w:rsidRPr="00484FF2" w14:paraId="6A8156AB"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50D9C378"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4D2CBA12"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47EB1875"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nil"/>
              <w:right w:val="single" w:sz="8" w:space="0" w:color="auto"/>
            </w:tcBorders>
            <w:shd w:val="clear" w:color="auto" w:fill="auto"/>
            <w:vAlign w:val="center"/>
            <w:hideMark/>
          </w:tcPr>
          <w:p w14:paraId="21162B21"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 0,1 мг/кг: снижение массы тела и выживаемости, поколение F1</w:t>
            </w:r>
          </w:p>
        </w:tc>
      </w:tr>
      <w:tr w:rsidR="000859AF" w:rsidRPr="00484FF2" w14:paraId="5E461D4F" w14:textId="77777777" w:rsidTr="008A7500">
        <w:trPr>
          <w:trHeight w:val="20"/>
        </w:trPr>
        <w:tc>
          <w:tcPr>
            <w:tcW w:w="3335" w:type="dxa"/>
            <w:vMerge w:val="restart"/>
            <w:tcBorders>
              <w:top w:val="nil"/>
              <w:left w:val="single" w:sz="8" w:space="0" w:color="auto"/>
              <w:bottom w:val="single" w:sz="8" w:space="0" w:color="000000"/>
              <w:right w:val="single" w:sz="8" w:space="0" w:color="auto"/>
            </w:tcBorders>
            <w:shd w:val="clear" w:color="auto" w:fill="auto"/>
            <w:vAlign w:val="center"/>
            <w:hideMark/>
          </w:tcPr>
          <w:p w14:paraId="7EE6DB79"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Исследование развития новорожденных и неполовозрелых животных при пероральном введении с 13- и 26</w:t>
            </w:r>
            <w:r w:rsidRPr="00484FF2">
              <w:rPr>
                <w:rFonts w:eastAsia="Times New Roman"/>
                <w:color w:val="000000"/>
                <w:lang w:eastAsia="ru-RU" w:bidi="en-US"/>
              </w:rPr>
              <w:noBreakHyphen/>
              <w:t>недельными периодами восстановления</w:t>
            </w:r>
          </w:p>
        </w:tc>
        <w:tc>
          <w:tcPr>
            <w:tcW w:w="1354" w:type="dxa"/>
            <w:vMerge w:val="restart"/>
            <w:tcBorders>
              <w:top w:val="nil"/>
              <w:left w:val="single" w:sz="8" w:space="0" w:color="auto"/>
              <w:bottom w:val="single" w:sz="8" w:space="0" w:color="000000"/>
              <w:right w:val="single" w:sz="8" w:space="0" w:color="auto"/>
            </w:tcBorders>
            <w:shd w:val="clear" w:color="auto" w:fill="auto"/>
            <w:vAlign w:val="center"/>
            <w:hideMark/>
          </w:tcPr>
          <w:p w14:paraId="797EACBC" w14:textId="5F900BBD" w:rsidR="000859AF" w:rsidRPr="00484FF2" w:rsidRDefault="005D5DBF" w:rsidP="005D5DBF">
            <w:pPr>
              <w:spacing w:after="0" w:line="240" w:lineRule="auto"/>
              <w:jc w:val="left"/>
              <w:rPr>
                <w:rFonts w:eastAsia="Times New Roman"/>
                <w:color w:val="000000"/>
                <w:lang w:eastAsia="ru-RU"/>
              </w:rPr>
            </w:pPr>
            <w:r>
              <w:rPr>
                <w:rFonts w:eastAsia="Times New Roman"/>
                <w:color w:val="000000"/>
                <w:lang w:eastAsia="ru-RU" w:bidi="en-US"/>
              </w:rPr>
              <w:t>К</w:t>
            </w:r>
            <w:r w:rsidR="000859AF" w:rsidRPr="00484FF2">
              <w:rPr>
                <w:rFonts w:eastAsia="Times New Roman"/>
                <w:color w:val="000000"/>
                <w:lang w:eastAsia="ru-RU" w:bidi="en-US"/>
              </w:rPr>
              <w:t>рыс</w:t>
            </w:r>
            <w:r>
              <w:rPr>
                <w:rFonts w:eastAsia="Times New Roman"/>
                <w:color w:val="000000"/>
                <w:lang w:eastAsia="ru-RU" w:bidi="en-US"/>
              </w:rPr>
              <w:t>ы</w:t>
            </w:r>
          </w:p>
        </w:tc>
        <w:tc>
          <w:tcPr>
            <w:tcW w:w="1175" w:type="dxa"/>
            <w:vMerge w:val="restart"/>
            <w:tcBorders>
              <w:top w:val="nil"/>
              <w:left w:val="single" w:sz="8" w:space="0" w:color="auto"/>
              <w:bottom w:val="single" w:sz="8" w:space="0" w:color="000000"/>
              <w:right w:val="single" w:sz="8" w:space="0" w:color="auto"/>
            </w:tcBorders>
            <w:shd w:val="clear" w:color="auto" w:fill="auto"/>
            <w:vAlign w:val="center"/>
            <w:hideMark/>
          </w:tcPr>
          <w:p w14:paraId="0BB5AB33"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0, 0,15, 0,5, 1,5</w:t>
            </w:r>
          </w:p>
        </w:tc>
        <w:tc>
          <w:tcPr>
            <w:tcW w:w="3492" w:type="dxa"/>
            <w:tcBorders>
              <w:top w:val="single" w:sz="8" w:space="0" w:color="auto"/>
              <w:left w:val="nil"/>
              <w:bottom w:val="nil"/>
              <w:right w:val="single" w:sz="8" w:space="0" w:color="auto"/>
            </w:tcBorders>
            <w:shd w:val="clear" w:color="auto" w:fill="auto"/>
            <w:vAlign w:val="center"/>
            <w:hideMark/>
          </w:tcPr>
          <w:p w14:paraId="53758397"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NOAEL &lt; 0,15 мг/кг;</w:t>
            </w:r>
          </w:p>
        </w:tc>
      </w:tr>
      <w:tr w:rsidR="000859AF" w:rsidRPr="00484FF2" w14:paraId="281F914B" w14:textId="77777777" w:rsidTr="008A7500">
        <w:trPr>
          <w:trHeight w:val="20"/>
        </w:trPr>
        <w:tc>
          <w:tcPr>
            <w:tcW w:w="3335" w:type="dxa"/>
            <w:vMerge/>
            <w:tcBorders>
              <w:top w:val="nil"/>
              <w:left w:val="single" w:sz="8" w:space="0" w:color="auto"/>
              <w:bottom w:val="single" w:sz="8" w:space="0" w:color="000000"/>
              <w:right w:val="single" w:sz="8" w:space="0" w:color="auto"/>
            </w:tcBorders>
            <w:vAlign w:val="center"/>
            <w:hideMark/>
          </w:tcPr>
          <w:p w14:paraId="42DF374A" w14:textId="77777777" w:rsidR="000859AF" w:rsidRPr="00484FF2" w:rsidRDefault="000859AF" w:rsidP="000859AF">
            <w:pPr>
              <w:spacing w:after="0" w:line="240" w:lineRule="auto"/>
              <w:jc w:val="left"/>
              <w:rPr>
                <w:rFonts w:eastAsia="Times New Roman"/>
                <w:color w:val="000000"/>
                <w:lang w:eastAsia="ru-RU"/>
              </w:rPr>
            </w:pPr>
          </w:p>
        </w:tc>
        <w:tc>
          <w:tcPr>
            <w:tcW w:w="1354" w:type="dxa"/>
            <w:vMerge/>
            <w:tcBorders>
              <w:top w:val="nil"/>
              <w:left w:val="single" w:sz="8" w:space="0" w:color="auto"/>
              <w:bottom w:val="single" w:sz="8" w:space="0" w:color="000000"/>
              <w:right w:val="single" w:sz="8" w:space="0" w:color="auto"/>
            </w:tcBorders>
            <w:vAlign w:val="center"/>
            <w:hideMark/>
          </w:tcPr>
          <w:p w14:paraId="0858F8B0" w14:textId="77777777" w:rsidR="000859AF" w:rsidRPr="00484FF2" w:rsidRDefault="000859AF" w:rsidP="000859AF">
            <w:pPr>
              <w:spacing w:after="0" w:line="240" w:lineRule="auto"/>
              <w:jc w:val="left"/>
              <w:rPr>
                <w:rFonts w:eastAsia="Times New Roman"/>
                <w:color w:val="000000"/>
                <w:lang w:eastAsia="ru-RU"/>
              </w:rPr>
            </w:pPr>
          </w:p>
        </w:tc>
        <w:tc>
          <w:tcPr>
            <w:tcW w:w="1175" w:type="dxa"/>
            <w:vMerge/>
            <w:tcBorders>
              <w:top w:val="nil"/>
              <w:left w:val="single" w:sz="8" w:space="0" w:color="auto"/>
              <w:bottom w:val="single" w:sz="8" w:space="0" w:color="000000"/>
              <w:right w:val="single" w:sz="8" w:space="0" w:color="auto"/>
            </w:tcBorders>
            <w:vAlign w:val="center"/>
            <w:hideMark/>
          </w:tcPr>
          <w:p w14:paraId="58493381" w14:textId="77777777" w:rsidR="000859AF" w:rsidRPr="00484FF2" w:rsidRDefault="000859AF" w:rsidP="000859AF">
            <w:pPr>
              <w:spacing w:after="0" w:line="240" w:lineRule="auto"/>
              <w:jc w:val="left"/>
              <w:rPr>
                <w:rFonts w:eastAsia="Times New Roman"/>
                <w:color w:val="000000"/>
                <w:lang w:eastAsia="ru-RU"/>
              </w:rPr>
            </w:pPr>
          </w:p>
        </w:tc>
        <w:tc>
          <w:tcPr>
            <w:tcW w:w="3492" w:type="dxa"/>
            <w:tcBorders>
              <w:top w:val="nil"/>
              <w:left w:val="nil"/>
              <w:bottom w:val="single" w:sz="8" w:space="0" w:color="auto"/>
              <w:right w:val="single" w:sz="8" w:space="0" w:color="auto"/>
            </w:tcBorders>
            <w:shd w:val="clear" w:color="auto" w:fill="auto"/>
            <w:vAlign w:val="center"/>
            <w:hideMark/>
          </w:tcPr>
          <w:p w14:paraId="0B49C537" w14:textId="77777777" w:rsidR="000859AF" w:rsidRPr="00484FF2" w:rsidRDefault="000859AF" w:rsidP="000859AF">
            <w:pPr>
              <w:spacing w:after="0" w:line="240" w:lineRule="auto"/>
              <w:jc w:val="left"/>
              <w:rPr>
                <w:rFonts w:eastAsia="Times New Roman"/>
                <w:color w:val="000000"/>
                <w:lang w:eastAsia="ru-RU"/>
              </w:rPr>
            </w:pPr>
            <w:r w:rsidRPr="00484FF2">
              <w:rPr>
                <w:rFonts w:eastAsia="Times New Roman"/>
                <w:color w:val="000000"/>
                <w:lang w:eastAsia="ru-RU" w:bidi="en-US"/>
              </w:rPr>
              <w:t>уменьшение репродуктивных органов самцов и самок, все дозы снижали массу тела и потребление корма</w:t>
            </w:r>
          </w:p>
        </w:tc>
      </w:tr>
    </w:tbl>
    <w:p w14:paraId="5E15BA91" w14:textId="77777777" w:rsidR="000859AF" w:rsidRPr="000859AF" w:rsidRDefault="000859AF" w:rsidP="000859AF">
      <w:pPr>
        <w:spacing w:after="0" w:line="240" w:lineRule="auto"/>
      </w:pPr>
    </w:p>
    <w:p w14:paraId="02A34218" w14:textId="77777777" w:rsidR="000859AF" w:rsidRPr="000859AF" w:rsidRDefault="000859AF" w:rsidP="000859AF">
      <w:pPr>
        <w:pStyle w:val="4"/>
        <w:spacing w:before="0" w:line="240" w:lineRule="auto"/>
        <w:rPr>
          <w:rFonts w:ascii="Times New Roman" w:hAnsi="Times New Roman"/>
          <w:color w:val="000000" w:themeColor="text1"/>
          <w:sz w:val="24"/>
          <w:szCs w:val="24"/>
        </w:rPr>
      </w:pPr>
      <w:bookmarkStart w:id="240" w:name="_Toc115217957"/>
      <w:bookmarkStart w:id="241" w:name="_Toc118124192"/>
      <w:bookmarkStart w:id="242" w:name="_Toc119313761"/>
      <w:r w:rsidRPr="000859AF">
        <w:rPr>
          <w:rFonts w:ascii="Times New Roman" w:hAnsi="Times New Roman"/>
          <w:color w:val="000000" w:themeColor="text1"/>
          <w:sz w:val="24"/>
          <w:szCs w:val="24"/>
        </w:rPr>
        <w:t>3.3.5.4. Ювенильная токсичность</w:t>
      </w:r>
      <w:bookmarkEnd w:id="240"/>
      <w:bookmarkEnd w:id="241"/>
      <w:bookmarkEnd w:id="242"/>
    </w:p>
    <w:p w14:paraId="4C2B3808" w14:textId="77777777" w:rsidR="000859AF" w:rsidRPr="00F918EE" w:rsidRDefault="000859AF" w:rsidP="000859AF">
      <w:pPr>
        <w:spacing w:after="0" w:line="240" w:lineRule="auto"/>
        <w:ind w:firstLine="709"/>
      </w:pPr>
    </w:p>
    <w:p w14:paraId="31117648" w14:textId="77777777" w:rsidR="000859AF" w:rsidRPr="00F918EE" w:rsidRDefault="000859AF" w:rsidP="000859AF">
      <w:pPr>
        <w:spacing w:after="0" w:line="240" w:lineRule="auto"/>
        <w:ind w:firstLine="709"/>
      </w:pPr>
      <w:r w:rsidRPr="00F918EE">
        <w:t>В исследовании развития ювенильных крыс введение эверолимуса перорально в дозах 0,15, 0,5 и 1,5 мг/кг на 7-70 дни после родов с 13- и 26-недельными периодами восстановления приводило к системной токсичности при всех дозах (воздействие ниже терапевтического уровня), включая снижение абсолютной прибавки массы тела, потребления пищи, задержку достижения некоторых ориентиров развития с полным или частичным восстановлением после прекращения приема препарата. За возможным исключением аномалий со стороны хрусталика, специфичных для крыс (где молодые животные оказались более восприимчивыми), по-видимому, нет существенной разницы в чувствительности молодых животных к неблагоприятным эффектам эверолимуса по сравнению со взрослыми животными.</w:t>
      </w:r>
    </w:p>
    <w:p w14:paraId="05F37DCE" w14:textId="77777777" w:rsidR="000859AF" w:rsidRPr="00F918EE" w:rsidRDefault="000859AF" w:rsidP="000859AF">
      <w:pPr>
        <w:spacing w:after="0" w:line="240" w:lineRule="auto"/>
        <w:ind w:firstLine="709"/>
      </w:pPr>
      <w:r w:rsidRPr="00F918EE">
        <w:lastRenderedPageBreak/>
        <w:t>У молодых обезьян (приблизительно в возрасте 1 года) пероральное лечение эверолимусом в дозах до 0,5 мг/кг (воздействие, эквивалентное терапевтическому воздействию, исходя из AUC) в течение 4 недель не вызывало значимой токсичности [1].</w:t>
      </w:r>
    </w:p>
    <w:p w14:paraId="692DEC8C" w14:textId="77777777" w:rsidR="000859AF" w:rsidRPr="00F918EE" w:rsidRDefault="000859AF" w:rsidP="000859AF">
      <w:pPr>
        <w:spacing w:after="0" w:line="240" w:lineRule="auto"/>
        <w:ind w:firstLine="709"/>
      </w:pPr>
    </w:p>
    <w:p w14:paraId="21D8B737" w14:textId="77777777" w:rsidR="000859AF" w:rsidRPr="00F918EE" w:rsidRDefault="000859AF" w:rsidP="000859AF">
      <w:pPr>
        <w:pStyle w:val="3"/>
        <w:spacing w:before="0" w:line="240" w:lineRule="auto"/>
        <w:rPr>
          <w:rFonts w:ascii="Times New Roman" w:hAnsi="Times New Roman"/>
          <w:color w:val="000000" w:themeColor="text1"/>
        </w:rPr>
      </w:pPr>
      <w:bookmarkStart w:id="243" w:name="_Toc115217958"/>
      <w:bookmarkStart w:id="244" w:name="_Toc118124193"/>
      <w:bookmarkStart w:id="245" w:name="_Toc119313762"/>
      <w:r w:rsidRPr="00F918EE">
        <w:rPr>
          <w:rFonts w:ascii="Times New Roman" w:hAnsi="Times New Roman"/>
          <w:color w:val="000000" w:themeColor="text1"/>
        </w:rPr>
        <w:t>3.3.6. Местная переносимость</w:t>
      </w:r>
      <w:bookmarkEnd w:id="243"/>
      <w:bookmarkEnd w:id="244"/>
      <w:bookmarkEnd w:id="245"/>
    </w:p>
    <w:p w14:paraId="11F9723B" w14:textId="77777777" w:rsidR="000859AF" w:rsidRPr="00F918EE" w:rsidRDefault="000859AF" w:rsidP="000859AF">
      <w:pPr>
        <w:spacing w:after="0" w:line="240" w:lineRule="auto"/>
        <w:ind w:firstLine="709"/>
      </w:pPr>
    </w:p>
    <w:p w14:paraId="299FEC38" w14:textId="77777777" w:rsidR="000859AF" w:rsidRPr="00F918EE" w:rsidRDefault="000859AF" w:rsidP="000859AF">
      <w:pPr>
        <w:spacing w:after="0" w:line="240" w:lineRule="auto"/>
        <w:ind w:firstLine="709"/>
      </w:pPr>
      <w:r w:rsidRPr="00F918EE">
        <w:t xml:space="preserve">Сенсибилизирующий потенциал эверолимуса исследовали на морских свинках, а потенциал раздражения кожи – на кроликах. Кроме того, на кроликах оценивали внутривенную переносимость микроэмульсии эверолимуса. Все растворы локально хорошо переносились. Эверолимус не вызывал раздражения кожи кроликов после полуокклюзионного воздействия в течение 4 часов. </w:t>
      </w:r>
      <w:bookmarkStart w:id="246" w:name="_Hlk113016009"/>
      <w:r w:rsidRPr="00F918EE">
        <w:t>Эверолимус не показал способности вызывать контактную гиперчувствительность при нанесении на кожу морских свинок в тесте максимизации</w:t>
      </w:r>
      <w:bookmarkEnd w:id="246"/>
      <w:r w:rsidRPr="00F918EE">
        <w:t xml:space="preserve"> [5].</w:t>
      </w:r>
    </w:p>
    <w:p w14:paraId="7735EF51" w14:textId="77777777" w:rsidR="000859AF" w:rsidRPr="000E35C6" w:rsidRDefault="000859AF" w:rsidP="000859AF">
      <w:pPr>
        <w:spacing w:after="0" w:line="240" w:lineRule="auto"/>
        <w:ind w:firstLine="709"/>
        <w:rPr>
          <w:highlight w:val="green"/>
        </w:rPr>
      </w:pPr>
    </w:p>
    <w:p w14:paraId="6B2AE17F" w14:textId="77777777" w:rsidR="000859AF" w:rsidRPr="00F918EE" w:rsidRDefault="000859AF" w:rsidP="000859AF">
      <w:pPr>
        <w:pStyle w:val="3"/>
        <w:spacing w:before="0" w:line="240" w:lineRule="auto"/>
        <w:rPr>
          <w:rFonts w:ascii="Times New Roman" w:hAnsi="Times New Roman"/>
          <w:color w:val="000000" w:themeColor="text1"/>
        </w:rPr>
      </w:pPr>
      <w:bookmarkStart w:id="247" w:name="_Toc115217959"/>
      <w:bookmarkStart w:id="248" w:name="_Toc118124194"/>
      <w:bookmarkStart w:id="249" w:name="_Toc119313763"/>
      <w:r w:rsidRPr="00F918EE">
        <w:rPr>
          <w:rFonts w:ascii="Times New Roman" w:hAnsi="Times New Roman"/>
          <w:color w:val="000000" w:themeColor="text1"/>
        </w:rPr>
        <w:t>3.3.7. Токсикокинетика</w:t>
      </w:r>
      <w:bookmarkEnd w:id="247"/>
      <w:bookmarkEnd w:id="248"/>
      <w:bookmarkEnd w:id="249"/>
    </w:p>
    <w:p w14:paraId="6719B4B4" w14:textId="77777777" w:rsidR="000859AF" w:rsidRPr="00F918EE" w:rsidRDefault="000859AF" w:rsidP="000859AF">
      <w:pPr>
        <w:spacing w:after="0" w:line="240" w:lineRule="auto"/>
        <w:ind w:firstLine="709"/>
      </w:pPr>
    </w:p>
    <w:p w14:paraId="60364910" w14:textId="77777777" w:rsidR="000859AF" w:rsidRPr="00F918EE" w:rsidRDefault="000859AF" w:rsidP="000859AF">
      <w:pPr>
        <w:spacing w:after="0" w:line="240" w:lineRule="auto"/>
        <w:ind w:firstLine="709"/>
      </w:pPr>
      <w:r w:rsidRPr="00F918EE">
        <w:t xml:space="preserve">Токсикокинетика изучалась у крыс при применении эверолимуса в течение 92 дней. Результаты представлены в таблице </w:t>
      </w:r>
      <w:r w:rsidRPr="000859AF">
        <w:t xml:space="preserve">3-8 </w:t>
      </w:r>
      <w:r w:rsidRPr="00F918EE">
        <w:t>ниже [6].</w:t>
      </w:r>
    </w:p>
    <w:p w14:paraId="1D9DC554" w14:textId="77777777" w:rsidR="000859AF" w:rsidRPr="00F918EE" w:rsidRDefault="000859AF" w:rsidP="000859AF">
      <w:pPr>
        <w:spacing w:after="0" w:line="240" w:lineRule="auto"/>
        <w:ind w:firstLine="709"/>
      </w:pPr>
    </w:p>
    <w:p w14:paraId="48A7EB2D" w14:textId="77777777" w:rsidR="000859AF" w:rsidRPr="00F918EE" w:rsidRDefault="000859AF" w:rsidP="000859AF">
      <w:pPr>
        <w:spacing w:after="0" w:line="240" w:lineRule="auto"/>
      </w:pPr>
      <w:r>
        <w:rPr>
          <w:b/>
        </w:rPr>
        <w:t>Таблица 3-</w:t>
      </w:r>
      <w:r w:rsidRPr="000859AF">
        <w:rPr>
          <w:b/>
        </w:rPr>
        <w:t>8</w:t>
      </w:r>
      <w:r w:rsidRPr="00F918EE">
        <w:t>. Токсикокинетика эверолимуса у крыс на 92 день приема.</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2"/>
        <w:gridCol w:w="2342"/>
        <w:gridCol w:w="2342"/>
        <w:gridCol w:w="2342"/>
      </w:tblGrid>
      <w:tr w:rsidR="000859AF" w:rsidRPr="00F918EE" w14:paraId="40C717D6" w14:textId="77777777" w:rsidTr="0071249E">
        <w:trPr>
          <w:trHeight w:val="505"/>
          <w:tblHeader/>
        </w:trPr>
        <w:tc>
          <w:tcPr>
            <w:tcW w:w="2342" w:type="dxa"/>
            <w:shd w:val="clear" w:color="auto" w:fill="D9D9D9" w:themeFill="background1" w:themeFillShade="D9"/>
            <w:vAlign w:val="center"/>
          </w:tcPr>
          <w:p w14:paraId="6CF5F802" w14:textId="77777777" w:rsidR="000859AF" w:rsidRPr="00F918EE" w:rsidRDefault="000859AF" w:rsidP="000859AF">
            <w:pPr>
              <w:kinsoku w:val="0"/>
              <w:overflowPunct w:val="0"/>
              <w:autoSpaceDE w:val="0"/>
              <w:autoSpaceDN w:val="0"/>
              <w:adjustRightInd w:val="0"/>
              <w:spacing w:after="0" w:line="240" w:lineRule="auto"/>
              <w:jc w:val="center"/>
              <w:rPr>
                <w:b/>
                <w:lang w:eastAsia="en-US"/>
              </w:rPr>
            </w:pPr>
            <w:r w:rsidRPr="00F918EE">
              <w:rPr>
                <w:b/>
                <w:lang w:eastAsia="en-US"/>
              </w:rPr>
              <w:t>Показатель</w:t>
            </w:r>
            <w:r w:rsidRPr="00F918EE">
              <w:rPr>
                <w:b/>
                <w:lang w:val="en-US" w:eastAsia="en-US"/>
              </w:rPr>
              <w:t>/</w:t>
            </w:r>
            <w:r w:rsidRPr="00F918EE">
              <w:rPr>
                <w:b/>
                <w:lang w:eastAsia="en-US"/>
              </w:rPr>
              <w:t>доза</w:t>
            </w:r>
          </w:p>
        </w:tc>
        <w:tc>
          <w:tcPr>
            <w:tcW w:w="2342" w:type="dxa"/>
            <w:shd w:val="clear" w:color="auto" w:fill="D9D9D9" w:themeFill="background1" w:themeFillShade="D9"/>
            <w:vAlign w:val="center"/>
          </w:tcPr>
          <w:p w14:paraId="33385CB0" w14:textId="77777777" w:rsidR="000859AF" w:rsidRPr="00F918EE" w:rsidRDefault="000859AF" w:rsidP="000859AF">
            <w:pPr>
              <w:kinsoku w:val="0"/>
              <w:overflowPunct w:val="0"/>
              <w:autoSpaceDE w:val="0"/>
              <w:autoSpaceDN w:val="0"/>
              <w:adjustRightInd w:val="0"/>
              <w:spacing w:after="0" w:line="240" w:lineRule="auto"/>
              <w:ind w:left="118"/>
              <w:jc w:val="center"/>
              <w:rPr>
                <w:b/>
                <w:w w:val="105"/>
                <w:lang w:eastAsia="en-US"/>
              </w:rPr>
            </w:pPr>
            <w:r w:rsidRPr="00F918EE">
              <w:rPr>
                <w:b/>
                <w:w w:val="105"/>
                <w:lang w:eastAsia="en-US"/>
              </w:rPr>
              <w:t>0,1 мг/кг</w:t>
            </w:r>
          </w:p>
        </w:tc>
        <w:tc>
          <w:tcPr>
            <w:tcW w:w="2342" w:type="dxa"/>
            <w:shd w:val="clear" w:color="auto" w:fill="D9D9D9" w:themeFill="background1" w:themeFillShade="D9"/>
            <w:vAlign w:val="center"/>
          </w:tcPr>
          <w:p w14:paraId="14489E70" w14:textId="77777777" w:rsidR="000859AF" w:rsidRPr="00F918EE" w:rsidRDefault="000859AF" w:rsidP="000859AF">
            <w:pPr>
              <w:kinsoku w:val="0"/>
              <w:overflowPunct w:val="0"/>
              <w:autoSpaceDE w:val="0"/>
              <w:autoSpaceDN w:val="0"/>
              <w:adjustRightInd w:val="0"/>
              <w:spacing w:after="0" w:line="240" w:lineRule="auto"/>
              <w:ind w:left="113"/>
              <w:jc w:val="center"/>
              <w:rPr>
                <w:b/>
                <w:w w:val="105"/>
                <w:lang w:eastAsia="en-US"/>
              </w:rPr>
            </w:pPr>
            <w:r w:rsidRPr="00F918EE">
              <w:rPr>
                <w:b/>
                <w:w w:val="105"/>
                <w:lang w:eastAsia="en-US"/>
              </w:rPr>
              <w:t>0,5 мг/кг</w:t>
            </w:r>
          </w:p>
        </w:tc>
        <w:tc>
          <w:tcPr>
            <w:tcW w:w="2342" w:type="dxa"/>
            <w:shd w:val="clear" w:color="auto" w:fill="D9D9D9" w:themeFill="background1" w:themeFillShade="D9"/>
            <w:vAlign w:val="center"/>
          </w:tcPr>
          <w:p w14:paraId="40F2E1A4" w14:textId="77777777" w:rsidR="000859AF" w:rsidRPr="00F918EE" w:rsidRDefault="000859AF" w:rsidP="000859AF">
            <w:pPr>
              <w:kinsoku w:val="0"/>
              <w:overflowPunct w:val="0"/>
              <w:autoSpaceDE w:val="0"/>
              <w:autoSpaceDN w:val="0"/>
              <w:adjustRightInd w:val="0"/>
              <w:spacing w:after="0" w:line="240" w:lineRule="auto"/>
              <w:ind w:left="111"/>
              <w:jc w:val="center"/>
              <w:rPr>
                <w:b/>
                <w:w w:val="105"/>
                <w:lang w:eastAsia="en-US"/>
              </w:rPr>
            </w:pPr>
            <w:r w:rsidRPr="00F918EE">
              <w:rPr>
                <w:b/>
                <w:w w:val="105"/>
                <w:lang w:eastAsia="en-US"/>
              </w:rPr>
              <w:t>5,0</w:t>
            </w:r>
            <w:r w:rsidRPr="00F918EE">
              <w:rPr>
                <w:b/>
                <w:spacing w:val="-4"/>
                <w:w w:val="105"/>
                <w:lang w:eastAsia="en-US"/>
              </w:rPr>
              <w:t xml:space="preserve"> </w:t>
            </w:r>
            <w:r w:rsidRPr="00F918EE">
              <w:rPr>
                <w:b/>
                <w:w w:val="105"/>
                <w:lang w:eastAsia="en-US"/>
              </w:rPr>
              <w:t>мг/кг</w:t>
            </w:r>
          </w:p>
        </w:tc>
      </w:tr>
      <w:tr w:rsidR="000859AF" w:rsidRPr="00F918EE" w14:paraId="758DFD57" w14:textId="77777777" w:rsidTr="000859AF">
        <w:trPr>
          <w:trHeight w:val="218"/>
        </w:trPr>
        <w:tc>
          <w:tcPr>
            <w:tcW w:w="2342" w:type="dxa"/>
          </w:tcPr>
          <w:p w14:paraId="30EA3C9E" w14:textId="77777777" w:rsidR="000859AF" w:rsidRPr="00F918EE" w:rsidRDefault="000859AF" w:rsidP="000859AF">
            <w:pPr>
              <w:kinsoku w:val="0"/>
              <w:overflowPunct w:val="0"/>
              <w:autoSpaceDE w:val="0"/>
              <w:autoSpaceDN w:val="0"/>
              <w:adjustRightInd w:val="0"/>
              <w:spacing w:after="0" w:line="240" w:lineRule="auto"/>
              <w:ind w:left="107"/>
              <w:jc w:val="left"/>
              <w:rPr>
                <w:lang w:eastAsia="en-US"/>
              </w:rPr>
            </w:pPr>
            <w:r w:rsidRPr="00F918EE">
              <w:rPr>
                <w:iCs/>
                <w:lang w:eastAsia="en-US"/>
              </w:rPr>
              <w:t>С</w:t>
            </w:r>
            <w:r w:rsidRPr="00F918EE">
              <w:rPr>
                <w:iCs/>
                <w:vertAlign w:val="subscript"/>
                <w:lang w:val="en-US" w:eastAsia="en-US"/>
              </w:rPr>
              <w:t>max</w:t>
            </w:r>
            <w:r w:rsidRPr="00F918EE">
              <w:rPr>
                <w:i/>
                <w:iCs/>
                <w:lang w:eastAsia="en-US"/>
              </w:rPr>
              <w:t xml:space="preserve"> </w:t>
            </w:r>
            <w:r w:rsidRPr="00F918EE">
              <w:rPr>
                <w:lang w:eastAsia="en-US"/>
              </w:rPr>
              <w:t>(нг/мл)</w:t>
            </w:r>
          </w:p>
        </w:tc>
        <w:tc>
          <w:tcPr>
            <w:tcW w:w="2342" w:type="dxa"/>
          </w:tcPr>
          <w:p w14:paraId="25244501"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2,8</w:t>
            </w:r>
          </w:p>
        </w:tc>
        <w:tc>
          <w:tcPr>
            <w:tcW w:w="2342" w:type="dxa"/>
          </w:tcPr>
          <w:p w14:paraId="7B77F567" w14:textId="77777777" w:rsidR="000859AF" w:rsidRPr="00F918EE" w:rsidRDefault="000859AF" w:rsidP="000859AF">
            <w:pPr>
              <w:kinsoku w:val="0"/>
              <w:overflowPunct w:val="0"/>
              <w:autoSpaceDE w:val="0"/>
              <w:autoSpaceDN w:val="0"/>
              <w:adjustRightInd w:val="0"/>
              <w:spacing w:after="0" w:line="240" w:lineRule="auto"/>
              <w:ind w:left="114"/>
              <w:jc w:val="center"/>
              <w:rPr>
                <w:spacing w:val="-4"/>
                <w:w w:val="105"/>
                <w:lang w:eastAsia="en-US"/>
              </w:rPr>
            </w:pPr>
            <w:r w:rsidRPr="00F918EE">
              <w:rPr>
                <w:spacing w:val="-4"/>
                <w:w w:val="105"/>
                <w:lang w:eastAsia="en-US"/>
              </w:rPr>
              <w:t>8,4</w:t>
            </w:r>
          </w:p>
        </w:tc>
        <w:tc>
          <w:tcPr>
            <w:tcW w:w="2342" w:type="dxa"/>
          </w:tcPr>
          <w:p w14:paraId="440E598B"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40,4</w:t>
            </w:r>
          </w:p>
        </w:tc>
      </w:tr>
      <w:tr w:rsidR="000859AF" w:rsidRPr="00F918EE" w14:paraId="76C74B1B" w14:textId="77777777" w:rsidTr="000859AF">
        <w:trPr>
          <w:trHeight w:val="218"/>
        </w:trPr>
        <w:tc>
          <w:tcPr>
            <w:tcW w:w="2342" w:type="dxa"/>
          </w:tcPr>
          <w:p w14:paraId="633CD642" w14:textId="77777777" w:rsidR="000859AF" w:rsidRPr="00F918EE" w:rsidRDefault="000859AF" w:rsidP="000859AF">
            <w:pPr>
              <w:kinsoku w:val="0"/>
              <w:overflowPunct w:val="0"/>
              <w:autoSpaceDE w:val="0"/>
              <w:autoSpaceDN w:val="0"/>
              <w:adjustRightInd w:val="0"/>
              <w:spacing w:after="0" w:line="240" w:lineRule="auto"/>
              <w:ind w:left="113"/>
              <w:jc w:val="left"/>
              <w:rPr>
                <w:lang w:eastAsia="en-US"/>
              </w:rPr>
            </w:pPr>
            <w:r w:rsidRPr="00F918EE">
              <w:rPr>
                <w:lang w:eastAsia="en-US"/>
              </w:rPr>
              <w:t>АUС</w:t>
            </w:r>
            <w:r w:rsidRPr="00F918EE">
              <w:rPr>
                <w:vertAlign w:val="subscript"/>
                <w:lang w:eastAsia="en-US"/>
              </w:rPr>
              <w:t>0-6ч</w:t>
            </w:r>
            <w:r w:rsidRPr="00F918EE">
              <w:rPr>
                <w:lang w:eastAsia="en-US"/>
              </w:rPr>
              <w:t xml:space="preserve"> (нг*ч/мл)</w:t>
            </w:r>
          </w:p>
        </w:tc>
        <w:tc>
          <w:tcPr>
            <w:tcW w:w="2342" w:type="dxa"/>
          </w:tcPr>
          <w:p w14:paraId="2FF49225"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10"/>
                <w:lang w:eastAsia="en-US"/>
              </w:rPr>
            </w:pPr>
            <w:r w:rsidRPr="00F918EE">
              <w:rPr>
                <w:spacing w:val="-4"/>
                <w:w w:val="110"/>
                <w:lang w:eastAsia="en-US"/>
              </w:rPr>
              <w:t>7,1</w:t>
            </w:r>
          </w:p>
        </w:tc>
        <w:tc>
          <w:tcPr>
            <w:tcW w:w="2342" w:type="dxa"/>
          </w:tcPr>
          <w:p w14:paraId="54976C0F"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23,3</w:t>
            </w:r>
          </w:p>
        </w:tc>
        <w:tc>
          <w:tcPr>
            <w:tcW w:w="2342" w:type="dxa"/>
          </w:tcPr>
          <w:p w14:paraId="50195463" w14:textId="77777777" w:rsidR="000859AF" w:rsidRPr="00F918EE" w:rsidRDefault="000859AF" w:rsidP="000859AF">
            <w:pPr>
              <w:kinsoku w:val="0"/>
              <w:overflowPunct w:val="0"/>
              <w:autoSpaceDE w:val="0"/>
              <w:autoSpaceDN w:val="0"/>
              <w:adjustRightInd w:val="0"/>
              <w:spacing w:after="0" w:line="240" w:lineRule="auto"/>
              <w:ind w:left="113"/>
              <w:jc w:val="center"/>
              <w:rPr>
                <w:spacing w:val="-2"/>
                <w:w w:val="105"/>
                <w:lang w:eastAsia="en-US"/>
              </w:rPr>
            </w:pPr>
            <w:r w:rsidRPr="00F918EE">
              <w:rPr>
                <w:spacing w:val="-2"/>
                <w:w w:val="105"/>
                <w:lang w:eastAsia="en-US"/>
              </w:rPr>
              <w:t>143,6</w:t>
            </w:r>
          </w:p>
        </w:tc>
      </w:tr>
      <w:tr w:rsidR="000859AF" w:rsidRPr="00F918EE" w14:paraId="195DCAD3" w14:textId="77777777" w:rsidTr="000859AF">
        <w:trPr>
          <w:trHeight w:val="218"/>
        </w:trPr>
        <w:tc>
          <w:tcPr>
            <w:tcW w:w="2342" w:type="dxa"/>
          </w:tcPr>
          <w:p w14:paraId="56992F49" w14:textId="77777777" w:rsidR="000859AF" w:rsidRPr="00F918EE" w:rsidRDefault="000859AF" w:rsidP="000859AF">
            <w:pPr>
              <w:kinsoku w:val="0"/>
              <w:overflowPunct w:val="0"/>
              <w:autoSpaceDE w:val="0"/>
              <w:autoSpaceDN w:val="0"/>
              <w:adjustRightInd w:val="0"/>
              <w:spacing w:after="0" w:line="240" w:lineRule="auto"/>
              <w:ind w:left="113"/>
              <w:jc w:val="left"/>
              <w:rPr>
                <w:lang w:eastAsia="en-US"/>
              </w:rPr>
            </w:pPr>
            <w:r w:rsidRPr="00F918EE">
              <w:rPr>
                <w:lang w:eastAsia="en-US"/>
              </w:rPr>
              <w:t>АUС</w:t>
            </w:r>
            <w:r w:rsidRPr="00F918EE">
              <w:rPr>
                <w:vertAlign w:val="subscript"/>
                <w:lang w:eastAsia="en-US"/>
              </w:rPr>
              <w:t>0-24ч</w:t>
            </w:r>
            <w:r w:rsidRPr="00F918EE">
              <w:rPr>
                <w:lang w:eastAsia="en-US"/>
              </w:rPr>
              <w:t xml:space="preserve"> (нг*ч/мл)</w:t>
            </w:r>
          </w:p>
        </w:tc>
        <w:tc>
          <w:tcPr>
            <w:tcW w:w="2342" w:type="dxa"/>
          </w:tcPr>
          <w:p w14:paraId="4DB7F3B0"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9,9</w:t>
            </w:r>
          </w:p>
        </w:tc>
        <w:tc>
          <w:tcPr>
            <w:tcW w:w="2342" w:type="dxa"/>
          </w:tcPr>
          <w:p w14:paraId="250C7D8E"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52,0</w:t>
            </w:r>
          </w:p>
        </w:tc>
        <w:tc>
          <w:tcPr>
            <w:tcW w:w="2342" w:type="dxa"/>
          </w:tcPr>
          <w:p w14:paraId="6B398986"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414,8</w:t>
            </w:r>
          </w:p>
        </w:tc>
      </w:tr>
      <w:tr w:rsidR="000859AF" w:rsidRPr="00F918EE" w14:paraId="6694FAE8" w14:textId="77777777" w:rsidTr="000859AF">
        <w:trPr>
          <w:trHeight w:val="218"/>
        </w:trPr>
        <w:tc>
          <w:tcPr>
            <w:tcW w:w="2342" w:type="dxa"/>
          </w:tcPr>
          <w:p w14:paraId="3E3ABEC5" w14:textId="77777777" w:rsidR="000859AF" w:rsidRPr="00F918EE" w:rsidRDefault="000859AF" w:rsidP="000859AF">
            <w:pPr>
              <w:kinsoku w:val="0"/>
              <w:overflowPunct w:val="0"/>
              <w:autoSpaceDE w:val="0"/>
              <w:autoSpaceDN w:val="0"/>
              <w:adjustRightInd w:val="0"/>
              <w:spacing w:after="0" w:line="240" w:lineRule="auto"/>
              <w:ind w:left="94"/>
              <w:jc w:val="left"/>
              <w:rPr>
                <w:lang w:eastAsia="en-US"/>
              </w:rPr>
            </w:pPr>
            <w:r w:rsidRPr="00F918EE">
              <w:rPr>
                <w:lang w:eastAsia="en-US"/>
              </w:rPr>
              <w:t>T</w:t>
            </w:r>
            <w:r w:rsidRPr="00F918EE">
              <w:rPr>
                <w:vertAlign w:val="subscript"/>
                <w:lang w:eastAsia="en-US"/>
              </w:rPr>
              <w:t>max</w:t>
            </w:r>
            <w:r w:rsidRPr="00F918EE">
              <w:rPr>
                <w:lang w:eastAsia="en-US"/>
              </w:rPr>
              <w:t xml:space="preserve"> (ч)</w:t>
            </w:r>
          </w:p>
        </w:tc>
        <w:tc>
          <w:tcPr>
            <w:tcW w:w="2342" w:type="dxa"/>
          </w:tcPr>
          <w:p w14:paraId="6EB5554B"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3,6</w:t>
            </w:r>
          </w:p>
        </w:tc>
        <w:tc>
          <w:tcPr>
            <w:tcW w:w="2342" w:type="dxa"/>
          </w:tcPr>
          <w:p w14:paraId="3D961442"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10"/>
                <w:lang w:eastAsia="en-US"/>
              </w:rPr>
            </w:pPr>
            <w:r w:rsidRPr="00F918EE">
              <w:rPr>
                <w:spacing w:val="-4"/>
                <w:w w:val="110"/>
                <w:lang w:eastAsia="en-US"/>
              </w:rPr>
              <w:t>1,6</w:t>
            </w:r>
          </w:p>
        </w:tc>
        <w:tc>
          <w:tcPr>
            <w:tcW w:w="2342" w:type="dxa"/>
          </w:tcPr>
          <w:p w14:paraId="4194051D"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05"/>
                <w:lang w:eastAsia="en-US"/>
              </w:rPr>
            </w:pPr>
            <w:r w:rsidRPr="00F918EE">
              <w:rPr>
                <w:spacing w:val="-4"/>
                <w:w w:val="105"/>
                <w:lang w:eastAsia="en-US"/>
              </w:rPr>
              <w:t>0,6</w:t>
            </w:r>
          </w:p>
        </w:tc>
      </w:tr>
    </w:tbl>
    <w:p w14:paraId="7C6A7A28" w14:textId="77777777" w:rsidR="000859AF" w:rsidRPr="00F918EE" w:rsidRDefault="000859AF" w:rsidP="000859AF">
      <w:pPr>
        <w:spacing w:after="0" w:line="240" w:lineRule="auto"/>
      </w:pPr>
    </w:p>
    <w:p w14:paraId="1BDD559B" w14:textId="77777777" w:rsidR="000859AF" w:rsidRPr="00F918EE" w:rsidRDefault="000859AF" w:rsidP="000859AF">
      <w:pPr>
        <w:spacing w:after="0" w:line="240" w:lineRule="auto"/>
        <w:ind w:firstLine="709"/>
      </w:pPr>
      <w:r w:rsidRPr="00F918EE">
        <w:t>Токсикокинетика изучалась у мини-пигов при пероральном введении эверолимуса. Результаты представлены в таблице</w:t>
      </w:r>
      <w:r w:rsidRPr="000859AF">
        <w:t xml:space="preserve"> 3-9</w:t>
      </w:r>
      <w:r w:rsidRPr="00F918EE">
        <w:t xml:space="preserve"> ниже [6].</w:t>
      </w:r>
    </w:p>
    <w:p w14:paraId="1529E591" w14:textId="77777777" w:rsidR="000859AF" w:rsidRPr="00F918EE" w:rsidRDefault="000859AF" w:rsidP="000859AF">
      <w:pPr>
        <w:spacing w:after="0" w:line="240" w:lineRule="auto"/>
        <w:ind w:firstLine="709"/>
      </w:pPr>
    </w:p>
    <w:p w14:paraId="03589F61" w14:textId="77777777" w:rsidR="000859AF" w:rsidRPr="00F918EE" w:rsidRDefault="000859AF" w:rsidP="000859AF">
      <w:pPr>
        <w:spacing w:after="0" w:line="240" w:lineRule="auto"/>
      </w:pPr>
      <w:r>
        <w:rPr>
          <w:b/>
        </w:rPr>
        <w:t>Таблица 3-</w:t>
      </w:r>
      <w:r w:rsidRPr="000859AF">
        <w:rPr>
          <w:b/>
        </w:rPr>
        <w:t>9</w:t>
      </w:r>
      <w:r w:rsidRPr="00F918EE">
        <w:rPr>
          <w:b/>
        </w:rPr>
        <w:t>.</w:t>
      </w:r>
      <w:r w:rsidRPr="00F918EE">
        <w:t xml:space="preserve"> Токсикокинетика эверолимуса у мини-пигов на 28/29 день приема.</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70"/>
        <w:gridCol w:w="1839"/>
        <w:gridCol w:w="1620"/>
        <w:gridCol w:w="2058"/>
        <w:gridCol w:w="1769"/>
      </w:tblGrid>
      <w:tr w:rsidR="000859AF" w:rsidRPr="00F918EE" w14:paraId="25B57559" w14:textId="77777777" w:rsidTr="0071249E">
        <w:trPr>
          <w:trHeight w:val="394"/>
          <w:tblHeader/>
        </w:trPr>
        <w:tc>
          <w:tcPr>
            <w:tcW w:w="2070" w:type="dxa"/>
            <w:shd w:val="clear" w:color="auto" w:fill="D9D9D9" w:themeFill="background1" w:themeFillShade="D9"/>
            <w:vAlign w:val="center"/>
          </w:tcPr>
          <w:p w14:paraId="79E70C73" w14:textId="77777777" w:rsidR="000859AF" w:rsidRPr="00F918EE" w:rsidRDefault="000859AF" w:rsidP="000859AF">
            <w:pPr>
              <w:kinsoku w:val="0"/>
              <w:overflowPunct w:val="0"/>
              <w:autoSpaceDE w:val="0"/>
              <w:autoSpaceDN w:val="0"/>
              <w:adjustRightInd w:val="0"/>
              <w:spacing w:after="0" w:line="240" w:lineRule="auto"/>
              <w:ind w:left="112"/>
              <w:jc w:val="center"/>
              <w:rPr>
                <w:b/>
                <w:w w:val="105"/>
                <w:lang w:eastAsia="en-US"/>
              </w:rPr>
            </w:pPr>
            <w:r w:rsidRPr="00F918EE">
              <w:rPr>
                <w:b/>
                <w:w w:val="105"/>
                <w:lang w:eastAsia="en-US"/>
              </w:rPr>
              <w:t>Доза (мг/кг)</w:t>
            </w:r>
          </w:p>
        </w:tc>
        <w:tc>
          <w:tcPr>
            <w:tcW w:w="1839" w:type="dxa"/>
            <w:shd w:val="clear" w:color="auto" w:fill="D9D9D9" w:themeFill="background1" w:themeFillShade="D9"/>
            <w:vAlign w:val="center"/>
          </w:tcPr>
          <w:p w14:paraId="2FD58B2B" w14:textId="77777777" w:rsidR="000859AF" w:rsidRPr="00F918EE" w:rsidRDefault="000859AF" w:rsidP="000859AF">
            <w:pPr>
              <w:kinsoku w:val="0"/>
              <w:overflowPunct w:val="0"/>
              <w:autoSpaceDE w:val="0"/>
              <w:autoSpaceDN w:val="0"/>
              <w:adjustRightInd w:val="0"/>
              <w:spacing w:after="0" w:line="240" w:lineRule="auto"/>
              <w:ind w:left="111"/>
              <w:jc w:val="center"/>
              <w:rPr>
                <w:b/>
                <w:spacing w:val="-4"/>
                <w:w w:val="105"/>
                <w:lang w:eastAsia="en-US"/>
              </w:rPr>
            </w:pPr>
            <w:r w:rsidRPr="00F918EE">
              <w:rPr>
                <w:b/>
                <w:spacing w:val="-4"/>
                <w:w w:val="105"/>
                <w:lang w:eastAsia="en-US"/>
              </w:rPr>
              <w:t>Пол</w:t>
            </w:r>
          </w:p>
        </w:tc>
        <w:tc>
          <w:tcPr>
            <w:tcW w:w="1620" w:type="dxa"/>
            <w:shd w:val="clear" w:color="auto" w:fill="D9D9D9" w:themeFill="background1" w:themeFillShade="D9"/>
            <w:vAlign w:val="center"/>
          </w:tcPr>
          <w:p w14:paraId="2E48BFF9" w14:textId="77777777" w:rsidR="000859AF" w:rsidRPr="00F918EE" w:rsidRDefault="000859AF" w:rsidP="000859AF">
            <w:pPr>
              <w:kinsoku w:val="0"/>
              <w:overflowPunct w:val="0"/>
              <w:autoSpaceDE w:val="0"/>
              <w:autoSpaceDN w:val="0"/>
              <w:adjustRightInd w:val="0"/>
              <w:spacing w:after="0" w:line="240" w:lineRule="auto"/>
              <w:ind w:left="108"/>
              <w:jc w:val="center"/>
              <w:rPr>
                <w:b/>
                <w:w w:val="108"/>
                <w:lang w:eastAsia="en-US"/>
              </w:rPr>
            </w:pPr>
            <w:r w:rsidRPr="00F918EE">
              <w:rPr>
                <w:b/>
                <w:w w:val="108"/>
                <w:lang w:eastAsia="en-US"/>
              </w:rPr>
              <w:t>n</w:t>
            </w:r>
          </w:p>
        </w:tc>
        <w:tc>
          <w:tcPr>
            <w:tcW w:w="2058" w:type="dxa"/>
            <w:shd w:val="clear" w:color="auto" w:fill="D9D9D9" w:themeFill="background1" w:themeFillShade="D9"/>
            <w:vAlign w:val="center"/>
          </w:tcPr>
          <w:p w14:paraId="37F974A5" w14:textId="77777777" w:rsidR="000859AF" w:rsidRPr="00F918EE" w:rsidRDefault="000859AF" w:rsidP="000859AF">
            <w:pPr>
              <w:kinsoku w:val="0"/>
              <w:overflowPunct w:val="0"/>
              <w:autoSpaceDE w:val="0"/>
              <w:autoSpaceDN w:val="0"/>
              <w:adjustRightInd w:val="0"/>
              <w:spacing w:after="0" w:line="240" w:lineRule="auto"/>
              <w:ind w:left="107"/>
              <w:jc w:val="center"/>
              <w:rPr>
                <w:b/>
                <w:iCs/>
                <w:spacing w:val="-4"/>
                <w:lang w:eastAsia="en-US"/>
              </w:rPr>
            </w:pPr>
            <w:r w:rsidRPr="00F918EE">
              <w:rPr>
                <w:b/>
                <w:iCs/>
                <w:spacing w:val="-4"/>
                <w:lang w:eastAsia="en-US"/>
              </w:rPr>
              <w:t>С</w:t>
            </w:r>
            <w:r w:rsidRPr="00F918EE">
              <w:rPr>
                <w:b/>
                <w:iCs/>
                <w:spacing w:val="-4"/>
                <w:vertAlign w:val="subscript"/>
                <w:lang w:val="en-US" w:eastAsia="en-US"/>
              </w:rPr>
              <w:t>max</w:t>
            </w:r>
          </w:p>
          <w:p w14:paraId="77FCB8D4" w14:textId="77777777" w:rsidR="000859AF" w:rsidRPr="00F918EE" w:rsidRDefault="000859AF" w:rsidP="000859AF">
            <w:pPr>
              <w:kinsoku w:val="0"/>
              <w:overflowPunct w:val="0"/>
              <w:autoSpaceDE w:val="0"/>
              <w:autoSpaceDN w:val="0"/>
              <w:adjustRightInd w:val="0"/>
              <w:spacing w:after="0" w:line="240" w:lineRule="auto"/>
              <w:ind w:left="111"/>
              <w:jc w:val="center"/>
              <w:rPr>
                <w:b/>
                <w:spacing w:val="-2"/>
                <w:w w:val="105"/>
                <w:lang w:eastAsia="en-US"/>
              </w:rPr>
            </w:pPr>
            <w:r w:rsidRPr="00F918EE">
              <w:rPr>
                <w:b/>
                <w:spacing w:val="-2"/>
                <w:w w:val="105"/>
                <w:lang w:eastAsia="en-US"/>
              </w:rPr>
              <w:t>(нг/мл)</w:t>
            </w:r>
          </w:p>
        </w:tc>
        <w:tc>
          <w:tcPr>
            <w:tcW w:w="1769" w:type="dxa"/>
            <w:shd w:val="clear" w:color="auto" w:fill="D9D9D9" w:themeFill="background1" w:themeFillShade="D9"/>
            <w:vAlign w:val="center"/>
          </w:tcPr>
          <w:p w14:paraId="354B8385" w14:textId="77777777" w:rsidR="000859AF" w:rsidRPr="00F918EE" w:rsidRDefault="000859AF" w:rsidP="000859AF">
            <w:pPr>
              <w:kinsoku w:val="0"/>
              <w:overflowPunct w:val="0"/>
              <w:autoSpaceDE w:val="0"/>
              <w:autoSpaceDN w:val="0"/>
              <w:adjustRightInd w:val="0"/>
              <w:spacing w:after="0" w:line="240" w:lineRule="auto"/>
              <w:ind w:left="112"/>
              <w:jc w:val="center"/>
              <w:rPr>
                <w:b/>
                <w:w w:val="110"/>
                <w:lang w:eastAsia="en-US"/>
              </w:rPr>
            </w:pPr>
            <w:r w:rsidRPr="00F918EE">
              <w:rPr>
                <w:b/>
                <w:w w:val="110"/>
                <w:lang w:eastAsia="en-US"/>
              </w:rPr>
              <w:t>AUC</w:t>
            </w:r>
            <w:r w:rsidRPr="00F918EE">
              <w:rPr>
                <w:b/>
                <w:w w:val="110"/>
                <w:vertAlign w:val="subscript"/>
                <w:lang w:eastAsia="en-US"/>
              </w:rPr>
              <w:t>(0-24h)</w:t>
            </w:r>
          </w:p>
          <w:p w14:paraId="2D014B60" w14:textId="77777777" w:rsidR="000859AF" w:rsidRPr="00F918EE" w:rsidRDefault="000859AF" w:rsidP="000859AF">
            <w:pPr>
              <w:kinsoku w:val="0"/>
              <w:overflowPunct w:val="0"/>
              <w:autoSpaceDE w:val="0"/>
              <w:autoSpaceDN w:val="0"/>
              <w:adjustRightInd w:val="0"/>
              <w:spacing w:after="0" w:line="240" w:lineRule="auto"/>
              <w:ind w:left="111"/>
              <w:jc w:val="center"/>
              <w:rPr>
                <w:b/>
                <w:spacing w:val="-2"/>
                <w:w w:val="105"/>
                <w:lang w:eastAsia="en-US"/>
              </w:rPr>
            </w:pPr>
            <w:r w:rsidRPr="00F918EE">
              <w:rPr>
                <w:b/>
                <w:spacing w:val="-2"/>
                <w:w w:val="105"/>
                <w:lang w:eastAsia="en-US"/>
              </w:rPr>
              <w:t>(нг*ч/мл)</w:t>
            </w:r>
          </w:p>
        </w:tc>
      </w:tr>
      <w:tr w:rsidR="000859AF" w:rsidRPr="00F918EE" w14:paraId="5A1D305F" w14:textId="77777777" w:rsidTr="000859AF">
        <w:trPr>
          <w:trHeight w:val="394"/>
        </w:trPr>
        <w:tc>
          <w:tcPr>
            <w:tcW w:w="2070" w:type="dxa"/>
            <w:vAlign w:val="center"/>
          </w:tcPr>
          <w:p w14:paraId="3D639825"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10"/>
                <w:lang w:eastAsia="en-US"/>
              </w:rPr>
            </w:pPr>
            <w:r w:rsidRPr="00F918EE">
              <w:rPr>
                <w:spacing w:val="-4"/>
                <w:w w:val="110"/>
                <w:lang w:eastAsia="en-US"/>
              </w:rPr>
              <w:t>1,5</w:t>
            </w:r>
          </w:p>
        </w:tc>
        <w:tc>
          <w:tcPr>
            <w:tcW w:w="1839" w:type="dxa"/>
            <w:vAlign w:val="center"/>
          </w:tcPr>
          <w:p w14:paraId="30D0A1DA" w14:textId="77777777" w:rsidR="000859AF" w:rsidRPr="00F918EE" w:rsidRDefault="000859AF" w:rsidP="000859AF">
            <w:pPr>
              <w:kinsoku w:val="0"/>
              <w:overflowPunct w:val="0"/>
              <w:autoSpaceDE w:val="0"/>
              <w:autoSpaceDN w:val="0"/>
              <w:adjustRightInd w:val="0"/>
              <w:spacing w:after="0" w:line="240" w:lineRule="auto"/>
              <w:ind w:left="108"/>
              <w:jc w:val="center"/>
              <w:rPr>
                <w:w w:val="92"/>
                <w:lang w:eastAsia="en-US"/>
              </w:rPr>
            </w:pPr>
            <w:r w:rsidRPr="00F918EE">
              <w:rPr>
                <w:w w:val="92"/>
                <w:lang w:eastAsia="en-US"/>
              </w:rPr>
              <w:t>М</w:t>
            </w:r>
          </w:p>
          <w:p w14:paraId="4EDDFCF0" w14:textId="77777777" w:rsidR="000859AF" w:rsidRPr="00F918EE" w:rsidRDefault="000859AF" w:rsidP="000859AF">
            <w:pPr>
              <w:kinsoku w:val="0"/>
              <w:overflowPunct w:val="0"/>
              <w:autoSpaceDE w:val="0"/>
              <w:autoSpaceDN w:val="0"/>
              <w:adjustRightInd w:val="0"/>
              <w:spacing w:after="0" w:line="240" w:lineRule="auto"/>
              <w:ind w:left="113"/>
              <w:jc w:val="center"/>
              <w:rPr>
                <w:w w:val="107"/>
                <w:lang w:val="en-US" w:eastAsia="en-US"/>
              </w:rPr>
            </w:pPr>
            <w:r w:rsidRPr="00F918EE">
              <w:rPr>
                <w:w w:val="107"/>
                <w:lang w:val="en-US" w:eastAsia="en-US"/>
              </w:rPr>
              <w:t>F</w:t>
            </w:r>
          </w:p>
        </w:tc>
        <w:tc>
          <w:tcPr>
            <w:tcW w:w="1620" w:type="dxa"/>
            <w:vAlign w:val="center"/>
          </w:tcPr>
          <w:p w14:paraId="353D6DBD" w14:textId="77777777" w:rsidR="000859AF" w:rsidRPr="00F918EE" w:rsidRDefault="000859AF" w:rsidP="000859AF">
            <w:pPr>
              <w:kinsoku w:val="0"/>
              <w:overflowPunct w:val="0"/>
              <w:autoSpaceDE w:val="0"/>
              <w:autoSpaceDN w:val="0"/>
              <w:adjustRightInd w:val="0"/>
              <w:spacing w:after="0" w:line="240" w:lineRule="auto"/>
              <w:ind w:left="102"/>
              <w:jc w:val="center"/>
              <w:rPr>
                <w:w w:val="92"/>
                <w:lang w:eastAsia="en-US"/>
              </w:rPr>
            </w:pPr>
            <w:r w:rsidRPr="00F918EE">
              <w:rPr>
                <w:w w:val="92"/>
                <w:lang w:eastAsia="en-US"/>
              </w:rPr>
              <w:t>3</w:t>
            </w:r>
          </w:p>
          <w:p w14:paraId="10A7AA61" w14:textId="77777777" w:rsidR="000859AF" w:rsidRPr="00F918EE" w:rsidRDefault="000859AF" w:rsidP="000859AF">
            <w:pPr>
              <w:kinsoku w:val="0"/>
              <w:overflowPunct w:val="0"/>
              <w:autoSpaceDE w:val="0"/>
              <w:autoSpaceDN w:val="0"/>
              <w:adjustRightInd w:val="0"/>
              <w:spacing w:after="0" w:line="240" w:lineRule="auto"/>
              <w:ind w:left="102"/>
              <w:jc w:val="center"/>
              <w:rPr>
                <w:w w:val="107"/>
                <w:lang w:eastAsia="en-US"/>
              </w:rPr>
            </w:pPr>
            <w:r w:rsidRPr="00F918EE">
              <w:rPr>
                <w:w w:val="107"/>
                <w:lang w:eastAsia="en-US"/>
              </w:rPr>
              <w:t>3</w:t>
            </w:r>
          </w:p>
        </w:tc>
        <w:tc>
          <w:tcPr>
            <w:tcW w:w="2058" w:type="dxa"/>
            <w:vAlign w:val="center"/>
          </w:tcPr>
          <w:p w14:paraId="0B3FFFFE" w14:textId="77777777" w:rsidR="000859AF" w:rsidRPr="00F918EE" w:rsidRDefault="000859AF" w:rsidP="000859AF">
            <w:pPr>
              <w:kinsoku w:val="0"/>
              <w:overflowPunct w:val="0"/>
              <w:autoSpaceDE w:val="0"/>
              <w:autoSpaceDN w:val="0"/>
              <w:adjustRightInd w:val="0"/>
              <w:spacing w:after="0" w:line="240" w:lineRule="auto"/>
              <w:ind w:left="109"/>
              <w:jc w:val="center"/>
              <w:rPr>
                <w:spacing w:val="-2"/>
                <w:w w:val="105"/>
                <w:lang w:eastAsia="en-US"/>
              </w:rPr>
            </w:pPr>
            <w:r w:rsidRPr="00F918EE">
              <w:rPr>
                <w:spacing w:val="-2"/>
                <w:w w:val="105"/>
                <w:lang w:eastAsia="en-US"/>
              </w:rPr>
              <w:t>145,2</w:t>
            </w:r>
          </w:p>
          <w:p w14:paraId="314C61F4" w14:textId="77777777" w:rsidR="000859AF" w:rsidRPr="00F918EE" w:rsidRDefault="000859AF" w:rsidP="000859AF">
            <w:pPr>
              <w:kinsoku w:val="0"/>
              <w:overflowPunct w:val="0"/>
              <w:autoSpaceDE w:val="0"/>
              <w:autoSpaceDN w:val="0"/>
              <w:adjustRightInd w:val="0"/>
              <w:spacing w:after="0" w:line="240" w:lineRule="auto"/>
              <w:ind w:left="109"/>
              <w:jc w:val="center"/>
              <w:rPr>
                <w:spacing w:val="-2"/>
                <w:w w:val="105"/>
                <w:lang w:eastAsia="en-US"/>
              </w:rPr>
            </w:pPr>
            <w:r w:rsidRPr="00F918EE">
              <w:rPr>
                <w:spacing w:val="-2"/>
                <w:w w:val="105"/>
                <w:lang w:eastAsia="en-US"/>
              </w:rPr>
              <w:t>153,4</w:t>
            </w:r>
          </w:p>
        </w:tc>
        <w:tc>
          <w:tcPr>
            <w:tcW w:w="1769" w:type="dxa"/>
            <w:vAlign w:val="center"/>
          </w:tcPr>
          <w:p w14:paraId="5A56ADB3" w14:textId="77777777" w:rsidR="000859AF" w:rsidRPr="00F918EE" w:rsidRDefault="000859AF" w:rsidP="000859AF">
            <w:pPr>
              <w:kinsoku w:val="0"/>
              <w:overflowPunct w:val="0"/>
              <w:autoSpaceDE w:val="0"/>
              <w:autoSpaceDN w:val="0"/>
              <w:adjustRightInd w:val="0"/>
              <w:spacing w:after="0" w:line="240" w:lineRule="auto"/>
              <w:ind w:left="109"/>
              <w:jc w:val="center"/>
              <w:rPr>
                <w:spacing w:val="-2"/>
                <w:w w:val="105"/>
                <w:lang w:eastAsia="en-US"/>
              </w:rPr>
            </w:pPr>
            <w:r w:rsidRPr="00F918EE">
              <w:rPr>
                <w:spacing w:val="-2"/>
                <w:w w:val="105"/>
                <w:lang w:eastAsia="en-US"/>
              </w:rPr>
              <w:t>2937,2</w:t>
            </w:r>
          </w:p>
          <w:p w14:paraId="4A52809F" w14:textId="77777777" w:rsidR="000859AF" w:rsidRPr="00F918EE" w:rsidRDefault="000859AF" w:rsidP="000859AF">
            <w:pPr>
              <w:kinsoku w:val="0"/>
              <w:overflowPunct w:val="0"/>
              <w:autoSpaceDE w:val="0"/>
              <w:autoSpaceDN w:val="0"/>
              <w:adjustRightInd w:val="0"/>
              <w:spacing w:after="0" w:line="240" w:lineRule="auto"/>
              <w:ind w:left="109"/>
              <w:jc w:val="center"/>
              <w:rPr>
                <w:spacing w:val="-2"/>
                <w:w w:val="110"/>
                <w:lang w:eastAsia="en-US"/>
              </w:rPr>
            </w:pPr>
            <w:r w:rsidRPr="00F918EE">
              <w:rPr>
                <w:spacing w:val="-2"/>
                <w:w w:val="110"/>
                <w:lang w:eastAsia="en-US"/>
              </w:rPr>
              <w:t>2402,3</w:t>
            </w:r>
          </w:p>
        </w:tc>
      </w:tr>
      <w:tr w:rsidR="000859AF" w:rsidRPr="00F918EE" w14:paraId="58C00A3A" w14:textId="77777777" w:rsidTr="000859AF">
        <w:trPr>
          <w:trHeight w:val="389"/>
        </w:trPr>
        <w:tc>
          <w:tcPr>
            <w:tcW w:w="2070" w:type="dxa"/>
            <w:vAlign w:val="center"/>
          </w:tcPr>
          <w:p w14:paraId="2CD599D5"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10"/>
                <w:lang w:eastAsia="en-US"/>
              </w:rPr>
            </w:pPr>
            <w:r w:rsidRPr="00F918EE">
              <w:rPr>
                <w:spacing w:val="-4"/>
                <w:w w:val="110"/>
                <w:lang w:eastAsia="en-US"/>
              </w:rPr>
              <w:t>5,0</w:t>
            </w:r>
          </w:p>
        </w:tc>
        <w:tc>
          <w:tcPr>
            <w:tcW w:w="1839" w:type="dxa"/>
            <w:vAlign w:val="center"/>
          </w:tcPr>
          <w:p w14:paraId="197B5ABF" w14:textId="77777777" w:rsidR="000859AF" w:rsidRPr="00F918EE" w:rsidRDefault="000859AF" w:rsidP="000859AF">
            <w:pPr>
              <w:kinsoku w:val="0"/>
              <w:overflowPunct w:val="0"/>
              <w:autoSpaceDE w:val="0"/>
              <w:autoSpaceDN w:val="0"/>
              <w:adjustRightInd w:val="0"/>
              <w:spacing w:after="0" w:line="240" w:lineRule="auto"/>
              <w:ind w:left="108"/>
              <w:jc w:val="center"/>
              <w:rPr>
                <w:w w:val="95"/>
                <w:lang w:val="en-US" w:eastAsia="en-US"/>
              </w:rPr>
            </w:pPr>
            <w:r w:rsidRPr="00F918EE">
              <w:rPr>
                <w:w w:val="95"/>
                <w:lang w:val="en-US" w:eastAsia="en-US"/>
              </w:rPr>
              <w:t>M</w:t>
            </w:r>
          </w:p>
          <w:p w14:paraId="2C55071D" w14:textId="77777777" w:rsidR="000859AF" w:rsidRPr="00F918EE" w:rsidRDefault="000859AF" w:rsidP="000859AF">
            <w:pPr>
              <w:kinsoku w:val="0"/>
              <w:overflowPunct w:val="0"/>
              <w:autoSpaceDE w:val="0"/>
              <w:autoSpaceDN w:val="0"/>
              <w:adjustRightInd w:val="0"/>
              <w:spacing w:after="0" w:line="240" w:lineRule="auto"/>
              <w:ind w:left="112"/>
              <w:jc w:val="center"/>
              <w:rPr>
                <w:w w:val="107"/>
                <w:lang w:eastAsia="en-US"/>
              </w:rPr>
            </w:pPr>
            <w:r w:rsidRPr="00F918EE">
              <w:rPr>
                <w:w w:val="107"/>
                <w:lang w:eastAsia="en-US"/>
              </w:rPr>
              <w:t>F</w:t>
            </w:r>
          </w:p>
        </w:tc>
        <w:tc>
          <w:tcPr>
            <w:tcW w:w="1620" w:type="dxa"/>
            <w:vAlign w:val="center"/>
          </w:tcPr>
          <w:p w14:paraId="54FEA014" w14:textId="77777777" w:rsidR="000859AF" w:rsidRPr="00F918EE" w:rsidRDefault="000859AF" w:rsidP="000859AF">
            <w:pPr>
              <w:kinsoku w:val="0"/>
              <w:overflowPunct w:val="0"/>
              <w:autoSpaceDE w:val="0"/>
              <w:autoSpaceDN w:val="0"/>
              <w:adjustRightInd w:val="0"/>
              <w:spacing w:after="0" w:line="240" w:lineRule="auto"/>
              <w:ind w:left="107"/>
              <w:jc w:val="center"/>
              <w:rPr>
                <w:w w:val="95"/>
                <w:lang w:eastAsia="en-US"/>
              </w:rPr>
            </w:pPr>
            <w:r w:rsidRPr="00F918EE">
              <w:rPr>
                <w:w w:val="95"/>
                <w:lang w:eastAsia="en-US"/>
              </w:rPr>
              <w:t>3</w:t>
            </w:r>
          </w:p>
          <w:p w14:paraId="474FF01D" w14:textId="77777777" w:rsidR="000859AF" w:rsidRPr="00F918EE" w:rsidRDefault="000859AF" w:rsidP="000859AF">
            <w:pPr>
              <w:kinsoku w:val="0"/>
              <w:overflowPunct w:val="0"/>
              <w:autoSpaceDE w:val="0"/>
              <w:autoSpaceDN w:val="0"/>
              <w:adjustRightInd w:val="0"/>
              <w:spacing w:after="0" w:line="240" w:lineRule="auto"/>
              <w:ind w:left="107"/>
              <w:jc w:val="center"/>
              <w:rPr>
                <w:w w:val="107"/>
                <w:lang w:eastAsia="en-US"/>
              </w:rPr>
            </w:pPr>
            <w:r w:rsidRPr="00F918EE">
              <w:rPr>
                <w:w w:val="107"/>
                <w:lang w:eastAsia="en-US"/>
              </w:rPr>
              <w:t>3</w:t>
            </w:r>
          </w:p>
        </w:tc>
        <w:tc>
          <w:tcPr>
            <w:tcW w:w="2058" w:type="dxa"/>
            <w:vAlign w:val="center"/>
          </w:tcPr>
          <w:p w14:paraId="60BB61FF"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399,7</w:t>
            </w:r>
          </w:p>
          <w:p w14:paraId="0FAB6F32"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346,5</w:t>
            </w:r>
          </w:p>
        </w:tc>
        <w:tc>
          <w:tcPr>
            <w:tcW w:w="1769" w:type="dxa"/>
            <w:vAlign w:val="center"/>
          </w:tcPr>
          <w:p w14:paraId="3ED598CC" w14:textId="77777777" w:rsidR="000859AF" w:rsidRPr="00F918EE" w:rsidRDefault="000859AF" w:rsidP="000859AF">
            <w:pPr>
              <w:kinsoku w:val="0"/>
              <w:overflowPunct w:val="0"/>
              <w:autoSpaceDE w:val="0"/>
              <w:autoSpaceDN w:val="0"/>
              <w:adjustRightInd w:val="0"/>
              <w:spacing w:after="0" w:line="240" w:lineRule="auto"/>
              <w:ind w:left="111"/>
              <w:jc w:val="center"/>
              <w:rPr>
                <w:spacing w:val="-2"/>
                <w:w w:val="105"/>
                <w:lang w:eastAsia="en-US"/>
              </w:rPr>
            </w:pPr>
            <w:r w:rsidRPr="00F918EE">
              <w:rPr>
                <w:spacing w:val="-2"/>
                <w:w w:val="105"/>
                <w:lang w:eastAsia="en-US"/>
              </w:rPr>
              <w:t>6163,7</w:t>
            </w:r>
          </w:p>
          <w:p w14:paraId="23539677" w14:textId="77777777" w:rsidR="000859AF" w:rsidRPr="00F918EE" w:rsidRDefault="000859AF" w:rsidP="000859AF">
            <w:pPr>
              <w:kinsoku w:val="0"/>
              <w:overflowPunct w:val="0"/>
              <w:autoSpaceDE w:val="0"/>
              <w:autoSpaceDN w:val="0"/>
              <w:adjustRightInd w:val="0"/>
              <w:spacing w:after="0" w:line="240" w:lineRule="auto"/>
              <w:ind w:left="110"/>
              <w:jc w:val="center"/>
              <w:rPr>
                <w:spacing w:val="-2"/>
                <w:w w:val="105"/>
                <w:lang w:eastAsia="en-US"/>
              </w:rPr>
            </w:pPr>
            <w:r w:rsidRPr="00F918EE">
              <w:rPr>
                <w:spacing w:val="-2"/>
                <w:w w:val="105"/>
                <w:lang w:eastAsia="en-US"/>
              </w:rPr>
              <w:t>5950,9</w:t>
            </w:r>
          </w:p>
        </w:tc>
      </w:tr>
      <w:tr w:rsidR="000859AF" w:rsidRPr="00F918EE" w14:paraId="1AA9485E" w14:textId="77777777" w:rsidTr="000859AF">
        <w:trPr>
          <w:trHeight w:val="394"/>
        </w:trPr>
        <w:tc>
          <w:tcPr>
            <w:tcW w:w="2070" w:type="dxa"/>
            <w:vAlign w:val="center"/>
          </w:tcPr>
          <w:p w14:paraId="5A553959"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10"/>
                <w:lang w:eastAsia="en-US"/>
              </w:rPr>
            </w:pPr>
            <w:r w:rsidRPr="00F918EE">
              <w:rPr>
                <w:spacing w:val="-4"/>
                <w:w w:val="110"/>
                <w:lang w:eastAsia="en-US"/>
              </w:rPr>
              <w:t>15,0</w:t>
            </w:r>
          </w:p>
        </w:tc>
        <w:tc>
          <w:tcPr>
            <w:tcW w:w="1839" w:type="dxa"/>
            <w:vAlign w:val="center"/>
          </w:tcPr>
          <w:p w14:paraId="1285E2DA" w14:textId="77777777" w:rsidR="000859AF" w:rsidRPr="00F918EE" w:rsidRDefault="000859AF" w:rsidP="000859AF">
            <w:pPr>
              <w:kinsoku w:val="0"/>
              <w:overflowPunct w:val="0"/>
              <w:autoSpaceDE w:val="0"/>
              <w:autoSpaceDN w:val="0"/>
              <w:adjustRightInd w:val="0"/>
              <w:spacing w:after="0" w:line="240" w:lineRule="auto"/>
              <w:ind w:left="108"/>
              <w:jc w:val="center"/>
              <w:rPr>
                <w:w w:val="95"/>
                <w:lang w:val="en-US" w:eastAsia="en-US"/>
              </w:rPr>
            </w:pPr>
            <w:r w:rsidRPr="00F918EE">
              <w:rPr>
                <w:w w:val="95"/>
                <w:lang w:val="en-US" w:eastAsia="en-US"/>
              </w:rPr>
              <w:t>M</w:t>
            </w:r>
          </w:p>
          <w:p w14:paraId="355C7EAB" w14:textId="77777777" w:rsidR="000859AF" w:rsidRPr="00F918EE" w:rsidRDefault="000859AF" w:rsidP="000859AF">
            <w:pPr>
              <w:kinsoku w:val="0"/>
              <w:overflowPunct w:val="0"/>
              <w:autoSpaceDE w:val="0"/>
              <w:autoSpaceDN w:val="0"/>
              <w:adjustRightInd w:val="0"/>
              <w:spacing w:after="0" w:line="240" w:lineRule="auto"/>
              <w:ind w:left="112"/>
              <w:jc w:val="center"/>
              <w:rPr>
                <w:w w:val="107"/>
                <w:lang w:eastAsia="en-US"/>
              </w:rPr>
            </w:pPr>
            <w:r w:rsidRPr="00F918EE">
              <w:rPr>
                <w:w w:val="107"/>
                <w:lang w:eastAsia="en-US"/>
              </w:rPr>
              <w:t>F</w:t>
            </w:r>
          </w:p>
        </w:tc>
        <w:tc>
          <w:tcPr>
            <w:tcW w:w="1620" w:type="dxa"/>
            <w:vAlign w:val="center"/>
          </w:tcPr>
          <w:p w14:paraId="387425D0" w14:textId="77777777" w:rsidR="000859AF" w:rsidRPr="00F918EE" w:rsidRDefault="000859AF" w:rsidP="000859AF">
            <w:pPr>
              <w:kinsoku w:val="0"/>
              <w:overflowPunct w:val="0"/>
              <w:autoSpaceDE w:val="0"/>
              <w:autoSpaceDN w:val="0"/>
              <w:adjustRightInd w:val="0"/>
              <w:spacing w:after="0" w:line="240" w:lineRule="auto"/>
              <w:ind w:left="105"/>
              <w:jc w:val="center"/>
              <w:rPr>
                <w:w w:val="95"/>
                <w:lang w:eastAsia="en-US"/>
              </w:rPr>
            </w:pPr>
            <w:r w:rsidRPr="00F918EE">
              <w:rPr>
                <w:w w:val="95"/>
                <w:lang w:eastAsia="en-US"/>
              </w:rPr>
              <w:t>1</w:t>
            </w:r>
          </w:p>
          <w:p w14:paraId="5ADB5F2C" w14:textId="77777777" w:rsidR="000859AF" w:rsidRPr="00F918EE" w:rsidRDefault="000859AF" w:rsidP="000859AF">
            <w:pPr>
              <w:kinsoku w:val="0"/>
              <w:overflowPunct w:val="0"/>
              <w:autoSpaceDE w:val="0"/>
              <w:autoSpaceDN w:val="0"/>
              <w:adjustRightInd w:val="0"/>
              <w:spacing w:after="0" w:line="240" w:lineRule="auto"/>
              <w:ind w:left="101"/>
              <w:jc w:val="center"/>
              <w:rPr>
                <w:w w:val="107"/>
                <w:lang w:eastAsia="en-US"/>
              </w:rPr>
            </w:pPr>
            <w:r w:rsidRPr="00F918EE">
              <w:rPr>
                <w:w w:val="107"/>
                <w:lang w:eastAsia="en-US"/>
              </w:rPr>
              <w:t>5</w:t>
            </w:r>
          </w:p>
        </w:tc>
        <w:tc>
          <w:tcPr>
            <w:tcW w:w="2058" w:type="dxa"/>
            <w:vAlign w:val="center"/>
          </w:tcPr>
          <w:p w14:paraId="2CDF072F" w14:textId="77777777" w:rsidR="000859AF" w:rsidRPr="00F918EE" w:rsidRDefault="000859AF" w:rsidP="000859AF">
            <w:pPr>
              <w:kinsoku w:val="0"/>
              <w:overflowPunct w:val="0"/>
              <w:autoSpaceDE w:val="0"/>
              <w:autoSpaceDN w:val="0"/>
              <w:adjustRightInd w:val="0"/>
              <w:spacing w:after="0" w:line="240" w:lineRule="auto"/>
              <w:ind w:left="111"/>
              <w:jc w:val="center"/>
              <w:rPr>
                <w:spacing w:val="-2"/>
                <w:w w:val="105"/>
                <w:lang w:eastAsia="en-US"/>
              </w:rPr>
            </w:pPr>
            <w:r w:rsidRPr="00F918EE">
              <w:rPr>
                <w:spacing w:val="-2"/>
                <w:w w:val="105"/>
                <w:lang w:eastAsia="en-US"/>
              </w:rPr>
              <w:t>459,3</w:t>
            </w:r>
          </w:p>
          <w:p w14:paraId="032354A5" w14:textId="77777777" w:rsidR="000859AF" w:rsidRPr="00F918EE" w:rsidRDefault="000859AF" w:rsidP="000859AF">
            <w:pPr>
              <w:kinsoku w:val="0"/>
              <w:overflowPunct w:val="0"/>
              <w:autoSpaceDE w:val="0"/>
              <w:autoSpaceDN w:val="0"/>
              <w:adjustRightInd w:val="0"/>
              <w:spacing w:after="0" w:line="240" w:lineRule="auto"/>
              <w:ind w:left="107"/>
              <w:jc w:val="center"/>
              <w:rPr>
                <w:spacing w:val="-2"/>
                <w:w w:val="105"/>
                <w:lang w:eastAsia="en-US"/>
              </w:rPr>
            </w:pPr>
            <w:r w:rsidRPr="00F918EE">
              <w:rPr>
                <w:spacing w:val="-2"/>
                <w:w w:val="105"/>
                <w:lang w:eastAsia="en-US"/>
              </w:rPr>
              <w:t>397,5</w:t>
            </w:r>
          </w:p>
        </w:tc>
        <w:tc>
          <w:tcPr>
            <w:tcW w:w="1769" w:type="dxa"/>
            <w:vAlign w:val="center"/>
          </w:tcPr>
          <w:p w14:paraId="7D72E4C0"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7982,6</w:t>
            </w:r>
          </w:p>
          <w:p w14:paraId="3BBE9D67"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7729,5</w:t>
            </w:r>
          </w:p>
        </w:tc>
      </w:tr>
      <w:tr w:rsidR="000859AF" w:rsidRPr="00F918EE" w14:paraId="54CC0C33" w14:textId="77777777" w:rsidTr="000859AF">
        <w:trPr>
          <w:trHeight w:val="394"/>
        </w:trPr>
        <w:tc>
          <w:tcPr>
            <w:tcW w:w="9356" w:type="dxa"/>
            <w:gridSpan w:val="5"/>
            <w:vAlign w:val="center"/>
          </w:tcPr>
          <w:p w14:paraId="6B4A10B8" w14:textId="77777777" w:rsidR="000859AF" w:rsidRPr="00F918EE" w:rsidRDefault="000859AF" w:rsidP="000859AF">
            <w:pPr>
              <w:kinsoku w:val="0"/>
              <w:overflowPunct w:val="0"/>
              <w:autoSpaceDE w:val="0"/>
              <w:autoSpaceDN w:val="0"/>
              <w:adjustRightInd w:val="0"/>
              <w:spacing w:after="0" w:line="240" w:lineRule="auto"/>
              <w:ind w:left="112"/>
              <w:rPr>
                <w:b/>
                <w:spacing w:val="-2"/>
                <w:w w:val="105"/>
                <w:sz w:val="20"/>
                <w:szCs w:val="20"/>
                <w:lang w:eastAsia="en-US"/>
              </w:rPr>
            </w:pPr>
            <w:r w:rsidRPr="00F918EE">
              <w:rPr>
                <w:b/>
                <w:spacing w:val="-2"/>
                <w:w w:val="105"/>
                <w:sz w:val="20"/>
                <w:szCs w:val="20"/>
                <w:lang w:eastAsia="en-US"/>
              </w:rPr>
              <w:t>Примечание:</w:t>
            </w:r>
          </w:p>
          <w:p w14:paraId="13704321" w14:textId="77777777" w:rsidR="000859AF" w:rsidRPr="00F918EE" w:rsidRDefault="000859AF" w:rsidP="000859AF">
            <w:pPr>
              <w:kinsoku w:val="0"/>
              <w:overflowPunct w:val="0"/>
              <w:autoSpaceDE w:val="0"/>
              <w:autoSpaceDN w:val="0"/>
              <w:adjustRightInd w:val="0"/>
              <w:spacing w:after="0" w:line="240" w:lineRule="auto"/>
              <w:ind w:left="112"/>
              <w:rPr>
                <w:spacing w:val="-2"/>
                <w:w w:val="105"/>
                <w:lang w:eastAsia="en-US"/>
              </w:rPr>
            </w:pPr>
            <w:r w:rsidRPr="00F918EE">
              <w:rPr>
                <w:spacing w:val="-2"/>
                <w:w w:val="105"/>
                <w:sz w:val="20"/>
                <w:szCs w:val="20"/>
                <w:lang w:val="en-US" w:eastAsia="en-US"/>
              </w:rPr>
              <w:t>M</w:t>
            </w:r>
            <w:r w:rsidRPr="00F918EE">
              <w:rPr>
                <w:spacing w:val="-2"/>
                <w:w w:val="105"/>
                <w:sz w:val="20"/>
                <w:szCs w:val="20"/>
                <w:lang w:eastAsia="en-US"/>
              </w:rPr>
              <w:t xml:space="preserve"> – самцы; </w:t>
            </w:r>
            <w:r w:rsidRPr="00F918EE">
              <w:rPr>
                <w:spacing w:val="-2"/>
                <w:w w:val="105"/>
                <w:sz w:val="20"/>
                <w:szCs w:val="20"/>
                <w:lang w:val="en-US" w:eastAsia="en-US"/>
              </w:rPr>
              <w:t>F</w:t>
            </w:r>
            <w:r w:rsidRPr="00F918EE">
              <w:rPr>
                <w:spacing w:val="-2"/>
                <w:w w:val="105"/>
                <w:sz w:val="20"/>
                <w:szCs w:val="20"/>
                <w:lang w:eastAsia="en-US"/>
              </w:rPr>
              <w:t xml:space="preserve"> – самки.</w:t>
            </w:r>
          </w:p>
        </w:tc>
      </w:tr>
    </w:tbl>
    <w:p w14:paraId="32FCD7BF" w14:textId="77777777" w:rsidR="000859AF" w:rsidRPr="00F918EE" w:rsidRDefault="000859AF" w:rsidP="000859AF">
      <w:pPr>
        <w:spacing w:after="0" w:line="240" w:lineRule="auto"/>
        <w:ind w:firstLine="708"/>
      </w:pPr>
    </w:p>
    <w:p w14:paraId="28ED7E59" w14:textId="77777777" w:rsidR="000859AF" w:rsidRPr="00F918EE" w:rsidRDefault="000859AF" w:rsidP="000859AF">
      <w:pPr>
        <w:spacing w:after="0" w:line="240" w:lineRule="auto"/>
        <w:ind w:firstLine="708"/>
      </w:pPr>
      <w:r w:rsidRPr="00F918EE">
        <w:t xml:space="preserve">В этом 4-недельном исследовании на мини-пигах при пероральном введении эверолимуса спонтанная смерть или преждевременная смерть происходили при высокой дозе, 15 мг/кг. У животных отмечены кишечные эрозии, возможно, из-за инфекции, усугубляемой иммуносупрессией. В лимфатических органах (селезенка, тимус, лимфатические узлы) и по активности лимфоцитов отмечены признаки иммуносупрессии. Со стороны кожи также наблюдался </w:t>
      </w:r>
      <w:r w:rsidRPr="00F918EE">
        <w:lastRenderedPageBreak/>
        <w:t>дерматит, связанный с воздействием препарата, возможно, из-за иммуносупрессии. Были поражены поджелудочная железа и надпочечники (корковое и мозговое вещество), а также мужские (семенники) и женские (яичники и матка) половые органы.</w:t>
      </w:r>
    </w:p>
    <w:p w14:paraId="3A14EC82" w14:textId="77777777" w:rsidR="000859AF" w:rsidRPr="00F918EE" w:rsidRDefault="000859AF" w:rsidP="000859AF">
      <w:pPr>
        <w:spacing w:after="0" w:line="240" w:lineRule="auto"/>
        <w:ind w:firstLine="708"/>
      </w:pPr>
      <w:r w:rsidRPr="00F918EE">
        <w:t>Сводная таблица по изучению токсикокинетики эверолимуса у разных видов животных представлена ниже [6].</w:t>
      </w:r>
    </w:p>
    <w:p w14:paraId="4FC1F857" w14:textId="77777777" w:rsidR="000859AF" w:rsidRPr="00F918EE" w:rsidRDefault="000859AF" w:rsidP="000859AF">
      <w:pPr>
        <w:spacing w:after="0" w:line="240" w:lineRule="auto"/>
      </w:pPr>
    </w:p>
    <w:p w14:paraId="5F60F586" w14:textId="77777777" w:rsidR="000859AF" w:rsidRPr="00F918EE" w:rsidRDefault="000859AF" w:rsidP="000859AF">
      <w:pPr>
        <w:spacing w:after="0" w:line="240" w:lineRule="auto"/>
        <w:rPr>
          <w:lang w:val="en-US"/>
        </w:rPr>
      </w:pPr>
      <w:r>
        <w:rPr>
          <w:b/>
        </w:rPr>
        <w:t>Таблица 3-</w:t>
      </w:r>
      <w:r>
        <w:rPr>
          <w:b/>
          <w:lang w:val="en-US"/>
        </w:rPr>
        <w:t>10</w:t>
      </w:r>
      <w:r w:rsidRPr="00F918EE">
        <w:rPr>
          <w:b/>
        </w:rPr>
        <w:t>.</w:t>
      </w:r>
      <w:r w:rsidRPr="00F918EE">
        <w:t xml:space="preserve"> Токсикокинетика эверолимуса</w:t>
      </w:r>
      <w:r w:rsidRPr="00F918EE">
        <w:rPr>
          <w:lang w:val="en-US"/>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701"/>
        <w:gridCol w:w="1020"/>
        <w:gridCol w:w="1298"/>
        <w:gridCol w:w="1293"/>
        <w:gridCol w:w="1288"/>
        <w:gridCol w:w="10"/>
        <w:gridCol w:w="1293"/>
      </w:tblGrid>
      <w:tr w:rsidR="000859AF" w:rsidRPr="00F918EE" w14:paraId="4E5353D4" w14:textId="77777777" w:rsidTr="000859AF">
        <w:trPr>
          <w:trHeight w:val="755"/>
          <w:tblHeader/>
        </w:trPr>
        <w:tc>
          <w:tcPr>
            <w:tcW w:w="1418" w:type="dxa"/>
            <w:shd w:val="clear" w:color="auto" w:fill="D9D9D9" w:themeFill="background1" w:themeFillShade="D9"/>
            <w:vAlign w:val="center"/>
          </w:tcPr>
          <w:p w14:paraId="25B8004E" w14:textId="77777777" w:rsidR="000859AF" w:rsidRPr="00F918EE" w:rsidRDefault="000859AF" w:rsidP="000859AF">
            <w:pPr>
              <w:kinsoku w:val="0"/>
              <w:overflowPunct w:val="0"/>
              <w:autoSpaceDE w:val="0"/>
              <w:autoSpaceDN w:val="0"/>
              <w:adjustRightInd w:val="0"/>
              <w:spacing w:after="0" w:line="240" w:lineRule="auto"/>
              <w:ind w:left="109"/>
              <w:jc w:val="center"/>
              <w:rPr>
                <w:b/>
              </w:rPr>
            </w:pPr>
            <w:r w:rsidRPr="00F918EE">
              <w:rPr>
                <w:b/>
              </w:rPr>
              <w:t>Вид животного</w:t>
            </w:r>
          </w:p>
        </w:tc>
        <w:tc>
          <w:tcPr>
            <w:tcW w:w="1701" w:type="dxa"/>
            <w:shd w:val="clear" w:color="auto" w:fill="D9D9D9" w:themeFill="background1" w:themeFillShade="D9"/>
            <w:vAlign w:val="center"/>
          </w:tcPr>
          <w:p w14:paraId="1EF07606" w14:textId="77777777" w:rsidR="000859AF" w:rsidRPr="00F918EE" w:rsidRDefault="000859AF" w:rsidP="000859AF">
            <w:pPr>
              <w:kinsoku w:val="0"/>
              <w:overflowPunct w:val="0"/>
              <w:autoSpaceDE w:val="0"/>
              <w:autoSpaceDN w:val="0"/>
              <w:adjustRightInd w:val="0"/>
              <w:spacing w:after="0" w:line="240" w:lineRule="auto"/>
              <w:ind w:left="107"/>
              <w:jc w:val="center"/>
              <w:rPr>
                <w:b/>
              </w:rPr>
            </w:pPr>
            <w:r w:rsidRPr="00F918EE">
              <w:rPr>
                <w:b/>
              </w:rPr>
              <w:t>Путь введения/</w:t>
            </w:r>
          </w:p>
          <w:p w14:paraId="09EC74D0" w14:textId="77777777" w:rsidR="000859AF" w:rsidRPr="00F918EE" w:rsidRDefault="000859AF" w:rsidP="000859AF">
            <w:pPr>
              <w:kinsoku w:val="0"/>
              <w:overflowPunct w:val="0"/>
              <w:autoSpaceDE w:val="0"/>
              <w:autoSpaceDN w:val="0"/>
              <w:adjustRightInd w:val="0"/>
              <w:spacing w:after="0" w:line="240" w:lineRule="auto"/>
              <w:ind w:left="107"/>
              <w:jc w:val="center"/>
              <w:rPr>
                <w:b/>
              </w:rPr>
            </w:pPr>
            <w:r w:rsidRPr="00F918EE">
              <w:rPr>
                <w:b/>
              </w:rPr>
              <w:t>длительность</w:t>
            </w:r>
          </w:p>
        </w:tc>
        <w:tc>
          <w:tcPr>
            <w:tcW w:w="1020" w:type="dxa"/>
            <w:shd w:val="clear" w:color="auto" w:fill="D9D9D9" w:themeFill="background1" w:themeFillShade="D9"/>
            <w:vAlign w:val="center"/>
          </w:tcPr>
          <w:p w14:paraId="4F49FE9E" w14:textId="77777777" w:rsidR="000859AF" w:rsidRPr="00F918EE" w:rsidRDefault="000859AF" w:rsidP="000859AF">
            <w:pPr>
              <w:kinsoku w:val="0"/>
              <w:overflowPunct w:val="0"/>
              <w:autoSpaceDE w:val="0"/>
              <w:autoSpaceDN w:val="0"/>
              <w:adjustRightInd w:val="0"/>
              <w:spacing w:after="0" w:line="240" w:lineRule="auto"/>
              <w:ind w:left="107"/>
              <w:jc w:val="center"/>
              <w:rPr>
                <w:b/>
              </w:rPr>
            </w:pPr>
            <w:r w:rsidRPr="00F918EE">
              <w:rPr>
                <w:b/>
              </w:rPr>
              <w:t>Доза</w:t>
            </w:r>
          </w:p>
          <w:p w14:paraId="64B9CFEF" w14:textId="77777777" w:rsidR="000859AF" w:rsidRPr="00F918EE" w:rsidRDefault="000859AF" w:rsidP="000859AF">
            <w:pPr>
              <w:kinsoku w:val="0"/>
              <w:overflowPunct w:val="0"/>
              <w:autoSpaceDE w:val="0"/>
              <w:autoSpaceDN w:val="0"/>
              <w:adjustRightInd w:val="0"/>
              <w:spacing w:after="0" w:line="240" w:lineRule="auto"/>
              <w:ind w:left="109"/>
              <w:jc w:val="center"/>
              <w:rPr>
                <w:b/>
              </w:rPr>
            </w:pPr>
            <w:r w:rsidRPr="00F918EE">
              <w:rPr>
                <w:b/>
              </w:rPr>
              <w:t>мг/кг</w:t>
            </w:r>
          </w:p>
        </w:tc>
        <w:tc>
          <w:tcPr>
            <w:tcW w:w="1298" w:type="dxa"/>
            <w:shd w:val="clear" w:color="auto" w:fill="D9D9D9" w:themeFill="background1" w:themeFillShade="D9"/>
            <w:vAlign w:val="center"/>
          </w:tcPr>
          <w:p w14:paraId="476AEA2D" w14:textId="77777777" w:rsidR="000859AF" w:rsidRPr="00F918EE" w:rsidRDefault="000859AF" w:rsidP="000859AF">
            <w:pPr>
              <w:kinsoku w:val="0"/>
              <w:overflowPunct w:val="0"/>
              <w:autoSpaceDE w:val="0"/>
              <w:autoSpaceDN w:val="0"/>
              <w:adjustRightInd w:val="0"/>
              <w:spacing w:after="0" w:line="240" w:lineRule="auto"/>
              <w:ind w:left="108"/>
              <w:jc w:val="center"/>
              <w:rPr>
                <w:b/>
                <w:lang w:val="en-US"/>
              </w:rPr>
            </w:pPr>
            <w:r w:rsidRPr="00F918EE">
              <w:rPr>
                <w:b/>
              </w:rPr>
              <w:t>C</w:t>
            </w:r>
            <w:r w:rsidRPr="00F918EE">
              <w:rPr>
                <w:b/>
                <w:vertAlign w:val="subscript"/>
              </w:rPr>
              <w:t>max</w:t>
            </w:r>
            <w:r w:rsidRPr="00F918EE">
              <w:rPr>
                <w:b/>
                <w:lang w:val="en-US"/>
              </w:rPr>
              <w:t>,</w:t>
            </w:r>
          </w:p>
          <w:p w14:paraId="6BA69ED4" w14:textId="77777777" w:rsidR="000859AF" w:rsidRPr="00F918EE" w:rsidRDefault="000859AF" w:rsidP="000859AF">
            <w:pPr>
              <w:kinsoku w:val="0"/>
              <w:overflowPunct w:val="0"/>
              <w:autoSpaceDE w:val="0"/>
              <w:autoSpaceDN w:val="0"/>
              <w:adjustRightInd w:val="0"/>
              <w:spacing w:after="0" w:line="240" w:lineRule="auto"/>
              <w:ind w:left="115"/>
              <w:jc w:val="center"/>
              <w:rPr>
                <w:b/>
              </w:rPr>
            </w:pPr>
            <w:r w:rsidRPr="00F918EE">
              <w:rPr>
                <w:b/>
              </w:rPr>
              <w:t>нг/мл</w:t>
            </w:r>
          </w:p>
          <w:p w14:paraId="72282D17" w14:textId="77777777" w:rsidR="000859AF" w:rsidRPr="00F918EE" w:rsidRDefault="000859AF" w:rsidP="000859AF">
            <w:pPr>
              <w:kinsoku w:val="0"/>
              <w:overflowPunct w:val="0"/>
              <w:autoSpaceDE w:val="0"/>
              <w:autoSpaceDN w:val="0"/>
              <w:adjustRightInd w:val="0"/>
              <w:spacing w:after="0" w:line="240" w:lineRule="auto"/>
              <w:ind w:left="119"/>
              <w:jc w:val="center"/>
              <w:rPr>
                <w:b/>
                <w:lang w:val="en-US"/>
              </w:rPr>
            </w:pPr>
            <w:r w:rsidRPr="00F918EE">
              <w:rPr>
                <w:b/>
                <w:lang w:val="en-US"/>
              </w:rPr>
              <w:t>M</w:t>
            </w:r>
          </w:p>
        </w:tc>
        <w:tc>
          <w:tcPr>
            <w:tcW w:w="1293" w:type="dxa"/>
            <w:shd w:val="clear" w:color="auto" w:fill="D9D9D9" w:themeFill="background1" w:themeFillShade="D9"/>
            <w:vAlign w:val="center"/>
          </w:tcPr>
          <w:p w14:paraId="0A56B1C9" w14:textId="77777777" w:rsidR="000859AF" w:rsidRPr="00F918EE" w:rsidRDefault="000859AF" w:rsidP="000859AF">
            <w:pPr>
              <w:kinsoku w:val="0"/>
              <w:overflowPunct w:val="0"/>
              <w:autoSpaceDE w:val="0"/>
              <w:autoSpaceDN w:val="0"/>
              <w:adjustRightInd w:val="0"/>
              <w:spacing w:after="0" w:line="240" w:lineRule="auto"/>
              <w:ind w:left="108"/>
              <w:jc w:val="center"/>
              <w:rPr>
                <w:b/>
                <w:lang w:val="en-US"/>
              </w:rPr>
            </w:pPr>
            <w:r w:rsidRPr="00F918EE">
              <w:rPr>
                <w:b/>
              </w:rPr>
              <w:t>C</w:t>
            </w:r>
            <w:r w:rsidRPr="00F918EE">
              <w:rPr>
                <w:b/>
                <w:vertAlign w:val="subscript"/>
              </w:rPr>
              <w:t>max</w:t>
            </w:r>
            <w:r w:rsidRPr="00F918EE">
              <w:rPr>
                <w:b/>
                <w:lang w:val="en-US"/>
              </w:rPr>
              <w:t>,</w:t>
            </w:r>
          </w:p>
          <w:p w14:paraId="3AEF2B2F" w14:textId="77777777" w:rsidR="000859AF" w:rsidRPr="00F918EE" w:rsidRDefault="000859AF" w:rsidP="000859AF">
            <w:pPr>
              <w:kinsoku w:val="0"/>
              <w:overflowPunct w:val="0"/>
              <w:autoSpaceDE w:val="0"/>
              <w:autoSpaceDN w:val="0"/>
              <w:adjustRightInd w:val="0"/>
              <w:spacing w:after="0" w:line="240" w:lineRule="auto"/>
              <w:ind w:left="115"/>
              <w:jc w:val="center"/>
              <w:rPr>
                <w:b/>
              </w:rPr>
            </w:pPr>
            <w:r w:rsidRPr="00F918EE">
              <w:rPr>
                <w:b/>
              </w:rPr>
              <w:t>нг/мл</w:t>
            </w:r>
          </w:p>
          <w:p w14:paraId="045888A3" w14:textId="77777777" w:rsidR="000859AF" w:rsidRPr="00F918EE" w:rsidRDefault="000859AF" w:rsidP="000859AF">
            <w:pPr>
              <w:kinsoku w:val="0"/>
              <w:overflowPunct w:val="0"/>
              <w:autoSpaceDE w:val="0"/>
              <w:autoSpaceDN w:val="0"/>
              <w:adjustRightInd w:val="0"/>
              <w:spacing w:after="0" w:line="240" w:lineRule="auto"/>
              <w:ind w:left="119"/>
              <w:jc w:val="center"/>
              <w:rPr>
                <w:b/>
                <w:lang w:val="en-US"/>
              </w:rPr>
            </w:pPr>
            <w:r w:rsidRPr="00F918EE">
              <w:rPr>
                <w:b/>
                <w:lang w:val="en-US"/>
              </w:rPr>
              <w:t>F</w:t>
            </w:r>
          </w:p>
        </w:tc>
        <w:tc>
          <w:tcPr>
            <w:tcW w:w="1288" w:type="dxa"/>
            <w:shd w:val="clear" w:color="auto" w:fill="D9D9D9" w:themeFill="background1" w:themeFillShade="D9"/>
            <w:vAlign w:val="center"/>
          </w:tcPr>
          <w:p w14:paraId="537E9188" w14:textId="77777777" w:rsidR="000859AF" w:rsidRPr="00F918EE" w:rsidRDefault="000859AF" w:rsidP="000859AF">
            <w:pPr>
              <w:kinsoku w:val="0"/>
              <w:overflowPunct w:val="0"/>
              <w:autoSpaceDE w:val="0"/>
              <w:autoSpaceDN w:val="0"/>
              <w:adjustRightInd w:val="0"/>
              <w:spacing w:after="0" w:line="240" w:lineRule="auto"/>
              <w:ind w:left="110"/>
              <w:jc w:val="center"/>
              <w:rPr>
                <w:b/>
                <w:lang w:val="en-US"/>
              </w:rPr>
            </w:pPr>
            <w:r w:rsidRPr="00F918EE">
              <w:rPr>
                <w:b/>
              </w:rPr>
              <w:t>AUC</w:t>
            </w:r>
            <w:r w:rsidRPr="00F918EE">
              <w:rPr>
                <w:b/>
                <w:lang w:val="en-US"/>
              </w:rPr>
              <w:t>,</w:t>
            </w:r>
          </w:p>
          <w:p w14:paraId="39A1F0B6" w14:textId="77777777" w:rsidR="000859AF" w:rsidRPr="00F918EE" w:rsidRDefault="000859AF" w:rsidP="000859AF">
            <w:pPr>
              <w:kinsoku w:val="0"/>
              <w:overflowPunct w:val="0"/>
              <w:autoSpaceDE w:val="0"/>
              <w:autoSpaceDN w:val="0"/>
              <w:adjustRightInd w:val="0"/>
              <w:spacing w:after="0" w:line="240" w:lineRule="auto"/>
              <w:ind w:left="110" w:right="260"/>
              <w:jc w:val="center"/>
              <w:rPr>
                <w:b/>
                <w:lang w:val="en-US"/>
              </w:rPr>
            </w:pPr>
            <w:r w:rsidRPr="00F918EE">
              <w:rPr>
                <w:b/>
              </w:rPr>
              <w:t>нг</w:t>
            </w:r>
            <w:r w:rsidRPr="00F918EE">
              <w:rPr>
                <w:b/>
                <w:lang w:val="en-US"/>
              </w:rPr>
              <w:t>*</w:t>
            </w:r>
            <w:r w:rsidRPr="00F918EE">
              <w:rPr>
                <w:b/>
              </w:rPr>
              <w:t xml:space="preserve">ч/мл </w:t>
            </w:r>
            <w:r w:rsidRPr="00F918EE">
              <w:rPr>
                <w:b/>
                <w:lang w:val="en-US"/>
              </w:rPr>
              <w:t>M</w:t>
            </w:r>
          </w:p>
        </w:tc>
        <w:tc>
          <w:tcPr>
            <w:tcW w:w="1303" w:type="dxa"/>
            <w:gridSpan w:val="2"/>
            <w:shd w:val="clear" w:color="auto" w:fill="D9D9D9" w:themeFill="background1" w:themeFillShade="D9"/>
            <w:vAlign w:val="center"/>
          </w:tcPr>
          <w:p w14:paraId="149C5BF3" w14:textId="77777777" w:rsidR="000859AF" w:rsidRPr="00F918EE" w:rsidRDefault="000859AF" w:rsidP="000859AF">
            <w:pPr>
              <w:kinsoku w:val="0"/>
              <w:overflowPunct w:val="0"/>
              <w:autoSpaceDE w:val="0"/>
              <w:autoSpaceDN w:val="0"/>
              <w:adjustRightInd w:val="0"/>
              <w:spacing w:after="0" w:line="240" w:lineRule="auto"/>
              <w:ind w:left="120"/>
              <w:jc w:val="center"/>
              <w:rPr>
                <w:b/>
                <w:lang w:val="en-US"/>
              </w:rPr>
            </w:pPr>
            <w:r w:rsidRPr="00F918EE">
              <w:rPr>
                <w:b/>
              </w:rPr>
              <w:t>AUC</w:t>
            </w:r>
            <w:r w:rsidRPr="00F918EE">
              <w:rPr>
                <w:b/>
                <w:lang w:val="en-US"/>
              </w:rPr>
              <w:t>,</w:t>
            </w:r>
          </w:p>
          <w:p w14:paraId="4D8026FC" w14:textId="77777777" w:rsidR="000859AF" w:rsidRPr="00F918EE" w:rsidRDefault="000859AF" w:rsidP="000859AF">
            <w:pPr>
              <w:kinsoku w:val="0"/>
              <w:overflowPunct w:val="0"/>
              <w:autoSpaceDE w:val="0"/>
              <w:autoSpaceDN w:val="0"/>
              <w:adjustRightInd w:val="0"/>
              <w:spacing w:after="0" w:line="240" w:lineRule="auto"/>
              <w:ind w:left="125"/>
              <w:jc w:val="center"/>
              <w:rPr>
                <w:b/>
              </w:rPr>
            </w:pPr>
            <w:r w:rsidRPr="00F918EE">
              <w:rPr>
                <w:b/>
              </w:rPr>
              <w:t xml:space="preserve">нг*ч/мл </w:t>
            </w:r>
          </w:p>
          <w:p w14:paraId="486463BE" w14:textId="77777777" w:rsidR="000859AF" w:rsidRPr="00F918EE" w:rsidRDefault="000859AF" w:rsidP="000859AF">
            <w:pPr>
              <w:kinsoku w:val="0"/>
              <w:overflowPunct w:val="0"/>
              <w:autoSpaceDE w:val="0"/>
              <w:autoSpaceDN w:val="0"/>
              <w:adjustRightInd w:val="0"/>
              <w:spacing w:after="0" w:line="240" w:lineRule="auto"/>
              <w:ind w:left="125"/>
              <w:jc w:val="center"/>
              <w:rPr>
                <w:b/>
                <w:lang w:val="en-US"/>
              </w:rPr>
            </w:pPr>
            <w:r w:rsidRPr="00F918EE">
              <w:rPr>
                <w:b/>
                <w:lang w:val="en-US"/>
              </w:rPr>
              <w:t>F</w:t>
            </w:r>
          </w:p>
        </w:tc>
      </w:tr>
      <w:tr w:rsidR="000859AF" w:rsidRPr="00F918EE" w14:paraId="4917B8B0" w14:textId="77777777" w:rsidTr="000859AF">
        <w:trPr>
          <w:trHeight w:val="262"/>
        </w:trPr>
        <w:tc>
          <w:tcPr>
            <w:tcW w:w="1418" w:type="dxa"/>
            <w:vMerge w:val="restart"/>
            <w:vAlign w:val="center"/>
          </w:tcPr>
          <w:p w14:paraId="6DC3C3C1" w14:textId="77777777" w:rsidR="000859AF" w:rsidRPr="00F918EE" w:rsidRDefault="000859AF" w:rsidP="000859AF">
            <w:pPr>
              <w:kinsoku w:val="0"/>
              <w:overflowPunct w:val="0"/>
              <w:autoSpaceDE w:val="0"/>
              <w:autoSpaceDN w:val="0"/>
              <w:adjustRightInd w:val="0"/>
              <w:spacing w:after="0" w:line="240" w:lineRule="auto"/>
              <w:ind w:left="113"/>
              <w:jc w:val="left"/>
              <w:rPr>
                <w:spacing w:val="-4"/>
                <w:w w:val="105"/>
                <w:lang w:eastAsia="en-US"/>
              </w:rPr>
            </w:pPr>
            <w:r w:rsidRPr="00F918EE">
              <w:rPr>
                <w:spacing w:val="-4"/>
                <w:w w:val="105"/>
                <w:lang w:eastAsia="en-US"/>
              </w:rPr>
              <w:t>Мыши</w:t>
            </w:r>
          </w:p>
        </w:tc>
        <w:tc>
          <w:tcPr>
            <w:tcW w:w="1701" w:type="dxa"/>
            <w:vMerge w:val="restart"/>
            <w:vAlign w:val="center"/>
          </w:tcPr>
          <w:p w14:paraId="0A39B7DB"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Перорально /</w:t>
            </w:r>
          </w:p>
          <w:p w14:paraId="634EFFE2" w14:textId="77777777" w:rsidR="000859AF" w:rsidRPr="00F918EE" w:rsidRDefault="000859AF" w:rsidP="000859AF">
            <w:pPr>
              <w:kinsoku w:val="0"/>
              <w:overflowPunct w:val="0"/>
              <w:autoSpaceDE w:val="0"/>
              <w:autoSpaceDN w:val="0"/>
              <w:adjustRightInd w:val="0"/>
              <w:spacing w:after="0" w:line="240" w:lineRule="auto"/>
              <w:ind w:left="112"/>
              <w:jc w:val="center"/>
              <w:rPr>
                <w:spacing w:val="-2"/>
                <w:w w:val="105"/>
                <w:lang w:eastAsia="en-US"/>
              </w:rPr>
            </w:pPr>
            <w:r w:rsidRPr="00F918EE">
              <w:rPr>
                <w:spacing w:val="-2"/>
                <w:w w:val="105"/>
                <w:lang w:eastAsia="en-US"/>
              </w:rPr>
              <w:t xml:space="preserve">104 </w:t>
            </w:r>
            <w:r w:rsidRPr="00F918EE">
              <w:rPr>
                <w:spacing w:val="-4"/>
                <w:w w:val="105"/>
                <w:lang w:eastAsia="en-US"/>
              </w:rPr>
              <w:t>недели</w:t>
            </w:r>
          </w:p>
        </w:tc>
        <w:tc>
          <w:tcPr>
            <w:tcW w:w="1020" w:type="dxa"/>
          </w:tcPr>
          <w:p w14:paraId="68BB6B33"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10"/>
                <w:lang w:eastAsia="en-US"/>
              </w:rPr>
            </w:pPr>
            <w:r w:rsidRPr="00F918EE">
              <w:rPr>
                <w:spacing w:val="-4"/>
                <w:w w:val="110"/>
                <w:lang w:eastAsia="en-US"/>
              </w:rPr>
              <w:t>0,1</w:t>
            </w:r>
          </w:p>
        </w:tc>
        <w:tc>
          <w:tcPr>
            <w:tcW w:w="1298" w:type="dxa"/>
          </w:tcPr>
          <w:p w14:paraId="790C6528"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18,5</w:t>
            </w:r>
          </w:p>
        </w:tc>
        <w:tc>
          <w:tcPr>
            <w:tcW w:w="1293" w:type="dxa"/>
          </w:tcPr>
          <w:p w14:paraId="6B91A35E"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17,7</w:t>
            </w:r>
          </w:p>
        </w:tc>
        <w:tc>
          <w:tcPr>
            <w:tcW w:w="1288" w:type="dxa"/>
          </w:tcPr>
          <w:p w14:paraId="4D35464F" w14:textId="77777777" w:rsidR="000859AF" w:rsidRPr="00F918EE" w:rsidRDefault="000859AF" w:rsidP="000859AF">
            <w:pPr>
              <w:kinsoku w:val="0"/>
              <w:overflowPunct w:val="0"/>
              <w:autoSpaceDE w:val="0"/>
              <w:autoSpaceDN w:val="0"/>
              <w:adjustRightInd w:val="0"/>
              <w:spacing w:after="0" w:line="240" w:lineRule="auto"/>
              <w:ind w:left="111"/>
              <w:jc w:val="center"/>
              <w:rPr>
                <w:spacing w:val="-2"/>
                <w:w w:val="105"/>
                <w:lang w:eastAsia="en-US"/>
              </w:rPr>
            </w:pPr>
            <w:r w:rsidRPr="00F918EE">
              <w:rPr>
                <w:spacing w:val="-2"/>
                <w:w w:val="105"/>
                <w:lang w:eastAsia="en-US"/>
              </w:rPr>
              <w:t>169,5</w:t>
            </w:r>
          </w:p>
        </w:tc>
        <w:tc>
          <w:tcPr>
            <w:tcW w:w="1303" w:type="dxa"/>
            <w:gridSpan w:val="2"/>
          </w:tcPr>
          <w:p w14:paraId="0FD7139A" w14:textId="77777777" w:rsidR="000859AF" w:rsidRPr="00F918EE" w:rsidRDefault="000859AF" w:rsidP="000859AF">
            <w:pPr>
              <w:kinsoku w:val="0"/>
              <w:overflowPunct w:val="0"/>
              <w:autoSpaceDE w:val="0"/>
              <w:autoSpaceDN w:val="0"/>
              <w:adjustRightInd w:val="0"/>
              <w:spacing w:after="0" w:line="240" w:lineRule="auto"/>
              <w:ind w:left="122"/>
              <w:jc w:val="center"/>
              <w:rPr>
                <w:spacing w:val="-2"/>
                <w:w w:val="105"/>
                <w:lang w:eastAsia="en-US"/>
              </w:rPr>
            </w:pPr>
            <w:r w:rsidRPr="00F918EE">
              <w:rPr>
                <w:spacing w:val="-2"/>
                <w:w w:val="105"/>
                <w:lang w:eastAsia="en-US"/>
              </w:rPr>
              <w:t>150,5</w:t>
            </w:r>
          </w:p>
        </w:tc>
      </w:tr>
      <w:tr w:rsidR="000859AF" w:rsidRPr="00F918EE" w14:paraId="28FE6805" w14:textId="77777777" w:rsidTr="000859AF">
        <w:trPr>
          <w:trHeight w:val="261"/>
        </w:trPr>
        <w:tc>
          <w:tcPr>
            <w:tcW w:w="1418" w:type="dxa"/>
            <w:vMerge/>
            <w:vAlign w:val="center"/>
          </w:tcPr>
          <w:p w14:paraId="2E150531"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7774E6B0" w14:textId="77777777" w:rsidR="000859AF" w:rsidRPr="00F918EE" w:rsidRDefault="000859AF" w:rsidP="000859AF">
            <w:pPr>
              <w:kinsoku w:val="0"/>
              <w:overflowPunct w:val="0"/>
              <w:autoSpaceDE w:val="0"/>
              <w:autoSpaceDN w:val="0"/>
              <w:adjustRightInd w:val="0"/>
              <w:spacing w:after="0" w:line="240" w:lineRule="auto"/>
              <w:ind w:left="109"/>
              <w:jc w:val="center"/>
              <w:rPr>
                <w:spacing w:val="-4"/>
                <w:w w:val="105"/>
                <w:lang w:eastAsia="en-US"/>
              </w:rPr>
            </w:pPr>
          </w:p>
        </w:tc>
        <w:tc>
          <w:tcPr>
            <w:tcW w:w="1020" w:type="dxa"/>
          </w:tcPr>
          <w:p w14:paraId="5AC2EF7D"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10"/>
                <w:lang w:eastAsia="en-US"/>
              </w:rPr>
            </w:pPr>
            <w:r w:rsidRPr="00F918EE">
              <w:rPr>
                <w:spacing w:val="-4"/>
                <w:w w:val="110"/>
                <w:lang w:eastAsia="en-US"/>
              </w:rPr>
              <w:t>0,3</w:t>
            </w:r>
          </w:p>
        </w:tc>
        <w:tc>
          <w:tcPr>
            <w:tcW w:w="1298" w:type="dxa"/>
          </w:tcPr>
          <w:p w14:paraId="036A6A80"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25,4</w:t>
            </w:r>
          </w:p>
        </w:tc>
        <w:tc>
          <w:tcPr>
            <w:tcW w:w="1293" w:type="dxa"/>
          </w:tcPr>
          <w:p w14:paraId="24846D0B"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10"/>
                <w:lang w:eastAsia="en-US"/>
              </w:rPr>
            </w:pPr>
            <w:r w:rsidRPr="00F918EE">
              <w:rPr>
                <w:spacing w:val="-4"/>
                <w:w w:val="110"/>
                <w:lang w:eastAsia="en-US"/>
              </w:rPr>
              <w:t>51,4</w:t>
            </w:r>
          </w:p>
        </w:tc>
        <w:tc>
          <w:tcPr>
            <w:tcW w:w="1288" w:type="dxa"/>
          </w:tcPr>
          <w:p w14:paraId="07580FD9" w14:textId="77777777" w:rsidR="000859AF" w:rsidRPr="00F918EE" w:rsidRDefault="000859AF" w:rsidP="000859AF">
            <w:pPr>
              <w:kinsoku w:val="0"/>
              <w:overflowPunct w:val="0"/>
              <w:autoSpaceDE w:val="0"/>
              <w:autoSpaceDN w:val="0"/>
              <w:adjustRightInd w:val="0"/>
              <w:spacing w:after="0" w:line="240" w:lineRule="auto"/>
              <w:ind w:left="108"/>
              <w:jc w:val="center"/>
              <w:rPr>
                <w:spacing w:val="-2"/>
                <w:w w:val="110"/>
                <w:lang w:eastAsia="en-US"/>
              </w:rPr>
            </w:pPr>
            <w:r w:rsidRPr="00F918EE">
              <w:rPr>
                <w:spacing w:val="-2"/>
                <w:w w:val="110"/>
                <w:lang w:eastAsia="en-US"/>
              </w:rPr>
              <w:t>412,8</w:t>
            </w:r>
          </w:p>
        </w:tc>
        <w:tc>
          <w:tcPr>
            <w:tcW w:w="1303" w:type="dxa"/>
            <w:gridSpan w:val="2"/>
          </w:tcPr>
          <w:p w14:paraId="5864AAEF" w14:textId="77777777" w:rsidR="000859AF" w:rsidRPr="00F918EE" w:rsidRDefault="000859AF" w:rsidP="000859AF">
            <w:pPr>
              <w:kinsoku w:val="0"/>
              <w:overflowPunct w:val="0"/>
              <w:autoSpaceDE w:val="0"/>
              <w:autoSpaceDN w:val="0"/>
              <w:adjustRightInd w:val="0"/>
              <w:spacing w:after="0" w:line="240" w:lineRule="auto"/>
              <w:ind w:left="118"/>
              <w:jc w:val="center"/>
              <w:rPr>
                <w:spacing w:val="-2"/>
                <w:w w:val="110"/>
                <w:lang w:eastAsia="en-US"/>
              </w:rPr>
            </w:pPr>
            <w:r w:rsidRPr="00F918EE">
              <w:rPr>
                <w:spacing w:val="-2"/>
                <w:w w:val="110"/>
                <w:lang w:eastAsia="en-US"/>
              </w:rPr>
              <w:t>346,4</w:t>
            </w:r>
          </w:p>
        </w:tc>
      </w:tr>
      <w:tr w:rsidR="000859AF" w:rsidRPr="00F918EE" w14:paraId="5856E3E0" w14:textId="77777777" w:rsidTr="000859AF">
        <w:trPr>
          <w:trHeight w:val="240"/>
        </w:trPr>
        <w:tc>
          <w:tcPr>
            <w:tcW w:w="1418" w:type="dxa"/>
            <w:vMerge/>
            <w:vAlign w:val="center"/>
          </w:tcPr>
          <w:p w14:paraId="42E94F73"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B99BB22"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23ACBE5A"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10"/>
                <w:lang w:eastAsia="en-US"/>
              </w:rPr>
            </w:pPr>
            <w:r w:rsidRPr="00F918EE">
              <w:rPr>
                <w:spacing w:val="-4"/>
                <w:w w:val="110"/>
                <w:lang w:eastAsia="en-US"/>
              </w:rPr>
              <w:t>0,9</w:t>
            </w:r>
          </w:p>
        </w:tc>
        <w:tc>
          <w:tcPr>
            <w:tcW w:w="1298" w:type="dxa"/>
          </w:tcPr>
          <w:p w14:paraId="350F429C" w14:textId="77777777" w:rsidR="000859AF" w:rsidRPr="00F918EE" w:rsidRDefault="000859AF" w:rsidP="000859AF">
            <w:pPr>
              <w:kinsoku w:val="0"/>
              <w:overflowPunct w:val="0"/>
              <w:autoSpaceDE w:val="0"/>
              <w:autoSpaceDN w:val="0"/>
              <w:adjustRightInd w:val="0"/>
              <w:spacing w:after="0" w:line="240" w:lineRule="auto"/>
              <w:ind w:left="116"/>
              <w:jc w:val="center"/>
              <w:rPr>
                <w:spacing w:val="-2"/>
                <w:w w:val="105"/>
                <w:lang w:eastAsia="en-US"/>
              </w:rPr>
            </w:pPr>
            <w:r w:rsidRPr="00F918EE">
              <w:rPr>
                <w:spacing w:val="-2"/>
                <w:w w:val="105"/>
                <w:lang w:eastAsia="en-US"/>
              </w:rPr>
              <w:t>168,5</w:t>
            </w:r>
          </w:p>
        </w:tc>
        <w:tc>
          <w:tcPr>
            <w:tcW w:w="1293" w:type="dxa"/>
          </w:tcPr>
          <w:p w14:paraId="257B3231" w14:textId="77777777" w:rsidR="000859AF" w:rsidRPr="00F918EE" w:rsidRDefault="000859AF" w:rsidP="000859AF">
            <w:pPr>
              <w:kinsoku w:val="0"/>
              <w:overflowPunct w:val="0"/>
              <w:autoSpaceDE w:val="0"/>
              <w:autoSpaceDN w:val="0"/>
              <w:adjustRightInd w:val="0"/>
              <w:spacing w:after="0" w:line="240" w:lineRule="auto"/>
              <w:ind w:left="116"/>
              <w:jc w:val="center"/>
              <w:rPr>
                <w:spacing w:val="-2"/>
                <w:w w:val="105"/>
                <w:lang w:eastAsia="en-US"/>
              </w:rPr>
            </w:pPr>
            <w:r w:rsidRPr="00F918EE">
              <w:rPr>
                <w:spacing w:val="-2"/>
                <w:w w:val="105"/>
                <w:lang w:eastAsia="en-US"/>
              </w:rPr>
              <w:t>187,9</w:t>
            </w:r>
          </w:p>
        </w:tc>
        <w:tc>
          <w:tcPr>
            <w:tcW w:w="1288" w:type="dxa"/>
          </w:tcPr>
          <w:p w14:paraId="02413B46" w14:textId="77777777" w:rsidR="000859AF" w:rsidRPr="00F918EE" w:rsidRDefault="000859AF" w:rsidP="000859AF">
            <w:pPr>
              <w:kinsoku w:val="0"/>
              <w:overflowPunct w:val="0"/>
              <w:autoSpaceDE w:val="0"/>
              <w:autoSpaceDN w:val="0"/>
              <w:adjustRightInd w:val="0"/>
              <w:spacing w:after="0" w:line="240" w:lineRule="auto"/>
              <w:ind w:left="111"/>
              <w:jc w:val="center"/>
              <w:rPr>
                <w:spacing w:val="-2"/>
                <w:w w:val="110"/>
                <w:lang w:eastAsia="en-US"/>
              </w:rPr>
            </w:pPr>
            <w:r w:rsidRPr="00F918EE">
              <w:rPr>
                <w:spacing w:val="-2"/>
                <w:w w:val="110"/>
                <w:lang w:eastAsia="en-US"/>
              </w:rPr>
              <w:t>1377,8</w:t>
            </w:r>
          </w:p>
        </w:tc>
        <w:tc>
          <w:tcPr>
            <w:tcW w:w="1303" w:type="dxa"/>
            <w:gridSpan w:val="2"/>
          </w:tcPr>
          <w:p w14:paraId="1B8BAC1F" w14:textId="77777777" w:rsidR="000859AF" w:rsidRPr="00F918EE" w:rsidRDefault="000859AF" w:rsidP="000859AF">
            <w:pPr>
              <w:kinsoku w:val="0"/>
              <w:overflowPunct w:val="0"/>
              <w:autoSpaceDE w:val="0"/>
              <w:autoSpaceDN w:val="0"/>
              <w:adjustRightInd w:val="0"/>
              <w:spacing w:after="0" w:line="240" w:lineRule="auto"/>
              <w:ind w:left="123"/>
              <w:jc w:val="center"/>
              <w:rPr>
                <w:spacing w:val="-2"/>
                <w:w w:val="105"/>
                <w:lang w:eastAsia="en-US"/>
              </w:rPr>
            </w:pPr>
            <w:r w:rsidRPr="00F918EE">
              <w:rPr>
                <w:spacing w:val="-2"/>
                <w:w w:val="105"/>
                <w:lang w:eastAsia="en-US"/>
              </w:rPr>
              <w:t>3084,2</w:t>
            </w:r>
          </w:p>
        </w:tc>
      </w:tr>
      <w:tr w:rsidR="000859AF" w:rsidRPr="00F918EE" w14:paraId="55F4B9EA" w14:textId="77777777" w:rsidTr="000859AF">
        <w:trPr>
          <w:trHeight w:val="271"/>
        </w:trPr>
        <w:tc>
          <w:tcPr>
            <w:tcW w:w="1418" w:type="dxa"/>
            <w:vMerge w:val="restart"/>
            <w:vAlign w:val="center"/>
          </w:tcPr>
          <w:p w14:paraId="1870E537" w14:textId="77777777" w:rsidR="000859AF" w:rsidRPr="00F918EE" w:rsidRDefault="000859AF" w:rsidP="000859AF">
            <w:pPr>
              <w:kinsoku w:val="0"/>
              <w:overflowPunct w:val="0"/>
              <w:autoSpaceDE w:val="0"/>
              <w:autoSpaceDN w:val="0"/>
              <w:adjustRightInd w:val="0"/>
              <w:spacing w:after="0" w:line="240" w:lineRule="auto"/>
              <w:ind w:left="113"/>
              <w:jc w:val="left"/>
              <w:rPr>
                <w:spacing w:val="-2"/>
                <w:lang w:eastAsia="en-US"/>
              </w:rPr>
            </w:pPr>
            <w:r w:rsidRPr="00F918EE">
              <w:rPr>
                <w:spacing w:val="-4"/>
                <w:w w:val="105"/>
                <w:lang w:eastAsia="en-US"/>
              </w:rPr>
              <w:t>Мыши</w:t>
            </w:r>
          </w:p>
        </w:tc>
        <w:tc>
          <w:tcPr>
            <w:tcW w:w="1701" w:type="dxa"/>
            <w:vMerge w:val="restart"/>
            <w:vAlign w:val="center"/>
          </w:tcPr>
          <w:p w14:paraId="3E16247B" w14:textId="77777777" w:rsidR="000859AF" w:rsidRPr="00F918EE" w:rsidRDefault="000859AF" w:rsidP="000859AF">
            <w:pPr>
              <w:kinsoku w:val="0"/>
              <w:overflowPunct w:val="0"/>
              <w:autoSpaceDE w:val="0"/>
              <w:autoSpaceDN w:val="0"/>
              <w:adjustRightInd w:val="0"/>
              <w:spacing w:after="0" w:line="240" w:lineRule="auto"/>
              <w:ind w:left="107"/>
              <w:jc w:val="center"/>
              <w:rPr>
                <w:spacing w:val="-4"/>
                <w:w w:val="105"/>
                <w:lang w:eastAsia="en-US"/>
              </w:rPr>
            </w:pPr>
            <w:r w:rsidRPr="00F918EE">
              <w:rPr>
                <w:spacing w:val="-2"/>
                <w:w w:val="105"/>
                <w:lang w:eastAsia="en-US"/>
              </w:rPr>
              <w:t>Перорально</w:t>
            </w:r>
            <w:r w:rsidRPr="00F918EE">
              <w:rPr>
                <w:spacing w:val="-4"/>
                <w:w w:val="105"/>
                <w:lang w:eastAsia="en-US"/>
              </w:rPr>
              <w:t xml:space="preserve"> / 13 недель</w:t>
            </w:r>
          </w:p>
        </w:tc>
        <w:tc>
          <w:tcPr>
            <w:tcW w:w="1020" w:type="dxa"/>
          </w:tcPr>
          <w:p w14:paraId="728250AE" w14:textId="77777777" w:rsidR="000859AF" w:rsidRPr="00F918EE" w:rsidRDefault="000859AF" w:rsidP="000859AF">
            <w:pPr>
              <w:kinsoku w:val="0"/>
              <w:overflowPunct w:val="0"/>
              <w:autoSpaceDE w:val="0"/>
              <w:autoSpaceDN w:val="0"/>
              <w:adjustRightInd w:val="0"/>
              <w:spacing w:after="0" w:line="240" w:lineRule="auto"/>
              <w:ind w:left="107"/>
              <w:jc w:val="center"/>
              <w:rPr>
                <w:spacing w:val="-4"/>
                <w:w w:val="105"/>
                <w:lang w:eastAsia="en-US"/>
              </w:rPr>
            </w:pPr>
            <w:r w:rsidRPr="00F918EE">
              <w:rPr>
                <w:spacing w:val="-4"/>
                <w:w w:val="105"/>
                <w:lang w:eastAsia="en-US"/>
              </w:rPr>
              <w:t>0,15</w:t>
            </w:r>
          </w:p>
        </w:tc>
        <w:tc>
          <w:tcPr>
            <w:tcW w:w="1298" w:type="dxa"/>
          </w:tcPr>
          <w:p w14:paraId="0C5E26CA" w14:textId="77777777" w:rsidR="000859AF" w:rsidRPr="00F918EE" w:rsidRDefault="000859AF" w:rsidP="000859AF">
            <w:pPr>
              <w:kinsoku w:val="0"/>
              <w:overflowPunct w:val="0"/>
              <w:autoSpaceDE w:val="0"/>
              <w:autoSpaceDN w:val="0"/>
              <w:adjustRightInd w:val="0"/>
              <w:spacing w:after="0" w:line="240" w:lineRule="auto"/>
              <w:ind w:left="110"/>
              <w:jc w:val="center"/>
              <w:rPr>
                <w:spacing w:val="-6"/>
                <w:w w:val="105"/>
                <w:lang w:eastAsia="en-US"/>
              </w:rPr>
            </w:pPr>
            <w:r w:rsidRPr="00F918EE">
              <w:rPr>
                <w:spacing w:val="-6"/>
                <w:w w:val="105"/>
                <w:lang w:eastAsia="en-US"/>
              </w:rPr>
              <w:t>55</w:t>
            </w:r>
          </w:p>
        </w:tc>
        <w:tc>
          <w:tcPr>
            <w:tcW w:w="1293" w:type="dxa"/>
          </w:tcPr>
          <w:p w14:paraId="1302C55D" w14:textId="77777777" w:rsidR="000859AF" w:rsidRPr="00F918EE" w:rsidRDefault="000859AF" w:rsidP="000859AF">
            <w:pPr>
              <w:kinsoku w:val="0"/>
              <w:overflowPunct w:val="0"/>
              <w:autoSpaceDE w:val="0"/>
              <w:autoSpaceDN w:val="0"/>
              <w:adjustRightInd w:val="0"/>
              <w:spacing w:after="0" w:line="240" w:lineRule="auto"/>
              <w:ind w:left="109"/>
              <w:jc w:val="center"/>
              <w:rPr>
                <w:spacing w:val="-6"/>
                <w:w w:val="105"/>
                <w:lang w:eastAsia="en-US"/>
              </w:rPr>
            </w:pPr>
            <w:r w:rsidRPr="00F918EE">
              <w:rPr>
                <w:spacing w:val="-6"/>
                <w:w w:val="105"/>
                <w:lang w:eastAsia="en-US"/>
              </w:rPr>
              <w:t>48</w:t>
            </w:r>
          </w:p>
        </w:tc>
        <w:tc>
          <w:tcPr>
            <w:tcW w:w="1298" w:type="dxa"/>
            <w:gridSpan w:val="2"/>
          </w:tcPr>
          <w:p w14:paraId="6C5A3A2E" w14:textId="77777777" w:rsidR="000859AF" w:rsidRPr="00F918EE" w:rsidRDefault="000859AF" w:rsidP="000859AF">
            <w:pPr>
              <w:kinsoku w:val="0"/>
              <w:overflowPunct w:val="0"/>
              <w:autoSpaceDE w:val="0"/>
              <w:autoSpaceDN w:val="0"/>
              <w:adjustRightInd w:val="0"/>
              <w:spacing w:after="0" w:line="240" w:lineRule="auto"/>
              <w:ind w:left="114"/>
              <w:jc w:val="center"/>
              <w:rPr>
                <w:spacing w:val="-4"/>
                <w:w w:val="105"/>
                <w:lang w:eastAsia="en-US"/>
              </w:rPr>
            </w:pPr>
            <w:r w:rsidRPr="00F918EE">
              <w:rPr>
                <w:spacing w:val="-4"/>
                <w:w w:val="105"/>
                <w:lang w:eastAsia="en-US"/>
              </w:rPr>
              <w:t>803</w:t>
            </w:r>
          </w:p>
        </w:tc>
        <w:tc>
          <w:tcPr>
            <w:tcW w:w="1293" w:type="dxa"/>
          </w:tcPr>
          <w:p w14:paraId="5C76D5CB" w14:textId="77777777" w:rsidR="000859AF" w:rsidRPr="00F918EE" w:rsidRDefault="000859AF" w:rsidP="000859AF">
            <w:pPr>
              <w:kinsoku w:val="0"/>
              <w:overflowPunct w:val="0"/>
              <w:autoSpaceDE w:val="0"/>
              <w:autoSpaceDN w:val="0"/>
              <w:adjustRightInd w:val="0"/>
              <w:spacing w:after="0" w:line="240" w:lineRule="auto"/>
              <w:ind w:left="114"/>
              <w:jc w:val="center"/>
              <w:rPr>
                <w:spacing w:val="-4"/>
                <w:lang w:eastAsia="en-US"/>
              </w:rPr>
            </w:pPr>
            <w:r w:rsidRPr="00F918EE">
              <w:rPr>
                <w:spacing w:val="-4"/>
                <w:lang w:eastAsia="en-US"/>
              </w:rPr>
              <w:t>362</w:t>
            </w:r>
          </w:p>
        </w:tc>
      </w:tr>
      <w:tr w:rsidR="000859AF" w:rsidRPr="00F918EE" w14:paraId="0B3BB09B" w14:textId="77777777" w:rsidTr="000859AF">
        <w:trPr>
          <w:trHeight w:val="262"/>
        </w:trPr>
        <w:tc>
          <w:tcPr>
            <w:tcW w:w="1418" w:type="dxa"/>
            <w:vMerge/>
            <w:vAlign w:val="center"/>
          </w:tcPr>
          <w:p w14:paraId="288D38CD"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4CC8CE70" w14:textId="77777777" w:rsidR="000859AF" w:rsidRPr="00F918EE" w:rsidRDefault="000859AF" w:rsidP="000859AF">
            <w:pPr>
              <w:kinsoku w:val="0"/>
              <w:overflowPunct w:val="0"/>
              <w:autoSpaceDE w:val="0"/>
              <w:autoSpaceDN w:val="0"/>
              <w:adjustRightInd w:val="0"/>
              <w:spacing w:after="0" w:line="240" w:lineRule="auto"/>
              <w:ind w:left="104"/>
              <w:jc w:val="center"/>
              <w:rPr>
                <w:spacing w:val="-4"/>
                <w:w w:val="105"/>
                <w:lang w:eastAsia="en-US"/>
              </w:rPr>
            </w:pPr>
          </w:p>
        </w:tc>
        <w:tc>
          <w:tcPr>
            <w:tcW w:w="1020" w:type="dxa"/>
          </w:tcPr>
          <w:p w14:paraId="4EA480D8" w14:textId="77777777" w:rsidR="000859AF" w:rsidRPr="00F918EE" w:rsidRDefault="000859AF" w:rsidP="000859AF">
            <w:pPr>
              <w:kinsoku w:val="0"/>
              <w:overflowPunct w:val="0"/>
              <w:autoSpaceDE w:val="0"/>
              <w:autoSpaceDN w:val="0"/>
              <w:adjustRightInd w:val="0"/>
              <w:spacing w:after="0" w:line="240" w:lineRule="auto"/>
              <w:ind w:left="107"/>
              <w:jc w:val="center"/>
              <w:rPr>
                <w:spacing w:val="-4"/>
                <w:w w:val="105"/>
                <w:lang w:eastAsia="en-US"/>
              </w:rPr>
            </w:pPr>
            <w:r w:rsidRPr="00F918EE">
              <w:rPr>
                <w:spacing w:val="-4"/>
                <w:w w:val="105"/>
                <w:lang w:eastAsia="en-US"/>
              </w:rPr>
              <w:t>0,5</w:t>
            </w:r>
          </w:p>
        </w:tc>
        <w:tc>
          <w:tcPr>
            <w:tcW w:w="1298" w:type="dxa"/>
          </w:tcPr>
          <w:p w14:paraId="17EFB65D" w14:textId="77777777" w:rsidR="000859AF" w:rsidRPr="00F918EE" w:rsidRDefault="000859AF" w:rsidP="000859AF">
            <w:pPr>
              <w:kinsoku w:val="0"/>
              <w:overflowPunct w:val="0"/>
              <w:autoSpaceDE w:val="0"/>
              <w:autoSpaceDN w:val="0"/>
              <w:adjustRightInd w:val="0"/>
              <w:spacing w:after="0" w:line="240" w:lineRule="auto"/>
              <w:ind w:left="110"/>
              <w:jc w:val="center"/>
              <w:rPr>
                <w:spacing w:val="-4"/>
                <w:lang w:eastAsia="en-US"/>
              </w:rPr>
            </w:pPr>
            <w:r w:rsidRPr="00F918EE">
              <w:rPr>
                <w:spacing w:val="-4"/>
                <w:lang w:eastAsia="en-US"/>
              </w:rPr>
              <w:t>146</w:t>
            </w:r>
          </w:p>
        </w:tc>
        <w:tc>
          <w:tcPr>
            <w:tcW w:w="1293" w:type="dxa"/>
          </w:tcPr>
          <w:p w14:paraId="6233C3BB" w14:textId="77777777" w:rsidR="000859AF" w:rsidRPr="00F918EE" w:rsidRDefault="000859AF" w:rsidP="000859AF">
            <w:pPr>
              <w:kinsoku w:val="0"/>
              <w:overflowPunct w:val="0"/>
              <w:autoSpaceDE w:val="0"/>
              <w:autoSpaceDN w:val="0"/>
              <w:adjustRightInd w:val="0"/>
              <w:spacing w:after="0" w:line="240" w:lineRule="auto"/>
              <w:ind w:left="112"/>
              <w:jc w:val="center"/>
              <w:rPr>
                <w:spacing w:val="-4"/>
                <w:lang w:eastAsia="en-US"/>
              </w:rPr>
            </w:pPr>
            <w:r w:rsidRPr="00F918EE">
              <w:rPr>
                <w:spacing w:val="-4"/>
                <w:lang w:eastAsia="en-US"/>
              </w:rPr>
              <w:t>272</w:t>
            </w:r>
          </w:p>
        </w:tc>
        <w:tc>
          <w:tcPr>
            <w:tcW w:w="1298" w:type="dxa"/>
            <w:gridSpan w:val="2"/>
          </w:tcPr>
          <w:p w14:paraId="76E8D4BE"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1174</w:t>
            </w:r>
          </w:p>
        </w:tc>
        <w:tc>
          <w:tcPr>
            <w:tcW w:w="1293" w:type="dxa"/>
          </w:tcPr>
          <w:p w14:paraId="5D3667DF"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1258</w:t>
            </w:r>
          </w:p>
        </w:tc>
      </w:tr>
      <w:tr w:rsidR="000859AF" w:rsidRPr="00F918EE" w14:paraId="5AAB96B5" w14:textId="77777777" w:rsidTr="000859AF">
        <w:trPr>
          <w:trHeight w:val="259"/>
        </w:trPr>
        <w:tc>
          <w:tcPr>
            <w:tcW w:w="1418" w:type="dxa"/>
            <w:vMerge/>
            <w:vAlign w:val="center"/>
          </w:tcPr>
          <w:p w14:paraId="0BF2CE94"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7CEBB3F1"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79631CE2" w14:textId="77777777" w:rsidR="000859AF" w:rsidRPr="00F918EE" w:rsidRDefault="000859AF" w:rsidP="000859AF">
            <w:pPr>
              <w:kinsoku w:val="0"/>
              <w:overflowPunct w:val="0"/>
              <w:autoSpaceDE w:val="0"/>
              <w:autoSpaceDN w:val="0"/>
              <w:adjustRightInd w:val="0"/>
              <w:spacing w:after="0" w:line="240" w:lineRule="auto"/>
              <w:ind w:left="109"/>
              <w:jc w:val="center"/>
              <w:rPr>
                <w:spacing w:val="-4"/>
                <w:lang w:eastAsia="en-US"/>
              </w:rPr>
            </w:pPr>
            <w:r w:rsidRPr="00F918EE">
              <w:rPr>
                <w:spacing w:val="-4"/>
                <w:lang w:eastAsia="en-US"/>
              </w:rPr>
              <w:t>1,5</w:t>
            </w:r>
          </w:p>
        </w:tc>
        <w:tc>
          <w:tcPr>
            <w:tcW w:w="1298" w:type="dxa"/>
          </w:tcPr>
          <w:p w14:paraId="6A57FF5D" w14:textId="77777777" w:rsidR="000859AF" w:rsidRPr="00F918EE" w:rsidRDefault="000859AF" w:rsidP="000859AF">
            <w:pPr>
              <w:kinsoku w:val="0"/>
              <w:overflowPunct w:val="0"/>
              <w:autoSpaceDE w:val="0"/>
              <w:autoSpaceDN w:val="0"/>
              <w:adjustRightInd w:val="0"/>
              <w:spacing w:after="0" w:line="240" w:lineRule="auto"/>
              <w:ind w:left="107"/>
              <w:jc w:val="center"/>
              <w:rPr>
                <w:spacing w:val="-4"/>
                <w:lang w:eastAsia="en-US"/>
              </w:rPr>
            </w:pPr>
            <w:r w:rsidRPr="00F918EE">
              <w:rPr>
                <w:spacing w:val="-4"/>
                <w:lang w:eastAsia="en-US"/>
              </w:rPr>
              <w:t>331</w:t>
            </w:r>
          </w:p>
        </w:tc>
        <w:tc>
          <w:tcPr>
            <w:tcW w:w="1293" w:type="dxa"/>
          </w:tcPr>
          <w:p w14:paraId="4CEC76F7" w14:textId="77777777" w:rsidR="000859AF" w:rsidRPr="00F918EE" w:rsidRDefault="000859AF" w:rsidP="000859AF">
            <w:pPr>
              <w:kinsoku w:val="0"/>
              <w:overflowPunct w:val="0"/>
              <w:autoSpaceDE w:val="0"/>
              <w:autoSpaceDN w:val="0"/>
              <w:adjustRightInd w:val="0"/>
              <w:spacing w:after="0" w:line="240" w:lineRule="auto"/>
              <w:ind w:left="107"/>
              <w:jc w:val="center"/>
              <w:rPr>
                <w:spacing w:val="-4"/>
                <w:w w:val="105"/>
                <w:lang w:eastAsia="en-US"/>
              </w:rPr>
            </w:pPr>
            <w:r w:rsidRPr="00F918EE">
              <w:rPr>
                <w:spacing w:val="-4"/>
                <w:w w:val="105"/>
                <w:lang w:eastAsia="en-US"/>
              </w:rPr>
              <w:t>639</w:t>
            </w:r>
          </w:p>
        </w:tc>
        <w:tc>
          <w:tcPr>
            <w:tcW w:w="1298" w:type="dxa"/>
            <w:gridSpan w:val="2"/>
          </w:tcPr>
          <w:p w14:paraId="269CB5F4" w14:textId="77777777" w:rsidR="000859AF" w:rsidRPr="00F918EE" w:rsidRDefault="000859AF" w:rsidP="000859AF">
            <w:pPr>
              <w:kinsoku w:val="0"/>
              <w:overflowPunct w:val="0"/>
              <w:autoSpaceDE w:val="0"/>
              <w:autoSpaceDN w:val="0"/>
              <w:adjustRightInd w:val="0"/>
              <w:spacing w:after="0" w:line="240" w:lineRule="auto"/>
              <w:ind w:left="109"/>
              <w:jc w:val="center"/>
              <w:rPr>
                <w:spacing w:val="-4"/>
                <w:w w:val="105"/>
                <w:lang w:eastAsia="en-US"/>
              </w:rPr>
            </w:pPr>
            <w:r w:rsidRPr="00F918EE">
              <w:rPr>
                <w:spacing w:val="-4"/>
                <w:w w:val="105"/>
                <w:lang w:eastAsia="en-US"/>
              </w:rPr>
              <w:t>3472</w:t>
            </w:r>
          </w:p>
        </w:tc>
        <w:tc>
          <w:tcPr>
            <w:tcW w:w="1293" w:type="dxa"/>
          </w:tcPr>
          <w:p w14:paraId="64FD0B69" w14:textId="77777777" w:rsidR="000859AF" w:rsidRPr="00F918EE" w:rsidRDefault="000859AF" w:rsidP="000859AF">
            <w:pPr>
              <w:kinsoku w:val="0"/>
              <w:overflowPunct w:val="0"/>
              <w:autoSpaceDE w:val="0"/>
              <w:autoSpaceDN w:val="0"/>
              <w:adjustRightInd w:val="0"/>
              <w:spacing w:after="0" w:line="240" w:lineRule="auto"/>
              <w:ind w:left="109"/>
              <w:jc w:val="center"/>
              <w:rPr>
                <w:spacing w:val="-4"/>
                <w:w w:val="105"/>
                <w:lang w:eastAsia="en-US"/>
              </w:rPr>
            </w:pPr>
            <w:r w:rsidRPr="00F918EE">
              <w:rPr>
                <w:spacing w:val="-4"/>
                <w:w w:val="105"/>
                <w:lang w:eastAsia="en-US"/>
              </w:rPr>
              <w:t>4877</w:t>
            </w:r>
          </w:p>
        </w:tc>
      </w:tr>
      <w:tr w:rsidR="000859AF" w:rsidRPr="00F918EE" w14:paraId="399CBC42" w14:textId="77777777" w:rsidTr="000859AF">
        <w:trPr>
          <w:trHeight w:val="259"/>
        </w:trPr>
        <w:tc>
          <w:tcPr>
            <w:tcW w:w="1418" w:type="dxa"/>
            <w:vMerge/>
            <w:vAlign w:val="center"/>
          </w:tcPr>
          <w:p w14:paraId="03C17640"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2FE21638"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0F7B3930" w14:textId="77777777" w:rsidR="000859AF" w:rsidRPr="00F918EE" w:rsidRDefault="000859AF" w:rsidP="000859AF">
            <w:pPr>
              <w:kinsoku w:val="0"/>
              <w:overflowPunct w:val="0"/>
              <w:autoSpaceDE w:val="0"/>
              <w:autoSpaceDN w:val="0"/>
              <w:adjustRightInd w:val="0"/>
              <w:spacing w:after="0" w:line="240" w:lineRule="auto"/>
              <w:ind w:left="105"/>
              <w:jc w:val="center"/>
              <w:rPr>
                <w:w w:val="105"/>
                <w:lang w:eastAsia="en-US"/>
              </w:rPr>
            </w:pPr>
            <w:r w:rsidRPr="00F918EE">
              <w:rPr>
                <w:w w:val="105"/>
                <w:lang w:eastAsia="en-US"/>
              </w:rPr>
              <w:t>5</w:t>
            </w:r>
          </w:p>
        </w:tc>
        <w:tc>
          <w:tcPr>
            <w:tcW w:w="1298" w:type="dxa"/>
          </w:tcPr>
          <w:p w14:paraId="054DADEC" w14:textId="77777777" w:rsidR="000859AF" w:rsidRPr="00F918EE" w:rsidRDefault="000859AF" w:rsidP="000859AF">
            <w:pPr>
              <w:kinsoku w:val="0"/>
              <w:overflowPunct w:val="0"/>
              <w:autoSpaceDE w:val="0"/>
              <w:autoSpaceDN w:val="0"/>
              <w:adjustRightInd w:val="0"/>
              <w:spacing w:after="0" w:line="240" w:lineRule="auto"/>
              <w:ind w:left="108"/>
              <w:jc w:val="center"/>
              <w:rPr>
                <w:spacing w:val="-4"/>
                <w:lang w:eastAsia="en-US"/>
              </w:rPr>
            </w:pPr>
            <w:r w:rsidRPr="00F918EE">
              <w:rPr>
                <w:spacing w:val="-4"/>
                <w:lang w:eastAsia="en-US"/>
              </w:rPr>
              <w:t>4228</w:t>
            </w:r>
          </w:p>
        </w:tc>
        <w:tc>
          <w:tcPr>
            <w:tcW w:w="1293" w:type="dxa"/>
          </w:tcPr>
          <w:p w14:paraId="1015F527" w14:textId="77777777" w:rsidR="000859AF" w:rsidRPr="00F918EE" w:rsidRDefault="000859AF" w:rsidP="000859AF">
            <w:pPr>
              <w:kinsoku w:val="0"/>
              <w:overflowPunct w:val="0"/>
              <w:autoSpaceDE w:val="0"/>
              <w:autoSpaceDN w:val="0"/>
              <w:adjustRightInd w:val="0"/>
              <w:spacing w:after="0" w:line="240" w:lineRule="auto"/>
              <w:ind w:left="111"/>
              <w:jc w:val="center"/>
              <w:rPr>
                <w:spacing w:val="-4"/>
                <w:lang w:eastAsia="en-US"/>
              </w:rPr>
            </w:pPr>
            <w:r w:rsidRPr="00F918EE">
              <w:rPr>
                <w:spacing w:val="-4"/>
                <w:lang w:eastAsia="en-US"/>
              </w:rPr>
              <w:t>1754</w:t>
            </w:r>
          </w:p>
        </w:tc>
        <w:tc>
          <w:tcPr>
            <w:tcW w:w="1298" w:type="dxa"/>
            <w:gridSpan w:val="2"/>
          </w:tcPr>
          <w:p w14:paraId="356A9869" w14:textId="77777777" w:rsidR="000859AF" w:rsidRPr="00F918EE" w:rsidRDefault="000859AF" w:rsidP="000859AF">
            <w:pPr>
              <w:kinsoku w:val="0"/>
              <w:overflowPunct w:val="0"/>
              <w:autoSpaceDE w:val="0"/>
              <w:autoSpaceDN w:val="0"/>
              <w:adjustRightInd w:val="0"/>
              <w:spacing w:after="0" w:line="240" w:lineRule="auto"/>
              <w:ind w:left="111"/>
              <w:jc w:val="center"/>
              <w:rPr>
                <w:spacing w:val="-2"/>
                <w:lang w:eastAsia="en-US"/>
              </w:rPr>
            </w:pPr>
            <w:r w:rsidRPr="00F918EE">
              <w:rPr>
                <w:spacing w:val="-2"/>
                <w:lang w:eastAsia="en-US"/>
              </w:rPr>
              <w:t>19420</w:t>
            </w:r>
          </w:p>
        </w:tc>
        <w:tc>
          <w:tcPr>
            <w:tcW w:w="1293" w:type="dxa"/>
          </w:tcPr>
          <w:p w14:paraId="5565B34F" w14:textId="77777777" w:rsidR="000859AF" w:rsidRPr="00F918EE" w:rsidRDefault="000859AF" w:rsidP="000859AF">
            <w:pPr>
              <w:kinsoku w:val="0"/>
              <w:overflowPunct w:val="0"/>
              <w:autoSpaceDE w:val="0"/>
              <w:autoSpaceDN w:val="0"/>
              <w:adjustRightInd w:val="0"/>
              <w:spacing w:after="0" w:line="240" w:lineRule="auto"/>
              <w:ind w:left="116"/>
              <w:jc w:val="center"/>
              <w:rPr>
                <w:spacing w:val="-2"/>
                <w:lang w:eastAsia="en-US"/>
              </w:rPr>
            </w:pPr>
            <w:r w:rsidRPr="00F918EE">
              <w:rPr>
                <w:spacing w:val="-2"/>
                <w:lang w:eastAsia="en-US"/>
              </w:rPr>
              <w:t>11363</w:t>
            </w:r>
          </w:p>
        </w:tc>
      </w:tr>
      <w:tr w:rsidR="000859AF" w:rsidRPr="00F918EE" w14:paraId="5693995E" w14:textId="77777777" w:rsidTr="000859AF">
        <w:trPr>
          <w:trHeight w:val="244"/>
        </w:trPr>
        <w:tc>
          <w:tcPr>
            <w:tcW w:w="1418" w:type="dxa"/>
            <w:vMerge/>
            <w:vAlign w:val="center"/>
          </w:tcPr>
          <w:p w14:paraId="4CEF12A8"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AAB9957"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74265E11" w14:textId="77777777" w:rsidR="000859AF" w:rsidRPr="00F918EE" w:rsidRDefault="000859AF" w:rsidP="000859AF">
            <w:pPr>
              <w:kinsoku w:val="0"/>
              <w:overflowPunct w:val="0"/>
              <w:autoSpaceDE w:val="0"/>
              <w:autoSpaceDN w:val="0"/>
              <w:adjustRightInd w:val="0"/>
              <w:spacing w:after="0" w:line="240" w:lineRule="auto"/>
              <w:ind w:left="109"/>
              <w:jc w:val="center"/>
              <w:rPr>
                <w:spacing w:val="-6"/>
                <w:lang w:eastAsia="en-US"/>
              </w:rPr>
            </w:pPr>
            <w:r w:rsidRPr="00F918EE">
              <w:rPr>
                <w:spacing w:val="-6"/>
                <w:lang w:eastAsia="en-US"/>
              </w:rPr>
              <w:t>15</w:t>
            </w:r>
          </w:p>
        </w:tc>
        <w:tc>
          <w:tcPr>
            <w:tcW w:w="1298" w:type="dxa"/>
          </w:tcPr>
          <w:p w14:paraId="7EF3AC9B" w14:textId="77777777" w:rsidR="000859AF" w:rsidRPr="00F918EE" w:rsidRDefault="000859AF" w:rsidP="000859AF">
            <w:pPr>
              <w:kinsoku w:val="0"/>
              <w:overflowPunct w:val="0"/>
              <w:autoSpaceDE w:val="0"/>
              <w:autoSpaceDN w:val="0"/>
              <w:adjustRightInd w:val="0"/>
              <w:spacing w:after="0" w:line="240" w:lineRule="auto"/>
              <w:ind w:left="113"/>
              <w:jc w:val="center"/>
              <w:rPr>
                <w:spacing w:val="-4"/>
                <w:lang w:eastAsia="en-US"/>
              </w:rPr>
            </w:pPr>
            <w:r w:rsidRPr="00F918EE">
              <w:rPr>
                <w:spacing w:val="-4"/>
                <w:lang w:eastAsia="en-US"/>
              </w:rPr>
              <w:t>4188</w:t>
            </w:r>
          </w:p>
        </w:tc>
        <w:tc>
          <w:tcPr>
            <w:tcW w:w="1293" w:type="dxa"/>
          </w:tcPr>
          <w:p w14:paraId="6531AEDE"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5828</w:t>
            </w:r>
          </w:p>
        </w:tc>
        <w:tc>
          <w:tcPr>
            <w:tcW w:w="1298" w:type="dxa"/>
            <w:gridSpan w:val="2"/>
          </w:tcPr>
          <w:p w14:paraId="3E0E5E87" w14:textId="77777777" w:rsidR="000859AF" w:rsidRPr="00F918EE" w:rsidRDefault="000859AF" w:rsidP="000859AF">
            <w:pPr>
              <w:kinsoku w:val="0"/>
              <w:overflowPunct w:val="0"/>
              <w:autoSpaceDE w:val="0"/>
              <w:autoSpaceDN w:val="0"/>
              <w:adjustRightInd w:val="0"/>
              <w:spacing w:after="0" w:line="240" w:lineRule="auto"/>
              <w:ind w:left="114"/>
              <w:jc w:val="center"/>
              <w:rPr>
                <w:spacing w:val="-2"/>
                <w:lang w:eastAsia="en-US"/>
              </w:rPr>
            </w:pPr>
            <w:r w:rsidRPr="00F918EE">
              <w:rPr>
                <w:spacing w:val="-2"/>
                <w:lang w:eastAsia="en-US"/>
              </w:rPr>
              <w:t>45955</w:t>
            </w:r>
          </w:p>
        </w:tc>
        <w:tc>
          <w:tcPr>
            <w:tcW w:w="1293" w:type="dxa"/>
          </w:tcPr>
          <w:p w14:paraId="484D3FC1" w14:textId="77777777" w:rsidR="000859AF" w:rsidRPr="00F918EE" w:rsidRDefault="000859AF" w:rsidP="000859AF">
            <w:pPr>
              <w:kinsoku w:val="0"/>
              <w:overflowPunct w:val="0"/>
              <w:autoSpaceDE w:val="0"/>
              <w:autoSpaceDN w:val="0"/>
              <w:adjustRightInd w:val="0"/>
              <w:spacing w:after="0" w:line="240" w:lineRule="auto"/>
              <w:ind w:left="114"/>
              <w:jc w:val="center"/>
              <w:rPr>
                <w:spacing w:val="-2"/>
                <w:lang w:eastAsia="en-US"/>
              </w:rPr>
            </w:pPr>
            <w:r w:rsidRPr="00F918EE">
              <w:rPr>
                <w:spacing w:val="-2"/>
                <w:lang w:eastAsia="en-US"/>
              </w:rPr>
              <w:t>43206</w:t>
            </w:r>
          </w:p>
        </w:tc>
      </w:tr>
      <w:tr w:rsidR="000859AF" w:rsidRPr="00F918EE" w14:paraId="46835116" w14:textId="77777777" w:rsidTr="000859AF">
        <w:trPr>
          <w:trHeight w:val="271"/>
        </w:trPr>
        <w:tc>
          <w:tcPr>
            <w:tcW w:w="1418" w:type="dxa"/>
            <w:vMerge w:val="restart"/>
            <w:vAlign w:val="center"/>
          </w:tcPr>
          <w:p w14:paraId="776F8536" w14:textId="77777777" w:rsidR="000859AF" w:rsidRPr="00F918EE" w:rsidRDefault="000859AF" w:rsidP="000859AF">
            <w:pPr>
              <w:kinsoku w:val="0"/>
              <w:overflowPunct w:val="0"/>
              <w:autoSpaceDE w:val="0"/>
              <w:autoSpaceDN w:val="0"/>
              <w:adjustRightInd w:val="0"/>
              <w:spacing w:after="0" w:line="240" w:lineRule="auto"/>
              <w:ind w:left="113"/>
              <w:jc w:val="left"/>
              <w:rPr>
                <w:spacing w:val="-4"/>
                <w:lang w:eastAsia="en-US"/>
              </w:rPr>
            </w:pPr>
            <w:r w:rsidRPr="00F918EE">
              <w:rPr>
                <w:spacing w:val="-4"/>
                <w:lang w:eastAsia="en-US"/>
              </w:rPr>
              <w:t>Крысы</w:t>
            </w:r>
          </w:p>
        </w:tc>
        <w:tc>
          <w:tcPr>
            <w:tcW w:w="1701" w:type="dxa"/>
            <w:vMerge w:val="restart"/>
            <w:vAlign w:val="center"/>
          </w:tcPr>
          <w:p w14:paraId="0C564F33" w14:textId="77777777" w:rsidR="000859AF" w:rsidRPr="00F918EE" w:rsidRDefault="000859AF" w:rsidP="000859AF">
            <w:pPr>
              <w:kinsoku w:val="0"/>
              <w:overflowPunct w:val="0"/>
              <w:autoSpaceDE w:val="0"/>
              <w:autoSpaceDN w:val="0"/>
              <w:adjustRightInd w:val="0"/>
              <w:spacing w:after="0" w:line="240" w:lineRule="auto"/>
              <w:ind w:left="108"/>
              <w:jc w:val="center"/>
              <w:rPr>
                <w:lang w:eastAsia="en-US"/>
              </w:rPr>
            </w:pPr>
            <w:r w:rsidRPr="00F918EE">
              <w:rPr>
                <w:spacing w:val="-2"/>
                <w:w w:val="105"/>
                <w:lang w:eastAsia="en-US"/>
              </w:rPr>
              <w:t>Перорально</w:t>
            </w:r>
            <w:r w:rsidRPr="00F918EE">
              <w:rPr>
                <w:lang w:eastAsia="en-US"/>
              </w:rPr>
              <w:t xml:space="preserve"> /</w:t>
            </w:r>
          </w:p>
          <w:p w14:paraId="6628FE43" w14:textId="77777777" w:rsidR="000859AF" w:rsidRPr="00F918EE" w:rsidRDefault="000859AF" w:rsidP="000859AF">
            <w:pPr>
              <w:kinsoku w:val="0"/>
              <w:overflowPunct w:val="0"/>
              <w:autoSpaceDE w:val="0"/>
              <w:autoSpaceDN w:val="0"/>
              <w:adjustRightInd w:val="0"/>
              <w:spacing w:after="0" w:line="240" w:lineRule="auto"/>
              <w:ind w:left="108"/>
              <w:jc w:val="center"/>
              <w:rPr>
                <w:lang w:eastAsia="en-US"/>
              </w:rPr>
            </w:pPr>
            <w:r w:rsidRPr="00F918EE">
              <w:rPr>
                <w:lang w:eastAsia="en-US"/>
              </w:rPr>
              <w:t xml:space="preserve">2 </w:t>
            </w:r>
            <w:r w:rsidRPr="00F918EE">
              <w:rPr>
                <w:spacing w:val="-4"/>
                <w:w w:val="105"/>
                <w:lang w:eastAsia="en-US"/>
              </w:rPr>
              <w:t>недели</w:t>
            </w:r>
          </w:p>
        </w:tc>
        <w:tc>
          <w:tcPr>
            <w:tcW w:w="1020" w:type="dxa"/>
          </w:tcPr>
          <w:p w14:paraId="4DAF4D05" w14:textId="77777777" w:rsidR="000859AF" w:rsidRPr="00F918EE" w:rsidRDefault="000859AF" w:rsidP="000859AF">
            <w:pPr>
              <w:kinsoku w:val="0"/>
              <w:overflowPunct w:val="0"/>
              <w:autoSpaceDE w:val="0"/>
              <w:autoSpaceDN w:val="0"/>
              <w:adjustRightInd w:val="0"/>
              <w:spacing w:after="0" w:line="240" w:lineRule="auto"/>
              <w:ind w:left="107"/>
              <w:jc w:val="center"/>
              <w:rPr>
                <w:spacing w:val="-4"/>
                <w:w w:val="105"/>
                <w:lang w:eastAsia="en-US"/>
              </w:rPr>
            </w:pPr>
            <w:r w:rsidRPr="00F918EE">
              <w:rPr>
                <w:spacing w:val="-4"/>
                <w:w w:val="105"/>
                <w:lang w:eastAsia="en-US"/>
              </w:rPr>
              <w:t>0,5</w:t>
            </w:r>
          </w:p>
        </w:tc>
        <w:tc>
          <w:tcPr>
            <w:tcW w:w="1298" w:type="dxa"/>
          </w:tcPr>
          <w:p w14:paraId="592A9C3F" w14:textId="77777777" w:rsidR="000859AF" w:rsidRPr="00F918EE" w:rsidRDefault="000859AF" w:rsidP="000859AF">
            <w:pPr>
              <w:kinsoku w:val="0"/>
              <w:overflowPunct w:val="0"/>
              <w:autoSpaceDE w:val="0"/>
              <w:autoSpaceDN w:val="0"/>
              <w:adjustRightInd w:val="0"/>
              <w:spacing w:after="0" w:line="240" w:lineRule="auto"/>
              <w:ind w:left="112"/>
              <w:jc w:val="center"/>
              <w:rPr>
                <w:spacing w:val="-6"/>
                <w:w w:val="105"/>
                <w:lang w:eastAsia="en-US"/>
              </w:rPr>
            </w:pPr>
            <w:r w:rsidRPr="00F918EE">
              <w:rPr>
                <w:spacing w:val="-6"/>
                <w:w w:val="105"/>
                <w:lang w:eastAsia="en-US"/>
              </w:rPr>
              <w:t>39</w:t>
            </w:r>
          </w:p>
        </w:tc>
        <w:tc>
          <w:tcPr>
            <w:tcW w:w="1293" w:type="dxa"/>
          </w:tcPr>
          <w:p w14:paraId="52B8F826" w14:textId="77777777" w:rsidR="000859AF" w:rsidRPr="00F918EE" w:rsidRDefault="000859AF" w:rsidP="000859AF">
            <w:pPr>
              <w:kinsoku w:val="0"/>
              <w:overflowPunct w:val="0"/>
              <w:autoSpaceDE w:val="0"/>
              <w:autoSpaceDN w:val="0"/>
              <w:adjustRightInd w:val="0"/>
              <w:spacing w:after="0" w:line="240" w:lineRule="auto"/>
              <w:ind w:left="113"/>
              <w:jc w:val="center"/>
              <w:rPr>
                <w:spacing w:val="-6"/>
                <w:w w:val="105"/>
                <w:lang w:eastAsia="en-US"/>
              </w:rPr>
            </w:pPr>
            <w:r w:rsidRPr="00F918EE">
              <w:rPr>
                <w:spacing w:val="-6"/>
                <w:w w:val="105"/>
                <w:lang w:eastAsia="en-US"/>
              </w:rPr>
              <w:t>30</w:t>
            </w:r>
          </w:p>
        </w:tc>
        <w:tc>
          <w:tcPr>
            <w:tcW w:w="1298" w:type="dxa"/>
            <w:gridSpan w:val="2"/>
          </w:tcPr>
          <w:p w14:paraId="1D14ACCA" w14:textId="77777777" w:rsidR="000859AF" w:rsidRPr="00F918EE" w:rsidRDefault="000859AF" w:rsidP="000859AF">
            <w:pPr>
              <w:kinsoku w:val="0"/>
              <w:overflowPunct w:val="0"/>
              <w:autoSpaceDE w:val="0"/>
              <w:autoSpaceDN w:val="0"/>
              <w:adjustRightInd w:val="0"/>
              <w:spacing w:after="0" w:line="240" w:lineRule="auto"/>
              <w:ind w:left="113"/>
              <w:jc w:val="center"/>
              <w:rPr>
                <w:spacing w:val="-4"/>
                <w:lang w:eastAsia="en-US"/>
              </w:rPr>
            </w:pPr>
            <w:r w:rsidRPr="00F918EE">
              <w:rPr>
                <w:spacing w:val="-4"/>
                <w:lang w:eastAsia="en-US"/>
              </w:rPr>
              <w:t>255</w:t>
            </w:r>
          </w:p>
        </w:tc>
        <w:tc>
          <w:tcPr>
            <w:tcW w:w="1293" w:type="dxa"/>
          </w:tcPr>
          <w:p w14:paraId="3D3572D6" w14:textId="77777777" w:rsidR="000859AF" w:rsidRPr="00F918EE" w:rsidRDefault="000859AF" w:rsidP="000859AF">
            <w:pPr>
              <w:kinsoku w:val="0"/>
              <w:overflowPunct w:val="0"/>
              <w:autoSpaceDE w:val="0"/>
              <w:autoSpaceDN w:val="0"/>
              <w:adjustRightInd w:val="0"/>
              <w:spacing w:after="0" w:line="240" w:lineRule="auto"/>
              <w:ind w:left="111"/>
              <w:jc w:val="center"/>
              <w:rPr>
                <w:spacing w:val="-4"/>
                <w:lang w:eastAsia="en-US"/>
              </w:rPr>
            </w:pPr>
            <w:r w:rsidRPr="00F918EE">
              <w:rPr>
                <w:spacing w:val="-4"/>
                <w:lang w:eastAsia="en-US"/>
              </w:rPr>
              <w:t>155</w:t>
            </w:r>
          </w:p>
        </w:tc>
      </w:tr>
      <w:tr w:rsidR="000859AF" w:rsidRPr="00F918EE" w14:paraId="2CE07343" w14:textId="77777777" w:rsidTr="000859AF">
        <w:trPr>
          <w:trHeight w:val="259"/>
        </w:trPr>
        <w:tc>
          <w:tcPr>
            <w:tcW w:w="1418" w:type="dxa"/>
            <w:vMerge/>
            <w:vAlign w:val="center"/>
          </w:tcPr>
          <w:p w14:paraId="36CA8E90"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13CBEE6D" w14:textId="77777777" w:rsidR="000859AF" w:rsidRPr="00F918EE" w:rsidRDefault="000859AF" w:rsidP="000859AF">
            <w:pPr>
              <w:kinsoku w:val="0"/>
              <w:overflowPunct w:val="0"/>
              <w:autoSpaceDE w:val="0"/>
              <w:autoSpaceDN w:val="0"/>
              <w:adjustRightInd w:val="0"/>
              <w:spacing w:after="0" w:line="240" w:lineRule="auto"/>
              <w:ind w:left="108"/>
              <w:jc w:val="center"/>
              <w:rPr>
                <w:spacing w:val="-2"/>
                <w:lang w:eastAsia="en-US"/>
              </w:rPr>
            </w:pPr>
          </w:p>
        </w:tc>
        <w:tc>
          <w:tcPr>
            <w:tcW w:w="1020" w:type="dxa"/>
          </w:tcPr>
          <w:p w14:paraId="11868359" w14:textId="77777777" w:rsidR="000859AF" w:rsidRPr="00F918EE" w:rsidRDefault="000859AF" w:rsidP="000859AF">
            <w:pPr>
              <w:kinsoku w:val="0"/>
              <w:overflowPunct w:val="0"/>
              <w:autoSpaceDE w:val="0"/>
              <w:autoSpaceDN w:val="0"/>
              <w:adjustRightInd w:val="0"/>
              <w:spacing w:after="0" w:line="240" w:lineRule="auto"/>
              <w:ind w:left="109"/>
              <w:jc w:val="center"/>
              <w:rPr>
                <w:spacing w:val="-4"/>
                <w:lang w:eastAsia="en-US"/>
              </w:rPr>
            </w:pPr>
            <w:r w:rsidRPr="00F918EE">
              <w:rPr>
                <w:spacing w:val="-4"/>
                <w:lang w:eastAsia="en-US"/>
              </w:rPr>
              <w:t>1,5</w:t>
            </w:r>
          </w:p>
        </w:tc>
        <w:tc>
          <w:tcPr>
            <w:tcW w:w="1298" w:type="dxa"/>
          </w:tcPr>
          <w:p w14:paraId="7069A633" w14:textId="77777777" w:rsidR="000859AF" w:rsidRPr="00F918EE" w:rsidRDefault="000859AF" w:rsidP="000859AF">
            <w:pPr>
              <w:kinsoku w:val="0"/>
              <w:overflowPunct w:val="0"/>
              <w:autoSpaceDE w:val="0"/>
              <w:autoSpaceDN w:val="0"/>
              <w:adjustRightInd w:val="0"/>
              <w:spacing w:after="0" w:line="240" w:lineRule="auto"/>
              <w:ind w:left="113"/>
              <w:jc w:val="center"/>
              <w:rPr>
                <w:spacing w:val="-4"/>
                <w:lang w:eastAsia="en-US"/>
              </w:rPr>
            </w:pPr>
            <w:r w:rsidRPr="00F918EE">
              <w:rPr>
                <w:spacing w:val="-4"/>
                <w:lang w:eastAsia="en-US"/>
              </w:rPr>
              <w:t>891</w:t>
            </w:r>
          </w:p>
        </w:tc>
        <w:tc>
          <w:tcPr>
            <w:tcW w:w="1293" w:type="dxa"/>
          </w:tcPr>
          <w:p w14:paraId="2019ED90"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05"/>
                <w:lang w:eastAsia="en-US"/>
              </w:rPr>
            </w:pPr>
            <w:r w:rsidRPr="00F918EE">
              <w:rPr>
                <w:spacing w:val="-4"/>
                <w:w w:val="105"/>
                <w:lang w:eastAsia="en-US"/>
              </w:rPr>
              <w:t>907</w:t>
            </w:r>
          </w:p>
        </w:tc>
        <w:tc>
          <w:tcPr>
            <w:tcW w:w="1298" w:type="dxa"/>
            <w:gridSpan w:val="2"/>
          </w:tcPr>
          <w:p w14:paraId="1DBB6A88" w14:textId="77777777" w:rsidR="000859AF" w:rsidRPr="00F918EE" w:rsidRDefault="000859AF" w:rsidP="000859AF">
            <w:pPr>
              <w:kinsoku w:val="0"/>
              <w:overflowPunct w:val="0"/>
              <w:autoSpaceDE w:val="0"/>
              <w:autoSpaceDN w:val="0"/>
              <w:adjustRightInd w:val="0"/>
              <w:spacing w:after="0" w:line="240" w:lineRule="auto"/>
              <w:ind w:left="113"/>
              <w:jc w:val="center"/>
              <w:rPr>
                <w:spacing w:val="-4"/>
                <w:lang w:eastAsia="en-US"/>
              </w:rPr>
            </w:pPr>
            <w:r w:rsidRPr="00F918EE">
              <w:rPr>
                <w:spacing w:val="-4"/>
                <w:lang w:eastAsia="en-US"/>
              </w:rPr>
              <w:t>6890</w:t>
            </w:r>
          </w:p>
        </w:tc>
        <w:tc>
          <w:tcPr>
            <w:tcW w:w="1293" w:type="dxa"/>
          </w:tcPr>
          <w:p w14:paraId="39F2A63E" w14:textId="77777777" w:rsidR="000859AF" w:rsidRPr="00F918EE" w:rsidRDefault="000859AF" w:rsidP="000859AF">
            <w:pPr>
              <w:kinsoku w:val="0"/>
              <w:overflowPunct w:val="0"/>
              <w:autoSpaceDE w:val="0"/>
              <w:autoSpaceDN w:val="0"/>
              <w:adjustRightInd w:val="0"/>
              <w:spacing w:after="0" w:line="240" w:lineRule="auto"/>
              <w:ind w:left="109"/>
              <w:jc w:val="center"/>
              <w:rPr>
                <w:spacing w:val="-4"/>
                <w:w w:val="105"/>
                <w:lang w:eastAsia="en-US"/>
              </w:rPr>
            </w:pPr>
            <w:r w:rsidRPr="00F918EE">
              <w:rPr>
                <w:spacing w:val="-4"/>
                <w:w w:val="105"/>
                <w:lang w:eastAsia="en-US"/>
              </w:rPr>
              <w:t>4693</w:t>
            </w:r>
          </w:p>
        </w:tc>
      </w:tr>
      <w:tr w:rsidR="000859AF" w:rsidRPr="00F918EE" w14:paraId="3163CE5C" w14:textId="77777777" w:rsidTr="000859AF">
        <w:trPr>
          <w:trHeight w:val="259"/>
        </w:trPr>
        <w:tc>
          <w:tcPr>
            <w:tcW w:w="1418" w:type="dxa"/>
            <w:vMerge/>
            <w:vAlign w:val="center"/>
          </w:tcPr>
          <w:p w14:paraId="39B2A9E8"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162CF796" w14:textId="77777777" w:rsidR="000859AF" w:rsidRPr="00F918EE" w:rsidRDefault="000859AF" w:rsidP="000859AF">
            <w:pPr>
              <w:kinsoku w:val="0"/>
              <w:overflowPunct w:val="0"/>
              <w:autoSpaceDE w:val="0"/>
              <w:autoSpaceDN w:val="0"/>
              <w:adjustRightInd w:val="0"/>
              <w:spacing w:after="0" w:line="240" w:lineRule="auto"/>
              <w:ind w:left="108"/>
              <w:jc w:val="center"/>
              <w:rPr>
                <w:spacing w:val="-4"/>
                <w:lang w:eastAsia="en-US"/>
              </w:rPr>
            </w:pPr>
          </w:p>
        </w:tc>
        <w:tc>
          <w:tcPr>
            <w:tcW w:w="1020" w:type="dxa"/>
          </w:tcPr>
          <w:p w14:paraId="5622E1D9" w14:textId="77777777" w:rsidR="000859AF" w:rsidRPr="00F918EE" w:rsidRDefault="000859AF" w:rsidP="000859AF">
            <w:pPr>
              <w:kinsoku w:val="0"/>
              <w:overflowPunct w:val="0"/>
              <w:autoSpaceDE w:val="0"/>
              <w:autoSpaceDN w:val="0"/>
              <w:adjustRightInd w:val="0"/>
              <w:spacing w:after="0" w:line="240" w:lineRule="auto"/>
              <w:ind w:left="105"/>
              <w:jc w:val="center"/>
              <w:rPr>
                <w:w w:val="105"/>
                <w:lang w:eastAsia="en-US"/>
              </w:rPr>
            </w:pPr>
            <w:r w:rsidRPr="00F918EE">
              <w:rPr>
                <w:w w:val="105"/>
                <w:lang w:eastAsia="en-US"/>
              </w:rPr>
              <w:t>5</w:t>
            </w:r>
          </w:p>
        </w:tc>
        <w:tc>
          <w:tcPr>
            <w:tcW w:w="1298" w:type="dxa"/>
          </w:tcPr>
          <w:p w14:paraId="133F300E" w14:textId="77777777" w:rsidR="000859AF" w:rsidRPr="00F918EE" w:rsidRDefault="000859AF" w:rsidP="000859AF">
            <w:pPr>
              <w:kinsoku w:val="0"/>
              <w:overflowPunct w:val="0"/>
              <w:autoSpaceDE w:val="0"/>
              <w:autoSpaceDN w:val="0"/>
              <w:adjustRightInd w:val="0"/>
              <w:spacing w:after="0" w:line="240" w:lineRule="auto"/>
              <w:ind w:left="107"/>
              <w:jc w:val="center"/>
              <w:rPr>
                <w:spacing w:val="-6"/>
                <w:lang w:eastAsia="en-US"/>
              </w:rPr>
            </w:pPr>
            <w:r w:rsidRPr="00F918EE">
              <w:rPr>
                <w:spacing w:val="-6"/>
                <w:lang w:eastAsia="en-US"/>
              </w:rPr>
              <w:t>21</w:t>
            </w:r>
          </w:p>
        </w:tc>
        <w:tc>
          <w:tcPr>
            <w:tcW w:w="1293" w:type="dxa"/>
          </w:tcPr>
          <w:p w14:paraId="7A2343FA" w14:textId="77777777" w:rsidR="000859AF" w:rsidRPr="00F918EE" w:rsidRDefault="000859AF" w:rsidP="000859AF">
            <w:pPr>
              <w:kinsoku w:val="0"/>
              <w:overflowPunct w:val="0"/>
              <w:autoSpaceDE w:val="0"/>
              <w:autoSpaceDN w:val="0"/>
              <w:adjustRightInd w:val="0"/>
              <w:spacing w:after="0" w:line="240" w:lineRule="auto"/>
              <w:ind w:left="112"/>
              <w:jc w:val="center"/>
              <w:rPr>
                <w:spacing w:val="-6"/>
                <w:w w:val="105"/>
                <w:lang w:eastAsia="en-US"/>
              </w:rPr>
            </w:pPr>
            <w:r w:rsidRPr="00F918EE">
              <w:rPr>
                <w:spacing w:val="-6"/>
                <w:w w:val="105"/>
                <w:lang w:eastAsia="en-US"/>
              </w:rPr>
              <w:t>23</w:t>
            </w:r>
          </w:p>
        </w:tc>
        <w:tc>
          <w:tcPr>
            <w:tcW w:w="1298" w:type="dxa"/>
            <w:gridSpan w:val="2"/>
          </w:tcPr>
          <w:p w14:paraId="35F3C52F" w14:textId="77777777" w:rsidR="000859AF" w:rsidRPr="00F918EE" w:rsidRDefault="000859AF" w:rsidP="000859AF">
            <w:pPr>
              <w:kinsoku w:val="0"/>
              <w:overflowPunct w:val="0"/>
              <w:autoSpaceDE w:val="0"/>
              <w:autoSpaceDN w:val="0"/>
              <w:adjustRightInd w:val="0"/>
              <w:spacing w:after="0" w:line="240" w:lineRule="auto"/>
              <w:ind w:left="108"/>
              <w:jc w:val="center"/>
              <w:rPr>
                <w:spacing w:val="-4"/>
                <w:w w:val="105"/>
                <w:lang w:eastAsia="en-US"/>
              </w:rPr>
            </w:pPr>
            <w:r w:rsidRPr="00F918EE">
              <w:rPr>
                <w:spacing w:val="-4"/>
                <w:w w:val="105"/>
                <w:lang w:eastAsia="en-US"/>
              </w:rPr>
              <w:t>218</w:t>
            </w:r>
          </w:p>
        </w:tc>
        <w:tc>
          <w:tcPr>
            <w:tcW w:w="1293" w:type="dxa"/>
          </w:tcPr>
          <w:p w14:paraId="63E05D2F"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4"/>
                <w:w w:val="105"/>
                <w:lang w:eastAsia="en-US"/>
              </w:rPr>
              <w:t>169</w:t>
            </w:r>
          </w:p>
        </w:tc>
      </w:tr>
      <w:tr w:rsidR="000859AF" w:rsidRPr="00F918EE" w14:paraId="19F34320" w14:textId="77777777" w:rsidTr="000859AF">
        <w:trPr>
          <w:trHeight w:val="259"/>
        </w:trPr>
        <w:tc>
          <w:tcPr>
            <w:tcW w:w="1418" w:type="dxa"/>
            <w:vMerge/>
            <w:vAlign w:val="center"/>
          </w:tcPr>
          <w:p w14:paraId="5CF063AE"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D2CF643" w14:textId="77777777" w:rsidR="000859AF" w:rsidRPr="00F918EE" w:rsidRDefault="000859AF" w:rsidP="000859AF">
            <w:pPr>
              <w:kinsoku w:val="0"/>
              <w:overflowPunct w:val="0"/>
              <w:autoSpaceDE w:val="0"/>
              <w:autoSpaceDN w:val="0"/>
              <w:adjustRightInd w:val="0"/>
              <w:spacing w:after="0" w:line="240" w:lineRule="auto"/>
              <w:ind w:left="108"/>
              <w:jc w:val="center"/>
              <w:rPr>
                <w:spacing w:val="-2"/>
                <w:lang w:eastAsia="en-US"/>
              </w:rPr>
            </w:pPr>
          </w:p>
        </w:tc>
        <w:tc>
          <w:tcPr>
            <w:tcW w:w="1020" w:type="dxa"/>
          </w:tcPr>
          <w:p w14:paraId="10F018F9" w14:textId="77777777" w:rsidR="000859AF" w:rsidRPr="00F918EE" w:rsidRDefault="000859AF" w:rsidP="000859AF">
            <w:pPr>
              <w:kinsoku w:val="0"/>
              <w:overflowPunct w:val="0"/>
              <w:autoSpaceDE w:val="0"/>
              <w:autoSpaceDN w:val="0"/>
              <w:adjustRightInd w:val="0"/>
              <w:spacing w:after="0" w:line="240" w:lineRule="auto"/>
              <w:ind w:left="114"/>
              <w:jc w:val="center"/>
              <w:rPr>
                <w:spacing w:val="-6"/>
                <w:lang w:eastAsia="en-US"/>
              </w:rPr>
            </w:pPr>
            <w:r w:rsidRPr="00F918EE">
              <w:rPr>
                <w:spacing w:val="-6"/>
                <w:lang w:eastAsia="en-US"/>
              </w:rPr>
              <w:t>15</w:t>
            </w:r>
          </w:p>
        </w:tc>
        <w:tc>
          <w:tcPr>
            <w:tcW w:w="1298" w:type="dxa"/>
          </w:tcPr>
          <w:p w14:paraId="65FAB783" w14:textId="77777777" w:rsidR="000859AF" w:rsidRPr="00F918EE" w:rsidRDefault="000859AF" w:rsidP="000859AF">
            <w:pPr>
              <w:kinsoku w:val="0"/>
              <w:overflowPunct w:val="0"/>
              <w:autoSpaceDE w:val="0"/>
              <w:autoSpaceDN w:val="0"/>
              <w:adjustRightInd w:val="0"/>
              <w:spacing w:after="0" w:line="240" w:lineRule="auto"/>
              <w:ind w:left="111"/>
              <w:jc w:val="center"/>
              <w:rPr>
                <w:spacing w:val="-4"/>
                <w:lang w:eastAsia="en-US"/>
              </w:rPr>
            </w:pPr>
            <w:r w:rsidRPr="00F918EE">
              <w:rPr>
                <w:spacing w:val="-4"/>
                <w:lang w:eastAsia="en-US"/>
              </w:rPr>
              <w:t>600</w:t>
            </w:r>
          </w:p>
        </w:tc>
        <w:tc>
          <w:tcPr>
            <w:tcW w:w="1293" w:type="dxa"/>
          </w:tcPr>
          <w:p w14:paraId="5E5EF920" w14:textId="77777777" w:rsidR="000859AF" w:rsidRPr="00F918EE" w:rsidRDefault="000859AF" w:rsidP="000859AF">
            <w:pPr>
              <w:kinsoku w:val="0"/>
              <w:overflowPunct w:val="0"/>
              <w:autoSpaceDE w:val="0"/>
              <w:autoSpaceDN w:val="0"/>
              <w:adjustRightInd w:val="0"/>
              <w:spacing w:after="0" w:line="240" w:lineRule="auto"/>
              <w:ind w:left="116"/>
              <w:jc w:val="center"/>
              <w:rPr>
                <w:spacing w:val="-4"/>
                <w:lang w:eastAsia="en-US"/>
              </w:rPr>
            </w:pPr>
            <w:r w:rsidRPr="00F918EE">
              <w:rPr>
                <w:spacing w:val="-4"/>
                <w:lang w:eastAsia="en-US"/>
              </w:rPr>
              <w:t>591</w:t>
            </w:r>
          </w:p>
        </w:tc>
        <w:tc>
          <w:tcPr>
            <w:tcW w:w="1298" w:type="dxa"/>
            <w:gridSpan w:val="2"/>
          </w:tcPr>
          <w:p w14:paraId="7C8826F9"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5770</w:t>
            </w:r>
          </w:p>
        </w:tc>
        <w:tc>
          <w:tcPr>
            <w:tcW w:w="1293" w:type="dxa"/>
          </w:tcPr>
          <w:p w14:paraId="0E4C234F" w14:textId="77777777" w:rsidR="000859AF" w:rsidRPr="00F918EE" w:rsidRDefault="000859AF" w:rsidP="000859AF">
            <w:pPr>
              <w:kinsoku w:val="0"/>
              <w:overflowPunct w:val="0"/>
              <w:autoSpaceDE w:val="0"/>
              <w:autoSpaceDN w:val="0"/>
              <w:adjustRightInd w:val="0"/>
              <w:spacing w:after="0" w:line="240" w:lineRule="auto"/>
              <w:ind w:left="114"/>
              <w:jc w:val="center"/>
              <w:rPr>
                <w:spacing w:val="-4"/>
                <w:w w:val="105"/>
                <w:lang w:eastAsia="en-US"/>
              </w:rPr>
            </w:pPr>
            <w:r w:rsidRPr="00F918EE">
              <w:rPr>
                <w:spacing w:val="-4"/>
                <w:w w:val="105"/>
                <w:lang w:eastAsia="en-US"/>
              </w:rPr>
              <w:t>3743</w:t>
            </w:r>
          </w:p>
        </w:tc>
      </w:tr>
      <w:tr w:rsidR="000859AF" w:rsidRPr="00F918EE" w14:paraId="0ED94CFD" w14:textId="77777777" w:rsidTr="000859AF">
        <w:trPr>
          <w:trHeight w:val="247"/>
        </w:trPr>
        <w:tc>
          <w:tcPr>
            <w:tcW w:w="1418" w:type="dxa"/>
            <w:vMerge/>
            <w:vAlign w:val="center"/>
          </w:tcPr>
          <w:p w14:paraId="2462E9A9"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1AAB35E" w14:textId="77777777" w:rsidR="000859AF" w:rsidRPr="00F918EE" w:rsidRDefault="000859AF" w:rsidP="000859AF">
            <w:pPr>
              <w:kinsoku w:val="0"/>
              <w:overflowPunct w:val="0"/>
              <w:autoSpaceDE w:val="0"/>
              <w:autoSpaceDN w:val="0"/>
              <w:adjustRightInd w:val="0"/>
              <w:spacing w:after="0" w:line="240" w:lineRule="auto"/>
              <w:ind w:left="108"/>
              <w:jc w:val="center"/>
              <w:rPr>
                <w:spacing w:val="-2"/>
                <w:lang w:eastAsia="en-US"/>
              </w:rPr>
            </w:pPr>
          </w:p>
        </w:tc>
        <w:tc>
          <w:tcPr>
            <w:tcW w:w="1020" w:type="dxa"/>
          </w:tcPr>
          <w:p w14:paraId="0CAFCEC1"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8" w:type="dxa"/>
          </w:tcPr>
          <w:p w14:paraId="4F9B7F08"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3" w:type="dxa"/>
          </w:tcPr>
          <w:p w14:paraId="1B653A3A"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8" w:type="dxa"/>
            <w:gridSpan w:val="2"/>
          </w:tcPr>
          <w:p w14:paraId="157795F2"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3" w:type="dxa"/>
          </w:tcPr>
          <w:p w14:paraId="27C01458"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r>
      <w:tr w:rsidR="000859AF" w:rsidRPr="00F918EE" w14:paraId="376BC1CD" w14:textId="77777777" w:rsidTr="000859AF">
        <w:trPr>
          <w:trHeight w:val="285"/>
        </w:trPr>
        <w:tc>
          <w:tcPr>
            <w:tcW w:w="1418" w:type="dxa"/>
            <w:vMerge w:val="restart"/>
            <w:vAlign w:val="center"/>
          </w:tcPr>
          <w:p w14:paraId="416B314B" w14:textId="77777777" w:rsidR="000859AF" w:rsidRPr="00F918EE" w:rsidRDefault="000859AF" w:rsidP="000859AF">
            <w:pPr>
              <w:kinsoku w:val="0"/>
              <w:overflowPunct w:val="0"/>
              <w:autoSpaceDE w:val="0"/>
              <w:autoSpaceDN w:val="0"/>
              <w:adjustRightInd w:val="0"/>
              <w:spacing w:after="0" w:line="240" w:lineRule="auto"/>
              <w:ind w:left="113"/>
              <w:jc w:val="left"/>
              <w:rPr>
                <w:spacing w:val="-4"/>
                <w:lang w:eastAsia="en-US"/>
              </w:rPr>
            </w:pPr>
            <w:r w:rsidRPr="00F918EE">
              <w:rPr>
                <w:spacing w:val="-4"/>
                <w:lang w:eastAsia="en-US"/>
              </w:rPr>
              <w:t>Крысы</w:t>
            </w:r>
          </w:p>
        </w:tc>
        <w:tc>
          <w:tcPr>
            <w:tcW w:w="1701" w:type="dxa"/>
            <w:vMerge w:val="restart"/>
            <w:vAlign w:val="center"/>
          </w:tcPr>
          <w:p w14:paraId="484EEA9B" w14:textId="77777777" w:rsidR="000859AF" w:rsidRPr="00F918EE" w:rsidRDefault="000859AF" w:rsidP="000859AF">
            <w:pPr>
              <w:kinsoku w:val="0"/>
              <w:overflowPunct w:val="0"/>
              <w:autoSpaceDE w:val="0"/>
              <w:autoSpaceDN w:val="0"/>
              <w:adjustRightInd w:val="0"/>
              <w:spacing w:after="0" w:line="240" w:lineRule="auto"/>
              <w:ind w:left="107"/>
              <w:jc w:val="center"/>
              <w:rPr>
                <w:w w:val="105"/>
                <w:lang w:eastAsia="en-US"/>
              </w:rPr>
            </w:pPr>
            <w:r w:rsidRPr="00F918EE">
              <w:rPr>
                <w:spacing w:val="-2"/>
                <w:w w:val="105"/>
                <w:lang w:eastAsia="en-US"/>
              </w:rPr>
              <w:t>Перорально</w:t>
            </w:r>
            <w:r w:rsidRPr="00F918EE">
              <w:rPr>
                <w:w w:val="105"/>
                <w:lang w:eastAsia="en-US"/>
              </w:rPr>
              <w:t xml:space="preserve"> /</w:t>
            </w:r>
          </w:p>
          <w:p w14:paraId="168B066A" w14:textId="77777777" w:rsidR="000859AF" w:rsidRPr="00F918EE" w:rsidRDefault="000859AF" w:rsidP="000859AF">
            <w:pPr>
              <w:kinsoku w:val="0"/>
              <w:overflowPunct w:val="0"/>
              <w:autoSpaceDE w:val="0"/>
              <w:autoSpaceDN w:val="0"/>
              <w:adjustRightInd w:val="0"/>
              <w:spacing w:after="0" w:line="240" w:lineRule="auto"/>
              <w:ind w:left="107"/>
              <w:jc w:val="center"/>
              <w:rPr>
                <w:w w:val="105"/>
                <w:lang w:eastAsia="en-US"/>
              </w:rPr>
            </w:pPr>
            <w:r w:rsidRPr="00F918EE">
              <w:rPr>
                <w:w w:val="105"/>
                <w:lang w:eastAsia="en-US"/>
              </w:rPr>
              <w:t xml:space="preserve">4 </w:t>
            </w:r>
            <w:r w:rsidRPr="00F918EE">
              <w:rPr>
                <w:spacing w:val="-4"/>
                <w:w w:val="105"/>
                <w:lang w:eastAsia="en-US"/>
              </w:rPr>
              <w:t>недели</w:t>
            </w:r>
          </w:p>
        </w:tc>
        <w:tc>
          <w:tcPr>
            <w:tcW w:w="1020" w:type="dxa"/>
          </w:tcPr>
          <w:p w14:paraId="6E81DCA2" w14:textId="77777777" w:rsidR="000859AF" w:rsidRPr="00F918EE" w:rsidRDefault="000859AF" w:rsidP="000859AF">
            <w:pPr>
              <w:kinsoku w:val="0"/>
              <w:overflowPunct w:val="0"/>
              <w:autoSpaceDE w:val="0"/>
              <w:autoSpaceDN w:val="0"/>
              <w:adjustRightInd w:val="0"/>
              <w:spacing w:after="0" w:line="240" w:lineRule="auto"/>
              <w:ind w:left="112"/>
              <w:jc w:val="center"/>
              <w:rPr>
                <w:spacing w:val="-4"/>
                <w:lang w:eastAsia="en-US"/>
              </w:rPr>
            </w:pPr>
            <w:r w:rsidRPr="00F918EE">
              <w:rPr>
                <w:spacing w:val="-4"/>
                <w:lang w:eastAsia="en-US"/>
              </w:rPr>
              <w:t>0,5</w:t>
            </w:r>
          </w:p>
        </w:tc>
        <w:tc>
          <w:tcPr>
            <w:tcW w:w="1298" w:type="dxa"/>
          </w:tcPr>
          <w:p w14:paraId="06FA21AD" w14:textId="77777777" w:rsidR="000859AF" w:rsidRPr="00F918EE" w:rsidRDefault="000859AF" w:rsidP="000859AF">
            <w:pPr>
              <w:kinsoku w:val="0"/>
              <w:overflowPunct w:val="0"/>
              <w:autoSpaceDE w:val="0"/>
              <w:autoSpaceDN w:val="0"/>
              <w:adjustRightInd w:val="0"/>
              <w:spacing w:after="0" w:line="240" w:lineRule="auto"/>
              <w:ind w:left="110"/>
              <w:jc w:val="center"/>
              <w:rPr>
                <w:spacing w:val="-4"/>
                <w:w w:val="105"/>
                <w:lang w:eastAsia="en-US"/>
              </w:rPr>
            </w:pPr>
            <w:r w:rsidRPr="00F918EE">
              <w:rPr>
                <w:spacing w:val="-4"/>
                <w:w w:val="105"/>
                <w:lang w:eastAsia="en-US"/>
              </w:rPr>
              <w:t>5,9</w:t>
            </w:r>
          </w:p>
        </w:tc>
        <w:tc>
          <w:tcPr>
            <w:tcW w:w="1293" w:type="dxa"/>
          </w:tcPr>
          <w:p w14:paraId="44EA8FD6" w14:textId="77777777" w:rsidR="000859AF" w:rsidRPr="00F918EE" w:rsidRDefault="000859AF" w:rsidP="000859AF">
            <w:pPr>
              <w:kinsoku w:val="0"/>
              <w:overflowPunct w:val="0"/>
              <w:autoSpaceDE w:val="0"/>
              <w:autoSpaceDN w:val="0"/>
              <w:adjustRightInd w:val="0"/>
              <w:spacing w:after="0" w:line="240" w:lineRule="auto"/>
              <w:ind w:left="115"/>
              <w:jc w:val="center"/>
              <w:rPr>
                <w:spacing w:val="-4"/>
                <w:lang w:eastAsia="en-US"/>
              </w:rPr>
            </w:pPr>
            <w:r w:rsidRPr="00F918EE">
              <w:rPr>
                <w:spacing w:val="-4"/>
                <w:lang w:eastAsia="en-US"/>
              </w:rPr>
              <w:t>11,3</w:t>
            </w:r>
          </w:p>
        </w:tc>
        <w:tc>
          <w:tcPr>
            <w:tcW w:w="1298" w:type="dxa"/>
            <w:gridSpan w:val="2"/>
          </w:tcPr>
          <w:p w14:paraId="759CE21A" w14:textId="77777777" w:rsidR="000859AF" w:rsidRPr="00F918EE" w:rsidRDefault="000859AF" w:rsidP="000859AF">
            <w:pPr>
              <w:kinsoku w:val="0"/>
              <w:overflowPunct w:val="0"/>
              <w:autoSpaceDE w:val="0"/>
              <w:autoSpaceDN w:val="0"/>
              <w:adjustRightInd w:val="0"/>
              <w:spacing w:after="0" w:line="240" w:lineRule="auto"/>
              <w:ind w:left="110"/>
              <w:jc w:val="center"/>
              <w:rPr>
                <w:spacing w:val="-6"/>
                <w:w w:val="85"/>
                <w:lang w:eastAsia="en-US"/>
              </w:rPr>
            </w:pPr>
            <w:r w:rsidRPr="00F918EE">
              <w:rPr>
                <w:spacing w:val="-6"/>
                <w:w w:val="85"/>
                <w:lang w:eastAsia="en-US"/>
              </w:rPr>
              <w:t>--</w:t>
            </w:r>
          </w:p>
        </w:tc>
        <w:tc>
          <w:tcPr>
            <w:tcW w:w="1293" w:type="dxa"/>
          </w:tcPr>
          <w:p w14:paraId="1E9AE5BA" w14:textId="77777777" w:rsidR="000859AF" w:rsidRPr="00F918EE" w:rsidRDefault="000859AF" w:rsidP="000859AF">
            <w:pPr>
              <w:kinsoku w:val="0"/>
              <w:overflowPunct w:val="0"/>
              <w:autoSpaceDE w:val="0"/>
              <w:autoSpaceDN w:val="0"/>
              <w:adjustRightInd w:val="0"/>
              <w:spacing w:after="0" w:line="240" w:lineRule="auto"/>
              <w:ind w:left="110"/>
              <w:jc w:val="center"/>
              <w:rPr>
                <w:spacing w:val="-6"/>
                <w:w w:val="85"/>
                <w:lang w:eastAsia="en-US"/>
              </w:rPr>
            </w:pPr>
            <w:r w:rsidRPr="00F918EE">
              <w:rPr>
                <w:spacing w:val="-6"/>
                <w:w w:val="85"/>
                <w:lang w:eastAsia="en-US"/>
              </w:rPr>
              <w:t>--</w:t>
            </w:r>
          </w:p>
        </w:tc>
      </w:tr>
      <w:tr w:rsidR="000859AF" w:rsidRPr="00F918EE" w14:paraId="77844209" w14:textId="77777777" w:rsidTr="000859AF">
        <w:trPr>
          <w:trHeight w:val="241"/>
        </w:trPr>
        <w:tc>
          <w:tcPr>
            <w:tcW w:w="1418" w:type="dxa"/>
            <w:vMerge/>
            <w:vAlign w:val="center"/>
          </w:tcPr>
          <w:p w14:paraId="3BF695E9"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7DE1ED93"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5F6409C0" w14:textId="77777777" w:rsidR="000859AF" w:rsidRPr="00F918EE" w:rsidRDefault="000859AF" w:rsidP="000859AF">
            <w:pPr>
              <w:kinsoku w:val="0"/>
              <w:overflowPunct w:val="0"/>
              <w:autoSpaceDE w:val="0"/>
              <w:autoSpaceDN w:val="0"/>
              <w:adjustRightInd w:val="0"/>
              <w:spacing w:after="0" w:line="240" w:lineRule="auto"/>
              <w:ind w:left="109"/>
              <w:jc w:val="center"/>
              <w:rPr>
                <w:spacing w:val="-4"/>
                <w:lang w:eastAsia="en-US"/>
              </w:rPr>
            </w:pPr>
            <w:r w:rsidRPr="00F918EE">
              <w:rPr>
                <w:spacing w:val="-4"/>
                <w:lang w:eastAsia="en-US"/>
              </w:rPr>
              <w:t>1,5</w:t>
            </w:r>
          </w:p>
        </w:tc>
        <w:tc>
          <w:tcPr>
            <w:tcW w:w="1298" w:type="dxa"/>
          </w:tcPr>
          <w:p w14:paraId="1BD6F36D" w14:textId="77777777" w:rsidR="000859AF" w:rsidRPr="00F918EE" w:rsidRDefault="000859AF" w:rsidP="000859AF">
            <w:pPr>
              <w:kinsoku w:val="0"/>
              <w:overflowPunct w:val="0"/>
              <w:autoSpaceDE w:val="0"/>
              <w:autoSpaceDN w:val="0"/>
              <w:adjustRightInd w:val="0"/>
              <w:spacing w:after="0" w:line="240" w:lineRule="auto"/>
              <w:ind w:left="113"/>
              <w:jc w:val="center"/>
              <w:rPr>
                <w:spacing w:val="-6"/>
                <w:lang w:eastAsia="en-US"/>
              </w:rPr>
            </w:pPr>
            <w:r w:rsidRPr="00F918EE">
              <w:rPr>
                <w:spacing w:val="-6"/>
                <w:lang w:eastAsia="en-US"/>
              </w:rPr>
              <w:t>44</w:t>
            </w:r>
          </w:p>
        </w:tc>
        <w:tc>
          <w:tcPr>
            <w:tcW w:w="1293" w:type="dxa"/>
          </w:tcPr>
          <w:p w14:paraId="20456CEC"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05"/>
                <w:lang w:eastAsia="en-US"/>
              </w:rPr>
            </w:pPr>
            <w:r w:rsidRPr="00F918EE">
              <w:rPr>
                <w:spacing w:val="-4"/>
                <w:w w:val="105"/>
                <w:lang w:eastAsia="en-US"/>
              </w:rPr>
              <w:t>38,3</w:t>
            </w:r>
          </w:p>
        </w:tc>
        <w:tc>
          <w:tcPr>
            <w:tcW w:w="1298" w:type="dxa"/>
            <w:gridSpan w:val="2"/>
          </w:tcPr>
          <w:p w14:paraId="227068C9" w14:textId="77777777" w:rsidR="000859AF" w:rsidRPr="00F918EE" w:rsidRDefault="000859AF" w:rsidP="000859AF">
            <w:pPr>
              <w:kinsoku w:val="0"/>
              <w:overflowPunct w:val="0"/>
              <w:autoSpaceDE w:val="0"/>
              <w:autoSpaceDN w:val="0"/>
              <w:adjustRightInd w:val="0"/>
              <w:spacing w:after="0" w:line="240" w:lineRule="auto"/>
              <w:ind w:left="116"/>
              <w:jc w:val="center"/>
              <w:rPr>
                <w:spacing w:val="-2"/>
                <w:lang w:eastAsia="en-US"/>
              </w:rPr>
            </w:pPr>
            <w:r w:rsidRPr="00F918EE">
              <w:rPr>
                <w:spacing w:val="-2"/>
                <w:lang w:eastAsia="en-US"/>
              </w:rPr>
              <w:t>117,5</w:t>
            </w:r>
          </w:p>
        </w:tc>
        <w:tc>
          <w:tcPr>
            <w:tcW w:w="1293" w:type="dxa"/>
          </w:tcPr>
          <w:p w14:paraId="4D70B2B2" w14:textId="77777777" w:rsidR="000859AF" w:rsidRPr="00F918EE" w:rsidRDefault="000859AF" w:rsidP="000859AF">
            <w:pPr>
              <w:kinsoku w:val="0"/>
              <w:overflowPunct w:val="0"/>
              <w:autoSpaceDE w:val="0"/>
              <w:autoSpaceDN w:val="0"/>
              <w:adjustRightInd w:val="0"/>
              <w:spacing w:after="0" w:line="240" w:lineRule="auto"/>
              <w:ind w:left="113"/>
              <w:jc w:val="center"/>
              <w:rPr>
                <w:spacing w:val="-2"/>
                <w:w w:val="105"/>
                <w:lang w:eastAsia="en-US"/>
              </w:rPr>
            </w:pPr>
            <w:r w:rsidRPr="00F918EE">
              <w:rPr>
                <w:spacing w:val="-2"/>
                <w:w w:val="105"/>
                <w:lang w:eastAsia="en-US"/>
              </w:rPr>
              <w:t>201,6</w:t>
            </w:r>
          </w:p>
        </w:tc>
      </w:tr>
      <w:tr w:rsidR="000859AF" w:rsidRPr="00F918EE" w14:paraId="65297A72" w14:textId="77777777" w:rsidTr="000859AF">
        <w:trPr>
          <w:trHeight w:val="259"/>
        </w:trPr>
        <w:tc>
          <w:tcPr>
            <w:tcW w:w="1418" w:type="dxa"/>
            <w:vMerge/>
            <w:vAlign w:val="center"/>
          </w:tcPr>
          <w:p w14:paraId="27E63846"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4609A993"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7BBB4590" w14:textId="77777777" w:rsidR="000859AF" w:rsidRPr="00F918EE" w:rsidRDefault="000859AF" w:rsidP="000859AF">
            <w:pPr>
              <w:kinsoku w:val="0"/>
              <w:overflowPunct w:val="0"/>
              <w:autoSpaceDE w:val="0"/>
              <w:autoSpaceDN w:val="0"/>
              <w:adjustRightInd w:val="0"/>
              <w:spacing w:after="0" w:line="240" w:lineRule="auto"/>
              <w:ind w:left="110"/>
              <w:jc w:val="center"/>
              <w:rPr>
                <w:w w:val="105"/>
                <w:lang w:eastAsia="en-US"/>
              </w:rPr>
            </w:pPr>
            <w:r w:rsidRPr="00F918EE">
              <w:rPr>
                <w:w w:val="105"/>
                <w:lang w:eastAsia="en-US"/>
              </w:rPr>
              <w:t>5</w:t>
            </w:r>
          </w:p>
        </w:tc>
        <w:tc>
          <w:tcPr>
            <w:tcW w:w="1298" w:type="dxa"/>
          </w:tcPr>
          <w:p w14:paraId="5A68AB5C" w14:textId="77777777" w:rsidR="000859AF" w:rsidRPr="00F918EE" w:rsidRDefault="000859AF" w:rsidP="000859AF">
            <w:pPr>
              <w:kinsoku w:val="0"/>
              <w:overflowPunct w:val="0"/>
              <w:autoSpaceDE w:val="0"/>
              <w:autoSpaceDN w:val="0"/>
              <w:adjustRightInd w:val="0"/>
              <w:spacing w:after="0" w:line="240" w:lineRule="auto"/>
              <w:ind w:left="115"/>
              <w:jc w:val="center"/>
              <w:rPr>
                <w:spacing w:val="-4"/>
                <w:lang w:eastAsia="en-US"/>
              </w:rPr>
            </w:pPr>
            <w:r w:rsidRPr="00F918EE">
              <w:rPr>
                <w:spacing w:val="-4"/>
                <w:lang w:eastAsia="en-US"/>
              </w:rPr>
              <w:t>163</w:t>
            </w:r>
          </w:p>
        </w:tc>
        <w:tc>
          <w:tcPr>
            <w:tcW w:w="1293" w:type="dxa"/>
          </w:tcPr>
          <w:p w14:paraId="7C82C09C" w14:textId="77777777" w:rsidR="000859AF" w:rsidRPr="00F918EE" w:rsidRDefault="000859AF" w:rsidP="000859AF">
            <w:pPr>
              <w:kinsoku w:val="0"/>
              <w:overflowPunct w:val="0"/>
              <w:autoSpaceDE w:val="0"/>
              <w:autoSpaceDN w:val="0"/>
              <w:adjustRightInd w:val="0"/>
              <w:spacing w:after="0" w:line="240" w:lineRule="auto"/>
              <w:ind w:left="115"/>
              <w:jc w:val="center"/>
              <w:rPr>
                <w:spacing w:val="-2"/>
                <w:lang w:eastAsia="en-US"/>
              </w:rPr>
            </w:pPr>
            <w:r w:rsidRPr="00F918EE">
              <w:rPr>
                <w:spacing w:val="-2"/>
                <w:lang w:eastAsia="en-US"/>
              </w:rPr>
              <w:t>117,0</w:t>
            </w:r>
          </w:p>
        </w:tc>
        <w:tc>
          <w:tcPr>
            <w:tcW w:w="1298" w:type="dxa"/>
            <w:gridSpan w:val="2"/>
          </w:tcPr>
          <w:p w14:paraId="3F2418DB" w14:textId="77777777" w:rsidR="000859AF" w:rsidRPr="00F918EE" w:rsidRDefault="000859AF" w:rsidP="000859AF">
            <w:pPr>
              <w:kinsoku w:val="0"/>
              <w:overflowPunct w:val="0"/>
              <w:autoSpaceDE w:val="0"/>
              <w:autoSpaceDN w:val="0"/>
              <w:adjustRightInd w:val="0"/>
              <w:spacing w:after="0" w:line="240" w:lineRule="auto"/>
              <w:ind w:left="116"/>
              <w:jc w:val="center"/>
              <w:rPr>
                <w:spacing w:val="-2"/>
                <w:lang w:eastAsia="en-US"/>
              </w:rPr>
            </w:pPr>
            <w:r w:rsidRPr="00F918EE">
              <w:rPr>
                <w:spacing w:val="-2"/>
                <w:lang w:eastAsia="en-US"/>
              </w:rPr>
              <w:t>1415,6</w:t>
            </w:r>
          </w:p>
        </w:tc>
        <w:tc>
          <w:tcPr>
            <w:tcW w:w="1293" w:type="dxa"/>
          </w:tcPr>
          <w:p w14:paraId="66DA70E2" w14:textId="77777777" w:rsidR="000859AF" w:rsidRPr="00F918EE" w:rsidRDefault="000859AF" w:rsidP="000859AF">
            <w:pPr>
              <w:kinsoku w:val="0"/>
              <w:overflowPunct w:val="0"/>
              <w:autoSpaceDE w:val="0"/>
              <w:autoSpaceDN w:val="0"/>
              <w:adjustRightInd w:val="0"/>
              <w:spacing w:after="0" w:line="240" w:lineRule="auto"/>
              <w:ind w:left="111"/>
              <w:jc w:val="center"/>
              <w:rPr>
                <w:spacing w:val="-2"/>
                <w:lang w:eastAsia="en-US"/>
              </w:rPr>
            </w:pPr>
            <w:r w:rsidRPr="00F918EE">
              <w:rPr>
                <w:spacing w:val="-2"/>
                <w:lang w:eastAsia="en-US"/>
              </w:rPr>
              <w:t>1005,9</w:t>
            </w:r>
          </w:p>
        </w:tc>
      </w:tr>
      <w:tr w:rsidR="000859AF" w:rsidRPr="00F918EE" w14:paraId="43157956" w14:textId="77777777" w:rsidTr="000859AF">
        <w:trPr>
          <w:trHeight w:val="242"/>
        </w:trPr>
        <w:tc>
          <w:tcPr>
            <w:tcW w:w="1418" w:type="dxa"/>
            <w:vMerge/>
            <w:vAlign w:val="center"/>
          </w:tcPr>
          <w:p w14:paraId="034B5A48"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7CD34116"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4F74ED64" w14:textId="77777777" w:rsidR="000859AF" w:rsidRPr="00F918EE" w:rsidRDefault="000859AF" w:rsidP="000859AF">
            <w:pPr>
              <w:kinsoku w:val="0"/>
              <w:overflowPunct w:val="0"/>
              <w:autoSpaceDE w:val="0"/>
              <w:autoSpaceDN w:val="0"/>
              <w:adjustRightInd w:val="0"/>
              <w:spacing w:after="0" w:line="240" w:lineRule="auto"/>
              <w:ind w:left="114"/>
              <w:jc w:val="center"/>
              <w:rPr>
                <w:spacing w:val="-6"/>
                <w:lang w:eastAsia="en-US"/>
              </w:rPr>
            </w:pPr>
            <w:r w:rsidRPr="00F918EE">
              <w:rPr>
                <w:spacing w:val="-6"/>
                <w:lang w:eastAsia="en-US"/>
              </w:rPr>
              <w:t>15</w:t>
            </w:r>
          </w:p>
        </w:tc>
        <w:tc>
          <w:tcPr>
            <w:tcW w:w="1298" w:type="dxa"/>
          </w:tcPr>
          <w:p w14:paraId="53C40499" w14:textId="77777777" w:rsidR="000859AF" w:rsidRPr="00F918EE" w:rsidRDefault="000859AF" w:rsidP="000859AF">
            <w:pPr>
              <w:kinsoku w:val="0"/>
              <w:overflowPunct w:val="0"/>
              <w:autoSpaceDE w:val="0"/>
              <w:autoSpaceDN w:val="0"/>
              <w:adjustRightInd w:val="0"/>
              <w:spacing w:after="0" w:line="240" w:lineRule="auto"/>
              <w:ind w:left="113"/>
              <w:jc w:val="center"/>
              <w:rPr>
                <w:spacing w:val="-2"/>
                <w:lang w:eastAsia="en-US"/>
              </w:rPr>
            </w:pPr>
            <w:r w:rsidRPr="00F918EE">
              <w:rPr>
                <w:spacing w:val="-2"/>
                <w:lang w:eastAsia="en-US"/>
              </w:rPr>
              <w:t>400,5</w:t>
            </w:r>
          </w:p>
        </w:tc>
        <w:tc>
          <w:tcPr>
            <w:tcW w:w="1293" w:type="dxa"/>
          </w:tcPr>
          <w:p w14:paraId="21F1314F" w14:textId="77777777" w:rsidR="000859AF" w:rsidRPr="00F918EE" w:rsidRDefault="000859AF" w:rsidP="000859AF">
            <w:pPr>
              <w:kinsoku w:val="0"/>
              <w:overflowPunct w:val="0"/>
              <w:autoSpaceDE w:val="0"/>
              <w:autoSpaceDN w:val="0"/>
              <w:adjustRightInd w:val="0"/>
              <w:spacing w:after="0" w:line="240" w:lineRule="auto"/>
              <w:ind w:left="117"/>
              <w:jc w:val="center"/>
              <w:rPr>
                <w:spacing w:val="-2"/>
                <w:lang w:eastAsia="en-US"/>
              </w:rPr>
            </w:pPr>
            <w:r w:rsidRPr="00F918EE">
              <w:rPr>
                <w:spacing w:val="-2"/>
                <w:lang w:eastAsia="en-US"/>
              </w:rPr>
              <w:t>644,5</w:t>
            </w:r>
          </w:p>
        </w:tc>
        <w:tc>
          <w:tcPr>
            <w:tcW w:w="1298" w:type="dxa"/>
            <w:gridSpan w:val="2"/>
          </w:tcPr>
          <w:p w14:paraId="3CFD615E" w14:textId="77777777" w:rsidR="000859AF" w:rsidRPr="00F918EE" w:rsidRDefault="000859AF" w:rsidP="000859AF">
            <w:pPr>
              <w:kinsoku w:val="0"/>
              <w:overflowPunct w:val="0"/>
              <w:autoSpaceDE w:val="0"/>
              <w:autoSpaceDN w:val="0"/>
              <w:adjustRightInd w:val="0"/>
              <w:spacing w:after="0" w:line="240" w:lineRule="auto"/>
              <w:ind w:left="114"/>
              <w:jc w:val="center"/>
              <w:rPr>
                <w:spacing w:val="-2"/>
                <w:lang w:eastAsia="en-US"/>
              </w:rPr>
            </w:pPr>
            <w:r w:rsidRPr="00F918EE">
              <w:rPr>
                <w:spacing w:val="-2"/>
                <w:lang w:eastAsia="en-US"/>
              </w:rPr>
              <w:t>4618,4</w:t>
            </w:r>
          </w:p>
        </w:tc>
        <w:tc>
          <w:tcPr>
            <w:tcW w:w="1293" w:type="dxa"/>
          </w:tcPr>
          <w:p w14:paraId="5F8D196E" w14:textId="77777777" w:rsidR="000859AF" w:rsidRPr="00F918EE" w:rsidRDefault="000859AF" w:rsidP="000859AF">
            <w:pPr>
              <w:kinsoku w:val="0"/>
              <w:overflowPunct w:val="0"/>
              <w:autoSpaceDE w:val="0"/>
              <w:autoSpaceDN w:val="0"/>
              <w:adjustRightInd w:val="0"/>
              <w:spacing w:after="0" w:line="240" w:lineRule="auto"/>
              <w:ind w:left="114"/>
              <w:jc w:val="center"/>
              <w:rPr>
                <w:spacing w:val="-2"/>
                <w:lang w:eastAsia="en-US"/>
              </w:rPr>
            </w:pPr>
            <w:r w:rsidRPr="00F918EE">
              <w:rPr>
                <w:spacing w:val="-2"/>
                <w:lang w:eastAsia="en-US"/>
              </w:rPr>
              <w:t>4054,0</w:t>
            </w:r>
          </w:p>
        </w:tc>
      </w:tr>
      <w:tr w:rsidR="000859AF" w:rsidRPr="00F918EE" w14:paraId="1D044851" w14:textId="77777777" w:rsidTr="000859AF">
        <w:trPr>
          <w:trHeight w:val="274"/>
        </w:trPr>
        <w:tc>
          <w:tcPr>
            <w:tcW w:w="1418" w:type="dxa"/>
            <w:vMerge w:val="restart"/>
            <w:vAlign w:val="center"/>
          </w:tcPr>
          <w:p w14:paraId="29DCB30F" w14:textId="77777777" w:rsidR="000859AF" w:rsidRPr="00F918EE" w:rsidRDefault="000859AF" w:rsidP="000859AF">
            <w:pPr>
              <w:kinsoku w:val="0"/>
              <w:overflowPunct w:val="0"/>
              <w:autoSpaceDE w:val="0"/>
              <w:autoSpaceDN w:val="0"/>
              <w:adjustRightInd w:val="0"/>
              <w:spacing w:after="0" w:line="240" w:lineRule="auto"/>
              <w:ind w:left="118"/>
              <w:jc w:val="left"/>
              <w:rPr>
                <w:spacing w:val="-4"/>
                <w:lang w:eastAsia="en-US"/>
              </w:rPr>
            </w:pPr>
            <w:r w:rsidRPr="00F918EE">
              <w:rPr>
                <w:spacing w:val="-4"/>
                <w:lang w:eastAsia="en-US"/>
              </w:rPr>
              <w:t>Крысы</w:t>
            </w:r>
          </w:p>
        </w:tc>
        <w:tc>
          <w:tcPr>
            <w:tcW w:w="1701" w:type="dxa"/>
            <w:vMerge w:val="restart"/>
            <w:vAlign w:val="center"/>
          </w:tcPr>
          <w:p w14:paraId="12CDFF9F" w14:textId="77777777" w:rsidR="000859AF" w:rsidRPr="00F918EE" w:rsidRDefault="000859AF" w:rsidP="000859AF">
            <w:pPr>
              <w:kinsoku w:val="0"/>
              <w:overflowPunct w:val="0"/>
              <w:autoSpaceDE w:val="0"/>
              <w:autoSpaceDN w:val="0"/>
              <w:adjustRightInd w:val="0"/>
              <w:spacing w:after="0" w:line="240" w:lineRule="auto"/>
              <w:ind w:left="111"/>
              <w:jc w:val="center"/>
              <w:rPr>
                <w:spacing w:val="-2"/>
                <w:w w:val="110"/>
                <w:lang w:eastAsia="en-US"/>
              </w:rPr>
            </w:pPr>
            <w:r w:rsidRPr="00F918EE">
              <w:rPr>
                <w:spacing w:val="-2"/>
                <w:w w:val="105"/>
                <w:lang w:eastAsia="en-US"/>
              </w:rPr>
              <w:t>Перорально</w:t>
            </w:r>
            <w:r w:rsidRPr="00F918EE">
              <w:rPr>
                <w:spacing w:val="-2"/>
                <w:w w:val="110"/>
                <w:lang w:eastAsia="en-US"/>
              </w:rPr>
              <w:t xml:space="preserve"> /</w:t>
            </w:r>
            <w:r w:rsidRPr="00F918EE">
              <w:rPr>
                <w:spacing w:val="-4"/>
                <w:w w:val="105"/>
                <w:lang w:eastAsia="en-US"/>
              </w:rPr>
              <w:t xml:space="preserve"> 4 недели</w:t>
            </w:r>
          </w:p>
        </w:tc>
        <w:tc>
          <w:tcPr>
            <w:tcW w:w="1020" w:type="dxa"/>
          </w:tcPr>
          <w:p w14:paraId="03D440F2"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0,1</w:t>
            </w:r>
          </w:p>
        </w:tc>
        <w:tc>
          <w:tcPr>
            <w:tcW w:w="1298" w:type="dxa"/>
          </w:tcPr>
          <w:p w14:paraId="00CC30A7"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&lt;НПКО</w:t>
            </w:r>
          </w:p>
        </w:tc>
        <w:tc>
          <w:tcPr>
            <w:tcW w:w="1293" w:type="dxa"/>
          </w:tcPr>
          <w:p w14:paraId="347314A4" w14:textId="77777777" w:rsidR="000859AF" w:rsidRPr="00F918EE" w:rsidRDefault="000859AF" w:rsidP="000859AF">
            <w:pPr>
              <w:kinsoku w:val="0"/>
              <w:overflowPunct w:val="0"/>
              <w:autoSpaceDE w:val="0"/>
              <w:autoSpaceDN w:val="0"/>
              <w:adjustRightInd w:val="0"/>
              <w:spacing w:after="0" w:line="240" w:lineRule="auto"/>
              <w:ind w:left="118"/>
              <w:jc w:val="center"/>
              <w:rPr>
                <w:spacing w:val="-4"/>
                <w:lang w:eastAsia="en-US"/>
              </w:rPr>
            </w:pPr>
            <w:r w:rsidRPr="00F918EE">
              <w:rPr>
                <w:spacing w:val="-4"/>
                <w:lang w:eastAsia="en-US"/>
              </w:rPr>
              <w:t>&lt;НПКО</w:t>
            </w:r>
          </w:p>
        </w:tc>
        <w:tc>
          <w:tcPr>
            <w:tcW w:w="1298" w:type="dxa"/>
            <w:gridSpan w:val="2"/>
          </w:tcPr>
          <w:p w14:paraId="3DEBA43B" w14:textId="77777777" w:rsidR="000859AF" w:rsidRPr="00F918EE" w:rsidRDefault="000859AF" w:rsidP="000859AF">
            <w:pPr>
              <w:kinsoku w:val="0"/>
              <w:overflowPunct w:val="0"/>
              <w:autoSpaceDE w:val="0"/>
              <w:autoSpaceDN w:val="0"/>
              <w:adjustRightInd w:val="0"/>
              <w:spacing w:after="0" w:line="240" w:lineRule="auto"/>
              <w:ind w:left="118"/>
              <w:jc w:val="center"/>
              <w:rPr>
                <w:spacing w:val="-4"/>
                <w:lang w:eastAsia="en-US"/>
              </w:rPr>
            </w:pPr>
            <w:r w:rsidRPr="00F918EE">
              <w:rPr>
                <w:spacing w:val="-4"/>
                <w:lang w:eastAsia="en-US"/>
              </w:rPr>
              <w:t>&lt;НПКО</w:t>
            </w:r>
          </w:p>
        </w:tc>
        <w:tc>
          <w:tcPr>
            <w:tcW w:w="1293" w:type="dxa"/>
          </w:tcPr>
          <w:p w14:paraId="140849CF"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&lt;НПКО</w:t>
            </w:r>
          </w:p>
        </w:tc>
      </w:tr>
      <w:tr w:rsidR="000859AF" w:rsidRPr="00F918EE" w14:paraId="1AFEB79D" w14:textId="77777777" w:rsidTr="000859AF">
        <w:trPr>
          <w:trHeight w:val="259"/>
        </w:trPr>
        <w:tc>
          <w:tcPr>
            <w:tcW w:w="1418" w:type="dxa"/>
            <w:vMerge/>
            <w:vAlign w:val="center"/>
          </w:tcPr>
          <w:p w14:paraId="48571528"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4FD36F2E"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7D5D14C5"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0,25</w:t>
            </w:r>
          </w:p>
        </w:tc>
        <w:tc>
          <w:tcPr>
            <w:tcW w:w="1298" w:type="dxa"/>
          </w:tcPr>
          <w:p w14:paraId="76F2BA55"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&lt;НПКО</w:t>
            </w:r>
          </w:p>
        </w:tc>
        <w:tc>
          <w:tcPr>
            <w:tcW w:w="1293" w:type="dxa"/>
          </w:tcPr>
          <w:p w14:paraId="58E336F4" w14:textId="77777777" w:rsidR="000859AF" w:rsidRPr="00F918EE" w:rsidRDefault="000859AF" w:rsidP="000859AF">
            <w:pPr>
              <w:kinsoku w:val="0"/>
              <w:overflowPunct w:val="0"/>
              <w:autoSpaceDE w:val="0"/>
              <w:autoSpaceDN w:val="0"/>
              <w:adjustRightInd w:val="0"/>
              <w:spacing w:after="0" w:line="240" w:lineRule="auto"/>
              <w:ind w:left="118"/>
              <w:jc w:val="center"/>
              <w:rPr>
                <w:spacing w:val="-4"/>
                <w:lang w:eastAsia="en-US"/>
              </w:rPr>
            </w:pPr>
            <w:r w:rsidRPr="00F918EE">
              <w:rPr>
                <w:spacing w:val="-4"/>
                <w:lang w:eastAsia="en-US"/>
              </w:rPr>
              <w:t>&lt;НПКО</w:t>
            </w:r>
          </w:p>
        </w:tc>
        <w:tc>
          <w:tcPr>
            <w:tcW w:w="1298" w:type="dxa"/>
            <w:gridSpan w:val="2"/>
          </w:tcPr>
          <w:p w14:paraId="1FC01405" w14:textId="77777777" w:rsidR="000859AF" w:rsidRPr="00F918EE" w:rsidRDefault="000859AF" w:rsidP="000859AF">
            <w:pPr>
              <w:kinsoku w:val="0"/>
              <w:overflowPunct w:val="0"/>
              <w:autoSpaceDE w:val="0"/>
              <w:autoSpaceDN w:val="0"/>
              <w:adjustRightInd w:val="0"/>
              <w:spacing w:after="0" w:line="240" w:lineRule="auto"/>
              <w:ind w:left="118"/>
              <w:jc w:val="center"/>
              <w:rPr>
                <w:spacing w:val="-4"/>
                <w:lang w:eastAsia="en-US"/>
              </w:rPr>
            </w:pPr>
            <w:r w:rsidRPr="00F918EE">
              <w:rPr>
                <w:spacing w:val="-4"/>
                <w:lang w:eastAsia="en-US"/>
              </w:rPr>
              <w:t>&lt;НПКО</w:t>
            </w:r>
          </w:p>
        </w:tc>
        <w:tc>
          <w:tcPr>
            <w:tcW w:w="1293" w:type="dxa"/>
          </w:tcPr>
          <w:p w14:paraId="26CCD471"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&lt;НПКО</w:t>
            </w:r>
          </w:p>
        </w:tc>
      </w:tr>
      <w:tr w:rsidR="000859AF" w:rsidRPr="00F918EE" w14:paraId="355F113C" w14:textId="77777777" w:rsidTr="000859AF">
        <w:trPr>
          <w:trHeight w:val="262"/>
        </w:trPr>
        <w:tc>
          <w:tcPr>
            <w:tcW w:w="1418" w:type="dxa"/>
            <w:vMerge/>
            <w:vAlign w:val="center"/>
          </w:tcPr>
          <w:p w14:paraId="38D6BD3B"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212646F1"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547C6277"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0,5</w:t>
            </w:r>
          </w:p>
        </w:tc>
        <w:tc>
          <w:tcPr>
            <w:tcW w:w="1298" w:type="dxa"/>
          </w:tcPr>
          <w:p w14:paraId="42DA640B" w14:textId="77777777" w:rsidR="000859AF" w:rsidRPr="00F918EE" w:rsidRDefault="000859AF" w:rsidP="000859AF">
            <w:pPr>
              <w:kinsoku w:val="0"/>
              <w:overflowPunct w:val="0"/>
              <w:autoSpaceDE w:val="0"/>
              <w:autoSpaceDN w:val="0"/>
              <w:adjustRightInd w:val="0"/>
              <w:spacing w:after="0" w:line="240" w:lineRule="auto"/>
              <w:ind w:left="115"/>
              <w:jc w:val="center"/>
              <w:rPr>
                <w:spacing w:val="-6"/>
                <w:w w:val="105"/>
                <w:lang w:eastAsia="en-US"/>
              </w:rPr>
            </w:pPr>
            <w:r w:rsidRPr="00F918EE">
              <w:rPr>
                <w:spacing w:val="-6"/>
                <w:w w:val="105"/>
                <w:lang w:eastAsia="en-US"/>
              </w:rPr>
              <w:t>10</w:t>
            </w:r>
          </w:p>
        </w:tc>
        <w:tc>
          <w:tcPr>
            <w:tcW w:w="1293" w:type="dxa"/>
          </w:tcPr>
          <w:p w14:paraId="4F3CDAA7" w14:textId="77777777" w:rsidR="000859AF" w:rsidRPr="00F918EE" w:rsidRDefault="000859AF" w:rsidP="000859AF">
            <w:pPr>
              <w:kinsoku w:val="0"/>
              <w:overflowPunct w:val="0"/>
              <w:autoSpaceDE w:val="0"/>
              <w:autoSpaceDN w:val="0"/>
              <w:adjustRightInd w:val="0"/>
              <w:spacing w:after="0" w:line="240" w:lineRule="auto"/>
              <w:ind w:left="117"/>
              <w:jc w:val="center"/>
              <w:rPr>
                <w:w w:val="108"/>
                <w:lang w:eastAsia="en-US"/>
              </w:rPr>
            </w:pPr>
            <w:r w:rsidRPr="00F918EE">
              <w:rPr>
                <w:w w:val="108"/>
                <w:lang w:eastAsia="en-US"/>
              </w:rPr>
              <w:t>6</w:t>
            </w:r>
          </w:p>
        </w:tc>
        <w:tc>
          <w:tcPr>
            <w:tcW w:w="1298" w:type="dxa"/>
            <w:gridSpan w:val="2"/>
          </w:tcPr>
          <w:p w14:paraId="6C9D1EA5" w14:textId="77777777" w:rsidR="000859AF" w:rsidRPr="00F918EE" w:rsidRDefault="000859AF" w:rsidP="000859AF">
            <w:pPr>
              <w:kinsoku w:val="0"/>
              <w:overflowPunct w:val="0"/>
              <w:autoSpaceDE w:val="0"/>
              <w:autoSpaceDN w:val="0"/>
              <w:adjustRightInd w:val="0"/>
              <w:spacing w:after="0" w:line="240" w:lineRule="auto"/>
              <w:ind w:left="116"/>
              <w:jc w:val="center"/>
              <w:rPr>
                <w:spacing w:val="-4"/>
                <w:lang w:eastAsia="en-US"/>
              </w:rPr>
            </w:pPr>
            <w:r w:rsidRPr="00F918EE">
              <w:rPr>
                <w:spacing w:val="-4"/>
                <w:lang w:eastAsia="en-US"/>
              </w:rPr>
              <w:t>102</w:t>
            </w:r>
          </w:p>
        </w:tc>
        <w:tc>
          <w:tcPr>
            <w:tcW w:w="1293" w:type="dxa"/>
          </w:tcPr>
          <w:p w14:paraId="62AD81F2" w14:textId="77777777" w:rsidR="000859AF" w:rsidRPr="00F918EE" w:rsidRDefault="000859AF" w:rsidP="000859AF">
            <w:pPr>
              <w:kinsoku w:val="0"/>
              <w:overflowPunct w:val="0"/>
              <w:autoSpaceDE w:val="0"/>
              <w:autoSpaceDN w:val="0"/>
              <w:adjustRightInd w:val="0"/>
              <w:spacing w:after="0" w:line="240" w:lineRule="auto"/>
              <w:ind w:left="117"/>
              <w:jc w:val="center"/>
              <w:rPr>
                <w:spacing w:val="-6"/>
                <w:w w:val="105"/>
                <w:lang w:eastAsia="en-US"/>
              </w:rPr>
            </w:pPr>
            <w:r w:rsidRPr="00F918EE">
              <w:rPr>
                <w:spacing w:val="-6"/>
                <w:w w:val="105"/>
                <w:lang w:eastAsia="en-US"/>
              </w:rPr>
              <w:t>56</w:t>
            </w:r>
          </w:p>
        </w:tc>
      </w:tr>
      <w:tr w:rsidR="000859AF" w:rsidRPr="00F918EE" w14:paraId="3B4F9B27" w14:textId="77777777" w:rsidTr="000859AF">
        <w:trPr>
          <w:trHeight w:val="242"/>
        </w:trPr>
        <w:tc>
          <w:tcPr>
            <w:tcW w:w="1418" w:type="dxa"/>
            <w:vMerge/>
            <w:vAlign w:val="center"/>
          </w:tcPr>
          <w:p w14:paraId="1B24E8FD"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720B029B"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2B6FE634" w14:textId="77777777" w:rsidR="000859AF" w:rsidRPr="00F918EE" w:rsidRDefault="000859AF" w:rsidP="000859AF">
            <w:pPr>
              <w:kinsoku w:val="0"/>
              <w:overflowPunct w:val="0"/>
              <w:autoSpaceDE w:val="0"/>
              <w:autoSpaceDN w:val="0"/>
              <w:adjustRightInd w:val="0"/>
              <w:spacing w:after="0" w:line="240" w:lineRule="auto"/>
              <w:ind w:left="109"/>
              <w:jc w:val="center"/>
              <w:rPr>
                <w:spacing w:val="-4"/>
                <w:lang w:eastAsia="en-US"/>
              </w:rPr>
            </w:pPr>
            <w:r w:rsidRPr="00F918EE">
              <w:rPr>
                <w:spacing w:val="-4"/>
                <w:lang w:eastAsia="en-US"/>
              </w:rPr>
              <w:t>1,5</w:t>
            </w:r>
          </w:p>
        </w:tc>
        <w:tc>
          <w:tcPr>
            <w:tcW w:w="1298" w:type="dxa"/>
          </w:tcPr>
          <w:p w14:paraId="7EDF0FF6" w14:textId="77777777" w:rsidR="000859AF" w:rsidRPr="00F918EE" w:rsidRDefault="000859AF" w:rsidP="000859AF">
            <w:pPr>
              <w:kinsoku w:val="0"/>
              <w:overflowPunct w:val="0"/>
              <w:autoSpaceDE w:val="0"/>
              <w:autoSpaceDN w:val="0"/>
              <w:adjustRightInd w:val="0"/>
              <w:spacing w:after="0" w:line="240" w:lineRule="auto"/>
              <w:ind w:left="115"/>
              <w:jc w:val="center"/>
              <w:rPr>
                <w:spacing w:val="-6"/>
                <w:lang w:eastAsia="en-US"/>
              </w:rPr>
            </w:pPr>
            <w:r w:rsidRPr="00F918EE">
              <w:rPr>
                <w:spacing w:val="-6"/>
                <w:lang w:eastAsia="en-US"/>
              </w:rPr>
              <w:t>52</w:t>
            </w:r>
          </w:p>
        </w:tc>
        <w:tc>
          <w:tcPr>
            <w:tcW w:w="1293" w:type="dxa"/>
          </w:tcPr>
          <w:p w14:paraId="4E743D9D" w14:textId="77777777" w:rsidR="000859AF" w:rsidRPr="00F918EE" w:rsidRDefault="000859AF" w:rsidP="000859AF">
            <w:pPr>
              <w:kinsoku w:val="0"/>
              <w:overflowPunct w:val="0"/>
              <w:autoSpaceDE w:val="0"/>
              <w:autoSpaceDN w:val="0"/>
              <w:adjustRightInd w:val="0"/>
              <w:spacing w:after="0" w:line="240" w:lineRule="auto"/>
              <w:ind w:left="113"/>
              <w:jc w:val="center"/>
              <w:rPr>
                <w:spacing w:val="-6"/>
                <w:w w:val="105"/>
                <w:lang w:eastAsia="en-US"/>
              </w:rPr>
            </w:pPr>
            <w:r w:rsidRPr="00F918EE">
              <w:rPr>
                <w:spacing w:val="-6"/>
                <w:w w:val="105"/>
                <w:lang w:eastAsia="en-US"/>
              </w:rPr>
              <w:t>30</w:t>
            </w:r>
          </w:p>
        </w:tc>
        <w:tc>
          <w:tcPr>
            <w:tcW w:w="1298" w:type="dxa"/>
            <w:gridSpan w:val="2"/>
          </w:tcPr>
          <w:p w14:paraId="5C6C836E"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514</w:t>
            </w:r>
          </w:p>
        </w:tc>
        <w:tc>
          <w:tcPr>
            <w:tcW w:w="1293" w:type="dxa"/>
          </w:tcPr>
          <w:p w14:paraId="49FAF32B"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05"/>
                <w:lang w:eastAsia="en-US"/>
              </w:rPr>
            </w:pPr>
            <w:r w:rsidRPr="00F918EE">
              <w:rPr>
                <w:spacing w:val="-4"/>
                <w:w w:val="105"/>
                <w:lang w:eastAsia="en-US"/>
              </w:rPr>
              <w:t>237</w:t>
            </w:r>
          </w:p>
        </w:tc>
      </w:tr>
      <w:tr w:rsidR="000859AF" w:rsidRPr="00F918EE" w14:paraId="662DD416" w14:textId="77777777" w:rsidTr="000859AF">
        <w:trPr>
          <w:trHeight w:val="266"/>
        </w:trPr>
        <w:tc>
          <w:tcPr>
            <w:tcW w:w="1418" w:type="dxa"/>
            <w:vMerge w:val="restart"/>
            <w:vAlign w:val="center"/>
          </w:tcPr>
          <w:p w14:paraId="77FFFB89" w14:textId="77777777" w:rsidR="000859AF" w:rsidRPr="00F918EE" w:rsidRDefault="000859AF" w:rsidP="000859AF">
            <w:pPr>
              <w:kinsoku w:val="0"/>
              <w:overflowPunct w:val="0"/>
              <w:autoSpaceDE w:val="0"/>
              <w:autoSpaceDN w:val="0"/>
              <w:adjustRightInd w:val="0"/>
              <w:spacing w:after="0" w:line="240" w:lineRule="auto"/>
              <w:ind w:left="118"/>
              <w:jc w:val="left"/>
              <w:rPr>
                <w:spacing w:val="-4"/>
                <w:lang w:eastAsia="en-US"/>
              </w:rPr>
            </w:pPr>
            <w:r w:rsidRPr="00F918EE">
              <w:rPr>
                <w:spacing w:val="-4"/>
                <w:lang w:eastAsia="en-US"/>
              </w:rPr>
              <w:t>Крысы</w:t>
            </w:r>
          </w:p>
        </w:tc>
        <w:tc>
          <w:tcPr>
            <w:tcW w:w="1701" w:type="dxa"/>
            <w:vMerge w:val="restart"/>
            <w:vAlign w:val="center"/>
          </w:tcPr>
          <w:p w14:paraId="3261A4D7" w14:textId="77777777" w:rsidR="000859AF" w:rsidRPr="00F918EE" w:rsidRDefault="000859AF" w:rsidP="000859AF">
            <w:pPr>
              <w:kinsoku w:val="0"/>
              <w:overflowPunct w:val="0"/>
              <w:autoSpaceDE w:val="0"/>
              <w:autoSpaceDN w:val="0"/>
              <w:adjustRightInd w:val="0"/>
              <w:spacing w:after="0" w:line="240" w:lineRule="auto"/>
              <w:ind w:left="111"/>
              <w:jc w:val="center"/>
              <w:rPr>
                <w:spacing w:val="-4"/>
                <w:w w:val="105"/>
                <w:lang w:eastAsia="en-US"/>
              </w:rPr>
            </w:pPr>
            <w:r w:rsidRPr="00F918EE">
              <w:rPr>
                <w:spacing w:val="-2"/>
                <w:w w:val="105"/>
                <w:lang w:eastAsia="en-US"/>
              </w:rPr>
              <w:t>Перорально</w:t>
            </w:r>
            <w:r w:rsidRPr="00F918EE">
              <w:rPr>
                <w:spacing w:val="-2"/>
                <w:w w:val="110"/>
                <w:lang w:eastAsia="en-US"/>
              </w:rPr>
              <w:t xml:space="preserve"> </w:t>
            </w:r>
            <w:r w:rsidRPr="00F918EE">
              <w:rPr>
                <w:spacing w:val="-4"/>
                <w:w w:val="105"/>
                <w:lang w:eastAsia="en-US"/>
              </w:rPr>
              <w:t>/ 26 недель</w:t>
            </w:r>
          </w:p>
        </w:tc>
        <w:tc>
          <w:tcPr>
            <w:tcW w:w="1020" w:type="dxa"/>
          </w:tcPr>
          <w:p w14:paraId="66FD9F80"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0,15</w:t>
            </w:r>
          </w:p>
        </w:tc>
        <w:tc>
          <w:tcPr>
            <w:tcW w:w="1298" w:type="dxa"/>
          </w:tcPr>
          <w:p w14:paraId="2ADCD1B6"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1,5</w:t>
            </w:r>
          </w:p>
        </w:tc>
        <w:tc>
          <w:tcPr>
            <w:tcW w:w="1293" w:type="dxa"/>
          </w:tcPr>
          <w:p w14:paraId="7465EF48" w14:textId="77777777" w:rsidR="000859AF" w:rsidRPr="00F918EE" w:rsidRDefault="000859AF" w:rsidP="000859AF">
            <w:pPr>
              <w:kinsoku w:val="0"/>
              <w:overflowPunct w:val="0"/>
              <w:autoSpaceDE w:val="0"/>
              <w:autoSpaceDN w:val="0"/>
              <w:adjustRightInd w:val="0"/>
              <w:spacing w:after="0" w:line="240" w:lineRule="auto"/>
              <w:ind w:left="120"/>
              <w:jc w:val="center"/>
              <w:rPr>
                <w:spacing w:val="-4"/>
                <w:w w:val="105"/>
                <w:lang w:eastAsia="en-US"/>
              </w:rPr>
            </w:pPr>
            <w:r w:rsidRPr="00F918EE">
              <w:rPr>
                <w:spacing w:val="-4"/>
                <w:w w:val="105"/>
                <w:lang w:eastAsia="en-US"/>
              </w:rPr>
              <w:t>1,1</w:t>
            </w:r>
          </w:p>
        </w:tc>
        <w:tc>
          <w:tcPr>
            <w:tcW w:w="1298" w:type="dxa"/>
            <w:gridSpan w:val="2"/>
          </w:tcPr>
          <w:p w14:paraId="059997E5"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7,1</w:t>
            </w:r>
          </w:p>
        </w:tc>
        <w:tc>
          <w:tcPr>
            <w:tcW w:w="1293" w:type="dxa"/>
          </w:tcPr>
          <w:p w14:paraId="7064CD88"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8,1</w:t>
            </w:r>
          </w:p>
        </w:tc>
      </w:tr>
      <w:tr w:rsidR="000859AF" w:rsidRPr="00F918EE" w14:paraId="6C453203" w14:textId="77777777" w:rsidTr="000859AF">
        <w:trPr>
          <w:trHeight w:val="259"/>
        </w:trPr>
        <w:tc>
          <w:tcPr>
            <w:tcW w:w="1418" w:type="dxa"/>
            <w:vMerge/>
            <w:vAlign w:val="center"/>
          </w:tcPr>
          <w:p w14:paraId="072E4F99"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16B060E0" w14:textId="77777777" w:rsidR="000859AF" w:rsidRPr="00F918EE" w:rsidRDefault="000859AF" w:rsidP="000859AF">
            <w:pPr>
              <w:kinsoku w:val="0"/>
              <w:overflowPunct w:val="0"/>
              <w:autoSpaceDE w:val="0"/>
              <w:autoSpaceDN w:val="0"/>
              <w:adjustRightInd w:val="0"/>
              <w:spacing w:after="0" w:line="240" w:lineRule="auto"/>
              <w:ind w:left="114"/>
              <w:jc w:val="center"/>
              <w:rPr>
                <w:spacing w:val="-4"/>
                <w:lang w:eastAsia="en-US"/>
              </w:rPr>
            </w:pPr>
          </w:p>
        </w:tc>
        <w:tc>
          <w:tcPr>
            <w:tcW w:w="1020" w:type="dxa"/>
          </w:tcPr>
          <w:p w14:paraId="07811F03"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0,5</w:t>
            </w:r>
          </w:p>
        </w:tc>
        <w:tc>
          <w:tcPr>
            <w:tcW w:w="1298" w:type="dxa"/>
          </w:tcPr>
          <w:p w14:paraId="7F8F5AF3" w14:textId="77777777" w:rsidR="000859AF" w:rsidRPr="00F918EE" w:rsidRDefault="000859AF" w:rsidP="000859AF">
            <w:pPr>
              <w:kinsoku w:val="0"/>
              <w:overflowPunct w:val="0"/>
              <w:autoSpaceDE w:val="0"/>
              <w:autoSpaceDN w:val="0"/>
              <w:adjustRightInd w:val="0"/>
              <w:spacing w:after="0" w:line="240" w:lineRule="auto"/>
              <w:ind w:left="118"/>
              <w:jc w:val="center"/>
              <w:rPr>
                <w:spacing w:val="-4"/>
                <w:lang w:eastAsia="en-US"/>
              </w:rPr>
            </w:pPr>
            <w:r w:rsidRPr="00F918EE">
              <w:rPr>
                <w:spacing w:val="-4"/>
                <w:lang w:eastAsia="en-US"/>
              </w:rPr>
              <w:t>7,1</w:t>
            </w:r>
          </w:p>
        </w:tc>
        <w:tc>
          <w:tcPr>
            <w:tcW w:w="1293" w:type="dxa"/>
          </w:tcPr>
          <w:p w14:paraId="39A12A91"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3,7</w:t>
            </w:r>
          </w:p>
        </w:tc>
        <w:tc>
          <w:tcPr>
            <w:tcW w:w="1298" w:type="dxa"/>
            <w:gridSpan w:val="2"/>
          </w:tcPr>
          <w:p w14:paraId="76EAD41D"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44,1</w:t>
            </w:r>
          </w:p>
        </w:tc>
        <w:tc>
          <w:tcPr>
            <w:tcW w:w="1293" w:type="dxa"/>
          </w:tcPr>
          <w:p w14:paraId="29D85BC4"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13,1</w:t>
            </w:r>
          </w:p>
        </w:tc>
      </w:tr>
      <w:tr w:rsidR="000859AF" w:rsidRPr="00F918EE" w14:paraId="608972C7" w14:textId="77777777" w:rsidTr="000859AF">
        <w:trPr>
          <w:trHeight w:val="242"/>
        </w:trPr>
        <w:tc>
          <w:tcPr>
            <w:tcW w:w="1418" w:type="dxa"/>
            <w:vMerge/>
            <w:vAlign w:val="center"/>
          </w:tcPr>
          <w:p w14:paraId="359C85B1"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50C1A0A8"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2F3D2034" w14:textId="77777777" w:rsidR="000859AF" w:rsidRPr="00F918EE" w:rsidRDefault="000859AF" w:rsidP="000859AF">
            <w:pPr>
              <w:kinsoku w:val="0"/>
              <w:overflowPunct w:val="0"/>
              <w:autoSpaceDE w:val="0"/>
              <w:autoSpaceDN w:val="0"/>
              <w:adjustRightInd w:val="0"/>
              <w:spacing w:after="0" w:line="240" w:lineRule="auto"/>
              <w:ind w:left="114"/>
              <w:jc w:val="center"/>
              <w:rPr>
                <w:spacing w:val="-4"/>
                <w:lang w:eastAsia="en-US"/>
              </w:rPr>
            </w:pPr>
            <w:r w:rsidRPr="00F918EE">
              <w:rPr>
                <w:spacing w:val="-4"/>
                <w:lang w:eastAsia="en-US"/>
              </w:rPr>
              <w:t>1,5</w:t>
            </w:r>
          </w:p>
        </w:tc>
        <w:tc>
          <w:tcPr>
            <w:tcW w:w="1298" w:type="dxa"/>
          </w:tcPr>
          <w:p w14:paraId="57093631" w14:textId="77777777" w:rsidR="000859AF" w:rsidRPr="00F918EE" w:rsidRDefault="000859AF" w:rsidP="000859AF">
            <w:pPr>
              <w:kinsoku w:val="0"/>
              <w:overflowPunct w:val="0"/>
              <w:autoSpaceDE w:val="0"/>
              <w:autoSpaceDN w:val="0"/>
              <w:adjustRightInd w:val="0"/>
              <w:spacing w:after="0" w:line="240" w:lineRule="auto"/>
              <w:ind w:left="115"/>
              <w:jc w:val="center"/>
              <w:rPr>
                <w:spacing w:val="-4"/>
                <w:w w:val="105"/>
                <w:lang w:eastAsia="en-US"/>
              </w:rPr>
            </w:pPr>
            <w:r w:rsidRPr="00F918EE">
              <w:rPr>
                <w:spacing w:val="-4"/>
                <w:w w:val="105"/>
                <w:lang w:eastAsia="en-US"/>
              </w:rPr>
              <w:t>14,4</w:t>
            </w:r>
          </w:p>
        </w:tc>
        <w:tc>
          <w:tcPr>
            <w:tcW w:w="1293" w:type="dxa"/>
          </w:tcPr>
          <w:p w14:paraId="1770E4B3" w14:textId="77777777" w:rsidR="000859AF" w:rsidRPr="00F918EE" w:rsidRDefault="000859AF" w:rsidP="000859AF">
            <w:pPr>
              <w:kinsoku w:val="0"/>
              <w:overflowPunct w:val="0"/>
              <w:autoSpaceDE w:val="0"/>
              <w:autoSpaceDN w:val="0"/>
              <w:adjustRightInd w:val="0"/>
              <w:spacing w:after="0" w:line="240" w:lineRule="auto"/>
              <w:ind w:left="120"/>
              <w:jc w:val="center"/>
              <w:rPr>
                <w:spacing w:val="-4"/>
                <w:lang w:eastAsia="en-US"/>
              </w:rPr>
            </w:pPr>
            <w:r w:rsidRPr="00F918EE">
              <w:rPr>
                <w:spacing w:val="-4"/>
                <w:lang w:eastAsia="en-US"/>
              </w:rPr>
              <w:t>10,6</w:t>
            </w:r>
          </w:p>
        </w:tc>
        <w:tc>
          <w:tcPr>
            <w:tcW w:w="1298" w:type="dxa"/>
            <w:gridSpan w:val="2"/>
          </w:tcPr>
          <w:p w14:paraId="610253E8"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92,7</w:t>
            </w:r>
          </w:p>
        </w:tc>
        <w:tc>
          <w:tcPr>
            <w:tcW w:w="1293" w:type="dxa"/>
          </w:tcPr>
          <w:p w14:paraId="3159E3EB"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50,8</w:t>
            </w:r>
          </w:p>
        </w:tc>
      </w:tr>
      <w:tr w:rsidR="000859AF" w:rsidRPr="00F918EE" w14:paraId="5C744434" w14:textId="77777777" w:rsidTr="000859AF">
        <w:trPr>
          <w:trHeight w:val="261"/>
        </w:trPr>
        <w:tc>
          <w:tcPr>
            <w:tcW w:w="1418" w:type="dxa"/>
            <w:vMerge w:val="restart"/>
            <w:vAlign w:val="center"/>
          </w:tcPr>
          <w:p w14:paraId="14053647" w14:textId="77777777" w:rsidR="000859AF" w:rsidRPr="00F918EE" w:rsidRDefault="000859AF" w:rsidP="000859AF">
            <w:pPr>
              <w:kinsoku w:val="0"/>
              <w:overflowPunct w:val="0"/>
              <w:autoSpaceDE w:val="0"/>
              <w:autoSpaceDN w:val="0"/>
              <w:adjustRightInd w:val="0"/>
              <w:spacing w:after="0" w:line="240" w:lineRule="auto"/>
              <w:ind w:left="118"/>
              <w:jc w:val="left"/>
              <w:rPr>
                <w:spacing w:val="-4"/>
                <w:lang w:eastAsia="en-US"/>
              </w:rPr>
            </w:pPr>
            <w:r w:rsidRPr="00F918EE">
              <w:rPr>
                <w:spacing w:val="-4"/>
                <w:lang w:eastAsia="en-US"/>
              </w:rPr>
              <w:t>Крысы</w:t>
            </w:r>
          </w:p>
        </w:tc>
        <w:tc>
          <w:tcPr>
            <w:tcW w:w="1701" w:type="dxa"/>
            <w:vMerge w:val="restart"/>
            <w:vAlign w:val="center"/>
          </w:tcPr>
          <w:p w14:paraId="2700108B" w14:textId="77777777" w:rsidR="000859AF" w:rsidRPr="00F918EE" w:rsidRDefault="000859AF" w:rsidP="000859AF">
            <w:pPr>
              <w:kinsoku w:val="0"/>
              <w:overflowPunct w:val="0"/>
              <w:autoSpaceDE w:val="0"/>
              <w:autoSpaceDN w:val="0"/>
              <w:adjustRightInd w:val="0"/>
              <w:spacing w:after="0" w:line="240" w:lineRule="auto"/>
              <w:ind w:left="113"/>
              <w:jc w:val="center"/>
              <w:rPr>
                <w:w w:val="105"/>
                <w:lang w:eastAsia="en-US"/>
              </w:rPr>
            </w:pPr>
            <w:r w:rsidRPr="00F918EE">
              <w:rPr>
                <w:spacing w:val="-2"/>
                <w:w w:val="105"/>
                <w:lang w:eastAsia="en-US"/>
              </w:rPr>
              <w:t>Перорально</w:t>
            </w:r>
            <w:r w:rsidRPr="00F918EE">
              <w:rPr>
                <w:spacing w:val="-2"/>
                <w:w w:val="110"/>
                <w:lang w:eastAsia="en-US"/>
              </w:rPr>
              <w:t xml:space="preserve"> </w:t>
            </w:r>
            <w:r w:rsidRPr="00F918EE">
              <w:rPr>
                <w:w w:val="105"/>
                <w:lang w:eastAsia="en-US"/>
              </w:rPr>
              <w:t xml:space="preserve">/ 13 </w:t>
            </w:r>
            <w:r w:rsidRPr="00F918EE">
              <w:rPr>
                <w:spacing w:val="-4"/>
                <w:w w:val="105"/>
                <w:lang w:eastAsia="en-US"/>
              </w:rPr>
              <w:t>недель</w:t>
            </w:r>
          </w:p>
        </w:tc>
        <w:tc>
          <w:tcPr>
            <w:tcW w:w="1020" w:type="dxa"/>
          </w:tcPr>
          <w:p w14:paraId="48877AAA" w14:textId="77777777" w:rsidR="000859AF" w:rsidRPr="00F918EE" w:rsidRDefault="000859AF" w:rsidP="000859AF">
            <w:pPr>
              <w:kinsoku w:val="0"/>
              <w:overflowPunct w:val="0"/>
              <w:autoSpaceDE w:val="0"/>
              <w:autoSpaceDN w:val="0"/>
              <w:adjustRightInd w:val="0"/>
              <w:spacing w:after="0" w:line="240" w:lineRule="auto"/>
              <w:ind w:left="112"/>
              <w:jc w:val="center"/>
              <w:rPr>
                <w:spacing w:val="-4"/>
                <w:w w:val="105"/>
                <w:lang w:eastAsia="en-US"/>
              </w:rPr>
            </w:pPr>
            <w:r w:rsidRPr="00F918EE">
              <w:rPr>
                <w:spacing w:val="-4"/>
                <w:w w:val="105"/>
                <w:lang w:eastAsia="en-US"/>
              </w:rPr>
              <w:t>0,1</w:t>
            </w:r>
          </w:p>
        </w:tc>
        <w:tc>
          <w:tcPr>
            <w:tcW w:w="1298" w:type="dxa"/>
          </w:tcPr>
          <w:p w14:paraId="1079A141"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4"/>
                <w:w w:val="105"/>
                <w:lang w:eastAsia="en-US"/>
              </w:rPr>
              <w:t>2,8</w:t>
            </w:r>
          </w:p>
        </w:tc>
        <w:tc>
          <w:tcPr>
            <w:tcW w:w="1293" w:type="dxa"/>
            <w:vMerge w:val="restart"/>
          </w:tcPr>
          <w:p w14:paraId="252BF7C2"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8" w:type="dxa"/>
            <w:gridSpan w:val="2"/>
          </w:tcPr>
          <w:p w14:paraId="22CC8959"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9,9</w:t>
            </w:r>
          </w:p>
        </w:tc>
        <w:tc>
          <w:tcPr>
            <w:tcW w:w="1293" w:type="dxa"/>
            <w:vMerge w:val="restart"/>
          </w:tcPr>
          <w:p w14:paraId="1BBDD3D5"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r>
      <w:tr w:rsidR="000859AF" w:rsidRPr="00F918EE" w14:paraId="301B76CF" w14:textId="77777777" w:rsidTr="000859AF">
        <w:trPr>
          <w:trHeight w:val="242"/>
        </w:trPr>
        <w:tc>
          <w:tcPr>
            <w:tcW w:w="1418" w:type="dxa"/>
            <w:vMerge/>
            <w:vAlign w:val="center"/>
          </w:tcPr>
          <w:p w14:paraId="73697713"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3009FB3B" w14:textId="77777777" w:rsidR="000859AF" w:rsidRPr="00F918EE" w:rsidRDefault="000859AF" w:rsidP="000859AF">
            <w:pPr>
              <w:kinsoku w:val="0"/>
              <w:overflowPunct w:val="0"/>
              <w:autoSpaceDE w:val="0"/>
              <w:autoSpaceDN w:val="0"/>
              <w:adjustRightInd w:val="0"/>
              <w:spacing w:after="0" w:line="240" w:lineRule="auto"/>
              <w:ind w:left="113"/>
              <w:jc w:val="center"/>
              <w:rPr>
                <w:spacing w:val="-2"/>
                <w:w w:val="105"/>
                <w:lang w:eastAsia="en-US"/>
              </w:rPr>
            </w:pPr>
          </w:p>
        </w:tc>
        <w:tc>
          <w:tcPr>
            <w:tcW w:w="1020" w:type="dxa"/>
          </w:tcPr>
          <w:p w14:paraId="09F7CC7F"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0,5</w:t>
            </w:r>
          </w:p>
        </w:tc>
        <w:tc>
          <w:tcPr>
            <w:tcW w:w="1298" w:type="dxa"/>
          </w:tcPr>
          <w:p w14:paraId="026CD13F"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8,4</w:t>
            </w:r>
          </w:p>
        </w:tc>
        <w:tc>
          <w:tcPr>
            <w:tcW w:w="1293" w:type="dxa"/>
            <w:vMerge/>
          </w:tcPr>
          <w:p w14:paraId="23A41EB4"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8" w:type="dxa"/>
            <w:gridSpan w:val="2"/>
          </w:tcPr>
          <w:p w14:paraId="6A3A9770" w14:textId="77777777" w:rsidR="000859AF" w:rsidRPr="00F918EE" w:rsidRDefault="000859AF" w:rsidP="000859AF">
            <w:pPr>
              <w:kinsoku w:val="0"/>
              <w:overflowPunct w:val="0"/>
              <w:autoSpaceDE w:val="0"/>
              <w:autoSpaceDN w:val="0"/>
              <w:adjustRightInd w:val="0"/>
              <w:spacing w:after="0" w:line="240" w:lineRule="auto"/>
              <w:ind w:left="121"/>
              <w:jc w:val="center"/>
              <w:rPr>
                <w:spacing w:val="-6"/>
                <w:w w:val="105"/>
                <w:lang w:eastAsia="en-US"/>
              </w:rPr>
            </w:pPr>
            <w:r w:rsidRPr="00F918EE">
              <w:rPr>
                <w:spacing w:val="-6"/>
                <w:w w:val="105"/>
                <w:lang w:eastAsia="en-US"/>
              </w:rPr>
              <w:t>52</w:t>
            </w:r>
          </w:p>
        </w:tc>
        <w:tc>
          <w:tcPr>
            <w:tcW w:w="1293" w:type="dxa"/>
            <w:vMerge/>
          </w:tcPr>
          <w:p w14:paraId="64D08F6F"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r>
      <w:tr w:rsidR="000859AF" w:rsidRPr="00F918EE" w14:paraId="45B4AD38" w14:textId="77777777" w:rsidTr="000859AF">
        <w:trPr>
          <w:trHeight w:val="234"/>
        </w:trPr>
        <w:tc>
          <w:tcPr>
            <w:tcW w:w="1418" w:type="dxa"/>
            <w:vMerge/>
            <w:vAlign w:val="center"/>
          </w:tcPr>
          <w:p w14:paraId="28A9A2BD"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ED507B4" w14:textId="77777777" w:rsidR="000859AF" w:rsidRPr="00F918EE" w:rsidRDefault="000859AF" w:rsidP="000859AF">
            <w:pPr>
              <w:kinsoku w:val="0"/>
              <w:overflowPunct w:val="0"/>
              <w:autoSpaceDE w:val="0"/>
              <w:autoSpaceDN w:val="0"/>
              <w:adjustRightInd w:val="0"/>
              <w:spacing w:after="0" w:line="240" w:lineRule="auto"/>
              <w:ind w:left="113"/>
              <w:jc w:val="center"/>
              <w:rPr>
                <w:spacing w:val="-4"/>
                <w:w w:val="105"/>
                <w:lang w:eastAsia="en-US"/>
              </w:rPr>
            </w:pPr>
          </w:p>
        </w:tc>
        <w:tc>
          <w:tcPr>
            <w:tcW w:w="1020" w:type="dxa"/>
          </w:tcPr>
          <w:p w14:paraId="1D952C1B" w14:textId="77777777" w:rsidR="000859AF" w:rsidRPr="00F918EE" w:rsidRDefault="000859AF" w:rsidP="000859AF">
            <w:pPr>
              <w:kinsoku w:val="0"/>
              <w:overflowPunct w:val="0"/>
              <w:autoSpaceDE w:val="0"/>
              <w:autoSpaceDN w:val="0"/>
              <w:adjustRightInd w:val="0"/>
              <w:spacing w:after="0" w:line="240" w:lineRule="auto"/>
              <w:ind w:left="114"/>
              <w:jc w:val="center"/>
              <w:rPr>
                <w:w w:val="105"/>
                <w:lang w:eastAsia="en-US"/>
              </w:rPr>
            </w:pPr>
            <w:r w:rsidRPr="00F918EE">
              <w:rPr>
                <w:w w:val="105"/>
                <w:lang w:eastAsia="en-US"/>
              </w:rPr>
              <w:t>5</w:t>
            </w:r>
          </w:p>
        </w:tc>
        <w:tc>
          <w:tcPr>
            <w:tcW w:w="1298" w:type="dxa"/>
          </w:tcPr>
          <w:p w14:paraId="7EC9C59F"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40,4</w:t>
            </w:r>
          </w:p>
        </w:tc>
        <w:tc>
          <w:tcPr>
            <w:tcW w:w="1293" w:type="dxa"/>
            <w:vMerge/>
          </w:tcPr>
          <w:p w14:paraId="1DAF5F59"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298" w:type="dxa"/>
            <w:gridSpan w:val="2"/>
          </w:tcPr>
          <w:p w14:paraId="6BE99319" w14:textId="77777777" w:rsidR="000859AF" w:rsidRPr="00F918EE" w:rsidRDefault="000859AF" w:rsidP="000859AF">
            <w:pPr>
              <w:kinsoku w:val="0"/>
              <w:overflowPunct w:val="0"/>
              <w:autoSpaceDE w:val="0"/>
              <w:autoSpaceDN w:val="0"/>
              <w:adjustRightInd w:val="0"/>
              <w:spacing w:after="0" w:line="240" w:lineRule="auto"/>
              <w:ind w:left="119"/>
              <w:jc w:val="center"/>
              <w:rPr>
                <w:spacing w:val="-4"/>
                <w:w w:val="105"/>
                <w:lang w:eastAsia="en-US"/>
              </w:rPr>
            </w:pPr>
            <w:r w:rsidRPr="00F918EE">
              <w:rPr>
                <w:spacing w:val="-4"/>
                <w:w w:val="105"/>
                <w:lang w:eastAsia="en-US"/>
              </w:rPr>
              <w:t>415</w:t>
            </w:r>
          </w:p>
        </w:tc>
        <w:tc>
          <w:tcPr>
            <w:tcW w:w="1293" w:type="dxa"/>
            <w:vMerge/>
          </w:tcPr>
          <w:p w14:paraId="7ABD2801"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r>
      <w:tr w:rsidR="000859AF" w:rsidRPr="00F918EE" w14:paraId="7A30B3F0" w14:textId="77777777" w:rsidTr="000859AF">
        <w:trPr>
          <w:trHeight w:val="271"/>
        </w:trPr>
        <w:tc>
          <w:tcPr>
            <w:tcW w:w="1418" w:type="dxa"/>
            <w:vMerge w:val="restart"/>
            <w:vAlign w:val="center"/>
          </w:tcPr>
          <w:p w14:paraId="3F6604C0" w14:textId="77777777" w:rsidR="000859AF" w:rsidRPr="00F918EE" w:rsidRDefault="000859AF" w:rsidP="000859AF">
            <w:pPr>
              <w:kinsoku w:val="0"/>
              <w:overflowPunct w:val="0"/>
              <w:autoSpaceDE w:val="0"/>
              <w:autoSpaceDN w:val="0"/>
              <w:adjustRightInd w:val="0"/>
              <w:spacing w:after="0" w:line="240" w:lineRule="auto"/>
              <w:ind w:left="118"/>
              <w:jc w:val="left"/>
              <w:rPr>
                <w:spacing w:val="-4"/>
                <w:lang w:eastAsia="en-US"/>
              </w:rPr>
            </w:pPr>
            <w:r w:rsidRPr="00F918EE">
              <w:rPr>
                <w:spacing w:val="-4"/>
                <w:lang w:eastAsia="en-US"/>
              </w:rPr>
              <w:t>Крысы</w:t>
            </w:r>
          </w:p>
        </w:tc>
        <w:tc>
          <w:tcPr>
            <w:tcW w:w="1701" w:type="dxa"/>
            <w:vMerge w:val="restart"/>
            <w:vAlign w:val="center"/>
          </w:tcPr>
          <w:p w14:paraId="47D1178F" w14:textId="77777777" w:rsidR="000859AF" w:rsidRPr="00F918EE" w:rsidRDefault="000859AF" w:rsidP="000859AF">
            <w:pPr>
              <w:kinsoku w:val="0"/>
              <w:overflowPunct w:val="0"/>
              <w:autoSpaceDE w:val="0"/>
              <w:autoSpaceDN w:val="0"/>
              <w:adjustRightInd w:val="0"/>
              <w:spacing w:after="0" w:line="240" w:lineRule="auto"/>
              <w:ind w:left="116"/>
              <w:jc w:val="center"/>
              <w:rPr>
                <w:spacing w:val="-2"/>
                <w:w w:val="105"/>
                <w:lang w:eastAsia="en-US"/>
              </w:rPr>
            </w:pPr>
            <w:r w:rsidRPr="00F918EE">
              <w:rPr>
                <w:spacing w:val="-2"/>
                <w:w w:val="105"/>
                <w:lang w:eastAsia="en-US"/>
              </w:rPr>
              <w:t>Перорально</w:t>
            </w:r>
            <w:r w:rsidRPr="00F918EE">
              <w:rPr>
                <w:spacing w:val="-2"/>
                <w:w w:val="110"/>
                <w:lang w:eastAsia="en-US"/>
              </w:rPr>
              <w:t xml:space="preserve"> </w:t>
            </w:r>
            <w:r w:rsidRPr="00F918EE">
              <w:rPr>
                <w:spacing w:val="-2"/>
                <w:w w:val="105"/>
                <w:lang w:eastAsia="en-US"/>
              </w:rPr>
              <w:t xml:space="preserve">/ 104 </w:t>
            </w:r>
            <w:r w:rsidRPr="00F918EE">
              <w:rPr>
                <w:spacing w:val="-4"/>
                <w:w w:val="105"/>
                <w:lang w:eastAsia="en-US"/>
              </w:rPr>
              <w:t>недели</w:t>
            </w:r>
          </w:p>
        </w:tc>
        <w:tc>
          <w:tcPr>
            <w:tcW w:w="1020" w:type="dxa"/>
          </w:tcPr>
          <w:p w14:paraId="3B81B2AC"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0,1</w:t>
            </w:r>
          </w:p>
        </w:tc>
        <w:tc>
          <w:tcPr>
            <w:tcW w:w="1298" w:type="dxa"/>
          </w:tcPr>
          <w:p w14:paraId="79B055A2"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0,5</w:t>
            </w:r>
          </w:p>
        </w:tc>
        <w:tc>
          <w:tcPr>
            <w:tcW w:w="1293" w:type="dxa"/>
          </w:tcPr>
          <w:p w14:paraId="7CD2304B" w14:textId="77777777" w:rsidR="000859AF" w:rsidRPr="00F918EE" w:rsidRDefault="000859AF" w:rsidP="000859AF">
            <w:pPr>
              <w:kinsoku w:val="0"/>
              <w:overflowPunct w:val="0"/>
              <w:autoSpaceDE w:val="0"/>
              <w:autoSpaceDN w:val="0"/>
              <w:adjustRightInd w:val="0"/>
              <w:spacing w:after="0" w:line="240" w:lineRule="auto"/>
              <w:ind w:left="123"/>
              <w:jc w:val="center"/>
              <w:rPr>
                <w:spacing w:val="-4"/>
                <w:lang w:eastAsia="en-US"/>
              </w:rPr>
            </w:pPr>
            <w:r w:rsidRPr="00F918EE">
              <w:rPr>
                <w:spacing w:val="-4"/>
                <w:lang w:eastAsia="en-US"/>
              </w:rPr>
              <w:t>0,4</w:t>
            </w:r>
          </w:p>
        </w:tc>
        <w:tc>
          <w:tcPr>
            <w:tcW w:w="1298" w:type="dxa"/>
            <w:gridSpan w:val="2"/>
          </w:tcPr>
          <w:p w14:paraId="2693A49C"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2,5</w:t>
            </w:r>
          </w:p>
        </w:tc>
        <w:tc>
          <w:tcPr>
            <w:tcW w:w="1293" w:type="dxa"/>
          </w:tcPr>
          <w:p w14:paraId="091EB5CA" w14:textId="77777777" w:rsidR="000859AF" w:rsidRPr="00F918EE" w:rsidRDefault="000859AF" w:rsidP="000859AF">
            <w:pPr>
              <w:kinsoku w:val="0"/>
              <w:overflowPunct w:val="0"/>
              <w:autoSpaceDE w:val="0"/>
              <w:autoSpaceDN w:val="0"/>
              <w:adjustRightInd w:val="0"/>
              <w:spacing w:after="0" w:line="240" w:lineRule="auto"/>
              <w:ind w:left="121"/>
              <w:jc w:val="center"/>
              <w:rPr>
                <w:spacing w:val="-4"/>
                <w:w w:val="105"/>
                <w:lang w:eastAsia="en-US"/>
              </w:rPr>
            </w:pPr>
            <w:r w:rsidRPr="00F918EE">
              <w:rPr>
                <w:spacing w:val="-4"/>
                <w:w w:val="105"/>
                <w:lang w:eastAsia="en-US"/>
              </w:rPr>
              <w:t>1,0</w:t>
            </w:r>
          </w:p>
        </w:tc>
      </w:tr>
      <w:tr w:rsidR="000859AF" w:rsidRPr="00F918EE" w14:paraId="1B671DEA" w14:textId="77777777" w:rsidTr="000859AF">
        <w:trPr>
          <w:trHeight w:val="259"/>
        </w:trPr>
        <w:tc>
          <w:tcPr>
            <w:tcW w:w="1418" w:type="dxa"/>
            <w:vMerge/>
            <w:vAlign w:val="center"/>
          </w:tcPr>
          <w:p w14:paraId="3973E8D0"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2EB73952" w14:textId="77777777" w:rsidR="000859AF" w:rsidRPr="00F918EE" w:rsidRDefault="000859AF" w:rsidP="000859AF">
            <w:pPr>
              <w:kinsoku w:val="0"/>
              <w:overflowPunct w:val="0"/>
              <w:autoSpaceDE w:val="0"/>
              <w:autoSpaceDN w:val="0"/>
              <w:adjustRightInd w:val="0"/>
              <w:spacing w:after="0" w:line="240" w:lineRule="auto"/>
              <w:ind w:left="114"/>
              <w:jc w:val="center"/>
              <w:rPr>
                <w:spacing w:val="-4"/>
                <w:w w:val="105"/>
                <w:lang w:eastAsia="en-US"/>
              </w:rPr>
            </w:pPr>
          </w:p>
        </w:tc>
        <w:tc>
          <w:tcPr>
            <w:tcW w:w="1020" w:type="dxa"/>
          </w:tcPr>
          <w:p w14:paraId="461EDCC0"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0,3</w:t>
            </w:r>
          </w:p>
        </w:tc>
        <w:tc>
          <w:tcPr>
            <w:tcW w:w="1298" w:type="dxa"/>
          </w:tcPr>
          <w:p w14:paraId="2907830D" w14:textId="77777777" w:rsidR="000859AF" w:rsidRPr="00F918EE" w:rsidRDefault="000859AF" w:rsidP="000859AF">
            <w:pPr>
              <w:kinsoku w:val="0"/>
              <w:overflowPunct w:val="0"/>
              <w:autoSpaceDE w:val="0"/>
              <w:autoSpaceDN w:val="0"/>
              <w:adjustRightInd w:val="0"/>
              <w:spacing w:after="0" w:line="240" w:lineRule="auto"/>
              <w:ind w:left="116"/>
              <w:jc w:val="center"/>
              <w:rPr>
                <w:spacing w:val="-4"/>
                <w:lang w:eastAsia="en-US"/>
              </w:rPr>
            </w:pPr>
            <w:r w:rsidRPr="00F918EE">
              <w:rPr>
                <w:spacing w:val="-4"/>
                <w:lang w:eastAsia="en-US"/>
              </w:rPr>
              <w:t>2,1</w:t>
            </w:r>
          </w:p>
        </w:tc>
        <w:tc>
          <w:tcPr>
            <w:tcW w:w="1293" w:type="dxa"/>
          </w:tcPr>
          <w:p w14:paraId="203B4046" w14:textId="77777777" w:rsidR="000859AF" w:rsidRPr="00F918EE" w:rsidRDefault="000859AF" w:rsidP="000859AF">
            <w:pPr>
              <w:kinsoku w:val="0"/>
              <w:overflowPunct w:val="0"/>
              <w:autoSpaceDE w:val="0"/>
              <w:autoSpaceDN w:val="0"/>
              <w:adjustRightInd w:val="0"/>
              <w:spacing w:after="0" w:line="240" w:lineRule="auto"/>
              <w:ind w:left="120"/>
              <w:jc w:val="center"/>
              <w:rPr>
                <w:spacing w:val="-4"/>
                <w:w w:val="105"/>
                <w:lang w:eastAsia="en-US"/>
              </w:rPr>
            </w:pPr>
            <w:r w:rsidRPr="00F918EE">
              <w:rPr>
                <w:spacing w:val="-4"/>
                <w:w w:val="105"/>
                <w:lang w:eastAsia="en-US"/>
              </w:rPr>
              <w:t>1,2</w:t>
            </w:r>
          </w:p>
        </w:tc>
        <w:tc>
          <w:tcPr>
            <w:tcW w:w="1298" w:type="dxa"/>
            <w:gridSpan w:val="2"/>
          </w:tcPr>
          <w:p w14:paraId="1C1D79E6"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25,7</w:t>
            </w:r>
          </w:p>
        </w:tc>
        <w:tc>
          <w:tcPr>
            <w:tcW w:w="1293" w:type="dxa"/>
          </w:tcPr>
          <w:p w14:paraId="31DA366F" w14:textId="77777777" w:rsidR="000859AF" w:rsidRPr="00F918EE" w:rsidRDefault="000859AF" w:rsidP="000859AF">
            <w:pPr>
              <w:kinsoku w:val="0"/>
              <w:overflowPunct w:val="0"/>
              <w:autoSpaceDE w:val="0"/>
              <w:autoSpaceDN w:val="0"/>
              <w:adjustRightInd w:val="0"/>
              <w:spacing w:after="0" w:line="240" w:lineRule="auto"/>
              <w:ind w:left="121"/>
              <w:jc w:val="center"/>
              <w:rPr>
                <w:spacing w:val="-4"/>
                <w:lang w:eastAsia="en-US"/>
              </w:rPr>
            </w:pPr>
            <w:r w:rsidRPr="00F918EE">
              <w:rPr>
                <w:spacing w:val="-4"/>
                <w:lang w:eastAsia="en-US"/>
              </w:rPr>
              <w:t>11,4</w:t>
            </w:r>
          </w:p>
        </w:tc>
      </w:tr>
      <w:tr w:rsidR="000859AF" w:rsidRPr="00F918EE" w14:paraId="18B48ABC" w14:textId="77777777" w:rsidTr="000859AF">
        <w:trPr>
          <w:trHeight w:val="242"/>
        </w:trPr>
        <w:tc>
          <w:tcPr>
            <w:tcW w:w="1418" w:type="dxa"/>
            <w:vMerge/>
            <w:vAlign w:val="center"/>
          </w:tcPr>
          <w:p w14:paraId="5DF34876"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592FC862"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19273890"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0,9</w:t>
            </w:r>
          </w:p>
        </w:tc>
        <w:tc>
          <w:tcPr>
            <w:tcW w:w="1298" w:type="dxa"/>
          </w:tcPr>
          <w:p w14:paraId="10B1A171"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8,9</w:t>
            </w:r>
          </w:p>
        </w:tc>
        <w:tc>
          <w:tcPr>
            <w:tcW w:w="1293" w:type="dxa"/>
          </w:tcPr>
          <w:p w14:paraId="098B1737"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9,7</w:t>
            </w:r>
          </w:p>
        </w:tc>
        <w:tc>
          <w:tcPr>
            <w:tcW w:w="1298" w:type="dxa"/>
            <w:gridSpan w:val="2"/>
          </w:tcPr>
          <w:p w14:paraId="38063E12" w14:textId="77777777" w:rsidR="000859AF" w:rsidRPr="00F918EE" w:rsidRDefault="000859AF" w:rsidP="000859AF">
            <w:pPr>
              <w:kinsoku w:val="0"/>
              <w:overflowPunct w:val="0"/>
              <w:autoSpaceDE w:val="0"/>
              <w:autoSpaceDN w:val="0"/>
              <w:adjustRightInd w:val="0"/>
              <w:spacing w:after="0" w:line="240" w:lineRule="auto"/>
              <w:ind w:left="121"/>
              <w:jc w:val="center"/>
              <w:rPr>
                <w:spacing w:val="-2"/>
                <w:lang w:eastAsia="en-US"/>
              </w:rPr>
            </w:pPr>
            <w:r w:rsidRPr="00F918EE">
              <w:rPr>
                <w:spacing w:val="-2"/>
                <w:lang w:eastAsia="en-US"/>
              </w:rPr>
              <w:t>138,2</w:t>
            </w:r>
          </w:p>
        </w:tc>
        <w:tc>
          <w:tcPr>
            <w:tcW w:w="1293" w:type="dxa"/>
          </w:tcPr>
          <w:p w14:paraId="62880F01" w14:textId="77777777" w:rsidR="000859AF" w:rsidRPr="00F918EE" w:rsidRDefault="000859AF" w:rsidP="000859AF">
            <w:pPr>
              <w:kinsoku w:val="0"/>
              <w:overflowPunct w:val="0"/>
              <w:autoSpaceDE w:val="0"/>
              <w:autoSpaceDN w:val="0"/>
              <w:adjustRightInd w:val="0"/>
              <w:spacing w:after="0" w:line="240" w:lineRule="auto"/>
              <w:ind w:left="119"/>
              <w:jc w:val="center"/>
              <w:rPr>
                <w:spacing w:val="-4"/>
                <w:w w:val="105"/>
                <w:lang w:eastAsia="en-US"/>
              </w:rPr>
            </w:pPr>
            <w:r w:rsidRPr="00F918EE">
              <w:rPr>
                <w:spacing w:val="-4"/>
                <w:w w:val="105"/>
                <w:lang w:eastAsia="en-US"/>
              </w:rPr>
              <w:t>42,9</w:t>
            </w:r>
          </w:p>
        </w:tc>
      </w:tr>
      <w:tr w:rsidR="000859AF" w:rsidRPr="00F918EE" w14:paraId="73C0F4A5" w14:textId="77777777" w:rsidTr="000859AF">
        <w:trPr>
          <w:trHeight w:val="269"/>
        </w:trPr>
        <w:tc>
          <w:tcPr>
            <w:tcW w:w="1418" w:type="dxa"/>
            <w:vMerge w:val="restart"/>
            <w:vAlign w:val="center"/>
          </w:tcPr>
          <w:p w14:paraId="613AFAF4" w14:textId="77777777" w:rsidR="000859AF" w:rsidRPr="00F918EE" w:rsidRDefault="000859AF" w:rsidP="000859AF">
            <w:pPr>
              <w:kinsoku w:val="0"/>
              <w:overflowPunct w:val="0"/>
              <w:autoSpaceDE w:val="0"/>
              <w:autoSpaceDN w:val="0"/>
              <w:adjustRightInd w:val="0"/>
              <w:spacing w:after="0" w:line="240" w:lineRule="auto"/>
              <w:ind w:left="122"/>
              <w:jc w:val="left"/>
              <w:rPr>
                <w:spacing w:val="-2"/>
                <w:lang w:eastAsia="en-US"/>
              </w:rPr>
            </w:pPr>
            <w:r w:rsidRPr="00F918EE">
              <w:rPr>
                <w:spacing w:val="-2"/>
                <w:lang w:eastAsia="en-US"/>
              </w:rPr>
              <w:t>Обезьяны</w:t>
            </w:r>
          </w:p>
        </w:tc>
        <w:tc>
          <w:tcPr>
            <w:tcW w:w="1701" w:type="dxa"/>
            <w:vMerge w:val="restart"/>
            <w:vAlign w:val="center"/>
          </w:tcPr>
          <w:p w14:paraId="2EBA465F" w14:textId="77777777" w:rsidR="000859AF" w:rsidRPr="00F918EE" w:rsidRDefault="000859AF" w:rsidP="000859AF">
            <w:pPr>
              <w:kinsoku w:val="0"/>
              <w:overflowPunct w:val="0"/>
              <w:autoSpaceDE w:val="0"/>
              <w:autoSpaceDN w:val="0"/>
              <w:adjustRightInd w:val="0"/>
              <w:spacing w:after="0" w:line="240" w:lineRule="auto"/>
              <w:ind w:left="116"/>
              <w:jc w:val="center"/>
              <w:rPr>
                <w:spacing w:val="-2"/>
                <w:w w:val="110"/>
                <w:lang w:eastAsia="en-US"/>
              </w:rPr>
            </w:pPr>
            <w:r w:rsidRPr="00F918EE">
              <w:rPr>
                <w:spacing w:val="-2"/>
                <w:w w:val="105"/>
                <w:lang w:eastAsia="en-US"/>
              </w:rPr>
              <w:t>Перорально</w:t>
            </w:r>
            <w:r w:rsidRPr="00F918EE">
              <w:rPr>
                <w:spacing w:val="-2"/>
                <w:w w:val="110"/>
                <w:lang w:eastAsia="en-US"/>
              </w:rPr>
              <w:t xml:space="preserve"> / 4 </w:t>
            </w:r>
            <w:r w:rsidRPr="00F918EE">
              <w:rPr>
                <w:spacing w:val="-4"/>
                <w:w w:val="105"/>
                <w:lang w:eastAsia="en-US"/>
              </w:rPr>
              <w:t>недели</w:t>
            </w:r>
          </w:p>
        </w:tc>
        <w:tc>
          <w:tcPr>
            <w:tcW w:w="1020" w:type="dxa"/>
          </w:tcPr>
          <w:p w14:paraId="3B2A7B49" w14:textId="77777777" w:rsidR="000859AF" w:rsidRPr="00F918EE" w:rsidRDefault="000859AF" w:rsidP="000859AF">
            <w:pPr>
              <w:kinsoku w:val="0"/>
              <w:overflowPunct w:val="0"/>
              <w:autoSpaceDE w:val="0"/>
              <w:autoSpaceDN w:val="0"/>
              <w:adjustRightInd w:val="0"/>
              <w:spacing w:after="0" w:line="240" w:lineRule="auto"/>
              <w:ind w:left="119"/>
              <w:jc w:val="center"/>
              <w:rPr>
                <w:spacing w:val="-4"/>
                <w:w w:val="105"/>
                <w:lang w:eastAsia="en-US"/>
              </w:rPr>
            </w:pPr>
            <w:r w:rsidRPr="00F918EE">
              <w:rPr>
                <w:spacing w:val="-4"/>
                <w:w w:val="105"/>
                <w:lang w:eastAsia="en-US"/>
              </w:rPr>
              <w:t>1,5</w:t>
            </w:r>
          </w:p>
        </w:tc>
        <w:tc>
          <w:tcPr>
            <w:tcW w:w="1298" w:type="dxa"/>
          </w:tcPr>
          <w:p w14:paraId="67C87203" w14:textId="77777777" w:rsidR="000859AF" w:rsidRPr="00F918EE" w:rsidRDefault="000859AF" w:rsidP="000859AF">
            <w:pPr>
              <w:kinsoku w:val="0"/>
              <w:overflowPunct w:val="0"/>
              <w:autoSpaceDE w:val="0"/>
              <w:autoSpaceDN w:val="0"/>
              <w:adjustRightInd w:val="0"/>
              <w:spacing w:after="0" w:line="240" w:lineRule="auto"/>
              <w:ind w:left="122"/>
              <w:jc w:val="center"/>
              <w:rPr>
                <w:spacing w:val="-4"/>
                <w:lang w:eastAsia="en-US"/>
              </w:rPr>
            </w:pPr>
            <w:r w:rsidRPr="00F918EE">
              <w:rPr>
                <w:spacing w:val="-4"/>
                <w:lang w:eastAsia="en-US"/>
              </w:rPr>
              <w:t>94,5</w:t>
            </w:r>
          </w:p>
        </w:tc>
        <w:tc>
          <w:tcPr>
            <w:tcW w:w="1293" w:type="dxa"/>
          </w:tcPr>
          <w:p w14:paraId="0FCADCC5" w14:textId="77777777" w:rsidR="000859AF" w:rsidRPr="00F918EE" w:rsidRDefault="000859AF" w:rsidP="000859AF">
            <w:pPr>
              <w:kinsoku w:val="0"/>
              <w:overflowPunct w:val="0"/>
              <w:autoSpaceDE w:val="0"/>
              <w:autoSpaceDN w:val="0"/>
              <w:adjustRightInd w:val="0"/>
              <w:spacing w:after="0" w:line="240" w:lineRule="auto"/>
              <w:ind w:left="125"/>
              <w:jc w:val="center"/>
              <w:rPr>
                <w:spacing w:val="-2"/>
                <w:lang w:eastAsia="en-US"/>
              </w:rPr>
            </w:pPr>
            <w:r w:rsidRPr="00F918EE">
              <w:rPr>
                <w:spacing w:val="-2"/>
                <w:lang w:eastAsia="en-US"/>
              </w:rPr>
              <w:t>130,7</w:t>
            </w:r>
          </w:p>
        </w:tc>
        <w:tc>
          <w:tcPr>
            <w:tcW w:w="1298" w:type="dxa"/>
            <w:gridSpan w:val="2"/>
          </w:tcPr>
          <w:p w14:paraId="748438D2" w14:textId="77777777" w:rsidR="000859AF" w:rsidRPr="00F918EE" w:rsidRDefault="000859AF" w:rsidP="000859AF">
            <w:pPr>
              <w:kinsoku w:val="0"/>
              <w:overflowPunct w:val="0"/>
              <w:autoSpaceDE w:val="0"/>
              <w:autoSpaceDN w:val="0"/>
              <w:adjustRightInd w:val="0"/>
              <w:spacing w:after="0" w:line="240" w:lineRule="auto"/>
              <w:ind w:left="123"/>
              <w:jc w:val="center"/>
              <w:rPr>
                <w:spacing w:val="-2"/>
                <w:w w:val="105"/>
                <w:lang w:eastAsia="en-US"/>
              </w:rPr>
            </w:pPr>
            <w:r w:rsidRPr="00F918EE">
              <w:rPr>
                <w:spacing w:val="-2"/>
                <w:w w:val="105"/>
                <w:lang w:eastAsia="en-US"/>
              </w:rPr>
              <w:t>973,2</w:t>
            </w:r>
          </w:p>
        </w:tc>
        <w:tc>
          <w:tcPr>
            <w:tcW w:w="1293" w:type="dxa"/>
          </w:tcPr>
          <w:p w14:paraId="0F84C687" w14:textId="77777777" w:rsidR="000859AF" w:rsidRPr="00F918EE" w:rsidRDefault="000859AF" w:rsidP="000859AF">
            <w:pPr>
              <w:kinsoku w:val="0"/>
              <w:overflowPunct w:val="0"/>
              <w:autoSpaceDE w:val="0"/>
              <w:autoSpaceDN w:val="0"/>
              <w:adjustRightInd w:val="0"/>
              <w:spacing w:after="0" w:line="240" w:lineRule="auto"/>
              <w:ind w:left="121"/>
              <w:jc w:val="center"/>
              <w:rPr>
                <w:spacing w:val="-2"/>
                <w:lang w:eastAsia="en-US"/>
              </w:rPr>
            </w:pPr>
            <w:r w:rsidRPr="00F918EE">
              <w:rPr>
                <w:spacing w:val="-2"/>
                <w:lang w:eastAsia="en-US"/>
              </w:rPr>
              <w:t>1194,1</w:t>
            </w:r>
          </w:p>
        </w:tc>
      </w:tr>
      <w:tr w:rsidR="000859AF" w:rsidRPr="00F918EE" w14:paraId="5E7BB6F8" w14:textId="77777777" w:rsidTr="000859AF">
        <w:trPr>
          <w:trHeight w:val="262"/>
        </w:trPr>
        <w:tc>
          <w:tcPr>
            <w:tcW w:w="1418" w:type="dxa"/>
            <w:vMerge/>
            <w:vAlign w:val="center"/>
          </w:tcPr>
          <w:p w14:paraId="4C764258"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6FDC1317"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68D5537D" w14:textId="77777777" w:rsidR="000859AF" w:rsidRPr="00F918EE" w:rsidRDefault="000859AF" w:rsidP="000859AF">
            <w:pPr>
              <w:kinsoku w:val="0"/>
              <w:overflowPunct w:val="0"/>
              <w:autoSpaceDE w:val="0"/>
              <w:autoSpaceDN w:val="0"/>
              <w:adjustRightInd w:val="0"/>
              <w:spacing w:after="0" w:line="240" w:lineRule="auto"/>
              <w:ind w:left="119"/>
              <w:jc w:val="center"/>
              <w:rPr>
                <w:w w:val="105"/>
                <w:lang w:eastAsia="en-US"/>
              </w:rPr>
            </w:pPr>
            <w:r w:rsidRPr="00F918EE">
              <w:rPr>
                <w:w w:val="105"/>
                <w:lang w:eastAsia="en-US"/>
              </w:rPr>
              <w:t>5</w:t>
            </w:r>
          </w:p>
        </w:tc>
        <w:tc>
          <w:tcPr>
            <w:tcW w:w="1298" w:type="dxa"/>
          </w:tcPr>
          <w:p w14:paraId="5AF0BF18" w14:textId="77777777" w:rsidR="000859AF" w:rsidRPr="00F918EE" w:rsidRDefault="000859AF" w:rsidP="000859AF">
            <w:pPr>
              <w:kinsoku w:val="0"/>
              <w:overflowPunct w:val="0"/>
              <w:autoSpaceDE w:val="0"/>
              <w:autoSpaceDN w:val="0"/>
              <w:adjustRightInd w:val="0"/>
              <w:spacing w:after="0" w:line="240" w:lineRule="auto"/>
              <w:ind w:left="122"/>
              <w:jc w:val="center"/>
              <w:rPr>
                <w:spacing w:val="-2"/>
                <w:w w:val="105"/>
                <w:lang w:eastAsia="en-US"/>
              </w:rPr>
            </w:pPr>
            <w:r w:rsidRPr="00F918EE">
              <w:rPr>
                <w:spacing w:val="-2"/>
                <w:w w:val="105"/>
                <w:lang w:eastAsia="en-US"/>
              </w:rPr>
              <w:t>332,7</w:t>
            </w:r>
          </w:p>
        </w:tc>
        <w:tc>
          <w:tcPr>
            <w:tcW w:w="1293" w:type="dxa"/>
          </w:tcPr>
          <w:p w14:paraId="60DFF001" w14:textId="77777777" w:rsidR="000859AF" w:rsidRPr="00F918EE" w:rsidRDefault="000859AF" w:rsidP="000859AF">
            <w:pPr>
              <w:kinsoku w:val="0"/>
              <w:overflowPunct w:val="0"/>
              <w:autoSpaceDE w:val="0"/>
              <w:autoSpaceDN w:val="0"/>
              <w:adjustRightInd w:val="0"/>
              <w:spacing w:after="0" w:line="240" w:lineRule="auto"/>
              <w:ind w:left="122"/>
              <w:jc w:val="center"/>
              <w:rPr>
                <w:spacing w:val="-2"/>
                <w:lang w:eastAsia="en-US"/>
              </w:rPr>
            </w:pPr>
            <w:r w:rsidRPr="00F918EE">
              <w:rPr>
                <w:spacing w:val="-2"/>
                <w:lang w:eastAsia="en-US"/>
              </w:rPr>
              <w:t>266,0</w:t>
            </w:r>
          </w:p>
        </w:tc>
        <w:tc>
          <w:tcPr>
            <w:tcW w:w="1298" w:type="dxa"/>
            <w:gridSpan w:val="2"/>
          </w:tcPr>
          <w:p w14:paraId="0A0752F9" w14:textId="77777777" w:rsidR="000859AF" w:rsidRPr="00F918EE" w:rsidRDefault="000859AF" w:rsidP="000859AF">
            <w:pPr>
              <w:kinsoku w:val="0"/>
              <w:overflowPunct w:val="0"/>
              <w:autoSpaceDE w:val="0"/>
              <w:autoSpaceDN w:val="0"/>
              <w:adjustRightInd w:val="0"/>
              <w:spacing w:after="0" w:line="240" w:lineRule="auto"/>
              <w:ind w:left="123"/>
              <w:jc w:val="center"/>
              <w:rPr>
                <w:spacing w:val="-2"/>
                <w:lang w:eastAsia="en-US"/>
              </w:rPr>
            </w:pPr>
            <w:r w:rsidRPr="00F918EE">
              <w:rPr>
                <w:spacing w:val="-2"/>
                <w:lang w:eastAsia="en-US"/>
              </w:rPr>
              <w:t>3130,4</w:t>
            </w:r>
          </w:p>
        </w:tc>
        <w:tc>
          <w:tcPr>
            <w:tcW w:w="1293" w:type="dxa"/>
          </w:tcPr>
          <w:p w14:paraId="5606D08E" w14:textId="77777777" w:rsidR="000859AF" w:rsidRPr="00F918EE" w:rsidRDefault="000859AF" w:rsidP="000859AF">
            <w:pPr>
              <w:kinsoku w:val="0"/>
              <w:overflowPunct w:val="0"/>
              <w:autoSpaceDE w:val="0"/>
              <w:autoSpaceDN w:val="0"/>
              <w:adjustRightInd w:val="0"/>
              <w:spacing w:after="0" w:line="240" w:lineRule="auto"/>
              <w:ind w:left="123"/>
              <w:jc w:val="center"/>
              <w:rPr>
                <w:spacing w:val="-2"/>
                <w:w w:val="105"/>
                <w:lang w:eastAsia="en-US"/>
              </w:rPr>
            </w:pPr>
            <w:r w:rsidRPr="00F918EE">
              <w:rPr>
                <w:spacing w:val="-2"/>
                <w:w w:val="105"/>
                <w:lang w:eastAsia="en-US"/>
              </w:rPr>
              <w:t>3259,7</w:t>
            </w:r>
          </w:p>
        </w:tc>
      </w:tr>
      <w:tr w:rsidR="000859AF" w:rsidRPr="00F918EE" w14:paraId="2448BF04" w14:textId="77777777" w:rsidTr="000859AF">
        <w:trPr>
          <w:trHeight w:val="242"/>
        </w:trPr>
        <w:tc>
          <w:tcPr>
            <w:tcW w:w="1418" w:type="dxa"/>
            <w:vMerge/>
            <w:vAlign w:val="center"/>
          </w:tcPr>
          <w:p w14:paraId="4B272AB3"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389DF05E"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1E1B09BC" w14:textId="77777777" w:rsidR="000859AF" w:rsidRPr="00F918EE" w:rsidRDefault="000859AF" w:rsidP="000859AF">
            <w:pPr>
              <w:kinsoku w:val="0"/>
              <w:overflowPunct w:val="0"/>
              <w:autoSpaceDE w:val="0"/>
              <w:autoSpaceDN w:val="0"/>
              <w:adjustRightInd w:val="0"/>
              <w:spacing w:after="0" w:line="240" w:lineRule="auto"/>
              <w:ind w:left="119"/>
              <w:jc w:val="center"/>
              <w:rPr>
                <w:spacing w:val="-6"/>
                <w:lang w:eastAsia="en-US"/>
              </w:rPr>
            </w:pPr>
            <w:r w:rsidRPr="00F918EE">
              <w:rPr>
                <w:spacing w:val="-6"/>
                <w:lang w:eastAsia="en-US"/>
              </w:rPr>
              <w:t>15</w:t>
            </w:r>
          </w:p>
        </w:tc>
        <w:tc>
          <w:tcPr>
            <w:tcW w:w="1298" w:type="dxa"/>
          </w:tcPr>
          <w:p w14:paraId="0E5144FF" w14:textId="77777777" w:rsidR="000859AF" w:rsidRPr="00F918EE" w:rsidRDefault="000859AF" w:rsidP="000859AF">
            <w:pPr>
              <w:kinsoku w:val="0"/>
              <w:overflowPunct w:val="0"/>
              <w:autoSpaceDE w:val="0"/>
              <w:autoSpaceDN w:val="0"/>
              <w:adjustRightInd w:val="0"/>
              <w:spacing w:after="0" w:line="240" w:lineRule="auto"/>
              <w:ind w:left="122"/>
              <w:jc w:val="center"/>
              <w:rPr>
                <w:spacing w:val="-2"/>
                <w:lang w:eastAsia="en-US"/>
              </w:rPr>
            </w:pPr>
            <w:r w:rsidRPr="00F918EE">
              <w:rPr>
                <w:spacing w:val="-2"/>
                <w:lang w:eastAsia="en-US"/>
              </w:rPr>
              <w:t>941,3</w:t>
            </w:r>
          </w:p>
        </w:tc>
        <w:tc>
          <w:tcPr>
            <w:tcW w:w="1293" w:type="dxa"/>
          </w:tcPr>
          <w:p w14:paraId="5ED099FD" w14:textId="77777777" w:rsidR="000859AF" w:rsidRPr="00F918EE" w:rsidRDefault="000859AF" w:rsidP="000859AF">
            <w:pPr>
              <w:kinsoku w:val="0"/>
              <w:overflowPunct w:val="0"/>
              <w:autoSpaceDE w:val="0"/>
              <w:autoSpaceDN w:val="0"/>
              <w:adjustRightInd w:val="0"/>
              <w:spacing w:after="0" w:line="240" w:lineRule="auto"/>
              <w:ind w:left="126"/>
              <w:jc w:val="center"/>
              <w:rPr>
                <w:spacing w:val="-2"/>
                <w:lang w:eastAsia="en-US"/>
              </w:rPr>
            </w:pPr>
            <w:r w:rsidRPr="00F918EE">
              <w:rPr>
                <w:spacing w:val="-2"/>
                <w:lang w:eastAsia="en-US"/>
              </w:rPr>
              <w:t>554,0</w:t>
            </w:r>
          </w:p>
        </w:tc>
        <w:tc>
          <w:tcPr>
            <w:tcW w:w="1298" w:type="dxa"/>
            <w:gridSpan w:val="2"/>
          </w:tcPr>
          <w:p w14:paraId="03B07753" w14:textId="77777777" w:rsidR="000859AF" w:rsidRPr="00F918EE" w:rsidRDefault="000859AF" w:rsidP="000859AF">
            <w:pPr>
              <w:kinsoku w:val="0"/>
              <w:overflowPunct w:val="0"/>
              <w:autoSpaceDE w:val="0"/>
              <w:autoSpaceDN w:val="0"/>
              <w:adjustRightInd w:val="0"/>
              <w:spacing w:after="0" w:line="240" w:lineRule="auto"/>
              <w:ind w:left="123"/>
              <w:jc w:val="center"/>
              <w:rPr>
                <w:spacing w:val="-2"/>
                <w:lang w:eastAsia="en-US"/>
              </w:rPr>
            </w:pPr>
            <w:r w:rsidRPr="00F918EE">
              <w:rPr>
                <w:spacing w:val="-2"/>
                <w:lang w:eastAsia="en-US"/>
              </w:rPr>
              <w:t>8099,3</w:t>
            </w:r>
          </w:p>
        </w:tc>
        <w:tc>
          <w:tcPr>
            <w:tcW w:w="1293" w:type="dxa"/>
          </w:tcPr>
          <w:p w14:paraId="23DE5AA9" w14:textId="77777777" w:rsidR="000859AF" w:rsidRPr="00F918EE" w:rsidRDefault="000859AF" w:rsidP="000859AF">
            <w:pPr>
              <w:kinsoku w:val="0"/>
              <w:overflowPunct w:val="0"/>
              <w:autoSpaceDE w:val="0"/>
              <w:autoSpaceDN w:val="0"/>
              <w:adjustRightInd w:val="0"/>
              <w:spacing w:after="0" w:line="240" w:lineRule="auto"/>
              <w:ind w:left="122"/>
              <w:jc w:val="center"/>
              <w:rPr>
                <w:spacing w:val="-2"/>
                <w:lang w:eastAsia="en-US"/>
              </w:rPr>
            </w:pPr>
            <w:r w:rsidRPr="00F918EE">
              <w:rPr>
                <w:spacing w:val="-2"/>
                <w:lang w:eastAsia="en-US"/>
              </w:rPr>
              <w:t>5830,8</w:t>
            </w:r>
          </w:p>
        </w:tc>
      </w:tr>
      <w:tr w:rsidR="000859AF" w:rsidRPr="00F918EE" w14:paraId="300BCC18" w14:textId="77777777" w:rsidTr="000859AF">
        <w:trPr>
          <w:trHeight w:val="271"/>
        </w:trPr>
        <w:tc>
          <w:tcPr>
            <w:tcW w:w="1418" w:type="dxa"/>
            <w:vMerge w:val="restart"/>
            <w:vAlign w:val="center"/>
          </w:tcPr>
          <w:p w14:paraId="15D4CA15" w14:textId="77777777" w:rsidR="000859AF" w:rsidRPr="00F918EE" w:rsidRDefault="000859AF" w:rsidP="000859AF">
            <w:pPr>
              <w:kinsoku w:val="0"/>
              <w:overflowPunct w:val="0"/>
              <w:autoSpaceDE w:val="0"/>
              <w:autoSpaceDN w:val="0"/>
              <w:adjustRightInd w:val="0"/>
              <w:spacing w:after="0" w:line="240" w:lineRule="auto"/>
              <w:ind w:left="122"/>
              <w:jc w:val="left"/>
              <w:rPr>
                <w:spacing w:val="-2"/>
                <w:lang w:eastAsia="en-US"/>
              </w:rPr>
            </w:pPr>
            <w:r w:rsidRPr="00F918EE">
              <w:rPr>
                <w:spacing w:val="-2"/>
                <w:lang w:eastAsia="en-US"/>
              </w:rPr>
              <w:t>Обезьяны</w:t>
            </w:r>
          </w:p>
        </w:tc>
        <w:tc>
          <w:tcPr>
            <w:tcW w:w="1701" w:type="dxa"/>
            <w:vMerge w:val="restart"/>
            <w:vAlign w:val="center"/>
          </w:tcPr>
          <w:p w14:paraId="1F594200"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2"/>
                <w:w w:val="105"/>
                <w:lang w:eastAsia="en-US"/>
              </w:rPr>
              <w:t>Перорально</w:t>
            </w:r>
            <w:r w:rsidRPr="00F918EE">
              <w:rPr>
                <w:spacing w:val="-2"/>
                <w:w w:val="110"/>
                <w:lang w:eastAsia="en-US"/>
              </w:rPr>
              <w:t xml:space="preserve"> </w:t>
            </w:r>
            <w:r w:rsidRPr="00F918EE">
              <w:rPr>
                <w:spacing w:val="-4"/>
                <w:w w:val="105"/>
                <w:lang w:eastAsia="en-US"/>
              </w:rPr>
              <w:t>/ 26 недель</w:t>
            </w:r>
          </w:p>
        </w:tc>
        <w:tc>
          <w:tcPr>
            <w:tcW w:w="1020" w:type="dxa"/>
          </w:tcPr>
          <w:p w14:paraId="3E45C095"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0,1</w:t>
            </w:r>
          </w:p>
        </w:tc>
        <w:tc>
          <w:tcPr>
            <w:tcW w:w="1298" w:type="dxa"/>
          </w:tcPr>
          <w:p w14:paraId="14F9F204" w14:textId="77777777" w:rsidR="000859AF" w:rsidRPr="00F918EE" w:rsidRDefault="000859AF" w:rsidP="000859AF">
            <w:pPr>
              <w:kinsoku w:val="0"/>
              <w:overflowPunct w:val="0"/>
              <w:autoSpaceDE w:val="0"/>
              <w:autoSpaceDN w:val="0"/>
              <w:adjustRightInd w:val="0"/>
              <w:spacing w:after="0" w:line="240" w:lineRule="auto"/>
              <w:ind w:left="116"/>
              <w:jc w:val="center"/>
              <w:rPr>
                <w:spacing w:val="-6"/>
                <w:w w:val="105"/>
                <w:lang w:eastAsia="en-US"/>
              </w:rPr>
            </w:pPr>
            <w:r w:rsidRPr="00F918EE">
              <w:rPr>
                <w:spacing w:val="-6"/>
                <w:w w:val="105"/>
                <w:lang w:eastAsia="en-US"/>
              </w:rPr>
              <w:t>20</w:t>
            </w:r>
          </w:p>
        </w:tc>
        <w:tc>
          <w:tcPr>
            <w:tcW w:w="1293" w:type="dxa"/>
          </w:tcPr>
          <w:p w14:paraId="53C64DC8" w14:textId="77777777" w:rsidR="000859AF" w:rsidRPr="00F918EE" w:rsidRDefault="000859AF" w:rsidP="000859AF">
            <w:pPr>
              <w:kinsoku w:val="0"/>
              <w:overflowPunct w:val="0"/>
              <w:autoSpaceDE w:val="0"/>
              <w:autoSpaceDN w:val="0"/>
              <w:adjustRightInd w:val="0"/>
              <w:spacing w:after="0" w:line="240" w:lineRule="auto"/>
              <w:ind w:left="122"/>
              <w:jc w:val="center"/>
              <w:rPr>
                <w:spacing w:val="-6"/>
                <w:lang w:eastAsia="en-US"/>
              </w:rPr>
            </w:pPr>
            <w:r w:rsidRPr="00F918EE">
              <w:rPr>
                <w:spacing w:val="-6"/>
                <w:lang w:eastAsia="en-US"/>
              </w:rPr>
              <w:t>33</w:t>
            </w:r>
          </w:p>
        </w:tc>
        <w:tc>
          <w:tcPr>
            <w:tcW w:w="1298" w:type="dxa"/>
            <w:gridSpan w:val="2"/>
          </w:tcPr>
          <w:p w14:paraId="79A2D2AF" w14:textId="77777777" w:rsidR="000859AF" w:rsidRPr="00F918EE" w:rsidRDefault="000859AF" w:rsidP="000859AF">
            <w:pPr>
              <w:kinsoku w:val="0"/>
              <w:overflowPunct w:val="0"/>
              <w:autoSpaceDE w:val="0"/>
              <w:autoSpaceDN w:val="0"/>
              <w:adjustRightInd w:val="0"/>
              <w:spacing w:after="0" w:line="240" w:lineRule="auto"/>
              <w:ind w:left="126"/>
              <w:jc w:val="center"/>
              <w:rPr>
                <w:spacing w:val="-4"/>
                <w:lang w:eastAsia="en-US"/>
              </w:rPr>
            </w:pPr>
            <w:r w:rsidRPr="00F918EE">
              <w:rPr>
                <w:spacing w:val="-4"/>
                <w:lang w:eastAsia="en-US"/>
              </w:rPr>
              <w:t>145</w:t>
            </w:r>
          </w:p>
        </w:tc>
        <w:tc>
          <w:tcPr>
            <w:tcW w:w="1293" w:type="dxa"/>
          </w:tcPr>
          <w:p w14:paraId="76798C64" w14:textId="77777777" w:rsidR="000859AF" w:rsidRPr="00F918EE" w:rsidRDefault="000859AF" w:rsidP="000859AF">
            <w:pPr>
              <w:kinsoku w:val="0"/>
              <w:overflowPunct w:val="0"/>
              <w:autoSpaceDE w:val="0"/>
              <w:autoSpaceDN w:val="0"/>
              <w:adjustRightInd w:val="0"/>
              <w:spacing w:after="0" w:line="240" w:lineRule="auto"/>
              <w:ind w:left="118"/>
              <w:jc w:val="center"/>
              <w:rPr>
                <w:spacing w:val="-4"/>
                <w:w w:val="105"/>
                <w:lang w:eastAsia="en-US"/>
              </w:rPr>
            </w:pPr>
            <w:r w:rsidRPr="00F918EE">
              <w:rPr>
                <w:spacing w:val="-4"/>
                <w:w w:val="105"/>
                <w:lang w:eastAsia="en-US"/>
              </w:rPr>
              <w:t>223</w:t>
            </w:r>
          </w:p>
        </w:tc>
      </w:tr>
      <w:tr w:rsidR="000859AF" w:rsidRPr="00F918EE" w14:paraId="56CF8AB0" w14:textId="77777777" w:rsidTr="000859AF">
        <w:trPr>
          <w:trHeight w:val="259"/>
        </w:trPr>
        <w:tc>
          <w:tcPr>
            <w:tcW w:w="1418" w:type="dxa"/>
            <w:vMerge/>
            <w:vAlign w:val="center"/>
          </w:tcPr>
          <w:p w14:paraId="4FA1809F"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1D02DAE" w14:textId="77777777" w:rsidR="000859AF" w:rsidRPr="00F918EE" w:rsidRDefault="000859AF" w:rsidP="000859AF">
            <w:pPr>
              <w:kinsoku w:val="0"/>
              <w:overflowPunct w:val="0"/>
              <w:autoSpaceDE w:val="0"/>
              <w:autoSpaceDN w:val="0"/>
              <w:adjustRightInd w:val="0"/>
              <w:spacing w:after="0" w:line="240" w:lineRule="auto"/>
              <w:ind w:left="114"/>
              <w:jc w:val="center"/>
              <w:rPr>
                <w:spacing w:val="-4"/>
                <w:w w:val="105"/>
                <w:lang w:eastAsia="en-US"/>
              </w:rPr>
            </w:pPr>
          </w:p>
        </w:tc>
        <w:tc>
          <w:tcPr>
            <w:tcW w:w="1020" w:type="dxa"/>
          </w:tcPr>
          <w:p w14:paraId="2A751E7D"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0,5</w:t>
            </w:r>
          </w:p>
        </w:tc>
        <w:tc>
          <w:tcPr>
            <w:tcW w:w="1298" w:type="dxa"/>
          </w:tcPr>
          <w:p w14:paraId="6A1F76AE" w14:textId="77777777" w:rsidR="000859AF" w:rsidRPr="00F918EE" w:rsidRDefault="000859AF" w:rsidP="000859AF">
            <w:pPr>
              <w:kinsoku w:val="0"/>
              <w:overflowPunct w:val="0"/>
              <w:autoSpaceDE w:val="0"/>
              <w:autoSpaceDN w:val="0"/>
              <w:adjustRightInd w:val="0"/>
              <w:spacing w:after="0" w:line="240" w:lineRule="auto"/>
              <w:ind w:left="116"/>
              <w:jc w:val="center"/>
              <w:rPr>
                <w:spacing w:val="-6"/>
                <w:w w:val="105"/>
                <w:lang w:eastAsia="en-US"/>
              </w:rPr>
            </w:pPr>
            <w:r w:rsidRPr="00F918EE">
              <w:rPr>
                <w:spacing w:val="-6"/>
                <w:w w:val="105"/>
                <w:lang w:eastAsia="en-US"/>
              </w:rPr>
              <w:t>68</w:t>
            </w:r>
          </w:p>
        </w:tc>
        <w:tc>
          <w:tcPr>
            <w:tcW w:w="1293" w:type="dxa"/>
          </w:tcPr>
          <w:p w14:paraId="5418D6D0" w14:textId="77777777" w:rsidR="000859AF" w:rsidRPr="00F918EE" w:rsidRDefault="000859AF" w:rsidP="000859AF">
            <w:pPr>
              <w:kinsoku w:val="0"/>
              <w:overflowPunct w:val="0"/>
              <w:autoSpaceDE w:val="0"/>
              <w:autoSpaceDN w:val="0"/>
              <w:adjustRightInd w:val="0"/>
              <w:spacing w:after="0" w:line="240" w:lineRule="auto"/>
              <w:ind w:left="121"/>
              <w:jc w:val="center"/>
              <w:rPr>
                <w:spacing w:val="-6"/>
                <w:w w:val="105"/>
                <w:lang w:eastAsia="en-US"/>
              </w:rPr>
            </w:pPr>
            <w:r w:rsidRPr="00F918EE">
              <w:rPr>
                <w:spacing w:val="-6"/>
                <w:w w:val="105"/>
                <w:lang w:eastAsia="en-US"/>
              </w:rPr>
              <w:t>59</w:t>
            </w:r>
          </w:p>
        </w:tc>
        <w:tc>
          <w:tcPr>
            <w:tcW w:w="1298" w:type="dxa"/>
            <w:gridSpan w:val="2"/>
          </w:tcPr>
          <w:p w14:paraId="57F5CF17" w14:textId="77777777" w:rsidR="000859AF" w:rsidRPr="00F918EE" w:rsidRDefault="000859AF" w:rsidP="000859AF">
            <w:pPr>
              <w:kinsoku w:val="0"/>
              <w:overflowPunct w:val="0"/>
              <w:autoSpaceDE w:val="0"/>
              <w:autoSpaceDN w:val="0"/>
              <w:adjustRightInd w:val="0"/>
              <w:spacing w:after="0" w:line="240" w:lineRule="auto"/>
              <w:ind w:left="123"/>
              <w:jc w:val="center"/>
              <w:rPr>
                <w:spacing w:val="-4"/>
                <w:lang w:eastAsia="en-US"/>
              </w:rPr>
            </w:pPr>
            <w:r w:rsidRPr="00F918EE">
              <w:rPr>
                <w:spacing w:val="-4"/>
                <w:lang w:eastAsia="en-US"/>
              </w:rPr>
              <w:t>358</w:t>
            </w:r>
          </w:p>
        </w:tc>
        <w:tc>
          <w:tcPr>
            <w:tcW w:w="1293" w:type="dxa"/>
          </w:tcPr>
          <w:p w14:paraId="0C1683EB" w14:textId="77777777" w:rsidR="000859AF" w:rsidRPr="00F918EE" w:rsidRDefault="000859AF" w:rsidP="000859AF">
            <w:pPr>
              <w:kinsoku w:val="0"/>
              <w:overflowPunct w:val="0"/>
              <w:autoSpaceDE w:val="0"/>
              <w:autoSpaceDN w:val="0"/>
              <w:adjustRightInd w:val="0"/>
              <w:spacing w:after="0" w:line="240" w:lineRule="auto"/>
              <w:ind w:left="119"/>
              <w:jc w:val="center"/>
              <w:rPr>
                <w:spacing w:val="-4"/>
                <w:lang w:eastAsia="en-US"/>
              </w:rPr>
            </w:pPr>
            <w:r w:rsidRPr="00F918EE">
              <w:rPr>
                <w:spacing w:val="-4"/>
                <w:lang w:eastAsia="en-US"/>
              </w:rPr>
              <w:t>466</w:t>
            </w:r>
          </w:p>
        </w:tc>
      </w:tr>
      <w:tr w:rsidR="000859AF" w:rsidRPr="00F918EE" w14:paraId="0AC3B4F3" w14:textId="77777777" w:rsidTr="000859AF">
        <w:trPr>
          <w:trHeight w:val="257"/>
        </w:trPr>
        <w:tc>
          <w:tcPr>
            <w:tcW w:w="1418" w:type="dxa"/>
            <w:vMerge/>
            <w:vAlign w:val="center"/>
          </w:tcPr>
          <w:p w14:paraId="7308643E"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23FA845A"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5CB444D7" w14:textId="77777777" w:rsidR="000859AF" w:rsidRPr="00F918EE" w:rsidRDefault="000859AF" w:rsidP="000859AF">
            <w:pPr>
              <w:kinsoku w:val="0"/>
              <w:overflowPunct w:val="0"/>
              <w:autoSpaceDE w:val="0"/>
              <w:autoSpaceDN w:val="0"/>
              <w:adjustRightInd w:val="0"/>
              <w:spacing w:after="0" w:line="240" w:lineRule="auto"/>
              <w:ind w:left="119"/>
              <w:jc w:val="center"/>
              <w:rPr>
                <w:w w:val="106"/>
                <w:lang w:eastAsia="en-US"/>
              </w:rPr>
            </w:pPr>
            <w:r w:rsidRPr="00F918EE">
              <w:rPr>
                <w:w w:val="106"/>
                <w:lang w:eastAsia="en-US"/>
              </w:rPr>
              <w:t>1</w:t>
            </w:r>
          </w:p>
        </w:tc>
        <w:tc>
          <w:tcPr>
            <w:tcW w:w="1298" w:type="dxa"/>
          </w:tcPr>
          <w:p w14:paraId="0AC1C546" w14:textId="77777777" w:rsidR="000859AF" w:rsidRPr="00F918EE" w:rsidRDefault="000859AF" w:rsidP="000859AF">
            <w:pPr>
              <w:kinsoku w:val="0"/>
              <w:overflowPunct w:val="0"/>
              <w:autoSpaceDE w:val="0"/>
              <w:autoSpaceDN w:val="0"/>
              <w:adjustRightInd w:val="0"/>
              <w:spacing w:after="0" w:line="240" w:lineRule="auto"/>
              <w:ind w:left="124"/>
              <w:jc w:val="center"/>
              <w:rPr>
                <w:spacing w:val="-4"/>
                <w:w w:val="105"/>
                <w:lang w:eastAsia="en-US"/>
              </w:rPr>
            </w:pPr>
            <w:r w:rsidRPr="00F918EE">
              <w:rPr>
                <w:spacing w:val="-4"/>
                <w:w w:val="105"/>
                <w:lang w:eastAsia="en-US"/>
              </w:rPr>
              <w:t>146</w:t>
            </w:r>
          </w:p>
        </w:tc>
        <w:tc>
          <w:tcPr>
            <w:tcW w:w="1293" w:type="dxa"/>
          </w:tcPr>
          <w:p w14:paraId="46B9C7C0" w14:textId="77777777" w:rsidR="000859AF" w:rsidRPr="00F918EE" w:rsidRDefault="000859AF" w:rsidP="000859AF">
            <w:pPr>
              <w:kinsoku w:val="0"/>
              <w:overflowPunct w:val="0"/>
              <w:autoSpaceDE w:val="0"/>
              <w:autoSpaceDN w:val="0"/>
              <w:adjustRightInd w:val="0"/>
              <w:spacing w:after="0" w:line="240" w:lineRule="auto"/>
              <w:ind w:left="130"/>
              <w:jc w:val="center"/>
              <w:rPr>
                <w:spacing w:val="-4"/>
                <w:lang w:eastAsia="en-US"/>
              </w:rPr>
            </w:pPr>
            <w:r w:rsidRPr="00F918EE">
              <w:rPr>
                <w:spacing w:val="-4"/>
                <w:lang w:eastAsia="en-US"/>
              </w:rPr>
              <w:t>177</w:t>
            </w:r>
          </w:p>
        </w:tc>
        <w:tc>
          <w:tcPr>
            <w:tcW w:w="1298" w:type="dxa"/>
            <w:gridSpan w:val="2"/>
          </w:tcPr>
          <w:p w14:paraId="6030E8DD" w14:textId="77777777" w:rsidR="000859AF" w:rsidRPr="00F918EE" w:rsidRDefault="000859AF" w:rsidP="000859AF">
            <w:pPr>
              <w:kinsoku w:val="0"/>
              <w:overflowPunct w:val="0"/>
              <w:autoSpaceDE w:val="0"/>
              <w:autoSpaceDN w:val="0"/>
              <w:adjustRightInd w:val="0"/>
              <w:spacing w:after="0" w:line="240" w:lineRule="auto"/>
              <w:ind w:left="126"/>
              <w:jc w:val="center"/>
              <w:rPr>
                <w:spacing w:val="-4"/>
                <w:w w:val="105"/>
                <w:lang w:eastAsia="en-US"/>
              </w:rPr>
            </w:pPr>
            <w:r w:rsidRPr="00F918EE">
              <w:rPr>
                <w:spacing w:val="-4"/>
                <w:w w:val="105"/>
                <w:lang w:eastAsia="en-US"/>
              </w:rPr>
              <w:t>1106</w:t>
            </w:r>
          </w:p>
        </w:tc>
        <w:tc>
          <w:tcPr>
            <w:tcW w:w="1293" w:type="dxa"/>
          </w:tcPr>
          <w:p w14:paraId="4F625780" w14:textId="77777777" w:rsidR="000859AF" w:rsidRPr="00F918EE" w:rsidRDefault="000859AF" w:rsidP="000859AF">
            <w:pPr>
              <w:kinsoku w:val="0"/>
              <w:overflowPunct w:val="0"/>
              <w:autoSpaceDE w:val="0"/>
              <w:autoSpaceDN w:val="0"/>
              <w:adjustRightInd w:val="0"/>
              <w:spacing w:after="0" w:line="240" w:lineRule="auto"/>
              <w:ind w:left="126"/>
              <w:jc w:val="center"/>
              <w:rPr>
                <w:spacing w:val="-4"/>
                <w:lang w:eastAsia="en-US"/>
              </w:rPr>
            </w:pPr>
            <w:r w:rsidRPr="00F918EE">
              <w:rPr>
                <w:spacing w:val="-4"/>
                <w:lang w:eastAsia="en-US"/>
              </w:rPr>
              <w:t>1218</w:t>
            </w:r>
          </w:p>
        </w:tc>
      </w:tr>
      <w:tr w:rsidR="000859AF" w:rsidRPr="00F918EE" w14:paraId="62B24285" w14:textId="77777777" w:rsidTr="000859AF">
        <w:trPr>
          <w:trHeight w:val="240"/>
        </w:trPr>
        <w:tc>
          <w:tcPr>
            <w:tcW w:w="1418" w:type="dxa"/>
            <w:vMerge/>
            <w:vAlign w:val="center"/>
          </w:tcPr>
          <w:p w14:paraId="110193E4"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vAlign w:val="center"/>
          </w:tcPr>
          <w:p w14:paraId="04933B7E" w14:textId="77777777" w:rsidR="000859AF" w:rsidRPr="00F918EE" w:rsidRDefault="000859AF" w:rsidP="000859AF">
            <w:pPr>
              <w:kinsoku w:val="0"/>
              <w:overflowPunct w:val="0"/>
              <w:autoSpaceDE w:val="0"/>
              <w:autoSpaceDN w:val="0"/>
              <w:adjustRightInd w:val="0"/>
              <w:spacing w:after="0" w:line="240" w:lineRule="auto"/>
              <w:jc w:val="center"/>
              <w:rPr>
                <w:lang w:eastAsia="en-US"/>
              </w:rPr>
            </w:pPr>
          </w:p>
        </w:tc>
        <w:tc>
          <w:tcPr>
            <w:tcW w:w="1020" w:type="dxa"/>
          </w:tcPr>
          <w:p w14:paraId="1F5E03F4" w14:textId="77777777" w:rsidR="000859AF" w:rsidRPr="00F918EE" w:rsidRDefault="000859AF" w:rsidP="000859AF">
            <w:pPr>
              <w:kinsoku w:val="0"/>
              <w:overflowPunct w:val="0"/>
              <w:autoSpaceDE w:val="0"/>
              <w:autoSpaceDN w:val="0"/>
              <w:adjustRightInd w:val="0"/>
              <w:spacing w:after="0" w:line="240" w:lineRule="auto"/>
              <w:ind w:left="119"/>
              <w:jc w:val="center"/>
              <w:rPr>
                <w:w w:val="105"/>
                <w:lang w:eastAsia="en-US"/>
              </w:rPr>
            </w:pPr>
            <w:r w:rsidRPr="00F918EE">
              <w:rPr>
                <w:w w:val="105"/>
                <w:lang w:eastAsia="en-US"/>
              </w:rPr>
              <w:t>5</w:t>
            </w:r>
          </w:p>
        </w:tc>
        <w:tc>
          <w:tcPr>
            <w:tcW w:w="1298" w:type="dxa"/>
          </w:tcPr>
          <w:p w14:paraId="74CA5D70" w14:textId="77777777" w:rsidR="000859AF" w:rsidRPr="00F918EE" w:rsidRDefault="000859AF" w:rsidP="000859AF">
            <w:pPr>
              <w:kinsoku w:val="0"/>
              <w:overflowPunct w:val="0"/>
              <w:autoSpaceDE w:val="0"/>
              <w:autoSpaceDN w:val="0"/>
              <w:adjustRightInd w:val="0"/>
              <w:spacing w:after="0" w:line="240" w:lineRule="auto"/>
              <w:ind w:left="120"/>
              <w:jc w:val="center"/>
              <w:rPr>
                <w:spacing w:val="-4"/>
                <w:w w:val="105"/>
                <w:lang w:eastAsia="en-US"/>
              </w:rPr>
            </w:pPr>
            <w:r w:rsidRPr="00F918EE">
              <w:rPr>
                <w:spacing w:val="-4"/>
                <w:w w:val="105"/>
                <w:lang w:eastAsia="en-US"/>
              </w:rPr>
              <w:t>537</w:t>
            </w:r>
          </w:p>
        </w:tc>
        <w:tc>
          <w:tcPr>
            <w:tcW w:w="1293" w:type="dxa"/>
          </w:tcPr>
          <w:p w14:paraId="126F7B90" w14:textId="77777777" w:rsidR="000859AF" w:rsidRPr="00F918EE" w:rsidRDefault="000859AF" w:rsidP="000859AF">
            <w:pPr>
              <w:kinsoku w:val="0"/>
              <w:overflowPunct w:val="0"/>
              <w:autoSpaceDE w:val="0"/>
              <w:autoSpaceDN w:val="0"/>
              <w:adjustRightInd w:val="0"/>
              <w:spacing w:after="0" w:line="240" w:lineRule="auto"/>
              <w:ind w:left="127"/>
              <w:jc w:val="center"/>
              <w:rPr>
                <w:spacing w:val="-4"/>
                <w:w w:val="105"/>
                <w:lang w:eastAsia="en-US"/>
              </w:rPr>
            </w:pPr>
            <w:r w:rsidRPr="00F918EE">
              <w:rPr>
                <w:spacing w:val="-4"/>
                <w:w w:val="105"/>
                <w:lang w:eastAsia="en-US"/>
              </w:rPr>
              <w:t>383</w:t>
            </w:r>
          </w:p>
        </w:tc>
        <w:tc>
          <w:tcPr>
            <w:tcW w:w="1298" w:type="dxa"/>
            <w:gridSpan w:val="2"/>
          </w:tcPr>
          <w:p w14:paraId="59E4101D" w14:textId="77777777" w:rsidR="000859AF" w:rsidRPr="00F918EE" w:rsidRDefault="000859AF" w:rsidP="000859AF">
            <w:pPr>
              <w:kinsoku w:val="0"/>
              <w:overflowPunct w:val="0"/>
              <w:autoSpaceDE w:val="0"/>
              <w:autoSpaceDN w:val="0"/>
              <w:adjustRightInd w:val="0"/>
              <w:spacing w:after="0" w:line="240" w:lineRule="auto"/>
              <w:ind w:left="124"/>
              <w:jc w:val="center"/>
              <w:rPr>
                <w:spacing w:val="-4"/>
                <w:lang w:eastAsia="en-US"/>
              </w:rPr>
            </w:pPr>
            <w:r w:rsidRPr="00F918EE">
              <w:rPr>
                <w:spacing w:val="-4"/>
                <w:lang w:eastAsia="en-US"/>
              </w:rPr>
              <w:t>4913</w:t>
            </w:r>
          </w:p>
        </w:tc>
        <w:tc>
          <w:tcPr>
            <w:tcW w:w="1293" w:type="dxa"/>
          </w:tcPr>
          <w:p w14:paraId="1D4B0958" w14:textId="77777777" w:rsidR="000859AF" w:rsidRPr="00F918EE" w:rsidRDefault="000859AF" w:rsidP="000859AF">
            <w:pPr>
              <w:kinsoku w:val="0"/>
              <w:overflowPunct w:val="0"/>
              <w:autoSpaceDE w:val="0"/>
              <w:autoSpaceDN w:val="0"/>
              <w:adjustRightInd w:val="0"/>
              <w:spacing w:after="0" w:line="240" w:lineRule="auto"/>
              <w:ind w:left="123"/>
              <w:jc w:val="center"/>
              <w:rPr>
                <w:spacing w:val="-4"/>
                <w:lang w:eastAsia="en-US"/>
              </w:rPr>
            </w:pPr>
            <w:r w:rsidRPr="00F918EE">
              <w:rPr>
                <w:spacing w:val="-4"/>
                <w:lang w:eastAsia="en-US"/>
              </w:rPr>
              <w:t>3322</w:t>
            </w:r>
          </w:p>
        </w:tc>
      </w:tr>
      <w:tr w:rsidR="000859AF" w:rsidRPr="00F918EE" w14:paraId="168708AC" w14:textId="77777777" w:rsidTr="000859AF">
        <w:trPr>
          <w:trHeight w:val="276"/>
        </w:trPr>
        <w:tc>
          <w:tcPr>
            <w:tcW w:w="1418" w:type="dxa"/>
            <w:vMerge w:val="restart"/>
            <w:vAlign w:val="center"/>
          </w:tcPr>
          <w:p w14:paraId="6BAEC214" w14:textId="77777777" w:rsidR="000859AF" w:rsidRPr="00F918EE" w:rsidRDefault="000859AF" w:rsidP="000859AF">
            <w:pPr>
              <w:kinsoku w:val="0"/>
              <w:overflowPunct w:val="0"/>
              <w:autoSpaceDE w:val="0"/>
              <w:autoSpaceDN w:val="0"/>
              <w:adjustRightInd w:val="0"/>
              <w:spacing w:after="0" w:line="240" w:lineRule="auto"/>
              <w:ind w:left="122"/>
              <w:jc w:val="left"/>
              <w:rPr>
                <w:spacing w:val="-2"/>
                <w:lang w:eastAsia="en-US"/>
              </w:rPr>
            </w:pPr>
            <w:r w:rsidRPr="00F918EE">
              <w:rPr>
                <w:spacing w:val="-2"/>
                <w:lang w:eastAsia="en-US"/>
              </w:rPr>
              <w:t>Обезьяны</w:t>
            </w:r>
          </w:p>
        </w:tc>
        <w:tc>
          <w:tcPr>
            <w:tcW w:w="1701" w:type="dxa"/>
            <w:vMerge w:val="restart"/>
            <w:vAlign w:val="center"/>
          </w:tcPr>
          <w:p w14:paraId="2A586A56" w14:textId="77777777" w:rsidR="000859AF" w:rsidRPr="00F918EE" w:rsidRDefault="000859AF" w:rsidP="000859AF">
            <w:pPr>
              <w:kinsoku w:val="0"/>
              <w:overflowPunct w:val="0"/>
              <w:autoSpaceDE w:val="0"/>
              <w:autoSpaceDN w:val="0"/>
              <w:adjustRightInd w:val="0"/>
              <w:spacing w:after="0" w:line="240" w:lineRule="auto"/>
              <w:ind w:left="116"/>
              <w:jc w:val="center"/>
              <w:rPr>
                <w:spacing w:val="-4"/>
                <w:w w:val="105"/>
                <w:lang w:eastAsia="en-US"/>
              </w:rPr>
            </w:pPr>
            <w:r w:rsidRPr="00F918EE">
              <w:rPr>
                <w:spacing w:val="-2"/>
                <w:w w:val="105"/>
                <w:lang w:eastAsia="en-US"/>
              </w:rPr>
              <w:t>Перорально</w:t>
            </w:r>
            <w:r w:rsidRPr="00F918EE">
              <w:rPr>
                <w:spacing w:val="-2"/>
                <w:w w:val="110"/>
                <w:lang w:eastAsia="en-US"/>
              </w:rPr>
              <w:t xml:space="preserve"> </w:t>
            </w:r>
            <w:r w:rsidRPr="00F918EE">
              <w:rPr>
                <w:spacing w:val="-4"/>
                <w:w w:val="105"/>
                <w:lang w:eastAsia="en-US"/>
              </w:rPr>
              <w:t>/ 52 недели</w:t>
            </w:r>
          </w:p>
        </w:tc>
        <w:tc>
          <w:tcPr>
            <w:tcW w:w="1020" w:type="dxa"/>
          </w:tcPr>
          <w:p w14:paraId="1CF41C78" w14:textId="77777777" w:rsidR="000859AF" w:rsidRPr="00F918EE" w:rsidRDefault="000859AF" w:rsidP="000859AF">
            <w:pPr>
              <w:kinsoku w:val="0"/>
              <w:overflowPunct w:val="0"/>
              <w:autoSpaceDE w:val="0"/>
              <w:autoSpaceDN w:val="0"/>
              <w:adjustRightInd w:val="0"/>
              <w:spacing w:after="0" w:line="240" w:lineRule="auto"/>
              <w:ind w:left="117"/>
              <w:jc w:val="center"/>
              <w:rPr>
                <w:spacing w:val="-4"/>
                <w:lang w:eastAsia="en-US"/>
              </w:rPr>
            </w:pPr>
            <w:r w:rsidRPr="00F918EE">
              <w:rPr>
                <w:spacing w:val="-4"/>
                <w:lang w:eastAsia="en-US"/>
              </w:rPr>
              <w:t>0,1</w:t>
            </w:r>
          </w:p>
        </w:tc>
        <w:tc>
          <w:tcPr>
            <w:tcW w:w="1298" w:type="dxa"/>
          </w:tcPr>
          <w:p w14:paraId="5BF4D60C" w14:textId="77777777" w:rsidR="000859AF" w:rsidRPr="00F918EE" w:rsidRDefault="000859AF" w:rsidP="000859AF">
            <w:pPr>
              <w:kinsoku w:val="0"/>
              <w:overflowPunct w:val="0"/>
              <w:autoSpaceDE w:val="0"/>
              <w:autoSpaceDN w:val="0"/>
              <w:adjustRightInd w:val="0"/>
              <w:spacing w:after="0" w:line="240" w:lineRule="auto"/>
              <w:ind w:left="122"/>
              <w:jc w:val="center"/>
              <w:rPr>
                <w:spacing w:val="-4"/>
                <w:w w:val="105"/>
                <w:lang w:eastAsia="en-US"/>
              </w:rPr>
            </w:pPr>
            <w:r w:rsidRPr="00F918EE">
              <w:rPr>
                <w:spacing w:val="-4"/>
                <w:w w:val="105"/>
                <w:lang w:eastAsia="en-US"/>
              </w:rPr>
              <w:t>8,5</w:t>
            </w:r>
          </w:p>
        </w:tc>
        <w:tc>
          <w:tcPr>
            <w:tcW w:w="1293" w:type="dxa"/>
          </w:tcPr>
          <w:p w14:paraId="5AC47BE0" w14:textId="77777777" w:rsidR="000859AF" w:rsidRPr="00F918EE" w:rsidRDefault="000859AF" w:rsidP="000859AF">
            <w:pPr>
              <w:kinsoku w:val="0"/>
              <w:overflowPunct w:val="0"/>
              <w:autoSpaceDE w:val="0"/>
              <w:autoSpaceDN w:val="0"/>
              <w:adjustRightInd w:val="0"/>
              <w:spacing w:after="0" w:line="240" w:lineRule="auto"/>
              <w:ind w:left="125"/>
              <w:jc w:val="center"/>
              <w:rPr>
                <w:spacing w:val="-4"/>
                <w:lang w:eastAsia="en-US"/>
              </w:rPr>
            </w:pPr>
            <w:r w:rsidRPr="00F918EE">
              <w:rPr>
                <w:spacing w:val="-4"/>
                <w:lang w:eastAsia="en-US"/>
              </w:rPr>
              <w:t>10,1</w:t>
            </w:r>
          </w:p>
        </w:tc>
        <w:tc>
          <w:tcPr>
            <w:tcW w:w="1298" w:type="dxa"/>
            <w:gridSpan w:val="2"/>
          </w:tcPr>
          <w:p w14:paraId="3ED12155" w14:textId="77777777" w:rsidR="000859AF" w:rsidRPr="00F918EE" w:rsidRDefault="000859AF" w:rsidP="000859AF">
            <w:pPr>
              <w:kinsoku w:val="0"/>
              <w:overflowPunct w:val="0"/>
              <w:autoSpaceDE w:val="0"/>
              <w:autoSpaceDN w:val="0"/>
              <w:adjustRightInd w:val="0"/>
              <w:spacing w:after="0" w:line="240" w:lineRule="auto"/>
              <w:ind w:left="123"/>
              <w:jc w:val="center"/>
              <w:rPr>
                <w:spacing w:val="-4"/>
                <w:w w:val="105"/>
                <w:lang w:eastAsia="en-US"/>
              </w:rPr>
            </w:pPr>
            <w:r w:rsidRPr="00F918EE">
              <w:rPr>
                <w:spacing w:val="-4"/>
                <w:w w:val="105"/>
                <w:lang w:eastAsia="en-US"/>
              </w:rPr>
              <w:t>98,0</w:t>
            </w:r>
          </w:p>
        </w:tc>
        <w:tc>
          <w:tcPr>
            <w:tcW w:w="1293" w:type="dxa"/>
          </w:tcPr>
          <w:p w14:paraId="77F8955D" w14:textId="77777777" w:rsidR="000859AF" w:rsidRPr="00F918EE" w:rsidRDefault="000859AF" w:rsidP="000859AF">
            <w:pPr>
              <w:kinsoku w:val="0"/>
              <w:overflowPunct w:val="0"/>
              <w:autoSpaceDE w:val="0"/>
              <w:autoSpaceDN w:val="0"/>
              <w:adjustRightInd w:val="0"/>
              <w:spacing w:after="0" w:line="240" w:lineRule="auto"/>
              <w:ind w:left="122"/>
              <w:jc w:val="center"/>
              <w:rPr>
                <w:spacing w:val="-4"/>
                <w:w w:val="105"/>
                <w:lang w:eastAsia="en-US"/>
              </w:rPr>
            </w:pPr>
            <w:r w:rsidRPr="00F918EE">
              <w:rPr>
                <w:spacing w:val="-4"/>
                <w:w w:val="105"/>
                <w:lang w:eastAsia="en-US"/>
              </w:rPr>
              <w:t>59,6</w:t>
            </w:r>
          </w:p>
        </w:tc>
      </w:tr>
      <w:tr w:rsidR="000859AF" w:rsidRPr="00F918EE" w14:paraId="09FF47FB" w14:textId="77777777" w:rsidTr="000859AF">
        <w:trPr>
          <w:trHeight w:val="259"/>
        </w:trPr>
        <w:tc>
          <w:tcPr>
            <w:tcW w:w="1418" w:type="dxa"/>
            <w:vMerge/>
          </w:tcPr>
          <w:p w14:paraId="556479F0"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tcPr>
          <w:p w14:paraId="0AA6C2A9" w14:textId="77777777" w:rsidR="000859AF" w:rsidRPr="00F918EE" w:rsidRDefault="000859AF" w:rsidP="000859AF">
            <w:pPr>
              <w:kinsoku w:val="0"/>
              <w:overflowPunct w:val="0"/>
              <w:autoSpaceDE w:val="0"/>
              <w:autoSpaceDN w:val="0"/>
              <w:adjustRightInd w:val="0"/>
              <w:spacing w:after="0" w:line="240" w:lineRule="auto"/>
              <w:ind w:left="118"/>
              <w:jc w:val="left"/>
              <w:rPr>
                <w:spacing w:val="-4"/>
                <w:lang w:eastAsia="en-US"/>
              </w:rPr>
            </w:pPr>
          </w:p>
        </w:tc>
        <w:tc>
          <w:tcPr>
            <w:tcW w:w="1020" w:type="dxa"/>
          </w:tcPr>
          <w:p w14:paraId="3A867209" w14:textId="77777777" w:rsidR="000859AF" w:rsidRPr="00F918EE" w:rsidRDefault="000859AF" w:rsidP="000859AF">
            <w:pPr>
              <w:kinsoku w:val="0"/>
              <w:overflowPunct w:val="0"/>
              <w:autoSpaceDE w:val="0"/>
              <w:autoSpaceDN w:val="0"/>
              <w:adjustRightInd w:val="0"/>
              <w:spacing w:after="0" w:line="240" w:lineRule="auto"/>
              <w:ind w:left="117"/>
              <w:jc w:val="center"/>
              <w:rPr>
                <w:spacing w:val="-4"/>
                <w:w w:val="105"/>
                <w:lang w:eastAsia="en-US"/>
              </w:rPr>
            </w:pPr>
            <w:r w:rsidRPr="00F918EE">
              <w:rPr>
                <w:spacing w:val="-4"/>
                <w:w w:val="105"/>
                <w:lang w:eastAsia="en-US"/>
              </w:rPr>
              <w:t>0,5</w:t>
            </w:r>
          </w:p>
        </w:tc>
        <w:tc>
          <w:tcPr>
            <w:tcW w:w="1298" w:type="dxa"/>
          </w:tcPr>
          <w:p w14:paraId="52D1964A" w14:textId="77777777" w:rsidR="000859AF" w:rsidRPr="00F918EE" w:rsidRDefault="000859AF" w:rsidP="000859AF">
            <w:pPr>
              <w:kinsoku w:val="0"/>
              <w:overflowPunct w:val="0"/>
              <w:autoSpaceDE w:val="0"/>
              <w:autoSpaceDN w:val="0"/>
              <w:adjustRightInd w:val="0"/>
              <w:spacing w:after="0" w:line="240" w:lineRule="auto"/>
              <w:ind w:left="121"/>
              <w:jc w:val="center"/>
              <w:rPr>
                <w:spacing w:val="-4"/>
                <w:w w:val="105"/>
                <w:lang w:eastAsia="en-US"/>
              </w:rPr>
            </w:pPr>
            <w:r w:rsidRPr="00F918EE">
              <w:rPr>
                <w:spacing w:val="-4"/>
                <w:w w:val="105"/>
                <w:lang w:eastAsia="en-US"/>
              </w:rPr>
              <w:t>24,1</w:t>
            </w:r>
          </w:p>
        </w:tc>
        <w:tc>
          <w:tcPr>
            <w:tcW w:w="1293" w:type="dxa"/>
          </w:tcPr>
          <w:p w14:paraId="4D7F789D" w14:textId="77777777" w:rsidR="000859AF" w:rsidRPr="00F918EE" w:rsidRDefault="000859AF" w:rsidP="000859AF">
            <w:pPr>
              <w:kinsoku w:val="0"/>
              <w:overflowPunct w:val="0"/>
              <w:autoSpaceDE w:val="0"/>
              <w:autoSpaceDN w:val="0"/>
              <w:adjustRightInd w:val="0"/>
              <w:spacing w:after="0" w:line="240" w:lineRule="auto"/>
              <w:ind w:left="127"/>
              <w:jc w:val="center"/>
              <w:rPr>
                <w:spacing w:val="-4"/>
                <w:lang w:eastAsia="en-US"/>
              </w:rPr>
            </w:pPr>
            <w:r w:rsidRPr="00F918EE">
              <w:rPr>
                <w:spacing w:val="-4"/>
                <w:lang w:eastAsia="en-US"/>
              </w:rPr>
              <w:t>20,5</w:t>
            </w:r>
          </w:p>
        </w:tc>
        <w:tc>
          <w:tcPr>
            <w:tcW w:w="1298" w:type="dxa"/>
            <w:gridSpan w:val="2"/>
          </w:tcPr>
          <w:p w14:paraId="2E42EFCF" w14:textId="77777777" w:rsidR="000859AF" w:rsidRPr="00F918EE" w:rsidRDefault="000859AF" w:rsidP="000859AF">
            <w:pPr>
              <w:kinsoku w:val="0"/>
              <w:overflowPunct w:val="0"/>
              <w:autoSpaceDE w:val="0"/>
              <w:autoSpaceDN w:val="0"/>
              <w:adjustRightInd w:val="0"/>
              <w:spacing w:after="0" w:line="240" w:lineRule="auto"/>
              <w:ind w:left="122"/>
              <w:jc w:val="center"/>
              <w:rPr>
                <w:spacing w:val="-2"/>
                <w:w w:val="105"/>
                <w:lang w:eastAsia="en-US"/>
              </w:rPr>
            </w:pPr>
            <w:r w:rsidRPr="00F918EE">
              <w:rPr>
                <w:spacing w:val="-2"/>
                <w:w w:val="105"/>
                <w:lang w:eastAsia="en-US"/>
              </w:rPr>
              <w:t>275,6</w:t>
            </w:r>
          </w:p>
        </w:tc>
        <w:tc>
          <w:tcPr>
            <w:tcW w:w="1293" w:type="dxa"/>
          </w:tcPr>
          <w:p w14:paraId="58F6AAB2" w14:textId="77777777" w:rsidR="000859AF" w:rsidRPr="00F918EE" w:rsidRDefault="000859AF" w:rsidP="000859AF">
            <w:pPr>
              <w:kinsoku w:val="0"/>
              <w:overflowPunct w:val="0"/>
              <w:autoSpaceDE w:val="0"/>
              <w:autoSpaceDN w:val="0"/>
              <w:adjustRightInd w:val="0"/>
              <w:spacing w:after="0" w:line="240" w:lineRule="auto"/>
              <w:ind w:left="121"/>
              <w:jc w:val="center"/>
              <w:rPr>
                <w:spacing w:val="-2"/>
                <w:lang w:eastAsia="en-US"/>
              </w:rPr>
            </w:pPr>
            <w:r w:rsidRPr="00F918EE">
              <w:rPr>
                <w:spacing w:val="-2"/>
                <w:lang w:eastAsia="en-US"/>
              </w:rPr>
              <w:t>176,2</w:t>
            </w:r>
          </w:p>
        </w:tc>
      </w:tr>
      <w:tr w:rsidR="000859AF" w:rsidRPr="00F918EE" w14:paraId="4612ECF8" w14:textId="77777777" w:rsidTr="000859AF">
        <w:trPr>
          <w:trHeight w:val="242"/>
        </w:trPr>
        <w:tc>
          <w:tcPr>
            <w:tcW w:w="1418" w:type="dxa"/>
            <w:vMerge/>
          </w:tcPr>
          <w:p w14:paraId="21792F71"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701" w:type="dxa"/>
            <w:vMerge/>
          </w:tcPr>
          <w:p w14:paraId="411DD1ED" w14:textId="77777777" w:rsidR="000859AF" w:rsidRPr="00F918EE" w:rsidRDefault="000859AF" w:rsidP="000859AF">
            <w:pPr>
              <w:kinsoku w:val="0"/>
              <w:overflowPunct w:val="0"/>
              <w:autoSpaceDE w:val="0"/>
              <w:autoSpaceDN w:val="0"/>
              <w:adjustRightInd w:val="0"/>
              <w:spacing w:after="0" w:line="240" w:lineRule="auto"/>
              <w:jc w:val="left"/>
              <w:rPr>
                <w:lang w:eastAsia="en-US"/>
              </w:rPr>
            </w:pPr>
          </w:p>
        </w:tc>
        <w:tc>
          <w:tcPr>
            <w:tcW w:w="1020" w:type="dxa"/>
          </w:tcPr>
          <w:p w14:paraId="300B3CB4" w14:textId="77777777" w:rsidR="000859AF" w:rsidRPr="00F918EE" w:rsidRDefault="000859AF" w:rsidP="000859AF">
            <w:pPr>
              <w:kinsoku w:val="0"/>
              <w:overflowPunct w:val="0"/>
              <w:autoSpaceDE w:val="0"/>
              <w:autoSpaceDN w:val="0"/>
              <w:adjustRightInd w:val="0"/>
              <w:spacing w:after="0" w:line="240" w:lineRule="auto"/>
              <w:ind w:left="122"/>
              <w:jc w:val="center"/>
              <w:rPr>
                <w:spacing w:val="-4"/>
                <w:w w:val="105"/>
                <w:lang w:eastAsia="en-US"/>
              </w:rPr>
            </w:pPr>
            <w:r w:rsidRPr="00F918EE">
              <w:rPr>
                <w:spacing w:val="-4"/>
                <w:w w:val="105"/>
                <w:lang w:eastAsia="en-US"/>
              </w:rPr>
              <w:t>0,9</w:t>
            </w:r>
          </w:p>
        </w:tc>
        <w:tc>
          <w:tcPr>
            <w:tcW w:w="1298" w:type="dxa"/>
          </w:tcPr>
          <w:p w14:paraId="3A24836F" w14:textId="77777777" w:rsidR="000859AF" w:rsidRPr="00F918EE" w:rsidRDefault="000859AF" w:rsidP="000859AF">
            <w:pPr>
              <w:kinsoku w:val="0"/>
              <w:overflowPunct w:val="0"/>
              <w:autoSpaceDE w:val="0"/>
              <w:autoSpaceDN w:val="0"/>
              <w:adjustRightInd w:val="0"/>
              <w:spacing w:after="0" w:line="240" w:lineRule="auto"/>
              <w:ind w:left="127"/>
              <w:jc w:val="center"/>
              <w:rPr>
                <w:spacing w:val="-4"/>
                <w:w w:val="105"/>
                <w:lang w:eastAsia="en-US"/>
              </w:rPr>
            </w:pPr>
            <w:r w:rsidRPr="00F918EE">
              <w:rPr>
                <w:spacing w:val="-4"/>
                <w:w w:val="105"/>
                <w:lang w:eastAsia="en-US"/>
              </w:rPr>
              <w:t>84,9</w:t>
            </w:r>
          </w:p>
        </w:tc>
        <w:tc>
          <w:tcPr>
            <w:tcW w:w="1293" w:type="dxa"/>
          </w:tcPr>
          <w:p w14:paraId="25D2FC16" w14:textId="77777777" w:rsidR="000859AF" w:rsidRPr="00F918EE" w:rsidRDefault="000859AF" w:rsidP="000859AF">
            <w:pPr>
              <w:kinsoku w:val="0"/>
              <w:overflowPunct w:val="0"/>
              <w:autoSpaceDE w:val="0"/>
              <w:autoSpaceDN w:val="0"/>
              <w:adjustRightInd w:val="0"/>
              <w:spacing w:after="0" w:line="240" w:lineRule="auto"/>
              <w:ind w:left="128"/>
              <w:jc w:val="center"/>
              <w:rPr>
                <w:spacing w:val="-4"/>
                <w:w w:val="105"/>
                <w:lang w:eastAsia="en-US"/>
              </w:rPr>
            </w:pPr>
            <w:r w:rsidRPr="00F918EE">
              <w:rPr>
                <w:spacing w:val="-4"/>
                <w:w w:val="105"/>
                <w:lang w:eastAsia="en-US"/>
              </w:rPr>
              <w:t>47,8</w:t>
            </w:r>
          </w:p>
        </w:tc>
        <w:tc>
          <w:tcPr>
            <w:tcW w:w="1298" w:type="dxa"/>
            <w:gridSpan w:val="2"/>
          </w:tcPr>
          <w:p w14:paraId="2A1DABC4" w14:textId="77777777" w:rsidR="000859AF" w:rsidRPr="00F918EE" w:rsidRDefault="000859AF" w:rsidP="000859AF">
            <w:pPr>
              <w:kinsoku w:val="0"/>
              <w:overflowPunct w:val="0"/>
              <w:autoSpaceDE w:val="0"/>
              <w:autoSpaceDN w:val="0"/>
              <w:adjustRightInd w:val="0"/>
              <w:spacing w:after="0" w:line="240" w:lineRule="auto"/>
              <w:ind w:left="128"/>
              <w:jc w:val="center"/>
              <w:rPr>
                <w:spacing w:val="-2"/>
                <w:w w:val="105"/>
                <w:lang w:eastAsia="en-US"/>
              </w:rPr>
            </w:pPr>
            <w:r w:rsidRPr="00F918EE">
              <w:rPr>
                <w:spacing w:val="-2"/>
                <w:w w:val="105"/>
                <w:lang w:eastAsia="en-US"/>
              </w:rPr>
              <w:t>941,3</w:t>
            </w:r>
          </w:p>
        </w:tc>
        <w:tc>
          <w:tcPr>
            <w:tcW w:w="1293" w:type="dxa"/>
          </w:tcPr>
          <w:p w14:paraId="4F533487" w14:textId="77777777" w:rsidR="000859AF" w:rsidRPr="00F918EE" w:rsidRDefault="000859AF" w:rsidP="000859AF">
            <w:pPr>
              <w:kinsoku w:val="0"/>
              <w:overflowPunct w:val="0"/>
              <w:autoSpaceDE w:val="0"/>
              <w:autoSpaceDN w:val="0"/>
              <w:adjustRightInd w:val="0"/>
              <w:spacing w:after="0" w:line="240" w:lineRule="auto"/>
              <w:ind w:left="129"/>
              <w:jc w:val="center"/>
              <w:rPr>
                <w:spacing w:val="-2"/>
                <w:lang w:eastAsia="en-US"/>
              </w:rPr>
            </w:pPr>
            <w:r w:rsidRPr="00F918EE">
              <w:rPr>
                <w:spacing w:val="-2"/>
                <w:lang w:eastAsia="en-US"/>
              </w:rPr>
              <w:t>471,8</w:t>
            </w:r>
          </w:p>
        </w:tc>
      </w:tr>
      <w:tr w:rsidR="000859AF" w:rsidRPr="00F918EE" w14:paraId="174EA99D" w14:textId="77777777" w:rsidTr="000859AF">
        <w:trPr>
          <w:trHeight w:val="242"/>
        </w:trPr>
        <w:tc>
          <w:tcPr>
            <w:tcW w:w="9321" w:type="dxa"/>
            <w:gridSpan w:val="8"/>
          </w:tcPr>
          <w:p w14:paraId="5F19BC56" w14:textId="77777777" w:rsidR="000859AF" w:rsidRPr="00F918EE" w:rsidRDefault="000859AF" w:rsidP="000859AF">
            <w:pPr>
              <w:kinsoku w:val="0"/>
              <w:overflowPunct w:val="0"/>
              <w:autoSpaceDE w:val="0"/>
              <w:autoSpaceDN w:val="0"/>
              <w:adjustRightInd w:val="0"/>
              <w:spacing w:after="0" w:line="240" w:lineRule="auto"/>
              <w:ind w:left="129"/>
              <w:rPr>
                <w:b/>
                <w:spacing w:val="-2"/>
                <w:sz w:val="20"/>
                <w:szCs w:val="20"/>
                <w:lang w:eastAsia="en-US"/>
              </w:rPr>
            </w:pPr>
            <w:r w:rsidRPr="00F918EE">
              <w:rPr>
                <w:b/>
                <w:spacing w:val="-2"/>
                <w:sz w:val="20"/>
                <w:szCs w:val="20"/>
                <w:lang w:eastAsia="en-US"/>
              </w:rPr>
              <w:t>Примечание:</w:t>
            </w:r>
          </w:p>
          <w:p w14:paraId="795B0BB3" w14:textId="77777777" w:rsidR="000859AF" w:rsidRPr="00F918EE" w:rsidRDefault="000859AF" w:rsidP="000859AF">
            <w:pPr>
              <w:kinsoku w:val="0"/>
              <w:overflowPunct w:val="0"/>
              <w:autoSpaceDE w:val="0"/>
              <w:autoSpaceDN w:val="0"/>
              <w:adjustRightInd w:val="0"/>
              <w:spacing w:after="0" w:line="240" w:lineRule="auto"/>
              <w:ind w:left="129"/>
              <w:rPr>
                <w:spacing w:val="-2"/>
                <w:sz w:val="20"/>
                <w:szCs w:val="20"/>
                <w:lang w:eastAsia="en-US"/>
              </w:rPr>
            </w:pPr>
            <w:r w:rsidRPr="00F918EE">
              <w:rPr>
                <w:spacing w:val="-2"/>
                <w:sz w:val="20"/>
                <w:szCs w:val="20"/>
                <w:lang w:eastAsia="en-US"/>
              </w:rPr>
              <w:t>НПКО – нижний предел количественного определения;</w:t>
            </w:r>
          </w:p>
          <w:p w14:paraId="34DCD7C6" w14:textId="77777777" w:rsidR="000859AF" w:rsidRPr="00F918EE" w:rsidRDefault="000859AF" w:rsidP="000859AF">
            <w:pPr>
              <w:kinsoku w:val="0"/>
              <w:overflowPunct w:val="0"/>
              <w:autoSpaceDE w:val="0"/>
              <w:autoSpaceDN w:val="0"/>
              <w:adjustRightInd w:val="0"/>
              <w:spacing w:after="0" w:line="240" w:lineRule="auto"/>
              <w:ind w:left="129"/>
              <w:rPr>
                <w:spacing w:val="-2"/>
                <w:lang w:eastAsia="en-US"/>
              </w:rPr>
            </w:pPr>
            <w:r w:rsidRPr="00F918EE">
              <w:rPr>
                <w:spacing w:val="-2"/>
                <w:sz w:val="20"/>
                <w:szCs w:val="20"/>
                <w:lang w:val="en-US" w:eastAsia="en-US"/>
              </w:rPr>
              <w:t xml:space="preserve">M – </w:t>
            </w:r>
            <w:r w:rsidRPr="00F918EE">
              <w:rPr>
                <w:spacing w:val="-2"/>
                <w:sz w:val="20"/>
                <w:szCs w:val="20"/>
                <w:lang w:eastAsia="en-US"/>
              </w:rPr>
              <w:t xml:space="preserve">самцы, </w:t>
            </w:r>
            <w:r w:rsidRPr="00F918EE">
              <w:rPr>
                <w:spacing w:val="-2"/>
                <w:sz w:val="20"/>
                <w:szCs w:val="20"/>
                <w:lang w:val="en-US" w:eastAsia="en-US"/>
              </w:rPr>
              <w:t xml:space="preserve">F- </w:t>
            </w:r>
            <w:r w:rsidRPr="00F918EE">
              <w:rPr>
                <w:spacing w:val="-2"/>
                <w:sz w:val="20"/>
                <w:szCs w:val="20"/>
                <w:lang w:eastAsia="en-US"/>
              </w:rPr>
              <w:t>самки.</w:t>
            </w:r>
          </w:p>
        </w:tc>
      </w:tr>
    </w:tbl>
    <w:p w14:paraId="3FCDA7FA" w14:textId="77777777" w:rsidR="000859AF" w:rsidRPr="00F918EE" w:rsidRDefault="000859AF" w:rsidP="000859AF">
      <w:pPr>
        <w:spacing w:after="0" w:line="240" w:lineRule="auto"/>
      </w:pPr>
    </w:p>
    <w:p w14:paraId="5B25DEB3" w14:textId="13358CBC" w:rsidR="00D133AE" w:rsidRDefault="000859AF" w:rsidP="00D133AE">
      <w:pPr>
        <w:pStyle w:val="3"/>
        <w:spacing w:before="0" w:line="240" w:lineRule="auto"/>
        <w:rPr>
          <w:rFonts w:ascii="Times New Roman" w:hAnsi="Times New Roman"/>
          <w:color w:val="000000" w:themeColor="text1"/>
        </w:rPr>
      </w:pPr>
      <w:bookmarkStart w:id="250" w:name="_Toc115217960"/>
      <w:bookmarkStart w:id="251" w:name="_Toc118124195"/>
      <w:bookmarkStart w:id="252" w:name="_Toc119313764"/>
      <w:r w:rsidRPr="00F918EE">
        <w:rPr>
          <w:rFonts w:ascii="Times New Roman" w:hAnsi="Times New Roman"/>
          <w:color w:val="000000" w:themeColor="text1"/>
        </w:rPr>
        <w:t>3.3.8. Прочие исследования</w:t>
      </w:r>
      <w:bookmarkEnd w:id="250"/>
      <w:bookmarkEnd w:id="251"/>
      <w:bookmarkEnd w:id="252"/>
    </w:p>
    <w:p w14:paraId="0864BAF4" w14:textId="77777777" w:rsidR="0071249E" w:rsidRPr="0071249E" w:rsidRDefault="0071249E" w:rsidP="0071249E">
      <w:pPr>
        <w:spacing w:after="0" w:line="240" w:lineRule="auto"/>
      </w:pPr>
    </w:p>
    <w:p w14:paraId="4B781812" w14:textId="77777777" w:rsidR="000859AF" w:rsidRPr="000859AF" w:rsidRDefault="000859AF" w:rsidP="000859AF">
      <w:pPr>
        <w:pStyle w:val="4"/>
        <w:spacing w:before="0" w:line="240" w:lineRule="auto"/>
        <w:rPr>
          <w:rFonts w:ascii="Times New Roman" w:hAnsi="Times New Roman"/>
          <w:color w:val="000000" w:themeColor="text1"/>
          <w:sz w:val="24"/>
          <w:szCs w:val="24"/>
        </w:rPr>
      </w:pPr>
      <w:bookmarkStart w:id="253" w:name="_Toc115217961"/>
      <w:bookmarkStart w:id="254" w:name="_Toc118124196"/>
      <w:bookmarkStart w:id="255" w:name="_Toc119313765"/>
      <w:r w:rsidRPr="000859AF">
        <w:rPr>
          <w:rFonts w:ascii="Times New Roman" w:hAnsi="Times New Roman"/>
          <w:color w:val="000000" w:themeColor="text1"/>
          <w:sz w:val="24"/>
          <w:szCs w:val="24"/>
        </w:rPr>
        <w:t>3.3.8.1. Аллергенность</w:t>
      </w:r>
      <w:bookmarkEnd w:id="253"/>
      <w:bookmarkEnd w:id="254"/>
      <w:bookmarkEnd w:id="255"/>
    </w:p>
    <w:p w14:paraId="59404E6B" w14:textId="77777777" w:rsidR="000859AF" w:rsidRPr="00F918EE" w:rsidRDefault="000859AF" w:rsidP="000859AF">
      <w:pPr>
        <w:spacing w:after="0" w:line="240" w:lineRule="auto"/>
        <w:ind w:firstLine="709"/>
        <w:rPr>
          <w:color w:val="000000" w:themeColor="text1"/>
        </w:rPr>
      </w:pPr>
    </w:p>
    <w:p w14:paraId="130D3D95" w14:textId="77777777" w:rsidR="000859AF" w:rsidRPr="00F918EE" w:rsidRDefault="000859AF" w:rsidP="000859AF">
      <w:pPr>
        <w:spacing w:after="0" w:line="240" w:lineRule="auto"/>
        <w:ind w:firstLine="709"/>
        <w:rPr>
          <w:bCs/>
          <w:iCs/>
          <w:lang w:eastAsia="en-US"/>
        </w:rPr>
      </w:pPr>
      <w:r w:rsidRPr="00F918EE">
        <w:rPr>
          <w:color w:val="000000" w:themeColor="text1"/>
        </w:rPr>
        <w:lastRenderedPageBreak/>
        <w:t xml:space="preserve">Аллергенный потенциал эверолимуса был исследован с помощью реакции активной системной анафилаксии (АСА) у морских свинок, реакции пассивной кожной анафилаксии (КПА) у морских свинок (с сывороткой от сенсибилизированных морских свинок) и крыс (с сывороткой от сенсибилизированных мышей). </w:t>
      </w:r>
      <w:bookmarkStart w:id="256" w:name="_Hlk113016027"/>
      <w:r w:rsidRPr="00F918EE">
        <w:rPr>
          <w:color w:val="000000" w:themeColor="text1"/>
        </w:rPr>
        <w:t>Эверолимус не вызывал анафилактических реакций у морских свинок и не вызывал кожных реакций у морских свинок или крыс</w:t>
      </w:r>
      <w:bookmarkEnd w:id="256"/>
      <w:r w:rsidRPr="00F918EE">
        <w:rPr>
          <w:color w:val="000000" w:themeColor="text1"/>
        </w:rPr>
        <w:t xml:space="preserve"> [5]</w:t>
      </w:r>
      <w:r w:rsidRPr="00F918EE">
        <w:rPr>
          <w:bCs/>
          <w:iCs/>
          <w:lang w:eastAsia="en-US"/>
        </w:rPr>
        <w:t>.</w:t>
      </w:r>
    </w:p>
    <w:p w14:paraId="7E004761" w14:textId="77777777" w:rsidR="000859AF" w:rsidRPr="000859AF" w:rsidRDefault="000859AF" w:rsidP="000859AF">
      <w:pPr>
        <w:pStyle w:val="4"/>
        <w:spacing w:after="240" w:line="240" w:lineRule="auto"/>
        <w:contextualSpacing/>
        <w:rPr>
          <w:rFonts w:ascii="Times New Roman" w:hAnsi="Times New Roman"/>
          <w:color w:val="000000" w:themeColor="text1"/>
          <w:sz w:val="24"/>
          <w:szCs w:val="24"/>
        </w:rPr>
      </w:pPr>
      <w:bookmarkStart w:id="257" w:name="_Toc115217962"/>
      <w:bookmarkStart w:id="258" w:name="_Toc118124197"/>
      <w:bookmarkStart w:id="259" w:name="_Toc119313766"/>
      <w:r w:rsidRPr="000859AF">
        <w:rPr>
          <w:rFonts w:ascii="Times New Roman" w:hAnsi="Times New Roman"/>
          <w:color w:val="000000" w:themeColor="text1"/>
          <w:sz w:val="24"/>
          <w:szCs w:val="24"/>
        </w:rPr>
        <w:t>3.3.8.2. Иммунотоксичность</w:t>
      </w:r>
      <w:bookmarkEnd w:id="257"/>
      <w:bookmarkEnd w:id="258"/>
      <w:bookmarkEnd w:id="259"/>
    </w:p>
    <w:p w14:paraId="6BBF54AA" w14:textId="77777777" w:rsidR="000859AF" w:rsidRPr="00F918EE" w:rsidRDefault="000859AF" w:rsidP="000859AF">
      <w:pPr>
        <w:spacing w:after="120" w:line="240" w:lineRule="auto"/>
        <w:ind w:firstLine="709"/>
        <w:contextualSpacing/>
        <w:rPr>
          <w:lang w:bidi="en-US"/>
        </w:rPr>
      </w:pPr>
      <w:r w:rsidRPr="00F918EE">
        <w:rPr>
          <w:lang w:bidi="en-US"/>
        </w:rPr>
        <w:t>Иммуносупрессия эверолимусом приводила к атрофии лимфоидных органов (тимуса, селезенки, лимфатических узлов), а также к снижению циркулирующих лимфоцитов и общего числа лейкоцитов.</w:t>
      </w:r>
    </w:p>
    <w:p w14:paraId="261FE456" w14:textId="77777777" w:rsidR="000859AF" w:rsidRPr="00F918EE" w:rsidRDefault="000859AF" w:rsidP="000859AF">
      <w:pPr>
        <w:spacing w:after="0" w:line="240" w:lineRule="auto"/>
        <w:ind w:firstLine="709"/>
        <w:contextualSpacing/>
        <w:rPr>
          <w:lang w:bidi="en-US"/>
        </w:rPr>
      </w:pPr>
      <w:r w:rsidRPr="00F918EE">
        <w:rPr>
          <w:lang w:bidi="en-US"/>
        </w:rPr>
        <w:t>Токсичность, вызванная иммуносупрессией, включала дегенерацию миокарда/миокардит у макак и крыс в дозе 1,5 мг/кг (меньше экспозиции у человека в 1,7-4,5 раза); вероятно, это связано с вирусной инфекцией, возникающей при иммуносупрессии [6].</w:t>
      </w:r>
    </w:p>
    <w:p w14:paraId="30878458" w14:textId="77777777" w:rsidR="000859AF" w:rsidRPr="00F918EE" w:rsidRDefault="000859AF" w:rsidP="000859AF">
      <w:pPr>
        <w:spacing w:after="0" w:line="240" w:lineRule="auto"/>
        <w:ind w:firstLine="709"/>
        <w:contextualSpacing/>
        <w:rPr>
          <w:bCs/>
          <w:iCs/>
          <w:lang w:eastAsia="en-US"/>
        </w:rPr>
      </w:pPr>
      <w:r w:rsidRPr="00F918EE">
        <w:rPr>
          <w:bCs/>
          <w:iCs/>
          <w:lang w:eastAsia="en-US"/>
        </w:rPr>
        <w:t>Однако ожидается, что эверолимус модулирует иммунную функцию из-за механизма действия (иммунодепрессант) [5].</w:t>
      </w:r>
    </w:p>
    <w:p w14:paraId="59ECFA49" w14:textId="77777777" w:rsidR="000859AF" w:rsidRPr="000859AF" w:rsidRDefault="000859AF" w:rsidP="000859AF">
      <w:pPr>
        <w:pStyle w:val="4"/>
        <w:spacing w:after="240" w:line="240" w:lineRule="auto"/>
        <w:rPr>
          <w:rFonts w:ascii="Times New Roman" w:hAnsi="Times New Roman"/>
          <w:color w:val="000000" w:themeColor="text1"/>
          <w:sz w:val="24"/>
          <w:szCs w:val="24"/>
        </w:rPr>
      </w:pPr>
      <w:bookmarkStart w:id="260" w:name="_Toc115217963"/>
      <w:bookmarkStart w:id="261" w:name="_Toc118124198"/>
      <w:bookmarkStart w:id="262" w:name="_Toc119313767"/>
      <w:r w:rsidRPr="000859AF">
        <w:rPr>
          <w:rFonts w:ascii="Times New Roman" w:hAnsi="Times New Roman"/>
          <w:color w:val="000000" w:themeColor="text1"/>
          <w:sz w:val="24"/>
          <w:szCs w:val="24"/>
        </w:rPr>
        <w:t>3.3.8.3. Токсичность метаболитов</w:t>
      </w:r>
      <w:bookmarkEnd w:id="260"/>
      <w:bookmarkEnd w:id="261"/>
      <w:bookmarkEnd w:id="262"/>
    </w:p>
    <w:p w14:paraId="734AA5F2" w14:textId="77777777" w:rsidR="000859AF" w:rsidRPr="00F918EE" w:rsidRDefault="000859AF" w:rsidP="000859AF">
      <w:pPr>
        <w:spacing w:after="0" w:line="240" w:lineRule="auto"/>
        <w:ind w:firstLine="709"/>
      </w:pPr>
      <w:r w:rsidRPr="00F918EE">
        <w:t xml:space="preserve">В крысиной модели эверолимус снижал уровни IgG в ответ на Т-клеточно-зависимый антиген при дозе 2,5 мг/кг ежедневно или 5 мг/кг еженедельно. Оба режима показали противоопухолевую активность на крысиной модели (0,5 мг/кг, 6 дней в неделю: отношение лечение/контроль составило 0,3; 5 мг/кг, еженедельно: отношение лечение/контроль составило 0,36). Эверолимус также блокировал пролиферацию лимфоцитов в ответ на митогенный стимул в анализе MLR (смешанная лимфоцитарная реакция) </w:t>
      </w:r>
      <w:r w:rsidRPr="00F918EE">
        <w:rPr>
          <w:i/>
        </w:rPr>
        <w:t>in vitro</w:t>
      </w:r>
      <w:r w:rsidRPr="00F918EE">
        <w:t>. Шесть известных метаболитов эверолимуса также были фармакологически активны, но по крайней мере в 100 раз меньше, чем эверолимус [5].</w:t>
      </w:r>
    </w:p>
    <w:p w14:paraId="11CD368B" w14:textId="77777777" w:rsidR="000859AF" w:rsidRPr="000859AF" w:rsidRDefault="000859AF" w:rsidP="000859AF">
      <w:pPr>
        <w:pStyle w:val="4"/>
        <w:spacing w:after="240" w:line="240" w:lineRule="auto"/>
        <w:rPr>
          <w:rFonts w:ascii="Times New Roman" w:hAnsi="Times New Roman"/>
          <w:color w:val="000000" w:themeColor="text1"/>
          <w:sz w:val="24"/>
          <w:szCs w:val="24"/>
        </w:rPr>
      </w:pPr>
      <w:bookmarkStart w:id="263" w:name="_Toc115217964"/>
      <w:bookmarkStart w:id="264" w:name="_Toc118124199"/>
      <w:bookmarkStart w:id="265" w:name="_Toc119313768"/>
      <w:r w:rsidRPr="000859AF">
        <w:rPr>
          <w:rFonts w:ascii="Times New Roman" w:hAnsi="Times New Roman"/>
          <w:color w:val="000000" w:themeColor="text1"/>
          <w:sz w:val="24"/>
          <w:szCs w:val="24"/>
        </w:rPr>
        <w:t>3.3.8.4. Токсичность примесей</w:t>
      </w:r>
      <w:bookmarkEnd w:id="263"/>
      <w:bookmarkEnd w:id="264"/>
      <w:bookmarkEnd w:id="265"/>
    </w:p>
    <w:p w14:paraId="08B22F1E" w14:textId="77777777" w:rsidR="000859AF" w:rsidRPr="00F918EE" w:rsidRDefault="000859AF" w:rsidP="000859AF">
      <w:pPr>
        <w:spacing w:after="0" w:line="240" w:lineRule="auto"/>
        <w:ind w:firstLine="709"/>
        <w:rPr>
          <w:bCs/>
          <w:iCs/>
          <w:lang w:eastAsia="en-US"/>
        </w:rPr>
      </w:pPr>
      <w:r w:rsidRPr="00F918EE">
        <w:rPr>
          <w:bCs/>
          <w:iCs/>
          <w:lang w:eastAsia="en-US"/>
        </w:rPr>
        <w:t>Исследования токсичности повторных доз на крысах не выявили каких-либо токсических эффектов, которые можно было бы отнести к каким-либо примесям или продуктам деградации [5].</w:t>
      </w:r>
    </w:p>
    <w:p w14:paraId="36C6435A" w14:textId="77777777" w:rsidR="000859AF" w:rsidRPr="00F918EE" w:rsidRDefault="000859AF" w:rsidP="000859AF">
      <w:pPr>
        <w:rPr>
          <w:color w:val="000000" w:themeColor="text1"/>
        </w:rPr>
      </w:pPr>
    </w:p>
    <w:p w14:paraId="6F12A909" w14:textId="77777777" w:rsidR="000859AF" w:rsidRPr="00F918EE" w:rsidRDefault="000859AF" w:rsidP="000859AF">
      <w:pPr>
        <w:pStyle w:val="2"/>
        <w:spacing w:line="240" w:lineRule="auto"/>
        <w:rPr>
          <w:color w:val="000000" w:themeColor="text1"/>
          <w:szCs w:val="24"/>
        </w:rPr>
      </w:pPr>
      <w:bookmarkStart w:id="266" w:name="_Toc115217965"/>
      <w:bookmarkStart w:id="267" w:name="_Toc118124200"/>
      <w:bookmarkStart w:id="268" w:name="_Toc119313769"/>
      <w:r w:rsidRPr="00F918EE">
        <w:rPr>
          <w:color w:val="000000" w:themeColor="text1"/>
          <w:szCs w:val="24"/>
        </w:rPr>
        <w:t>Список литературы</w:t>
      </w:r>
      <w:bookmarkEnd w:id="266"/>
      <w:bookmarkEnd w:id="267"/>
      <w:bookmarkEnd w:id="268"/>
    </w:p>
    <w:p w14:paraId="39EBBA34" w14:textId="77777777" w:rsidR="000859AF" w:rsidRPr="00F918EE" w:rsidRDefault="000859AF" w:rsidP="000859AF">
      <w:pPr>
        <w:pStyle w:val="af3"/>
        <w:numPr>
          <w:ilvl w:val="0"/>
          <w:numId w:val="8"/>
        </w:numPr>
        <w:tabs>
          <w:tab w:val="left" w:pos="142"/>
        </w:tabs>
        <w:spacing w:after="0" w:line="240" w:lineRule="auto"/>
        <w:ind w:left="426"/>
        <w:contextualSpacing w:val="0"/>
        <w:rPr>
          <w:color w:val="000000" w:themeColor="text1"/>
          <w:lang w:val="en-US"/>
        </w:rPr>
      </w:pPr>
      <w:r w:rsidRPr="00F918EE">
        <w:rPr>
          <w:color w:val="000000" w:themeColor="text1"/>
          <w:lang w:val="en-US"/>
        </w:rPr>
        <w:t>AFINITOR and AFINITOR DISPERZ Product Monograph. Date of Preparation: December 11, 2009. Date of Revision: November 16, 2017.</w:t>
      </w:r>
      <w:bookmarkStart w:id="269" w:name="subscribe_form"/>
    </w:p>
    <w:p w14:paraId="23532101" w14:textId="77777777" w:rsidR="000859AF" w:rsidRPr="00F918EE" w:rsidRDefault="000859AF" w:rsidP="000859AF">
      <w:pPr>
        <w:pStyle w:val="af3"/>
        <w:numPr>
          <w:ilvl w:val="0"/>
          <w:numId w:val="8"/>
        </w:numPr>
        <w:tabs>
          <w:tab w:val="left" w:pos="142"/>
        </w:tabs>
        <w:spacing w:after="0" w:line="240" w:lineRule="auto"/>
        <w:ind w:left="426"/>
        <w:contextualSpacing w:val="0"/>
        <w:rPr>
          <w:color w:val="000000" w:themeColor="text1"/>
          <w:lang w:val="en-US"/>
        </w:rPr>
      </w:pPr>
      <w:r w:rsidRPr="00F918EE">
        <w:rPr>
          <w:rStyle w:val="highwire-citation-author"/>
          <w:color w:val="2E2B2B"/>
          <w:bdr w:val="none" w:sz="0" w:space="0" w:color="auto" w:frame="1"/>
          <w:shd w:val="clear" w:color="auto" w:fill="FFFFFF"/>
          <w:lang w:val="en-US"/>
        </w:rPr>
        <w:t>Gearoid McMahon</w:t>
      </w:r>
      <w:r w:rsidRPr="00F918EE">
        <w:rPr>
          <w:color w:val="2E2B2B"/>
          <w:shd w:val="clear" w:color="auto" w:fill="FFFFFF"/>
          <w:lang w:val="en-US"/>
        </w:rPr>
        <w:t>, </w:t>
      </w:r>
      <w:r w:rsidRPr="00F918EE">
        <w:rPr>
          <w:rStyle w:val="highwire-citation-author"/>
          <w:color w:val="2E2B2B"/>
          <w:bdr w:val="none" w:sz="0" w:space="0" w:color="auto" w:frame="1"/>
          <w:shd w:val="clear" w:color="auto" w:fill="FFFFFF"/>
          <w:lang w:val="en-US"/>
        </w:rPr>
        <w:t>Matthew R. Weir</w:t>
      </w:r>
      <w:r w:rsidRPr="00F918EE">
        <w:rPr>
          <w:color w:val="2E2B2B"/>
          <w:shd w:val="clear" w:color="auto" w:fill="FFFFFF"/>
          <w:lang w:val="en-US"/>
        </w:rPr>
        <w:t>, </w:t>
      </w:r>
      <w:r w:rsidRPr="00F918EE">
        <w:rPr>
          <w:rStyle w:val="highwire-citation-author"/>
          <w:color w:val="2E2B2B"/>
          <w:bdr w:val="none" w:sz="0" w:space="0" w:color="auto" w:frame="1"/>
          <w:shd w:val="clear" w:color="auto" w:fill="FFFFFF"/>
          <w:lang w:val="en-US"/>
        </w:rPr>
        <w:t>Xian C. Li</w:t>
      </w:r>
      <w:r w:rsidRPr="00F918EE">
        <w:rPr>
          <w:color w:val="2E2B2B"/>
          <w:shd w:val="clear" w:color="auto" w:fill="FFFFFF"/>
          <w:lang w:val="en-US"/>
        </w:rPr>
        <w:t> and </w:t>
      </w:r>
      <w:r w:rsidRPr="00F918EE">
        <w:rPr>
          <w:rStyle w:val="highwire-citation-author"/>
          <w:color w:val="2E2B2B"/>
          <w:bdr w:val="none" w:sz="0" w:space="0" w:color="auto" w:frame="1"/>
          <w:shd w:val="clear" w:color="auto" w:fill="FFFFFF"/>
          <w:lang w:val="en-US"/>
        </w:rPr>
        <w:t>Didier A. Mandelbrot</w:t>
      </w:r>
      <w:r w:rsidRPr="00F918EE">
        <w:rPr>
          <w:color w:val="000000" w:themeColor="text1"/>
          <w:shd w:val="clear" w:color="auto" w:fill="FFFFFF"/>
          <w:lang w:val="en-US"/>
        </w:rPr>
        <w:t>.</w:t>
      </w:r>
      <w:r w:rsidRPr="00F918EE">
        <w:rPr>
          <w:color w:val="574143"/>
          <w:spacing w:val="-7"/>
          <w:lang w:val="en-US"/>
        </w:rPr>
        <w:t xml:space="preserve"> The Evolving Role of mTOR Inhibition in Transplantation Tolerance</w:t>
      </w:r>
      <w:r w:rsidRPr="00F918EE">
        <w:rPr>
          <w:color w:val="000000" w:themeColor="text1"/>
          <w:shd w:val="clear" w:color="auto" w:fill="FFFFFF"/>
          <w:lang w:val="en-US"/>
        </w:rPr>
        <w:t xml:space="preserve"> // </w:t>
      </w:r>
      <w:r w:rsidRPr="00F918EE">
        <w:rPr>
          <w:rStyle w:val="highwire-cite-metadata-journal"/>
          <w:color w:val="2E2B2B"/>
          <w:bdr w:val="none" w:sz="0" w:space="0" w:color="auto" w:frame="1"/>
          <w:shd w:val="clear" w:color="auto" w:fill="FFFFFF"/>
          <w:lang w:val="en-US"/>
        </w:rPr>
        <w:t>JASN </w:t>
      </w:r>
      <w:r w:rsidRPr="00F918EE">
        <w:rPr>
          <w:rStyle w:val="highwire-cite-metadata-date"/>
          <w:color w:val="2E2B2B"/>
          <w:bdr w:val="none" w:sz="0" w:space="0" w:color="auto" w:frame="1"/>
          <w:shd w:val="clear" w:color="auto" w:fill="FFFFFF"/>
          <w:lang w:val="en-US"/>
        </w:rPr>
        <w:t>March 2011, </w:t>
      </w:r>
      <w:r w:rsidRPr="00F918EE">
        <w:rPr>
          <w:rStyle w:val="highwire-cite-metadata-volume"/>
          <w:color w:val="2E2B2B"/>
          <w:bdr w:val="none" w:sz="0" w:space="0" w:color="auto" w:frame="1"/>
          <w:shd w:val="clear" w:color="auto" w:fill="FFFFFF"/>
          <w:lang w:val="en-US"/>
        </w:rPr>
        <w:t>22 </w:t>
      </w:r>
      <w:r w:rsidRPr="00F918EE">
        <w:rPr>
          <w:rStyle w:val="highwire-cite-metadata-issue"/>
          <w:color w:val="2E2B2B"/>
          <w:bdr w:val="none" w:sz="0" w:space="0" w:color="auto" w:frame="1"/>
          <w:shd w:val="clear" w:color="auto" w:fill="FFFFFF"/>
          <w:lang w:val="en-US"/>
        </w:rPr>
        <w:t>(3) </w:t>
      </w:r>
      <w:r w:rsidRPr="00F918EE">
        <w:rPr>
          <w:rStyle w:val="highwire-cite-metadata-pages"/>
          <w:color w:val="2E2B2B"/>
          <w:bdr w:val="none" w:sz="0" w:space="0" w:color="auto" w:frame="1"/>
          <w:shd w:val="clear" w:color="auto" w:fill="FFFFFF"/>
          <w:lang w:val="en-US"/>
        </w:rPr>
        <w:t>408-415;</w:t>
      </w:r>
    </w:p>
    <w:p w14:paraId="4725DB1C" w14:textId="77777777" w:rsidR="000859AF" w:rsidRPr="00636C1A" w:rsidRDefault="000859AF" w:rsidP="000859AF">
      <w:pPr>
        <w:pStyle w:val="af3"/>
        <w:numPr>
          <w:ilvl w:val="0"/>
          <w:numId w:val="8"/>
        </w:numPr>
        <w:tabs>
          <w:tab w:val="left" w:pos="142"/>
        </w:tabs>
        <w:spacing w:after="0" w:line="240" w:lineRule="auto"/>
        <w:ind w:left="426"/>
        <w:contextualSpacing w:val="0"/>
        <w:rPr>
          <w:color w:val="000000" w:themeColor="text1"/>
          <w:lang w:val="en-US"/>
        </w:rPr>
      </w:pPr>
      <w:r w:rsidRPr="00F918EE">
        <w:rPr>
          <w:color w:val="000000" w:themeColor="text1"/>
          <w:shd w:val="clear" w:color="auto" w:fill="FFFFFF"/>
          <w:lang w:val="en-US"/>
        </w:rPr>
        <w:t>Schuurman H-J, Cottens S, Fuchs S, et al. SDZ RAD, a new rapamycin derivative: synergism with cyclosporine. Transplantation 1997; 64: 32.</w:t>
      </w:r>
    </w:p>
    <w:p w14:paraId="1253A069" w14:textId="77777777" w:rsidR="000859AF" w:rsidRPr="00636C1A" w:rsidRDefault="000859AF" w:rsidP="000859AF">
      <w:pPr>
        <w:pStyle w:val="af3"/>
        <w:numPr>
          <w:ilvl w:val="0"/>
          <w:numId w:val="8"/>
        </w:numPr>
        <w:tabs>
          <w:tab w:val="left" w:pos="142"/>
        </w:tabs>
        <w:spacing w:after="0" w:line="240" w:lineRule="auto"/>
        <w:ind w:left="426"/>
        <w:contextualSpacing w:val="0"/>
        <w:rPr>
          <w:color w:val="000000" w:themeColor="text1"/>
          <w:lang w:val="en-US"/>
        </w:rPr>
      </w:pPr>
      <w:r w:rsidRPr="00F918EE">
        <w:rPr>
          <w:color w:val="000000" w:themeColor="text1"/>
          <w:lang w:val="en-US"/>
        </w:rPr>
        <w:lastRenderedPageBreak/>
        <w:t xml:space="preserve">Nashan B, Curtis J, Ponticelli C, et al. Everolimus and reduced-exposure cyclosporine in de novo renal transplant recipients: a three-year Phase II, randomized, multicenter, open-label study. </w:t>
      </w:r>
      <w:r w:rsidRPr="00636C1A">
        <w:rPr>
          <w:color w:val="000000" w:themeColor="text1"/>
          <w:lang w:val="en-US"/>
        </w:rPr>
        <w:t>Transplantation 2004; 78: 1332.</w:t>
      </w:r>
    </w:p>
    <w:bookmarkEnd w:id="269"/>
    <w:p w14:paraId="2D3D8A74" w14:textId="77777777" w:rsidR="000859AF" w:rsidRPr="00F918EE" w:rsidRDefault="000859AF" w:rsidP="000859AF">
      <w:pPr>
        <w:pStyle w:val="af3"/>
        <w:numPr>
          <w:ilvl w:val="0"/>
          <w:numId w:val="8"/>
        </w:numPr>
        <w:tabs>
          <w:tab w:val="left" w:pos="142"/>
        </w:tabs>
        <w:spacing w:after="0" w:line="240" w:lineRule="auto"/>
        <w:ind w:left="426"/>
        <w:contextualSpacing w:val="0"/>
        <w:rPr>
          <w:color w:val="000000" w:themeColor="text1"/>
          <w:lang w:val="en-US"/>
        </w:rPr>
      </w:pPr>
      <w:r w:rsidRPr="00F918EE">
        <w:rPr>
          <w:color w:val="000000" w:themeColor="text1"/>
          <w:lang w:val="en-US"/>
        </w:rPr>
        <w:t xml:space="preserve">Assessment report. Votubia everolimus Procedure No.: EMEA/H/C/002311//0000. </w:t>
      </w:r>
      <w:r w:rsidRPr="00F918EE">
        <w:rPr>
          <w:lang w:val="en-US"/>
        </w:rPr>
        <w:t>https://www.ema.europa.eu/en/documents/assessment-report/votubia-epar-public-assessment-report_en.pdf</w:t>
      </w:r>
    </w:p>
    <w:p w14:paraId="2CF5415C" w14:textId="77777777" w:rsidR="000859AF" w:rsidRPr="00F918EE" w:rsidRDefault="000859AF" w:rsidP="000859AF">
      <w:pPr>
        <w:pStyle w:val="af3"/>
        <w:numPr>
          <w:ilvl w:val="0"/>
          <w:numId w:val="8"/>
        </w:numPr>
        <w:tabs>
          <w:tab w:val="left" w:pos="142"/>
        </w:tabs>
        <w:spacing w:after="0" w:line="240" w:lineRule="auto"/>
        <w:ind w:left="426" w:hanging="357"/>
        <w:jc w:val="left"/>
        <w:rPr>
          <w:color w:val="000000" w:themeColor="text1"/>
          <w:lang w:val="en-US"/>
        </w:rPr>
      </w:pPr>
      <w:r w:rsidRPr="00F918EE">
        <w:rPr>
          <w:color w:val="000000" w:themeColor="text1"/>
          <w:lang w:val="en-US"/>
        </w:rPr>
        <w:t>CENTER FOR DRUG EVALUATION AND RESEARCH APPLICATION NUMBER: 21-560 PHARMACOLOGY REVIEW(S) https://www.accessdata.fda.gov/drugsatfda_docs/nda/2010/021560s000pharmr.pdf</w:t>
      </w:r>
    </w:p>
    <w:p w14:paraId="57D92942" w14:textId="77777777" w:rsidR="000859AF" w:rsidRPr="00F918EE" w:rsidRDefault="000859AF" w:rsidP="000859AF">
      <w:pPr>
        <w:pStyle w:val="af3"/>
        <w:numPr>
          <w:ilvl w:val="0"/>
          <w:numId w:val="8"/>
        </w:numPr>
        <w:tabs>
          <w:tab w:val="left" w:pos="142"/>
        </w:tabs>
        <w:spacing w:after="0" w:line="240" w:lineRule="auto"/>
        <w:ind w:left="426" w:hanging="357"/>
        <w:rPr>
          <w:color w:val="000000" w:themeColor="text1"/>
          <w:lang w:val="en-US"/>
        </w:rPr>
      </w:pPr>
      <w:r w:rsidRPr="00F918EE">
        <w:rPr>
          <w:color w:val="000000" w:themeColor="text1"/>
          <w:lang w:val="en-US"/>
        </w:rPr>
        <w:t>Certican tablets. Summary of product characteristics updated 15-Jun-2022. https://www.medicines.org.uk/emc/product/1920/smpc#gref</w:t>
      </w:r>
    </w:p>
    <w:p w14:paraId="4110A3B7" w14:textId="77777777" w:rsidR="000859AF" w:rsidRPr="00F918EE" w:rsidRDefault="000859AF" w:rsidP="000859AF">
      <w:pPr>
        <w:pStyle w:val="af3"/>
        <w:numPr>
          <w:ilvl w:val="0"/>
          <w:numId w:val="8"/>
        </w:numPr>
        <w:tabs>
          <w:tab w:val="left" w:pos="142"/>
        </w:tabs>
        <w:spacing w:after="0" w:line="240" w:lineRule="auto"/>
        <w:ind w:left="426" w:hanging="357"/>
        <w:rPr>
          <w:color w:val="000000" w:themeColor="text1"/>
          <w:lang w:val="en-US"/>
        </w:rPr>
      </w:pPr>
      <w:r w:rsidRPr="00F918EE">
        <w:rPr>
          <w:color w:val="000000" w:themeColor="text1"/>
          <w:lang w:val="en-US"/>
        </w:rPr>
        <w:t>CHMP assessment report for Afinitor. Procedure No: EMEA/H/C/001038. https://www.ema.europa.eu/en/documents/assessment-report/afinitor-epar-public-assessment-report_en.pdf</w:t>
      </w:r>
    </w:p>
    <w:p w14:paraId="36657C0C" w14:textId="77777777" w:rsidR="000859AF" w:rsidRPr="00F918EE" w:rsidRDefault="000859AF" w:rsidP="000859AF">
      <w:pPr>
        <w:pStyle w:val="af3"/>
        <w:numPr>
          <w:ilvl w:val="0"/>
          <w:numId w:val="8"/>
        </w:numPr>
        <w:tabs>
          <w:tab w:val="left" w:pos="142"/>
        </w:tabs>
        <w:spacing w:after="0" w:line="240" w:lineRule="auto"/>
        <w:ind w:left="426" w:hanging="357"/>
        <w:rPr>
          <w:color w:val="000000" w:themeColor="text1"/>
          <w:lang w:val="en-US"/>
        </w:rPr>
      </w:pPr>
      <w:r w:rsidRPr="00F918EE">
        <w:rPr>
          <w:lang w:val="en-US"/>
        </w:rPr>
        <w:t>Laplanche R, Meno-Tetang GM, and Kawai R (2007). Physiologically based pharmacokinetic (PBPK) modeling of everolimus (RAD001) in rats involving non-linear tissue uptake. J Pharmacokinet Pharmacodyn; 34(3):373-400.</w:t>
      </w:r>
    </w:p>
    <w:p w14:paraId="6CE1C7EC" w14:textId="77777777" w:rsidR="00986AA3" w:rsidRPr="00707D60" w:rsidRDefault="00986AA3" w:rsidP="00707D60">
      <w:pPr>
        <w:spacing w:line="240" w:lineRule="auto"/>
        <w:jc w:val="left"/>
        <w:rPr>
          <w:rStyle w:val="aa"/>
          <w:b/>
          <w:bCs/>
          <w:color w:val="auto"/>
          <w:kern w:val="32"/>
          <w:szCs w:val="32"/>
          <w:highlight w:val="yellow"/>
          <w:u w:val="none"/>
          <w:lang w:val="en-US"/>
        </w:rPr>
      </w:pPr>
      <w:r w:rsidRPr="00707D60">
        <w:rPr>
          <w:rStyle w:val="aa"/>
          <w:color w:val="auto"/>
          <w:highlight w:val="yellow"/>
          <w:u w:val="none"/>
          <w:lang w:val="en-US"/>
        </w:rPr>
        <w:br w:type="page"/>
      </w:r>
    </w:p>
    <w:p w14:paraId="0FE67562" w14:textId="77777777" w:rsidR="00E30437" w:rsidRPr="00707D60" w:rsidRDefault="00E30437" w:rsidP="00707D60">
      <w:pPr>
        <w:pStyle w:val="12"/>
        <w:spacing w:line="240" w:lineRule="auto"/>
        <w:rPr>
          <w:rFonts w:cs="Times New Roman"/>
          <w:color w:val="000000" w:themeColor="text1"/>
          <w:szCs w:val="24"/>
        </w:rPr>
      </w:pPr>
      <w:bookmarkStart w:id="270" w:name="_Toc115217966"/>
      <w:bookmarkStart w:id="271" w:name="_Toc118124201"/>
      <w:bookmarkStart w:id="272" w:name="_Toc119313770"/>
      <w:r w:rsidRPr="00707D60">
        <w:rPr>
          <w:rFonts w:cs="Times New Roman"/>
          <w:color w:val="000000" w:themeColor="text1"/>
          <w:szCs w:val="24"/>
        </w:rPr>
        <w:lastRenderedPageBreak/>
        <w:t>4. ДЕЙСТВИЕ У ЧЕЛОВЕКА</w:t>
      </w:r>
      <w:bookmarkEnd w:id="270"/>
      <w:bookmarkEnd w:id="271"/>
      <w:bookmarkEnd w:id="272"/>
    </w:p>
    <w:p w14:paraId="1731F038" w14:textId="77777777" w:rsidR="00E30437" w:rsidRPr="00707D60" w:rsidRDefault="00E30437" w:rsidP="00707D60">
      <w:pPr>
        <w:pStyle w:val="2"/>
        <w:spacing w:line="240" w:lineRule="auto"/>
        <w:rPr>
          <w:color w:val="000000" w:themeColor="text1"/>
          <w:szCs w:val="24"/>
        </w:rPr>
      </w:pPr>
      <w:bookmarkStart w:id="273" w:name="_Toc115217967"/>
      <w:bookmarkStart w:id="274" w:name="_Toc118124202"/>
      <w:bookmarkStart w:id="275" w:name="_Toc119313771"/>
      <w:r w:rsidRPr="00707D60">
        <w:rPr>
          <w:color w:val="000000" w:themeColor="text1"/>
          <w:szCs w:val="24"/>
        </w:rPr>
        <w:t>Введение и резюме</w:t>
      </w:r>
      <w:bookmarkEnd w:id="273"/>
      <w:bookmarkEnd w:id="274"/>
      <w:bookmarkEnd w:id="275"/>
    </w:p>
    <w:p w14:paraId="6DCE86DE" w14:textId="2D4A22DA" w:rsidR="00CE775D" w:rsidRDefault="00CE775D" w:rsidP="00CE775D">
      <w:pPr>
        <w:spacing w:after="0" w:line="240" w:lineRule="auto"/>
        <w:ind w:firstLine="709"/>
      </w:pPr>
      <w:bookmarkStart w:id="276" w:name="_Hlk113018996"/>
      <w:r w:rsidRPr="00BF6DD4">
        <w:t xml:space="preserve">Клинических исследований препарата </w:t>
      </w:r>
      <w:r w:rsidRPr="00BF6DD4">
        <w:rPr>
          <w:lang w:val="en-US"/>
        </w:rPr>
        <w:t>DT</w:t>
      </w:r>
      <w:r w:rsidRPr="00BF6DD4">
        <w:t>-</w:t>
      </w:r>
      <w:r w:rsidRPr="00BF6DD4">
        <w:rPr>
          <w:lang w:val="en-US"/>
        </w:rPr>
        <w:t>EVR</w:t>
      </w:r>
      <w:r w:rsidRPr="00BF6DD4">
        <w:t xml:space="preserve">, </w:t>
      </w:r>
      <w:r>
        <w:t>таблетки, 0,2</w:t>
      </w:r>
      <w:r w:rsidRPr="00BF6DD4">
        <w:t xml:space="preserve">5 мг, </w:t>
      </w:r>
      <w:r>
        <w:t xml:space="preserve">0,5 мг и </w:t>
      </w:r>
      <w:r w:rsidRPr="00BF6DD4">
        <w:t>0</w:t>
      </w:r>
      <w:r>
        <w:t>,75</w:t>
      </w:r>
      <w:r w:rsidRPr="00BF6DD4">
        <w:t xml:space="preserve"> мг (АО «Р-Фарм», Россия) не проводилось. Так как препарат </w:t>
      </w:r>
      <w:r w:rsidRPr="00BF6DD4">
        <w:rPr>
          <w:lang w:val="en-US"/>
        </w:rPr>
        <w:t>DT</w:t>
      </w:r>
      <w:r w:rsidRPr="00BF6DD4">
        <w:t>-</w:t>
      </w:r>
      <w:r w:rsidRPr="00BF6DD4">
        <w:rPr>
          <w:lang w:val="en-US"/>
        </w:rPr>
        <w:t>EVR</w:t>
      </w:r>
      <w:r w:rsidRPr="00BF6DD4">
        <w:t xml:space="preserve">, разработанный АО «Р-Фарм», Россия, представляет собой воспроизведенный препарат эверолимуса, ожидается, что его свойства будут идентичны свойствам оригинального препарата </w:t>
      </w:r>
      <w:r>
        <w:t>Сертикан</w:t>
      </w:r>
      <w:r w:rsidRPr="00BF6DD4">
        <w:rPr>
          <w:vertAlign w:val="superscript"/>
        </w:rPr>
        <w:t>®</w:t>
      </w:r>
      <w:r w:rsidRPr="00BF6DD4">
        <w:t>, таблетки,</w:t>
      </w:r>
      <w:r>
        <w:t xml:space="preserve"> 0,2</w:t>
      </w:r>
      <w:r w:rsidRPr="00BF6DD4">
        <w:t xml:space="preserve">5 мг, </w:t>
      </w:r>
      <w:r>
        <w:t xml:space="preserve">0,5 мг и </w:t>
      </w:r>
      <w:r w:rsidRPr="00BF6DD4">
        <w:t>0</w:t>
      </w:r>
      <w:r>
        <w:t>,75</w:t>
      </w:r>
      <w:r w:rsidRPr="00BF6DD4">
        <w:t xml:space="preserve"> мг (Новартис Фарма АГ, Швейцария), которому </w:t>
      </w:r>
      <w:r w:rsidRPr="00BF6DD4">
        <w:rPr>
          <w:lang w:val="en-US"/>
        </w:rPr>
        <w:t>DT</w:t>
      </w:r>
      <w:r w:rsidRPr="00BF6DD4">
        <w:t>-</w:t>
      </w:r>
      <w:r w:rsidRPr="00BF6DD4">
        <w:rPr>
          <w:lang w:val="en-US"/>
        </w:rPr>
        <w:t>EVR</w:t>
      </w:r>
      <w:r w:rsidRPr="00BF6DD4">
        <w:t xml:space="preserve"> полностью соответствует по качественному и количественному составу </w:t>
      </w:r>
      <w:r w:rsidR="005D5DBF" w:rsidRPr="00BF6DD4">
        <w:t>действующ</w:t>
      </w:r>
      <w:r w:rsidR="005D5DBF">
        <w:t>его</w:t>
      </w:r>
      <w:r w:rsidR="005D5DBF" w:rsidRPr="00BF6DD4">
        <w:t xml:space="preserve"> </w:t>
      </w:r>
      <w:r w:rsidRPr="00BF6DD4">
        <w:t xml:space="preserve">и </w:t>
      </w:r>
      <w:r w:rsidR="005D5DBF">
        <w:t>основных</w:t>
      </w:r>
      <w:r w:rsidRPr="00BF6DD4">
        <w:t xml:space="preserve"> вспомогательных веществ, а также по лекарственной форме и дозировке. </w:t>
      </w:r>
      <w:r w:rsidRPr="00BF6DD4">
        <w:rPr>
          <w:rFonts w:eastAsia="Calibri"/>
          <w:color w:val="000000" w:themeColor="text1"/>
        </w:rPr>
        <w:t xml:space="preserve">В связи с этим ниже приводятся данные об эффектах эверолимуса у человека, полученные в исследованиях препарата </w:t>
      </w:r>
      <w:r>
        <w:rPr>
          <w:rFonts w:eastAsia="Calibri"/>
          <w:color w:val="000000" w:themeColor="text1"/>
        </w:rPr>
        <w:t>Сертикан</w:t>
      </w:r>
      <w:r w:rsidRPr="00BF6DD4">
        <w:rPr>
          <w:bCs/>
          <w:color w:val="000000" w:themeColor="text1"/>
          <w:vertAlign w:val="superscript"/>
        </w:rPr>
        <w:t>®</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Pr="00BF6DD4">
        <w:rPr>
          <w:color w:val="000000" w:themeColor="text1"/>
          <w:lang w:val="en-US"/>
        </w:rPr>
        <w:t>DT</w:t>
      </w:r>
      <w:r w:rsidRPr="00BF6DD4">
        <w:rPr>
          <w:color w:val="000000" w:themeColor="text1"/>
        </w:rPr>
        <w:t>-</w:t>
      </w:r>
      <w:r w:rsidRPr="00BF6DD4">
        <w:rPr>
          <w:color w:val="000000" w:themeColor="text1"/>
          <w:lang w:val="en-US"/>
        </w:rPr>
        <w:t>EVR</w:t>
      </w:r>
      <w:r w:rsidRPr="00BF6DD4">
        <w:t xml:space="preserve"> пока не проводил</w:t>
      </w:r>
      <w:r>
        <w:t>о</w:t>
      </w:r>
      <w:r w:rsidRPr="00BF6DD4">
        <w:t>сь.</w:t>
      </w:r>
    </w:p>
    <w:p w14:paraId="2718DF5F" w14:textId="77777777" w:rsidR="00CE775D" w:rsidRDefault="00CE775D" w:rsidP="00CE775D">
      <w:pPr>
        <w:spacing w:after="0" w:line="240" w:lineRule="auto"/>
        <w:ind w:firstLine="709"/>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эверолимуса включала исследования фармакокинетики однократных и многократных доз у здоровых добровольцев, пациентов с распространенными солидными опухолями и реципиентов трансплантатов органов, исследования фармакокинетики у пациентов с нарушением функции почек, многочисленные исследования фармакокинетических лекарственных взаимодействий и влияния пищи у здоровых добровольцев, исследования </w:t>
      </w:r>
      <w:r>
        <w:rPr>
          <w:bCs/>
          <w:color w:val="000000" w:themeColor="text1"/>
          <w:lang w:val="en-US" w:eastAsia="ru-RU" w:bidi="ru-RU"/>
        </w:rPr>
        <w:t>II</w:t>
      </w:r>
      <w:r w:rsidRPr="0011373C">
        <w:rPr>
          <w:bCs/>
          <w:color w:val="000000" w:themeColor="text1"/>
          <w:lang w:eastAsia="ru-RU" w:bidi="ru-RU"/>
        </w:rPr>
        <w:t xml:space="preserve"> </w:t>
      </w:r>
      <w:r>
        <w:rPr>
          <w:bCs/>
          <w:color w:val="000000" w:themeColor="text1"/>
          <w:lang w:eastAsia="ru-RU" w:bidi="ru-RU"/>
        </w:rPr>
        <w:t xml:space="preserve">фазы для подбора дозы препарата, а также ключевые исследования </w:t>
      </w:r>
      <w:r>
        <w:rPr>
          <w:bCs/>
          <w:color w:val="000000" w:themeColor="text1"/>
          <w:lang w:val="en-US" w:eastAsia="ru-RU" w:bidi="ru-RU"/>
        </w:rPr>
        <w:t>III</w:t>
      </w:r>
      <w:r>
        <w:rPr>
          <w:bCs/>
          <w:color w:val="000000" w:themeColor="text1"/>
          <w:lang w:eastAsia="ru-RU" w:bidi="ru-RU"/>
        </w:rPr>
        <w:t xml:space="preserve"> фазы у реципиентов трансплантатов органов, на основании результатов которых были утверждены настоящие показания для медицинского применения эверолимуса.</w:t>
      </w:r>
    </w:p>
    <w:p w14:paraId="003E0892" w14:textId="77777777" w:rsidR="00CE775D" w:rsidRDefault="00CE775D" w:rsidP="00CE775D">
      <w:pPr>
        <w:widowControl w:val="0"/>
        <w:spacing w:after="0" w:line="240" w:lineRule="auto"/>
        <w:ind w:firstLine="709"/>
        <w:rPr>
          <w:rFonts w:eastAsia="Calibri"/>
          <w:lang w:eastAsia="ru-RU"/>
        </w:rPr>
      </w:pPr>
      <w:r>
        <w:rPr>
          <w:rFonts w:eastAsia="Calibri"/>
          <w:lang w:eastAsia="ru-RU"/>
        </w:rPr>
        <w:t xml:space="preserve">В клинических исследованиях у здоровых добровольцев эверолимус хорошо переносился в дозах </w:t>
      </w:r>
      <w:r w:rsidRPr="0067314B">
        <w:rPr>
          <w:rFonts w:eastAsia="Calibri"/>
          <w:lang w:eastAsia="ru-RU"/>
        </w:rPr>
        <w:t>до 50 мг.</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У пациентов эверолимус применялся в виде однократных доз до 70 мг или многократных доз до 10 мг. Профиль безопасности препарата был сходным при однократном и многократном дозировании.</w:t>
      </w:r>
    </w:p>
    <w:p w14:paraId="66DB8056" w14:textId="77777777" w:rsidR="00CE775D" w:rsidRDefault="00CE775D" w:rsidP="00CE775D">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w:t>
      </w:r>
      <w:r w:rsidRPr="00343AC2">
        <w:rPr>
          <w:bCs/>
          <w:color w:val="000000" w:themeColor="text1"/>
          <w:lang w:eastAsia="ru-RU" w:bidi="ru-RU"/>
        </w:rPr>
        <w:t xml:space="preserve"> </w:t>
      </w:r>
      <w:r>
        <w:rPr>
          <w:bCs/>
          <w:color w:val="000000" w:themeColor="text1"/>
          <w:lang w:eastAsia="ru-RU" w:bidi="ru-RU"/>
        </w:rPr>
        <w:t>эверолимус</w:t>
      </w:r>
      <w:r w:rsidRPr="00343AC2">
        <w:rPr>
          <w:bCs/>
          <w:color w:val="000000" w:themeColor="text1"/>
          <w:lang w:eastAsia="ru-RU" w:bidi="ru-RU"/>
        </w:rPr>
        <w:t xml:space="preserve"> </w:t>
      </w:r>
      <w:r>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Pr>
          <w:bCs/>
          <w:color w:val="000000" w:themeColor="text1"/>
          <w:lang w:eastAsia="ru-RU" w:bidi="ru-RU"/>
        </w:rPr>
        <w:t>1-2 ч</w:t>
      </w:r>
      <w:r w:rsidRPr="00343AC2">
        <w:rPr>
          <w:bCs/>
          <w:color w:val="000000" w:themeColor="text1"/>
          <w:lang w:eastAsia="ru-RU" w:bidi="ru-RU"/>
        </w:rPr>
        <w:t xml:space="preserve">. </w:t>
      </w:r>
      <w:r w:rsidRPr="00530B28">
        <w:rPr>
          <w:bCs/>
          <w:color w:val="000000" w:themeColor="text1"/>
          <w:lang w:eastAsia="ru-RU" w:bidi="ru-RU"/>
        </w:rPr>
        <w:t xml:space="preserve">Всасывание </w:t>
      </w:r>
      <w:r>
        <w:rPr>
          <w:bCs/>
          <w:color w:val="000000" w:themeColor="text1"/>
          <w:lang w:eastAsia="ru-RU" w:bidi="ru-RU"/>
        </w:rPr>
        <w:t>эверолимуса</w:t>
      </w:r>
      <w:r w:rsidRPr="00530B28">
        <w:rPr>
          <w:bCs/>
          <w:color w:val="000000" w:themeColor="text1"/>
          <w:lang w:eastAsia="ru-RU" w:bidi="ru-RU"/>
        </w:rPr>
        <w:t xml:space="preserve"> </w:t>
      </w:r>
      <w:r>
        <w:rPr>
          <w:bCs/>
          <w:color w:val="000000" w:themeColor="text1"/>
          <w:lang w:eastAsia="ru-RU" w:bidi="ru-RU"/>
        </w:rPr>
        <w:t xml:space="preserve">зависит от условий приема – натощак или с пищей, </w:t>
      </w:r>
      <w:r>
        <w:rPr>
          <w:rFonts w:eastAsia="Calibri"/>
          <w:color w:val="000000" w:themeColor="text1"/>
          <w:szCs w:val="28"/>
        </w:rPr>
        <w:t>о</w:t>
      </w:r>
      <w:r w:rsidRPr="00707D60">
        <w:rPr>
          <w:rFonts w:eastAsia="Calibri"/>
          <w:color w:val="000000" w:themeColor="text1"/>
          <w:szCs w:val="28"/>
        </w:rPr>
        <w:t>дновременный прием пищи с низким содержание жиров снижал AUC и С</w:t>
      </w:r>
      <w:r w:rsidRPr="00BF6DD4">
        <w:rPr>
          <w:rFonts w:eastAsia="Calibri"/>
          <w:color w:val="000000" w:themeColor="text1"/>
          <w:szCs w:val="28"/>
          <w:vertAlign w:val="subscript"/>
        </w:rPr>
        <w:t>mах</w:t>
      </w:r>
      <w:r>
        <w:rPr>
          <w:rFonts w:eastAsia="Calibri"/>
          <w:color w:val="000000" w:themeColor="text1"/>
          <w:szCs w:val="28"/>
        </w:rPr>
        <w:t xml:space="preserve"> на 32% и 42%, соответственно</w:t>
      </w:r>
      <w:r w:rsidRPr="00343AC2">
        <w:rPr>
          <w:bCs/>
          <w:color w:val="000000" w:themeColor="text1"/>
          <w:lang w:eastAsia="ru-RU" w:bidi="ru-RU"/>
        </w:rPr>
        <w:t xml:space="preserve">. </w:t>
      </w:r>
      <w:r w:rsidRPr="00707D60">
        <w:rPr>
          <w:rFonts w:eastAsia="Calibri"/>
          <w:color w:val="000000" w:themeColor="text1"/>
          <w:szCs w:val="28"/>
        </w:rPr>
        <w:t xml:space="preserve">Процентное отношение концентрации эверолимуса в </w:t>
      </w:r>
      <w:r>
        <w:rPr>
          <w:rFonts w:eastAsia="Calibri"/>
          <w:color w:val="000000" w:themeColor="text1"/>
          <w:szCs w:val="28"/>
        </w:rPr>
        <w:t xml:space="preserve">цельной </w:t>
      </w:r>
      <w:r w:rsidRPr="00707D60">
        <w:rPr>
          <w:rFonts w:eastAsia="Calibri"/>
          <w:color w:val="000000" w:themeColor="text1"/>
          <w:szCs w:val="28"/>
        </w:rPr>
        <w:t>крови и плазме крови, которое является зависимым от концентрации соединения в диапазоне от 5 до 5000 нг/мл, изменяется от 17% до 73%. Связь с белками плазмы крови составляет примерно 74% как у здоровых добровольцев, так и у пациентов с нарушением функции печени средней степени тяжести.</w:t>
      </w:r>
      <w:r w:rsidRPr="00BF6DD4">
        <w:rPr>
          <w:rFonts w:eastAsia="Calibri"/>
          <w:color w:val="000000" w:themeColor="text1"/>
          <w:szCs w:val="28"/>
        </w:rPr>
        <w:t xml:space="preserve"> </w:t>
      </w:r>
      <w:r w:rsidRPr="00707D60">
        <w:rPr>
          <w:rFonts w:eastAsia="Calibri"/>
          <w:color w:val="000000" w:themeColor="text1"/>
        </w:rPr>
        <w:t>Эверолимус является субстратом изофермента CYP3A4 и Р-гликопротеина. После приема препарата внутрь в крови эверолимус циркулирует в основном в неизмененном виде. В крови человека определены шесть основных метаболитов эверолимуса, уступа</w:t>
      </w:r>
      <w:r>
        <w:rPr>
          <w:rFonts w:eastAsia="Calibri"/>
          <w:color w:val="000000" w:themeColor="text1"/>
        </w:rPr>
        <w:t>ющих</w:t>
      </w:r>
      <w:r w:rsidRPr="00707D60">
        <w:rPr>
          <w:rFonts w:eastAsia="Calibri"/>
          <w:color w:val="000000" w:themeColor="text1"/>
        </w:rPr>
        <w:t xml:space="preserve"> </w:t>
      </w:r>
      <w:r>
        <w:rPr>
          <w:rFonts w:eastAsia="Calibri"/>
          <w:color w:val="000000" w:themeColor="text1"/>
        </w:rPr>
        <w:t>исходному соединению по фармакологической активности</w:t>
      </w:r>
      <w:r w:rsidRPr="00707D60">
        <w:rPr>
          <w:rFonts w:eastAsia="Calibri"/>
          <w:color w:val="000000" w:themeColor="text1"/>
        </w:rPr>
        <w:t xml:space="preserve"> примерно в 100 раз. </w:t>
      </w:r>
      <w:r w:rsidRPr="00074C25">
        <w:rPr>
          <w:rFonts w:eastAsia="Calibri"/>
          <w:color w:val="000000" w:themeColor="text1"/>
          <w:szCs w:val="28"/>
        </w:rPr>
        <w:t>Средний период полувыведения эверолимуса составляет примерно 30 часов</w:t>
      </w:r>
      <w:r>
        <w:rPr>
          <w:rFonts w:eastAsia="TimesNewRomanPS-BoldMT"/>
          <w:bCs/>
          <w:color w:val="000000" w:themeColor="text1"/>
        </w:rPr>
        <w:t>. Препарат выводится с калом в виде метаболитов.</w:t>
      </w:r>
    </w:p>
    <w:p w14:paraId="0DD73F09" w14:textId="77777777" w:rsidR="00CE775D" w:rsidRDefault="00CE775D" w:rsidP="00CE775D">
      <w:pPr>
        <w:autoSpaceDE w:val="0"/>
        <w:autoSpaceDN w:val="0"/>
        <w:adjustRightInd w:val="0"/>
        <w:spacing w:after="0" w:line="240" w:lineRule="auto"/>
        <w:ind w:firstLine="743"/>
        <w:rPr>
          <w:color w:val="000000"/>
          <w:lang w:eastAsia="ru-RU"/>
        </w:rPr>
      </w:pPr>
      <w:r w:rsidRPr="00B83064">
        <w:rPr>
          <w:rFonts w:eastAsia="Times New Roman"/>
          <w:color w:val="000000" w:themeColor="text1"/>
          <w:lang w:eastAsia="ru-RU"/>
        </w:rPr>
        <w:lastRenderedPageBreak/>
        <w:t xml:space="preserve">Регистрационные исследования эффективности и безопасности </w:t>
      </w:r>
      <w:r>
        <w:rPr>
          <w:rFonts w:eastAsia="Times New Roman"/>
          <w:color w:val="000000" w:themeColor="text1"/>
          <w:lang w:eastAsia="ru-RU"/>
        </w:rPr>
        <w:t>эверолимуса</w:t>
      </w:r>
      <w:r w:rsidRPr="00B83064">
        <w:rPr>
          <w:rFonts w:eastAsia="Times New Roman"/>
          <w:color w:val="000000" w:themeColor="text1"/>
          <w:lang w:eastAsia="ru-RU"/>
        </w:rPr>
        <w:t xml:space="preserve"> (</w:t>
      </w:r>
      <w:r>
        <w:rPr>
          <w:rFonts w:eastAsia="Calibri"/>
          <w:color w:val="000000" w:themeColor="text1"/>
          <w:lang w:eastAsia="ru-RU"/>
        </w:rPr>
        <w:t>Сертикан</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 xml:space="preserve">были проведены у </w:t>
      </w:r>
      <w:r>
        <w:rPr>
          <w:rFonts w:eastAsia="Times New Roman"/>
          <w:color w:val="000000" w:themeColor="text1"/>
          <w:lang w:eastAsia="ru-RU"/>
        </w:rPr>
        <w:t>реципиентов трансплантата почки, сердца и печени.</w:t>
      </w:r>
    </w:p>
    <w:p w14:paraId="1599EB54" w14:textId="77777777" w:rsidR="00CE775D" w:rsidRPr="00DA0DA9" w:rsidRDefault="00CE775D" w:rsidP="00CE775D">
      <w:pPr>
        <w:spacing w:after="0" w:line="240" w:lineRule="auto"/>
        <w:ind w:firstLine="709"/>
      </w:pP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о участие в общей сложности 4449 пациентов. Х</w:t>
      </w:r>
      <w:r w:rsidRPr="00DA0DA9">
        <w:t>отя бы од</w:t>
      </w:r>
      <w:r>
        <w:t>ну дозу эверолимуса приняли 2825</w:t>
      </w:r>
      <w:r w:rsidRPr="00DA0DA9">
        <w:t xml:space="preserve"> пациентов, из них </w:t>
      </w:r>
      <w:r>
        <w:t>1622 пациента получали иммуносупрессивную терапию как реципиенты трансплантата почки, 958 пациентов – как реципиенты трансплантата сердца и 245 пациентов – как реципиенты трансплантата печени.</w:t>
      </w:r>
      <w:r w:rsidRPr="00DA0DA9">
        <w:t xml:space="preserve"> </w:t>
      </w:r>
      <w:r>
        <w:t>Наблюдение за субъектами исследования составляло от 6 до 36 месяцев.</w:t>
      </w:r>
    </w:p>
    <w:p w14:paraId="4CE5ABB0" w14:textId="77777777" w:rsidR="00CE775D" w:rsidRDefault="00CE775D" w:rsidP="00CE775D">
      <w:pPr>
        <w:spacing w:after="0" w:line="240" w:lineRule="auto"/>
        <w:ind w:firstLine="709"/>
      </w:pPr>
      <w:r w:rsidRPr="00DA0DA9">
        <w:t>В большинстве исследований</w:t>
      </w:r>
      <w:r>
        <w:t xml:space="preserve"> первичной конечной точкой был комбинированный показатель: неэффективности трансплантата, смерть или утрата контакта для дальнейшего наблюдения. В ряде исследований в качестве первичной конечной точки фигурировали параметры безопасности (например, оценка функции почек или частота развития инфекций), а оценка эффективности трансплантата выступала в качестве вторичной конечной точки</w:t>
      </w:r>
      <w:r w:rsidRPr="00695000">
        <w:t xml:space="preserve"> </w:t>
      </w:r>
    </w:p>
    <w:p w14:paraId="21F8654B" w14:textId="1027CA6F" w:rsidR="00CE775D" w:rsidRPr="002E4B25" w:rsidRDefault="00CE775D" w:rsidP="00CE775D">
      <w:pPr>
        <w:spacing w:after="0" w:line="240" w:lineRule="auto"/>
        <w:ind w:firstLine="709"/>
        <w:rPr>
          <w:color w:val="000000"/>
          <w:lang w:eastAsia="ru-RU"/>
        </w:rPr>
      </w:pPr>
      <w:r w:rsidRPr="001B72F5">
        <w:rPr>
          <w:color w:val="000000"/>
          <w:lang w:eastAsia="ru-RU"/>
        </w:rPr>
        <w:t xml:space="preserve">К настоящему моменту доступны данные о безопасности эверолимуса, полученные в ходе клинических исследований эверолимуса и в ходе постмаркетингового наблюдения.  Профиль безопасности основан на объединенных данных пациентов, получавших </w:t>
      </w:r>
      <w:r>
        <w:rPr>
          <w:color w:val="000000"/>
          <w:lang w:eastAsia="ru-RU"/>
        </w:rPr>
        <w:t>эверолимус</w:t>
      </w:r>
      <w:r w:rsidRPr="001B72F5">
        <w:rPr>
          <w:color w:val="000000"/>
          <w:lang w:eastAsia="ru-RU"/>
        </w:rPr>
        <w:t xml:space="preserve"> в </w:t>
      </w:r>
      <w:r>
        <w:rPr>
          <w:color w:val="000000"/>
          <w:lang w:eastAsia="ru-RU"/>
        </w:rPr>
        <w:t>семи клинических исследованиях</w:t>
      </w:r>
      <w:r w:rsidRPr="001B72F5">
        <w:rPr>
          <w:color w:val="000000"/>
          <w:lang w:eastAsia="ru-RU"/>
        </w:rPr>
        <w:t xml:space="preserve"> фазы III и </w:t>
      </w:r>
      <w:r>
        <w:rPr>
          <w:color w:val="000000"/>
          <w:lang w:eastAsia="ru-RU"/>
        </w:rPr>
        <w:t>двух</w:t>
      </w:r>
      <w:r w:rsidRPr="001B72F5">
        <w:rPr>
          <w:color w:val="000000"/>
          <w:lang w:eastAsia="ru-RU"/>
        </w:rPr>
        <w:t xml:space="preserve"> открыты</w:t>
      </w:r>
      <w:r>
        <w:rPr>
          <w:color w:val="000000"/>
          <w:lang w:eastAsia="ru-RU"/>
        </w:rPr>
        <w:t>х исследований фазы I</w:t>
      </w:r>
      <w:r>
        <w:rPr>
          <w:color w:val="000000"/>
          <w:lang w:val="en-US" w:eastAsia="ru-RU"/>
        </w:rPr>
        <w:t>I</w:t>
      </w:r>
      <w:r>
        <w:rPr>
          <w:color w:val="000000"/>
          <w:lang w:eastAsia="ru-RU"/>
        </w:rPr>
        <w:t>I у пациентов с нозологиями, относящимися к утвержденным показаниям</w:t>
      </w:r>
      <w:r w:rsidRPr="001B72F5">
        <w:rPr>
          <w:color w:val="000000"/>
          <w:lang w:eastAsia="ru-RU"/>
        </w:rPr>
        <w:t>.</w:t>
      </w:r>
      <w:r w:rsidRPr="002E4B25">
        <w:rPr>
          <w:color w:val="000000"/>
          <w:lang w:eastAsia="ru-RU"/>
        </w:rPr>
        <w:t xml:space="preserve"> </w:t>
      </w:r>
      <w:r w:rsidRPr="00E03613">
        <w:rPr>
          <w:bCs/>
        </w:rPr>
        <w:t xml:space="preserve">Все испытания, кроме двух (с трансплантацией почки), включали группы стандартной терапии, не содержащие </w:t>
      </w:r>
      <w:r>
        <w:rPr>
          <w:bCs/>
        </w:rPr>
        <w:t>эверолимус</w:t>
      </w:r>
      <w:r w:rsidRPr="00E03613">
        <w:rPr>
          <w:bCs/>
        </w:rPr>
        <w:t xml:space="preserve">, на основе ингибиторов кальциневрина. </w:t>
      </w:r>
      <w:r>
        <w:rPr>
          <w:bCs/>
        </w:rPr>
        <w:t>Эверолимус</w:t>
      </w:r>
      <w:r w:rsidRPr="00E03613">
        <w:rPr>
          <w:bCs/>
        </w:rPr>
        <w:t xml:space="preserve"> в комбинации с циклоспорином изучался в пяти исследованиях у реципиентов почечного трансплантата с общим числом пациентов 2497 (включая два исследования без контрольной группы, не получавшей </w:t>
      </w:r>
      <w:r>
        <w:rPr>
          <w:bCs/>
        </w:rPr>
        <w:t>эверолимус</w:t>
      </w:r>
      <w:r w:rsidRPr="00E03613">
        <w:rPr>
          <w:bCs/>
        </w:rPr>
        <w:t>), и в трех исследованиях с участием реципиентов трансплантированного сердц</w:t>
      </w:r>
      <w:r>
        <w:rPr>
          <w:bCs/>
        </w:rPr>
        <w:t>а с общим числом пациентов 1531. Эверолимус</w:t>
      </w:r>
      <w:r w:rsidRPr="00E03613">
        <w:rPr>
          <w:bCs/>
        </w:rPr>
        <w:t xml:space="preserve"> в комбинации с такролимусом изучали в одном исследовании, вк</w:t>
      </w:r>
      <w:r>
        <w:rPr>
          <w:bCs/>
        </w:rPr>
        <w:t>лючавшем 719 реципиентов печени</w:t>
      </w:r>
      <w:r w:rsidRPr="002E4B25">
        <w:rPr>
          <w:bCs/>
        </w:rPr>
        <w:t>.</w:t>
      </w:r>
    </w:p>
    <w:p w14:paraId="72BE1F6A" w14:textId="4A72CE7B" w:rsidR="00193FF8" w:rsidRPr="00CE775D" w:rsidRDefault="00CE775D" w:rsidP="00CE775D">
      <w:pPr>
        <w:spacing w:after="0" w:line="240" w:lineRule="auto"/>
        <w:ind w:firstLine="709"/>
        <w:rPr>
          <w:color w:val="000000"/>
          <w:lang w:eastAsia="ru-RU"/>
        </w:rPr>
      </w:pPr>
      <w:r w:rsidRPr="001B72F5">
        <w:rPr>
          <w:color w:val="000000"/>
          <w:lang w:eastAsia="ru-RU"/>
        </w:rPr>
        <w:t xml:space="preserve">Наиболее частыми побочными реакциями (частота ≥1/10) из объединенных данных </w:t>
      </w:r>
      <w:r>
        <w:rPr>
          <w:color w:val="000000"/>
          <w:lang w:eastAsia="ru-RU"/>
        </w:rPr>
        <w:t>по безопасности были (</w:t>
      </w:r>
      <w:r w:rsidRPr="001B72F5">
        <w:rPr>
          <w:color w:val="000000"/>
          <w:lang w:eastAsia="ru-RU"/>
        </w:rPr>
        <w:t xml:space="preserve">в порядке убывания): </w:t>
      </w:r>
      <w:r w:rsidRPr="00E03613">
        <w:rPr>
          <w:bCs/>
        </w:rPr>
        <w:t>инфекции, анемия, гиперлипиде</w:t>
      </w:r>
      <w:r>
        <w:rPr>
          <w:bCs/>
        </w:rPr>
        <w:t>мия, вновь выявленный сахарный диабет</w:t>
      </w:r>
      <w:r w:rsidRPr="00E03613">
        <w:rPr>
          <w:bCs/>
        </w:rPr>
        <w:t>, бессонница, головная боль, артериальная гипертензия, кашель, запор, тошнота, периферические отеки, нарушение заживления</w:t>
      </w:r>
      <w:r>
        <w:rPr>
          <w:bCs/>
        </w:rPr>
        <w:t xml:space="preserve"> ран</w:t>
      </w:r>
      <w:r w:rsidRPr="00E03613">
        <w:rPr>
          <w:bCs/>
        </w:rPr>
        <w:t xml:space="preserve"> (включая плевральный и перикардиальный выпот).</w:t>
      </w:r>
    </w:p>
    <w:p w14:paraId="597842A1" w14:textId="35765999" w:rsidR="00BF6DD4" w:rsidRPr="00BF6DD4" w:rsidRDefault="00BF6DD4" w:rsidP="00BF6DD4">
      <w:pPr>
        <w:pStyle w:val="2"/>
        <w:spacing w:line="240" w:lineRule="auto"/>
        <w:rPr>
          <w:color w:val="000000" w:themeColor="text1"/>
          <w:szCs w:val="24"/>
        </w:rPr>
      </w:pPr>
      <w:bookmarkStart w:id="277" w:name="_Toc112014978"/>
      <w:bookmarkStart w:id="278" w:name="_Toc115217968"/>
      <w:bookmarkStart w:id="279" w:name="_Toc118124203"/>
      <w:bookmarkStart w:id="280" w:name="_Toc119313772"/>
      <w:r w:rsidRPr="00284823">
        <w:rPr>
          <w:color w:val="000000" w:themeColor="text1"/>
          <w:szCs w:val="24"/>
        </w:rPr>
        <w:t>4.1. Фармакокинетика и фармакодинамика у человека</w:t>
      </w:r>
      <w:bookmarkEnd w:id="277"/>
      <w:bookmarkEnd w:id="278"/>
      <w:bookmarkEnd w:id="279"/>
      <w:bookmarkEnd w:id="280"/>
    </w:p>
    <w:p w14:paraId="2943749F" w14:textId="77777777" w:rsidR="00BF6DD4" w:rsidRPr="00284823" w:rsidRDefault="00BF6DD4" w:rsidP="00BF6DD4">
      <w:pPr>
        <w:spacing w:before="240" w:after="240" w:line="240" w:lineRule="auto"/>
        <w:outlineLvl w:val="2"/>
        <w:rPr>
          <w:b/>
          <w:color w:val="000000" w:themeColor="text1"/>
        </w:rPr>
      </w:pPr>
      <w:bookmarkStart w:id="281" w:name="_Toc112014979"/>
      <w:bookmarkStart w:id="282" w:name="_Toc115217969"/>
      <w:bookmarkStart w:id="283" w:name="_Toc118124204"/>
      <w:bookmarkStart w:id="284" w:name="_Toc119313773"/>
      <w:bookmarkEnd w:id="276"/>
      <w:r w:rsidRPr="00284823">
        <w:rPr>
          <w:b/>
          <w:color w:val="000000" w:themeColor="text1"/>
        </w:rPr>
        <w:t>4.1.1. Фармакокинетика</w:t>
      </w:r>
      <w:bookmarkEnd w:id="281"/>
      <w:bookmarkEnd w:id="282"/>
      <w:bookmarkEnd w:id="283"/>
      <w:bookmarkEnd w:id="284"/>
    </w:p>
    <w:p w14:paraId="04ED136B" w14:textId="77777777" w:rsidR="001C54B1" w:rsidRDefault="001C54B1" w:rsidP="001C54B1">
      <w:pPr>
        <w:spacing w:after="0" w:line="240" w:lineRule="auto"/>
        <w:ind w:firstLine="709"/>
        <w:rPr>
          <w:color w:val="000000"/>
          <w:szCs w:val="23"/>
        </w:rPr>
      </w:pPr>
      <w:r w:rsidRPr="00707D60">
        <w:rPr>
          <w:color w:val="000000"/>
          <w:szCs w:val="23"/>
        </w:rPr>
        <w:t xml:space="preserve">Эверолимус является </w:t>
      </w:r>
      <w:r>
        <w:rPr>
          <w:color w:val="000000"/>
          <w:szCs w:val="23"/>
        </w:rPr>
        <w:t xml:space="preserve">фармакологически </w:t>
      </w:r>
      <w:r w:rsidRPr="00707D60">
        <w:rPr>
          <w:color w:val="000000"/>
          <w:szCs w:val="23"/>
        </w:rPr>
        <w:t>активным препаратом. Эверолимус быстро всасывается после приема внутрь, его биодоступность составляет около 30 %, и он метаболизируется цитохромами CYP3A4 и CYP2C8 с образо</w:t>
      </w:r>
      <w:r>
        <w:rPr>
          <w:color w:val="000000"/>
          <w:szCs w:val="23"/>
        </w:rPr>
        <w:t>ванием 6 различных метаболитов [1</w:t>
      </w:r>
      <w:r w:rsidRPr="00707D60">
        <w:rPr>
          <w:color w:val="000000"/>
          <w:szCs w:val="23"/>
        </w:rPr>
        <w:t>]. </w:t>
      </w:r>
    </w:p>
    <w:p w14:paraId="160EB4E2" w14:textId="77777777" w:rsidR="001C54B1" w:rsidRDefault="001C54B1" w:rsidP="001C54B1">
      <w:pPr>
        <w:spacing w:after="0" w:line="240" w:lineRule="auto"/>
        <w:ind w:firstLine="709"/>
        <w:rPr>
          <w:color w:val="000000"/>
          <w:szCs w:val="23"/>
        </w:rPr>
      </w:pPr>
      <w:r w:rsidRPr="00387EF7">
        <w:rPr>
          <w:color w:val="000000"/>
          <w:szCs w:val="23"/>
        </w:rPr>
        <w:lastRenderedPageBreak/>
        <w:t>В исследованиях фармакокинетики эверолимуса приняли участие 144 здоровых добровольца (оценка фармакокинетических лекарственных взаимодействий – 120 человек, оценка влияния пищи на фармакокинетику – 24 человека) и 269 пациентов (из них 98 реципиентов трансплантата почки) [2].</w:t>
      </w:r>
    </w:p>
    <w:p w14:paraId="4D3E00BE" w14:textId="77777777" w:rsidR="001C54B1" w:rsidRPr="008A1EE1" w:rsidRDefault="001C54B1" w:rsidP="001C54B1">
      <w:pPr>
        <w:spacing w:after="0" w:line="240" w:lineRule="auto"/>
        <w:ind w:firstLine="709"/>
        <w:rPr>
          <w:color w:val="000000"/>
          <w:szCs w:val="23"/>
        </w:rPr>
      </w:pPr>
    </w:p>
    <w:p w14:paraId="5EAF4D2B" w14:textId="77777777" w:rsidR="001C54B1" w:rsidRPr="008A1EE1" w:rsidRDefault="001C54B1" w:rsidP="001C54B1">
      <w:pPr>
        <w:spacing w:after="0" w:line="240" w:lineRule="auto"/>
        <w:rPr>
          <w:b/>
          <w:color w:val="000000"/>
          <w:szCs w:val="23"/>
        </w:rPr>
      </w:pPr>
      <w:r w:rsidRPr="008A1EE1">
        <w:rPr>
          <w:b/>
          <w:color w:val="000000"/>
          <w:szCs w:val="23"/>
        </w:rPr>
        <w:t>Таблица</w:t>
      </w:r>
      <w:r>
        <w:rPr>
          <w:b/>
          <w:color w:val="000000"/>
          <w:szCs w:val="23"/>
        </w:rPr>
        <w:t xml:space="preserve"> 4-1</w:t>
      </w:r>
      <w:r w:rsidRPr="008A1EE1">
        <w:rPr>
          <w:b/>
          <w:color w:val="000000"/>
          <w:szCs w:val="23"/>
        </w:rPr>
        <w:t xml:space="preserve">. </w:t>
      </w:r>
      <w:r w:rsidRPr="008A1EE1">
        <w:rPr>
          <w:color w:val="000000"/>
          <w:szCs w:val="23"/>
        </w:rPr>
        <w:t>Основные фармакокинетические исследования эверолимуса.</w:t>
      </w:r>
    </w:p>
    <w:tbl>
      <w:tblPr>
        <w:tblW w:w="9408" w:type="dxa"/>
        <w:tblInd w:w="93" w:type="dxa"/>
        <w:tblLayout w:type="fixed"/>
        <w:tblLook w:val="04A0" w:firstRow="1" w:lastRow="0" w:firstColumn="1" w:lastColumn="0" w:noHBand="0" w:noVBand="1"/>
      </w:tblPr>
      <w:tblGrid>
        <w:gridCol w:w="1716"/>
        <w:gridCol w:w="2552"/>
        <w:gridCol w:w="1559"/>
        <w:gridCol w:w="2268"/>
        <w:gridCol w:w="1313"/>
      </w:tblGrid>
      <w:tr w:rsidR="001C54B1" w:rsidRPr="0088248E" w14:paraId="7CEDA416" w14:textId="77777777" w:rsidTr="001C54B1">
        <w:trPr>
          <w:trHeight w:val="20"/>
          <w:tblHeader/>
        </w:trPr>
        <w:tc>
          <w:tcPr>
            <w:tcW w:w="171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63043CA" w14:textId="77777777" w:rsidR="001C54B1" w:rsidRPr="0071249E" w:rsidRDefault="001C54B1" w:rsidP="001C54B1">
            <w:pPr>
              <w:spacing w:after="0" w:line="240" w:lineRule="auto"/>
              <w:jc w:val="center"/>
              <w:rPr>
                <w:rFonts w:eastAsia="Times New Roman"/>
                <w:b/>
                <w:color w:val="000000"/>
                <w:lang w:eastAsia="ru-RU"/>
              </w:rPr>
            </w:pPr>
            <w:r w:rsidRPr="0071249E">
              <w:rPr>
                <w:rFonts w:eastAsia="Times New Roman"/>
                <w:b/>
                <w:color w:val="000000"/>
                <w:lang w:eastAsia="ru-RU"/>
              </w:rPr>
              <w:t>Исследование</w:t>
            </w:r>
          </w:p>
        </w:tc>
        <w:tc>
          <w:tcPr>
            <w:tcW w:w="2552" w:type="dxa"/>
            <w:tcBorders>
              <w:top w:val="single" w:sz="4" w:space="0" w:color="auto"/>
              <w:left w:val="nil"/>
              <w:bottom w:val="single" w:sz="4" w:space="0" w:color="auto"/>
              <w:right w:val="single" w:sz="4" w:space="0" w:color="auto"/>
            </w:tcBorders>
            <w:shd w:val="clear" w:color="000000" w:fill="D9D9D9"/>
            <w:vAlign w:val="center"/>
            <w:hideMark/>
          </w:tcPr>
          <w:p w14:paraId="04A555B5" w14:textId="77777777" w:rsidR="001C54B1" w:rsidRPr="0071249E" w:rsidRDefault="001C54B1" w:rsidP="001C54B1">
            <w:pPr>
              <w:spacing w:after="0" w:line="240" w:lineRule="auto"/>
              <w:jc w:val="center"/>
              <w:rPr>
                <w:rFonts w:eastAsia="Times New Roman"/>
                <w:b/>
                <w:color w:val="000000"/>
                <w:lang w:eastAsia="ru-RU"/>
              </w:rPr>
            </w:pPr>
            <w:r w:rsidRPr="0071249E">
              <w:rPr>
                <w:rFonts w:eastAsia="Times New Roman"/>
                <w:b/>
                <w:color w:val="000000"/>
                <w:lang w:eastAsia="ru-RU"/>
              </w:rPr>
              <w:t>Цель исследования</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55D5B281" w14:textId="77777777" w:rsidR="001C54B1" w:rsidRPr="0071249E" w:rsidRDefault="001C54B1" w:rsidP="001C54B1">
            <w:pPr>
              <w:spacing w:after="0" w:line="240" w:lineRule="auto"/>
              <w:jc w:val="center"/>
              <w:rPr>
                <w:rFonts w:eastAsia="Times New Roman"/>
                <w:b/>
                <w:color w:val="000000"/>
                <w:lang w:eastAsia="ru-RU"/>
              </w:rPr>
            </w:pPr>
            <w:r w:rsidRPr="0071249E">
              <w:rPr>
                <w:rFonts w:eastAsia="Times New Roman"/>
                <w:b/>
                <w:color w:val="000000"/>
                <w:lang w:eastAsia="ru-RU"/>
              </w:rPr>
              <w:t>Количество субъектов</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022DF016" w14:textId="77777777" w:rsidR="001C54B1" w:rsidRPr="0071249E" w:rsidRDefault="001C54B1" w:rsidP="001C54B1">
            <w:pPr>
              <w:spacing w:after="0" w:line="240" w:lineRule="auto"/>
              <w:jc w:val="center"/>
              <w:rPr>
                <w:rFonts w:eastAsia="Times New Roman"/>
                <w:b/>
                <w:color w:val="000000"/>
                <w:lang w:eastAsia="ru-RU"/>
              </w:rPr>
            </w:pPr>
            <w:r w:rsidRPr="0071249E">
              <w:rPr>
                <w:rFonts w:eastAsia="Times New Roman"/>
                <w:b/>
                <w:color w:val="000000"/>
                <w:lang w:eastAsia="ru-RU"/>
              </w:rPr>
              <w:t>Длительность применения</w:t>
            </w:r>
          </w:p>
        </w:tc>
        <w:tc>
          <w:tcPr>
            <w:tcW w:w="1313" w:type="dxa"/>
            <w:tcBorders>
              <w:top w:val="single" w:sz="4" w:space="0" w:color="auto"/>
              <w:left w:val="nil"/>
              <w:bottom w:val="single" w:sz="4" w:space="0" w:color="auto"/>
              <w:right w:val="single" w:sz="4" w:space="0" w:color="auto"/>
            </w:tcBorders>
            <w:shd w:val="clear" w:color="000000" w:fill="D9D9D9"/>
            <w:vAlign w:val="center"/>
            <w:hideMark/>
          </w:tcPr>
          <w:p w14:paraId="37601AB7" w14:textId="77777777" w:rsidR="001C54B1" w:rsidRPr="0071249E" w:rsidRDefault="001C54B1" w:rsidP="001C54B1">
            <w:pPr>
              <w:spacing w:after="0" w:line="240" w:lineRule="auto"/>
              <w:jc w:val="center"/>
              <w:rPr>
                <w:rFonts w:eastAsia="Times New Roman"/>
                <w:b/>
                <w:color w:val="000000"/>
                <w:lang w:eastAsia="ru-RU"/>
              </w:rPr>
            </w:pPr>
            <w:r w:rsidRPr="0071249E">
              <w:rPr>
                <w:rFonts w:eastAsia="Times New Roman"/>
                <w:b/>
                <w:color w:val="000000"/>
                <w:lang w:eastAsia="ru-RU"/>
              </w:rPr>
              <w:t>Доза препарата</w:t>
            </w:r>
          </w:p>
        </w:tc>
      </w:tr>
      <w:tr w:rsidR="001C54B1" w:rsidRPr="0088248E" w14:paraId="41EB9926" w14:textId="77777777" w:rsidTr="001C54B1">
        <w:trPr>
          <w:trHeight w:val="20"/>
        </w:trPr>
        <w:tc>
          <w:tcPr>
            <w:tcW w:w="940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3BCED62" w14:textId="77777777" w:rsidR="001C54B1" w:rsidRPr="0088248E" w:rsidRDefault="001C54B1" w:rsidP="001C54B1">
            <w:pPr>
              <w:spacing w:after="0" w:line="240" w:lineRule="auto"/>
              <w:jc w:val="left"/>
              <w:rPr>
                <w:rFonts w:eastAsia="Times New Roman"/>
                <w:i/>
                <w:iCs/>
                <w:color w:val="000000"/>
                <w:lang w:eastAsia="ru-RU"/>
              </w:rPr>
            </w:pPr>
            <w:r w:rsidRPr="0088248E">
              <w:rPr>
                <w:rFonts w:eastAsia="Times New Roman"/>
                <w:i/>
                <w:iCs/>
                <w:color w:val="000000"/>
                <w:lang w:eastAsia="ru-RU"/>
              </w:rPr>
              <w:t>Здоровые добровольцы</w:t>
            </w:r>
          </w:p>
        </w:tc>
      </w:tr>
      <w:tr w:rsidR="001C54B1" w:rsidRPr="0088248E" w14:paraId="6279A220"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65F2AC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А2302</w:t>
            </w:r>
          </w:p>
        </w:tc>
        <w:tc>
          <w:tcPr>
            <w:tcW w:w="2552" w:type="dxa"/>
            <w:tcBorders>
              <w:top w:val="nil"/>
              <w:left w:val="nil"/>
              <w:bottom w:val="single" w:sz="4" w:space="0" w:color="auto"/>
              <w:right w:val="single" w:sz="4" w:space="0" w:color="auto"/>
            </w:tcBorders>
            <w:shd w:val="clear" w:color="auto" w:fill="auto"/>
            <w:vAlign w:val="bottom"/>
            <w:hideMark/>
          </w:tcPr>
          <w:p w14:paraId="0BF83A28"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рифампицином</w:t>
            </w:r>
          </w:p>
        </w:tc>
        <w:tc>
          <w:tcPr>
            <w:tcW w:w="1559" w:type="dxa"/>
            <w:tcBorders>
              <w:top w:val="nil"/>
              <w:left w:val="nil"/>
              <w:bottom w:val="single" w:sz="4" w:space="0" w:color="auto"/>
              <w:right w:val="single" w:sz="4" w:space="0" w:color="auto"/>
            </w:tcBorders>
            <w:shd w:val="clear" w:color="auto" w:fill="auto"/>
            <w:noWrap/>
            <w:vAlign w:val="center"/>
            <w:hideMark/>
          </w:tcPr>
          <w:p w14:paraId="4CDBD6AA"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12</w:t>
            </w:r>
          </w:p>
        </w:tc>
        <w:tc>
          <w:tcPr>
            <w:tcW w:w="2268" w:type="dxa"/>
            <w:tcBorders>
              <w:top w:val="nil"/>
              <w:left w:val="nil"/>
              <w:bottom w:val="single" w:sz="4" w:space="0" w:color="auto"/>
              <w:right w:val="single" w:sz="4" w:space="0" w:color="auto"/>
            </w:tcBorders>
            <w:shd w:val="clear" w:color="auto" w:fill="auto"/>
            <w:vAlign w:val="center"/>
            <w:hideMark/>
          </w:tcPr>
          <w:p w14:paraId="28C7123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7811EB3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4 мг</w:t>
            </w:r>
          </w:p>
        </w:tc>
      </w:tr>
      <w:tr w:rsidR="001C54B1" w:rsidRPr="0088248E" w14:paraId="3A945EF0"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F4D9D48"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А2303</w:t>
            </w:r>
          </w:p>
        </w:tc>
        <w:tc>
          <w:tcPr>
            <w:tcW w:w="2552" w:type="dxa"/>
            <w:tcBorders>
              <w:top w:val="nil"/>
              <w:left w:val="nil"/>
              <w:bottom w:val="single" w:sz="4" w:space="0" w:color="auto"/>
              <w:right w:val="single" w:sz="4" w:space="0" w:color="auto"/>
            </w:tcBorders>
            <w:shd w:val="clear" w:color="auto" w:fill="auto"/>
            <w:vAlign w:val="bottom"/>
            <w:hideMark/>
          </w:tcPr>
          <w:p w14:paraId="0F97D66F"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Нарушения функции печени</w:t>
            </w:r>
          </w:p>
        </w:tc>
        <w:tc>
          <w:tcPr>
            <w:tcW w:w="1559" w:type="dxa"/>
            <w:tcBorders>
              <w:top w:val="nil"/>
              <w:left w:val="nil"/>
              <w:bottom w:val="single" w:sz="4" w:space="0" w:color="auto"/>
              <w:right w:val="single" w:sz="4" w:space="0" w:color="auto"/>
            </w:tcBorders>
            <w:shd w:val="clear" w:color="auto" w:fill="auto"/>
            <w:noWrap/>
            <w:vAlign w:val="center"/>
            <w:hideMark/>
          </w:tcPr>
          <w:p w14:paraId="4F0A1CCA"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16</w:t>
            </w:r>
          </w:p>
        </w:tc>
        <w:tc>
          <w:tcPr>
            <w:tcW w:w="2268" w:type="dxa"/>
            <w:tcBorders>
              <w:top w:val="nil"/>
              <w:left w:val="nil"/>
              <w:bottom w:val="single" w:sz="4" w:space="0" w:color="auto"/>
              <w:right w:val="single" w:sz="4" w:space="0" w:color="auto"/>
            </w:tcBorders>
            <w:shd w:val="clear" w:color="auto" w:fill="auto"/>
            <w:vAlign w:val="center"/>
            <w:hideMark/>
          </w:tcPr>
          <w:p w14:paraId="51FF61A0"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однократная доза</w:t>
            </w:r>
          </w:p>
        </w:tc>
        <w:tc>
          <w:tcPr>
            <w:tcW w:w="1313" w:type="dxa"/>
            <w:tcBorders>
              <w:top w:val="nil"/>
              <w:left w:val="nil"/>
              <w:bottom w:val="single" w:sz="4" w:space="0" w:color="auto"/>
              <w:right w:val="single" w:sz="4" w:space="0" w:color="auto"/>
            </w:tcBorders>
            <w:shd w:val="clear" w:color="auto" w:fill="auto"/>
            <w:noWrap/>
            <w:vAlign w:val="center"/>
            <w:hideMark/>
          </w:tcPr>
          <w:p w14:paraId="4D5114B6"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мг</w:t>
            </w:r>
          </w:p>
        </w:tc>
      </w:tr>
      <w:tr w:rsidR="001C54B1" w:rsidRPr="0088248E" w14:paraId="696290D2"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90AE85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А2304</w:t>
            </w:r>
          </w:p>
        </w:tc>
        <w:tc>
          <w:tcPr>
            <w:tcW w:w="2552" w:type="dxa"/>
            <w:tcBorders>
              <w:top w:val="nil"/>
              <w:left w:val="nil"/>
              <w:bottom w:val="single" w:sz="4" w:space="0" w:color="auto"/>
              <w:right w:val="single" w:sz="4" w:space="0" w:color="auto"/>
            </w:tcBorders>
            <w:shd w:val="clear" w:color="auto" w:fill="auto"/>
            <w:vAlign w:val="bottom"/>
            <w:hideMark/>
          </w:tcPr>
          <w:p w14:paraId="62803290"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циклоспорином</w:t>
            </w:r>
          </w:p>
        </w:tc>
        <w:tc>
          <w:tcPr>
            <w:tcW w:w="1559" w:type="dxa"/>
            <w:tcBorders>
              <w:top w:val="nil"/>
              <w:left w:val="nil"/>
              <w:bottom w:val="single" w:sz="4" w:space="0" w:color="auto"/>
              <w:right w:val="single" w:sz="4" w:space="0" w:color="auto"/>
            </w:tcBorders>
            <w:shd w:val="clear" w:color="auto" w:fill="auto"/>
            <w:noWrap/>
            <w:vAlign w:val="center"/>
            <w:hideMark/>
          </w:tcPr>
          <w:p w14:paraId="6B2099CC"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24</w:t>
            </w:r>
          </w:p>
        </w:tc>
        <w:tc>
          <w:tcPr>
            <w:tcW w:w="2268" w:type="dxa"/>
            <w:tcBorders>
              <w:top w:val="nil"/>
              <w:left w:val="nil"/>
              <w:bottom w:val="single" w:sz="4" w:space="0" w:color="auto"/>
              <w:right w:val="single" w:sz="4" w:space="0" w:color="auto"/>
            </w:tcBorders>
            <w:shd w:val="clear" w:color="auto" w:fill="auto"/>
            <w:vAlign w:val="center"/>
            <w:hideMark/>
          </w:tcPr>
          <w:p w14:paraId="5CB91EFE"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44E6E81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мг</w:t>
            </w:r>
          </w:p>
        </w:tc>
      </w:tr>
      <w:tr w:rsidR="001C54B1" w:rsidRPr="0088248E" w14:paraId="42305A41"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55AB9A9"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А2408</w:t>
            </w:r>
          </w:p>
        </w:tc>
        <w:tc>
          <w:tcPr>
            <w:tcW w:w="2552" w:type="dxa"/>
            <w:tcBorders>
              <w:top w:val="nil"/>
              <w:left w:val="nil"/>
              <w:bottom w:val="single" w:sz="4" w:space="0" w:color="auto"/>
              <w:right w:val="single" w:sz="4" w:space="0" w:color="auto"/>
            </w:tcBorders>
            <w:shd w:val="clear" w:color="auto" w:fill="auto"/>
            <w:vAlign w:val="bottom"/>
            <w:hideMark/>
          </w:tcPr>
          <w:p w14:paraId="0491350E"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эритромицином</w:t>
            </w:r>
          </w:p>
        </w:tc>
        <w:tc>
          <w:tcPr>
            <w:tcW w:w="1559" w:type="dxa"/>
            <w:tcBorders>
              <w:top w:val="nil"/>
              <w:left w:val="nil"/>
              <w:bottom w:val="single" w:sz="4" w:space="0" w:color="auto"/>
              <w:right w:val="single" w:sz="4" w:space="0" w:color="auto"/>
            </w:tcBorders>
            <w:shd w:val="clear" w:color="auto" w:fill="auto"/>
            <w:noWrap/>
            <w:vAlign w:val="center"/>
            <w:hideMark/>
          </w:tcPr>
          <w:p w14:paraId="51AD1774"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16</w:t>
            </w:r>
          </w:p>
        </w:tc>
        <w:tc>
          <w:tcPr>
            <w:tcW w:w="2268" w:type="dxa"/>
            <w:tcBorders>
              <w:top w:val="nil"/>
              <w:left w:val="nil"/>
              <w:bottom w:val="single" w:sz="4" w:space="0" w:color="auto"/>
              <w:right w:val="single" w:sz="4" w:space="0" w:color="auto"/>
            </w:tcBorders>
            <w:shd w:val="clear" w:color="auto" w:fill="auto"/>
            <w:vAlign w:val="center"/>
            <w:hideMark/>
          </w:tcPr>
          <w:p w14:paraId="78698DE9"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04761C82"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мг</w:t>
            </w:r>
          </w:p>
        </w:tc>
      </w:tr>
      <w:tr w:rsidR="001C54B1" w:rsidRPr="0088248E" w14:paraId="1945A2E6"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4033DD6"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А2409</w:t>
            </w:r>
          </w:p>
        </w:tc>
        <w:tc>
          <w:tcPr>
            <w:tcW w:w="2552" w:type="dxa"/>
            <w:tcBorders>
              <w:top w:val="nil"/>
              <w:left w:val="nil"/>
              <w:bottom w:val="single" w:sz="4" w:space="0" w:color="auto"/>
              <w:right w:val="single" w:sz="4" w:space="0" w:color="auto"/>
            </w:tcBorders>
            <w:shd w:val="clear" w:color="auto" w:fill="auto"/>
            <w:vAlign w:val="bottom"/>
            <w:hideMark/>
          </w:tcPr>
          <w:p w14:paraId="1B682CDC"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кетоконазолом</w:t>
            </w:r>
          </w:p>
        </w:tc>
        <w:tc>
          <w:tcPr>
            <w:tcW w:w="1559" w:type="dxa"/>
            <w:tcBorders>
              <w:top w:val="nil"/>
              <w:left w:val="nil"/>
              <w:bottom w:val="single" w:sz="4" w:space="0" w:color="auto"/>
              <w:right w:val="single" w:sz="4" w:space="0" w:color="auto"/>
            </w:tcBorders>
            <w:shd w:val="clear" w:color="auto" w:fill="auto"/>
            <w:noWrap/>
            <w:vAlign w:val="center"/>
            <w:hideMark/>
          </w:tcPr>
          <w:p w14:paraId="068DBFE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12</w:t>
            </w:r>
          </w:p>
        </w:tc>
        <w:tc>
          <w:tcPr>
            <w:tcW w:w="2268" w:type="dxa"/>
            <w:tcBorders>
              <w:top w:val="nil"/>
              <w:left w:val="nil"/>
              <w:bottom w:val="single" w:sz="4" w:space="0" w:color="auto"/>
              <w:right w:val="single" w:sz="4" w:space="0" w:color="auto"/>
            </w:tcBorders>
            <w:shd w:val="clear" w:color="auto" w:fill="auto"/>
            <w:vAlign w:val="center"/>
            <w:hideMark/>
          </w:tcPr>
          <w:p w14:paraId="0707BB71"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4EAE8C35"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или 2 мг</w:t>
            </w:r>
          </w:p>
        </w:tc>
      </w:tr>
      <w:tr w:rsidR="001C54B1" w:rsidRPr="0088248E" w14:paraId="3E51D0F1"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F871CA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А2410</w:t>
            </w:r>
          </w:p>
        </w:tc>
        <w:tc>
          <w:tcPr>
            <w:tcW w:w="2552" w:type="dxa"/>
            <w:tcBorders>
              <w:top w:val="nil"/>
              <w:left w:val="nil"/>
              <w:bottom w:val="single" w:sz="4" w:space="0" w:color="auto"/>
              <w:right w:val="single" w:sz="4" w:space="0" w:color="auto"/>
            </w:tcBorders>
            <w:shd w:val="clear" w:color="auto" w:fill="auto"/>
            <w:vAlign w:val="bottom"/>
            <w:hideMark/>
          </w:tcPr>
          <w:p w14:paraId="1D624CD8"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верапамилом</w:t>
            </w:r>
          </w:p>
        </w:tc>
        <w:tc>
          <w:tcPr>
            <w:tcW w:w="1559" w:type="dxa"/>
            <w:tcBorders>
              <w:top w:val="nil"/>
              <w:left w:val="nil"/>
              <w:bottom w:val="single" w:sz="4" w:space="0" w:color="auto"/>
              <w:right w:val="single" w:sz="4" w:space="0" w:color="auto"/>
            </w:tcBorders>
            <w:shd w:val="clear" w:color="auto" w:fill="auto"/>
            <w:noWrap/>
            <w:vAlign w:val="center"/>
            <w:hideMark/>
          </w:tcPr>
          <w:p w14:paraId="5F2AB3B6"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16</w:t>
            </w:r>
          </w:p>
        </w:tc>
        <w:tc>
          <w:tcPr>
            <w:tcW w:w="2268" w:type="dxa"/>
            <w:tcBorders>
              <w:top w:val="nil"/>
              <w:left w:val="nil"/>
              <w:bottom w:val="single" w:sz="4" w:space="0" w:color="auto"/>
              <w:right w:val="single" w:sz="4" w:space="0" w:color="auto"/>
            </w:tcBorders>
            <w:shd w:val="clear" w:color="auto" w:fill="auto"/>
            <w:vAlign w:val="center"/>
            <w:hideMark/>
          </w:tcPr>
          <w:p w14:paraId="043D44A2"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3D7EA37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мг</w:t>
            </w:r>
          </w:p>
        </w:tc>
      </w:tr>
      <w:tr w:rsidR="001C54B1" w:rsidRPr="0088248E" w14:paraId="173F7473"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3C976AE"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W302</w:t>
            </w:r>
          </w:p>
        </w:tc>
        <w:tc>
          <w:tcPr>
            <w:tcW w:w="2552" w:type="dxa"/>
            <w:tcBorders>
              <w:top w:val="nil"/>
              <w:left w:val="nil"/>
              <w:bottom w:val="single" w:sz="4" w:space="0" w:color="auto"/>
              <w:right w:val="single" w:sz="4" w:space="0" w:color="auto"/>
            </w:tcBorders>
            <w:shd w:val="clear" w:color="auto" w:fill="auto"/>
            <w:vAlign w:val="bottom"/>
            <w:hideMark/>
          </w:tcPr>
          <w:p w14:paraId="42DAD5D7"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взаимодействий и пищей</w:t>
            </w:r>
          </w:p>
        </w:tc>
        <w:tc>
          <w:tcPr>
            <w:tcW w:w="1559" w:type="dxa"/>
            <w:tcBorders>
              <w:top w:val="nil"/>
              <w:left w:val="nil"/>
              <w:bottom w:val="single" w:sz="4" w:space="0" w:color="auto"/>
              <w:right w:val="single" w:sz="4" w:space="0" w:color="auto"/>
            </w:tcBorders>
            <w:shd w:val="clear" w:color="auto" w:fill="auto"/>
            <w:noWrap/>
            <w:vAlign w:val="center"/>
            <w:hideMark/>
          </w:tcPr>
          <w:p w14:paraId="604A70C5"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24</w:t>
            </w:r>
          </w:p>
        </w:tc>
        <w:tc>
          <w:tcPr>
            <w:tcW w:w="2268" w:type="dxa"/>
            <w:tcBorders>
              <w:top w:val="nil"/>
              <w:left w:val="nil"/>
              <w:bottom w:val="single" w:sz="4" w:space="0" w:color="auto"/>
              <w:right w:val="single" w:sz="4" w:space="0" w:color="auto"/>
            </w:tcBorders>
            <w:shd w:val="clear" w:color="auto" w:fill="auto"/>
            <w:vAlign w:val="center"/>
            <w:hideMark/>
          </w:tcPr>
          <w:p w14:paraId="22D5235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65B9780D"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мг</w:t>
            </w:r>
          </w:p>
        </w:tc>
      </w:tr>
      <w:tr w:rsidR="001C54B1" w:rsidRPr="0088248E" w14:paraId="62044B54"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78631E90"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W303</w:t>
            </w:r>
          </w:p>
        </w:tc>
        <w:tc>
          <w:tcPr>
            <w:tcW w:w="2552" w:type="dxa"/>
            <w:tcBorders>
              <w:top w:val="nil"/>
              <w:left w:val="nil"/>
              <w:bottom w:val="single" w:sz="4" w:space="0" w:color="auto"/>
              <w:right w:val="single" w:sz="4" w:space="0" w:color="auto"/>
            </w:tcBorders>
            <w:shd w:val="clear" w:color="auto" w:fill="auto"/>
            <w:vAlign w:val="bottom"/>
            <w:hideMark/>
          </w:tcPr>
          <w:p w14:paraId="0D9882C3"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взаимодействия с вторвастатином, правастатином</w:t>
            </w:r>
          </w:p>
        </w:tc>
        <w:tc>
          <w:tcPr>
            <w:tcW w:w="1559" w:type="dxa"/>
            <w:tcBorders>
              <w:top w:val="nil"/>
              <w:left w:val="nil"/>
              <w:bottom w:val="single" w:sz="4" w:space="0" w:color="auto"/>
              <w:right w:val="single" w:sz="4" w:space="0" w:color="auto"/>
            </w:tcBorders>
            <w:shd w:val="clear" w:color="auto" w:fill="auto"/>
            <w:noWrap/>
            <w:vAlign w:val="center"/>
            <w:hideMark/>
          </w:tcPr>
          <w:p w14:paraId="2EDD1D7A"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24</w:t>
            </w:r>
          </w:p>
        </w:tc>
        <w:tc>
          <w:tcPr>
            <w:tcW w:w="2268" w:type="dxa"/>
            <w:tcBorders>
              <w:top w:val="nil"/>
              <w:left w:val="nil"/>
              <w:bottom w:val="single" w:sz="4" w:space="0" w:color="auto"/>
              <w:right w:val="single" w:sz="4" w:space="0" w:color="auto"/>
            </w:tcBorders>
            <w:shd w:val="clear" w:color="auto" w:fill="auto"/>
            <w:vAlign w:val="center"/>
            <w:hideMark/>
          </w:tcPr>
          <w:p w14:paraId="73C0925B"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3 однократные дозы</w:t>
            </w:r>
          </w:p>
        </w:tc>
        <w:tc>
          <w:tcPr>
            <w:tcW w:w="1313" w:type="dxa"/>
            <w:tcBorders>
              <w:top w:val="nil"/>
              <w:left w:val="nil"/>
              <w:bottom w:val="single" w:sz="4" w:space="0" w:color="auto"/>
              <w:right w:val="single" w:sz="4" w:space="0" w:color="auto"/>
            </w:tcBorders>
            <w:shd w:val="clear" w:color="auto" w:fill="auto"/>
            <w:noWrap/>
            <w:vAlign w:val="center"/>
            <w:hideMark/>
          </w:tcPr>
          <w:p w14:paraId="3DBBA060"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 мг</w:t>
            </w:r>
          </w:p>
        </w:tc>
      </w:tr>
      <w:tr w:rsidR="001C54B1" w:rsidRPr="0088248E" w14:paraId="536D7CEC" w14:textId="77777777" w:rsidTr="001C54B1">
        <w:trPr>
          <w:trHeight w:val="20"/>
        </w:trPr>
        <w:tc>
          <w:tcPr>
            <w:tcW w:w="940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AC828" w14:textId="77777777" w:rsidR="001C54B1" w:rsidRPr="0088248E" w:rsidRDefault="001C54B1" w:rsidP="001C54B1">
            <w:pPr>
              <w:spacing w:after="0" w:line="240" w:lineRule="auto"/>
              <w:jc w:val="left"/>
              <w:rPr>
                <w:rFonts w:eastAsia="Times New Roman"/>
                <w:i/>
                <w:iCs/>
                <w:color w:val="000000"/>
                <w:lang w:eastAsia="ru-RU"/>
              </w:rPr>
            </w:pPr>
            <w:r w:rsidRPr="0088248E">
              <w:rPr>
                <w:rFonts w:eastAsia="Times New Roman"/>
                <w:i/>
                <w:iCs/>
                <w:color w:val="000000"/>
                <w:lang w:eastAsia="ru-RU"/>
              </w:rPr>
              <w:t>Пациенты</w:t>
            </w:r>
          </w:p>
        </w:tc>
      </w:tr>
      <w:tr w:rsidR="001C54B1" w:rsidRPr="0088248E" w14:paraId="11723A6C"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A5E5422"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B157</w:t>
            </w:r>
          </w:p>
        </w:tc>
        <w:tc>
          <w:tcPr>
            <w:tcW w:w="2552" w:type="dxa"/>
            <w:tcBorders>
              <w:top w:val="nil"/>
              <w:left w:val="nil"/>
              <w:bottom w:val="single" w:sz="4" w:space="0" w:color="auto"/>
              <w:right w:val="single" w:sz="4" w:space="0" w:color="auto"/>
            </w:tcBorders>
            <w:shd w:val="clear" w:color="auto" w:fill="auto"/>
            <w:vAlign w:val="bottom"/>
            <w:hideMark/>
          </w:tcPr>
          <w:p w14:paraId="7FCE737D"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Нарушение функции почек у реципиентов трансплантата почки</w:t>
            </w:r>
          </w:p>
        </w:tc>
        <w:tc>
          <w:tcPr>
            <w:tcW w:w="1559" w:type="dxa"/>
            <w:tcBorders>
              <w:top w:val="nil"/>
              <w:left w:val="nil"/>
              <w:bottom w:val="single" w:sz="4" w:space="0" w:color="auto"/>
              <w:right w:val="single" w:sz="4" w:space="0" w:color="auto"/>
            </w:tcBorders>
            <w:shd w:val="clear" w:color="auto" w:fill="auto"/>
            <w:noWrap/>
            <w:vAlign w:val="center"/>
            <w:hideMark/>
          </w:tcPr>
          <w:p w14:paraId="2E318C21"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94</w:t>
            </w:r>
          </w:p>
        </w:tc>
        <w:tc>
          <w:tcPr>
            <w:tcW w:w="2268" w:type="dxa"/>
            <w:tcBorders>
              <w:top w:val="nil"/>
              <w:left w:val="nil"/>
              <w:bottom w:val="single" w:sz="4" w:space="0" w:color="auto"/>
              <w:right w:val="single" w:sz="4" w:space="0" w:color="auto"/>
            </w:tcBorders>
            <w:shd w:val="clear" w:color="auto" w:fill="auto"/>
            <w:vAlign w:val="center"/>
            <w:hideMark/>
          </w:tcPr>
          <w:p w14:paraId="3DD9A248"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Длительная терапия (1 год)</w:t>
            </w:r>
          </w:p>
        </w:tc>
        <w:tc>
          <w:tcPr>
            <w:tcW w:w="1313" w:type="dxa"/>
            <w:tcBorders>
              <w:top w:val="nil"/>
              <w:left w:val="nil"/>
              <w:bottom w:val="single" w:sz="4" w:space="0" w:color="auto"/>
              <w:right w:val="single" w:sz="4" w:space="0" w:color="auto"/>
            </w:tcBorders>
            <w:shd w:val="clear" w:color="auto" w:fill="auto"/>
            <w:noWrap/>
            <w:vAlign w:val="center"/>
            <w:hideMark/>
          </w:tcPr>
          <w:p w14:paraId="61338B42"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2, 4 мг/день</w:t>
            </w:r>
          </w:p>
        </w:tc>
      </w:tr>
      <w:tr w:rsidR="001C54B1" w:rsidRPr="0088248E" w14:paraId="7364A395"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637F3BC"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C2101</w:t>
            </w:r>
          </w:p>
        </w:tc>
        <w:tc>
          <w:tcPr>
            <w:tcW w:w="2552" w:type="dxa"/>
            <w:tcBorders>
              <w:top w:val="nil"/>
              <w:left w:val="nil"/>
              <w:bottom w:val="single" w:sz="4" w:space="0" w:color="auto"/>
              <w:right w:val="single" w:sz="4" w:space="0" w:color="auto"/>
            </w:tcBorders>
            <w:shd w:val="clear" w:color="auto" w:fill="auto"/>
            <w:vAlign w:val="bottom"/>
            <w:hideMark/>
          </w:tcPr>
          <w:p w14:paraId="0B8E5D79"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Базовая фармакокинетика у пациентов с распространенными солидным опухолями</w:t>
            </w:r>
          </w:p>
        </w:tc>
        <w:tc>
          <w:tcPr>
            <w:tcW w:w="1559" w:type="dxa"/>
            <w:tcBorders>
              <w:top w:val="nil"/>
              <w:left w:val="nil"/>
              <w:bottom w:val="single" w:sz="4" w:space="0" w:color="auto"/>
              <w:right w:val="single" w:sz="4" w:space="0" w:color="auto"/>
            </w:tcBorders>
            <w:shd w:val="clear" w:color="auto" w:fill="auto"/>
            <w:noWrap/>
            <w:vAlign w:val="center"/>
            <w:hideMark/>
          </w:tcPr>
          <w:p w14:paraId="6FA4AD31"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92</w:t>
            </w:r>
          </w:p>
        </w:tc>
        <w:tc>
          <w:tcPr>
            <w:tcW w:w="2268" w:type="dxa"/>
            <w:tcBorders>
              <w:top w:val="nil"/>
              <w:left w:val="nil"/>
              <w:bottom w:val="single" w:sz="4" w:space="0" w:color="auto"/>
              <w:right w:val="single" w:sz="4" w:space="0" w:color="auto"/>
            </w:tcBorders>
            <w:shd w:val="clear" w:color="auto" w:fill="auto"/>
            <w:vAlign w:val="center"/>
            <w:hideMark/>
          </w:tcPr>
          <w:p w14:paraId="1B952085"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Длительная терапия (4 недели)</w:t>
            </w:r>
          </w:p>
        </w:tc>
        <w:tc>
          <w:tcPr>
            <w:tcW w:w="1313" w:type="dxa"/>
            <w:tcBorders>
              <w:top w:val="nil"/>
              <w:left w:val="nil"/>
              <w:bottom w:val="single" w:sz="4" w:space="0" w:color="auto"/>
              <w:right w:val="single" w:sz="4" w:space="0" w:color="auto"/>
            </w:tcBorders>
            <w:shd w:val="clear" w:color="auto" w:fill="auto"/>
            <w:vAlign w:val="center"/>
            <w:hideMark/>
          </w:tcPr>
          <w:p w14:paraId="430D6190"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5, 10 мг/день;</w:t>
            </w:r>
            <w:r w:rsidRPr="0088248E">
              <w:rPr>
                <w:rFonts w:eastAsia="Times New Roman"/>
                <w:color w:val="000000"/>
                <w:lang w:eastAsia="ru-RU"/>
              </w:rPr>
              <w:br/>
              <w:t>5, 10, 20, 30, 50, 70 мг/нед</w:t>
            </w:r>
          </w:p>
        </w:tc>
      </w:tr>
      <w:tr w:rsidR="001C54B1" w:rsidRPr="0088248E" w14:paraId="35B7C707"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76E475E6"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C2102</w:t>
            </w:r>
          </w:p>
        </w:tc>
        <w:tc>
          <w:tcPr>
            <w:tcW w:w="2552" w:type="dxa"/>
            <w:tcBorders>
              <w:top w:val="nil"/>
              <w:left w:val="nil"/>
              <w:bottom w:val="single" w:sz="4" w:space="0" w:color="auto"/>
              <w:right w:val="single" w:sz="4" w:space="0" w:color="auto"/>
            </w:tcBorders>
            <w:shd w:val="clear" w:color="auto" w:fill="auto"/>
            <w:vAlign w:val="bottom"/>
            <w:hideMark/>
          </w:tcPr>
          <w:p w14:paraId="358BF29D"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Базовая фармакокинетика у пациентов с распространенными солидным опухолями</w:t>
            </w:r>
          </w:p>
        </w:tc>
        <w:tc>
          <w:tcPr>
            <w:tcW w:w="1559" w:type="dxa"/>
            <w:tcBorders>
              <w:top w:val="nil"/>
              <w:left w:val="nil"/>
              <w:bottom w:val="single" w:sz="4" w:space="0" w:color="auto"/>
              <w:right w:val="single" w:sz="4" w:space="0" w:color="auto"/>
            </w:tcBorders>
            <w:shd w:val="clear" w:color="auto" w:fill="auto"/>
            <w:noWrap/>
            <w:vAlign w:val="center"/>
            <w:hideMark/>
          </w:tcPr>
          <w:p w14:paraId="54E746D4"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 </w:t>
            </w:r>
          </w:p>
        </w:tc>
        <w:tc>
          <w:tcPr>
            <w:tcW w:w="2268" w:type="dxa"/>
            <w:tcBorders>
              <w:top w:val="nil"/>
              <w:left w:val="nil"/>
              <w:bottom w:val="single" w:sz="4" w:space="0" w:color="auto"/>
              <w:right w:val="single" w:sz="4" w:space="0" w:color="auto"/>
            </w:tcBorders>
            <w:shd w:val="clear" w:color="auto" w:fill="auto"/>
            <w:vAlign w:val="center"/>
            <w:hideMark/>
          </w:tcPr>
          <w:p w14:paraId="47950C08"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Длительная терапия (4 недели)</w:t>
            </w:r>
          </w:p>
        </w:tc>
        <w:tc>
          <w:tcPr>
            <w:tcW w:w="1313" w:type="dxa"/>
            <w:tcBorders>
              <w:top w:val="nil"/>
              <w:left w:val="nil"/>
              <w:bottom w:val="single" w:sz="4" w:space="0" w:color="auto"/>
              <w:right w:val="single" w:sz="4" w:space="0" w:color="auto"/>
            </w:tcBorders>
            <w:shd w:val="clear" w:color="auto" w:fill="auto"/>
            <w:vAlign w:val="center"/>
            <w:hideMark/>
          </w:tcPr>
          <w:p w14:paraId="3BFB60A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5, 10 мг/день;</w:t>
            </w:r>
            <w:r w:rsidRPr="0088248E">
              <w:rPr>
                <w:rFonts w:eastAsia="Times New Roman"/>
                <w:color w:val="000000"/>
                <w:lang w:eastAsia="ru-RU"/>
              </w:rPr>
              <w:br/>
              <w:t>5, 10, 20, 30, 50, 70 мг/нед</w:t>
            </w:r>
          </w:p>
        </w:tc>
      </w:tr>
      <w:tr w:rsidR="001C54B1" w:rsidRPr="0088248E" w14:paraId="26C5C261"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65B21A5"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C2107</w:t>
            </w:r>
          </w:p>
        </w:tc>
        <w:tc>
          <w:tcPr>
            <w:tcW w:w="2552" w:type="dxa"/>
            <w:tcBorders>
              <w:top w:val="nil"/>
              <w:left w:val="nil"/>
              <w:bottom w:val="single" w:sz="4" w:space="0" w:color="auto"/>
              <w:right w:val="single" w:sz="4" w:space="0" w:color="auto"/>
            </w:tcBorders>
            <w:shd w:val="clear" w:color="auto" w:fill="auto"/>
            <w:vAlign w:val="bottom"/>
            <w:hideMark/>
          </w:tcPr>
          <w:p w14:paraId="5126A96E"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взаимосвязи экспозиции и ответа у пациентов с распространенными солидными опухолями</w:t>
            </w:r>
          </w:p>
        </w:tc>
        <w:tc>
          <w:tcPr>
            <w:tcW w:w="1559" w:type="dxa"/>
            <w:tcBorders>
              <w:top w:val="nil"/>
              <w:left w:val="nil"/>
              <w:bottom w:val="single" w:sz="4" w:space="0" w:color="auto"/>
              <w:right w:val="single" w:sz="4" w:space="0" w:color="auto"/>
            </w:tcBorders>
            <w:shd w:val="clear" w:color="auto" w:fill="auto"/>
            <w:noWrap/>
            <w:vAlign w:val="center"/>
            <w:hideMark/>
          </w:tcPr>
          <w:p w14:paraId="533ECFC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55</w:t>
            </w:r>
          </w:p>
        </w:tc>
        <w:tc>
          <w:tcPr>
            <w:tcW w:w="2268" w:type="dxa"/>
            <w:tcBorders>
              <w:top w:val="nil"/>
              <w:left w:val="nil"/>
              <w:bottom w:val="single" w:sz="4" w:space="0" w:color="auto"/>
              <w:right w:val="single" w:sz="4" w:space="0" w:color="auto"/>
            </w:tcBorders>
            <w:shd w:val="clear" w:color="auto" w:fill="auto"/>
            <w:vAlign w:val="center"/>
            <w:hideMark/>
          </w:tcPr>
          <w:p w14:paraId="2BB5F7EF"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Длительная терапия (4 недели)</w:t>
            </w:r>
          </w:p>
        </w:tc>
        <w:tc>
          <w:tcPr>
            <w:tcW w:w="1313" w:type="dxa"/>
            <w:tcBorders>
              <w:top w:val="nil"/>
              <w:left w:val="nil"/>
              <w:bottom w:val="single" w:sz="4" w:space="0" w:color="auto"/>
              <w:right w:val="single" w:sz="4" w:space="0" w:color="auto"/>
            </w:tcBorders>
            <w:shd w:val="clear" w:color="auto" w:fill="auto"/>
            <w:vAlign w:val="center"/>
            <w:hideMark/>
          </w:tcPr>
          <w:p w14:paraId="7EF56237"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5, 10 мг/день;</w:t>
            </w:r>
            <w:r w:rsidRPr="0088248E">
              <w:rPr>
                <w:rFonts w:eastAsia="Times New Roman"/>
                <w:color w:val="000000"/>
                <w:lang w:eastAsia="ru-RU"/>
              </w:rPr>
              <w:br/>
              <w:t>20, 50, 50, 70 мг/нед</w:t>
            </w:r>
          </w:p>
        </w:tc>
      </w:tr>
      <w:tr w:rsidR="001C54B1" w:rsidRPr="0088248E" w14:paraId="109FE7E4"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BBEDA62"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W107</w:t>
            </w:r>
          </w:p>
        </w:tc>
        <w:tc>
          <w:tcPr>
            <w:tcW w:w="2552" w:type="dxa"/>
            <w:tcBorders>
              <w:top w:val="nil"/>
              <w:left w:val="nil"/>
              <w:bottom w:val="single" w:sz="4" w:space="0" w:color="auto"/>
              <w:right w:val="single" w:sz="4" w:space="0" w:color="auto"/>
            </w:tcBorders>
            <w:shd w:val="clear" w:color="auto" w:fill="auto"/>
            <w:vAlign w:val="bottom"/>
            <w:hideMark/>
          </w:tcPr>
          <w:p w14:paraId="33CC9E98"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Оценка баланса массы у реципиентов трансплантата почки</w:t>
            </w:r>
          </w:p>
        </w:tc>
        <w:tc>
          <w:tcPr>
            <w:tcW w:w="1559" w:type="dxa"/>
            <w:tcBorders>
              <w:top w:val="nil"/>
              <w:left w:val="nil"/>
              <w:bottom w:val="single" w:sz="4" w:space="0" w:color="auto"/>
              <w:right w:val="single" w:sz="4" w:space="0" w:color="auto"/>
            </w:tcBorders>
            <w:shd w:val="clear" w:color="auto" w:fill="auto"/>
            <w:noWrap/>
            <w:vAlign w:val="center"/>
            <w:hideMark/>
          </w:tcPr>
          <w:p w14:paraId="4BED018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4</w:t>
            </w:r>
          </w:p>
        </w:tc>
        <w:tc>
          <w:tcPr>
            <w:tcW w:w="2268" w:type="dxa"/>
            <w:tcBorders>
              <w:top w:val="nil"/>
              <w:left w:val="nil"/>
              <w:bottom w:val="single" w:sz="4" w:space="0" w:color="auto"/>
              <w:right w:val="single" w:sz="4" w:space="0" w:color="auto"/>
            </w:tcBorders>
            <w:shd w:val="clear" w:color="auto" w:fill="auto"/>
            <w:vAlign w:val="center"/>
            <w:hideMark/>
          </w:tcPr>
          <w:p w14:paraId="5E5FE5B1"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Однократное введение 14С-эверолимуса</w:t>
            </w:r>
          </w:p>
        </w:tc>
        <w:tc>
          <w:tcPr>
            <w:tcW w:w="1313" w:type="dxa"/>
            <w:tcBorders>
              <w:top w:val="nil"/>
              <w:left w:val="nil"/>
              <w:bottom w:val="single" w:sz="4" w:space="0" w:color="auto"/>
              <w:right w:val="single" w:sz="4" w:space="0" w:color="auto"/>
            </w:tcBorders>
            <w:shd w:val="clear" w:color="auto" w:fill="auto"/>
            <w:noWrap/>
            <w:vAlign w:val="center"/>
            <w:hideMark/>
          </w:tcPr>
          <w:p w14:paraId="1FFB8EBF"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 мг</w:t>
            </w:r>
          </w:p>
        </w:tc>
      </w:tr>
      <w:tr w:rsidR="001C54B1" w:rsidRPr="0088248E" w14:paraId="0F6793E6" w14:textId="77777777" w:rsidTr="001C54B1">
        <w:trPr>
          <w:trHeight w:val="2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18FD9A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2120</w:t>
            </w:r>
          </w:p>
        </w:tc>
        <w:tc>
          <w:tcPr>
            <w:tcW w:w="2552" w:type="dxa"/>
            <w:tcBorders>
              <w:top w:val="nil"/>
              <w:left w:val="nil"/>
              <w:bottom w:val="single" w:sz="4" w:space="0" w:color="auto"/>
              <w:right w:val="single" w:sz="4" w:space="0" w:color="auto"/>
            </w:tcBorders>
            <w:shd w:val="clear" w:color="auto" w:fill="auto"/>
            <w:vAlign w:val="center"/>
            <w:hideMark/>
          </w:tcPr>
          <w:p w14:paraId="669D2AD0" w14:textId="77777777" w:rsidR="001C54B1" w:rsidRPr="0088248E" w:rsidRDefault="001C54B1" w:rsidP="001C54B1">
            <w:pPr>
              <w:spacing w:after="0" w:line="240" w:lineRule="auto"/>
              <w:jc w:val="left"/>
              <w:rPr>
                <w:rFonts w:eastAsia="Times New Roman"/>
                <w:color w:val="000000"/>
                <w:lang w:eastAsia="ru-RU"/>
              </w:rPr>
            </w:pPr>
            <w:r w:rsidRPr="0088248E">
              <w:rPr>
                <w:rFonts w:eastAsia="Times New Roman"/>
                <w:color w:val="000000"/>
                <w:lang w:eastAsia="ru-RU"/>
              </w:rPr>
              <w:t>Сравнение легкой пищи/жирной пищи/голодания</w:t>
            </w:r>
          </w:p>
        </w:tc>
        <w:tc>
          <w:tcPr>
            <w:tcW w:w="1559" w:type="dxa"/>
            <w:tcBorders>
              <w:top w:val="nil"/>
              <w:left w:val="nil"/>
              <w:bottom w:val="single" w:sz="4" w:space="0" w:color="auto"/>
              <w:right w:val="single" w:sz="4" w:space="0" w:color="auto"/>
            </w:tcBorders>
            <w:shd w:val="clear" w:color="auto" w:fill="auto"/>
            <w:noWrap/>
            <w:vAlign w:val="center"/>
            <w:hideMark/>
          </w:tcPr>
          <w:p w14:paraId="36805D48"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24</w:t>
            </w:r>
          </w:p>
        </w:tc>
        <w:tc>
          <w:tcPr>
            <w:tcW w:w="2268" w:type="dxa"/>
            <w:tcBorders>
              <w:top w:val="nil"/>
              <w:left w:val="nil"/>
              <w:bottom w:val="single" w:sz="4" w:space="0" w:color="auto"/>
              <w:right w:val="single" w:sz="4" w:space="0" w:color="auto"/>
            </w:tcBorders>
            <w:shd w:val="clear" w:color="auto" w:fill="auto"/>
            <w:vAlign w:val="center"/>
            <w:hideMark/>
          </w:tcPr>
          <w:p w14:paraId="75876653"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Трехпериодное перекрестное исследование с 6 последовательностями дозирования</w:t>
            </w:r>
          </w:p>
        </w:tc>
        <w:tc>
          <w:tcPr>
            <w:tcW w:w="1313" w:type="dxa"/>
            <w:tcBorders>
              <w:top w:val="nil"/>
              <w:left w:val="nil"/>
              <w:bottom w:val="single" w:sz="4" w:space="0" w:color="auto"/>
              <w:right w:val="single" w:sz="4" w:space="0" w:color="auto"/>
            </w:tcBorders>
            <w:shd w:val="clear" w:color="auto" w:fill="auto"/>
            <w:noWrap/>
            <w:vAlign w:val="center"/>
            <w:hideMark/>
          </w:tcPr>
          <w:p w14:paraId="666D6FD1" w14:textId="77777777" w:rsidR="001C54B1" w:rsidRPr="0088248E" w:rsidRDefault="001C54B1" w:rsidP="001C54B1">
            <w:pPr>
              <w:spacing w:after="0" w:line="240" w:lineRule="auto"/>
              <w:jc w:val="center"/>
              <w:rPr>
                <w:rFonts w:eastAsia="Times New Roman"/>
                <w:color w:val="000000"/>
                <w:lang w:eastAsia="ru-RU"/>
              </w:rPr>
            </w:pPr>
            <w:r w:rsidRPr="0088248E">
              <w:rPr>
                <w:rFonts w:eastAsia="Times New Roman"/>
                <w:color w:val="000000"/>
                <w:lang w:eastAsia="ru-RU"/>
              </w:rPr>
              <w:t>10 мг</w:t>
            </w:r>
          </w:p>
        </w:tc>
      </w:tr>
    </w:tbl>
    <w:p w14:paraId="13A19268" w14:textId="77777777" w:rsidR="001C54B1" w:rsidRDefault="001C54B1" w:rsidP="001C54B1">
      <w:pPr>
        <w:spacing w:after="0" w:line="240" w:lineRule="auto"/>
        <w:rPr>
          <w:b/>
          <w:i/>
          <w:color w:val="000000"/>
          <w:szCs w:val="23"/>
        </w:rPr>
      </w:pPr>
    </w:p>
    <w:p w14:paraId="23C55B56" w14:textId="28664E7D" w:rsidR="00BF6DD4" w:rsidRPr="00BF6DD4" w:rsidRDefault="00BF6DD4" w:rsidP="00BF6DD4">
      <w:pPr>
        <w:spacing w:after="0" w:line="240" w:lineRule="auto"/>
        <w:rPr>
          <w:b/>
          <w:i/>
          <w:sz w:val="22"/>
          <w:highlight w:val="yellow"/>
        </w:rPr>
      </w:pPr>
      <w:r w:rsidRPr="00BF6DD4">
        <w:rPr>
          <w:b/>
          <w:i/>
          <w:color w:val="000000"/>
          <w:szCs w:val="23"/>
        </w:rPr>
        <w:t>Всасывание</w:t>
      </w:r>
    </w:p>
    <w:p w14:paraId="5076D872" w14:textId="77777777" w:rsidR="001C54B1" w:rsidRPr="00387EF7" w:rsidRDefault="001C54B1" w:rsidP="001C54B1">
      <w:pPr>
        <w:shd w:val="clear" w:color="auto" w:fill="FFFFFF"/>
        <w:spacing w:after="143" w:line="240" w:lineRule="auto"/>
        <w:ind w:firstLine="709"/>
        <w:contextualSpacing/>
        <w:rPr>
          <w:rFonts w:eastAsia="Times New Roman"/>
          <w:color w:val="000000"/>
          <w:lang w:eastAsia="ru-RU"/>
        </w:rPr>
      </w:pPr>
      <w:bookmarkStart w:id="285" w:name="_Toc52190578"/>
      <w:r w:rsidRPr="00387EF7">
        <w:rPr>
          <w:rFonts w:eastAsia="Times New Roman"/>
          <w:color w:val="000000"/>
          <w:lang w:eastAsia="ru-RU"/>
        </w:rPr>
        <w:t>Максимальная концентрация эверолимуса достигается через 1-2 часа после приема препарата внутрь. Концентрация эверолимуса в крови пропорциональна дозе в диапазоне доз от 0,25 до 15 мг у пациентов, перенесших трансплантацию. Относительная биодоступность диспергируемой таблетки по сравнению с таблеткой составляет 0,90 (90 % ДИ 0,76-1,07) на основе соотношения AUC.</w:t>
      </w:r>
    </w:p>
    <w:p w14:paraId="7A5A77F5" w14:textId="77777777" w:rsidR="001C54B1" w:rsidRPr="00387EF7" w:rsidRDefault="001C54B1" w:rsidP="001C54B1">
      <w:pPr>
        <w:shd w:val="clear" w:color="auto" w:fill="FFFFFF"/>
        <w:spacing w:after="143" w:line="240" w:lineRule="auto"/>
        <w:contextualSpacing/>
        <w:rPr>
          <w:rFonts w:eastAsia="Times New Roman"/>
          <w:i/>
          <w:color w:val="000000"/>
          <w:lang w:eastAsia="ru-RU"/>
        </w:rPr>
      </w:pPr>
      <w:r w:rsidRPr="00387EF7">
        <w:rPr>
          <w:rFonts w:eastAsia="Times New Roman"/>
          <w:i/>
          <w:iCs/>
          <w:color w:val="000000"/>
          <w:lang w:eastAsia="ru-RU"/>
        </w:rPr>
        <w:t>Влияние приема пищи</w:t>
      </w:r>
    </w:p>
    <w:p w14:paraId="73D9BAB1" w14:textId="5224F696" w:rsidR="00BF6DD4" w:rsidRPr="003520C2" w:rsidRDefault="001C54B1" w:rsidP="0071249E">
      <w:pPr>
        <w:shd w:val="clear" w:color="auto" w:fill="FFFFFF"/>
        <w:spacing w:after="143" w:line="240" w:lineRule="auto"/>
        <w:ind w:firstLine="709"/>
        <w:contextualSpacing/>
        <w:rPr>
          <w:rFonts w:eastAsia="Times New Roman"/>
          <w:color w:val="000000"/>
          <w:lang w:eastAsia="ru-RU"/>
        </w:rPr>
      </w:pPr>
      <w:r w:rsidRPr="00387EF7">
        <w:rPr>
          <w:rFonts w:eastAsia="Times New Roman"/>
          <w:color w:val="000000"/>
          <w:lang w:eastAsia="ru-RU"/>
        </w:rPr>
        <w:lastRenderedPageBreak/>
        <w:t>C</w:t>
      </w:r>
      <w:r w:rsidRPr="00387EF7">
        <w:rPr>
          <w:rFonts w:eastAsia="Times New Roman"/>
          <w:color w:val="000000"/>
          <w:vertAlign w:val="subscript"/>
          <w:lang w:eastAsia="ru-RU"/>
        </w:rPr>
        <w:t>max</w:t>
      </w:r>
      <w:r w:rsidRPr="00387EF7">
        <w:rPr>
          <w:rFonts w:eastAsia="Times New Roman"/>
          <w:color w:val="000000"/>
          <w:lang w:eastAsia="ru-RU"/>
        </w:rPr>
        <w:t xml:space="preserve"> и AUC эверолимуса снижаются на 60 % и 16 % при приеме таблетированной формы с пищей с высоким содержанием жира. Чтобы свести к минимуму вариабельность, Сертикан следует всегда применять с пищей или без нее [3,4].</w:t>
      </w:r>
      <w:bookmarkStart w:id="286" w:name="_Toc52190579"/>
      <w:bookmarkEnd w:id="285"/>
    </w:p>
    <w:p w14:paraId="3CAEA177" w14:textId="1655C7AB" w:rsidR="00BF6DD4" w:rsidRPr="00BF6DD4" w:rsidRDefault="00BF6DD4" w:rsidP="00BF6DD4">
      <w:pPr>
        <w:spacing w:after="0" w:line="240" w:lineRule="auto"/>
        <w:rPr>
          <w:rFonts w:eastAsia="Calibri"/>
          <w:b/>
          <w:i/>
          <w:color w:val="000000" w:themeColor="text1"/>
          <w:szCs w:val="28"/>
        </w:rPr>
      </w:pPr>
      <w:r w:rsidRPr="00BF6DD4">
        <w:rPr>
          <w:rFonts w:eastAsia="Calibri"/>
          <w:b/>
          <w:i/>
          <w:color w:val="000000" w:themeColor="text1"/>
          <w:szCs w:val="28"/>
        </w:rPr>
        <w:t>Распределение</w:t>
      </w:r>
    </w:p>
    <w:p w14:paraId="4B8E6250" w14:textId="77777777" w:rsidR="001C54B1" w:rsidRPr="00387EF7" w:rsidRDefault="001C54B1" w:rsidP="001C54B1">
      <w:pPr>
        <w:spacing w:after="0" w:line="240" w:lineRule="auto"/>
        <w:ind w:firstLine="709"/>
        <w:rPr>
          <w:rFonts w:eastAsia="Calibri"/>
          <w:color w:val="000000" w:themeColor="text1"/>
          <w:szCs w:val="28"/>
        </w:rPr>
      </w:pPr>
      <w:bookmarkStart w:id="287" w:name="_Toc52190580"/>
      <w:bookmarkEnd w:id="286"/>
      <w:r w:rsidRPr="00387EF7">
        <w:rPr>
          <w:rFonts w:eastAsia="Calibri"/>
          <w:color w:val="000000" w:themeColor="text1"/>
          <w:szCs w:val="28"/>
        </w:rPr>
        <w:t>Процентное отношение концентрации эверолимуса в цельной крови и плазме крови, которое является зависимым от концентрации соединения в диапазоне от 5 до 5000 нг/мл, изменяется от 17% до 73%. Связь с белками плазмы крови составляет примерно 74% как у здоровых добровольцев, так и у пациентов с нарушением функции печени средней степени тяжести [2,3,4].</w:t>
      </w:r>
    </w:p>
    <w:p w14:paraId="6BAD9F56" w14:textId="3EF9A6A5" w:rsidR="00BF6DD4" w:rsidRPr="003520C2" w:rsidRDefault="001C54B1" w:rsidP="003520C2">
      <w:pPr>
        <w:spacing w:after="0" w:line="240" w:lineRule="auto"/>
        <w:ind w:firstLine="709"/>
        <w:rPr>
          <w:rFonts w:eastAsia="Calibri"/>
          <w:color w:val="000000" w:themeColor="text1"/>
          <w:szCs w:val="28"/>
        </w:rPr>
      </w:pPr>
      <w:r w:rsidRPr="00387EF7">
        <w:rPr>
          <w:rFonts w:eastAsia="Times New Roman"/>
          <w:color w:val="000000"/>
          <w:lang w:eastAsia="ru-RU"/>
        </w:rPr>
        <w:t>Объем распределения, связанный с терминальной фазой (Vz/F), у пациентов с трансплантацией почки, получающих поддерживающую терапию, составляет 342 ± 107 литров [3,4].</w:t>
      </w:r>
    </w:p>
    <w:p w14:paraId="45C8F2A6" w14:textId="0E33937B" w:rsidR="00BF6DD4" w:rsidRPr="00BF6DD4" w:rsidRDefault="00BF6DD4" w:rsidP="00BF6DD4">
      <w:pPr>
        <w:spacing w:after="0" w:line="240" w:lineRule="auto"/>
        <w:rPr>
          <w:rFonts w:eastAsia="Calibri"/>
          <w:b/>
          <w:i/>
          <w:color w:val="000000" w:themeColor="text1"/>
        </w:rPr>
      </w:pPr>
      <w:r w:rsidRPr="00BF6DD4">
        <w:rPr>
          <w:rFonts w:eastAsia="Calibri"/>
          <w:b/>
          <w:i/>
          <w:color w:val="000000" w:themeColor="text1"/>
        </w:rPr>
        <w:t>Метаболизм</w:t>
      </w:r>
    </w:p>
    <w:p w14:paraId="62600585" w14:textId="214CDBAE" w:rsidR="00BF6DD4" w:rsidRPr="003520C2" w:rsidRDefault="001C54B1" w:rsidP="003520C2">
      <w:pPr>
        <w:spacing w:after="0" w:line="240" w:lineRule="auto"/>
        <w:ind w:firstLine="709"/>
        <w:rPr>
          <w:rFonts w:eastAsia="Calibri"/>
          <w:color w:val="000000" w:themeColor="text1"/>
        </w:rPr>
      </w:pPr>
      <w:bookmarkStart w:id="288" w:name="_Toc83655951"/>
      <w:bookmarkEnd w:id="287"/>
      <w:r w:rsidRPr="00387EF7">
        <w:rPr>
          <w:rFonts w:eastAsia="Calibri"/>
          <w:color w:val="000000" w:themeColor="text1"/>
        </w:rPr>
        <w:t>Эверолимус является субстратом изофермента CYP3A4 и Р-гликопротеина. После приема препарата внутрь в крови эверолимус циркулирует в основном в неизмененном виде. В крови человека определены шесть основных метаболитов эверолимуса, представленных тремя моногидроксилированными метаболитами, двумя продуктами гидролитического превращения с открытым кольцом и фосфатидилхолиновым конъюгатом эверолимуса. Указанные метаболиты по активности уступали эверолимусу примерно в 100 раз. Поэтому принято считать, что большая часть общей фармакологической активности эверолимуса обусловлена действием неизмененного соединения</w:t>
      </w:r>
      <w:r w:rsidRPr="00707D60">
        <w:rPr>
          <w:rFonts w:eastAsia="Calibri"/>
          <w:color w:val="000000" w:themeColor="text1"/>
        </w:rPr>
        <w:t xml:space="preserve"> [</w:t>
      </w:r>
      <w:r w:rsidRPr="00387EF7">
        <w:rPr>
          <w:rFonts w:eastAsia="Calibri"/>
          <w:color w:val="000000" w:themeColor="text1"/>
        </w:rPr>
        <w:t>2,3,4</w:t>
      </w:r>
      <w:r w:rsidR="003520C2">
        <w:rPr>
          <w:rFonts w:eastAsia="Calibri"/>
          <w:color w:val="000000" w:themeColor="text1"/>
        </w:rPr>
        <w:t>].</w:t>
      </w:r>
    </w:p>
    <w:p w14:paraId="28C455AF" w14:textId="204DC3DF" w:rsidR="00BF6DD4" w:rsidRPr="00BF6DD4" w:rsidRDefault="00BF6DD4" w:rsidP="00BF6DD4">
      <w:pPr>
        <w:spacing w:after="0" w:line="240" w:lineRule="auto"/>
        <w:rPr>
          <w:rFonts w:eastAsia="Calibri"/>
          <w:b/>
          <w:i/>
          <w:color w:val="000000" w:themeColor="text1"/>
          <w:szCs w:val="28"/>
        </w:rPr>
      </w:pPr>
      <w:r w:rsidRPr="00BF6DD4">
        <w:rPr>
          <w:rFonts w:eastAsia="Calibri"/>
          <w:b/>
          <w:i/>
          <w:color w:val="000000" w:themeColor="text1"/>
          <w:szCs w:val="28"/>
        </w:rPr>
        <w:t>Выведение</w:t>
      </w:r>
    </w:p>
    <w:bookmarkEnd w:id="288"/>
    <w:p w14:paraId="0B98C6B2" w14:textId="77777777" w:rsidR="001C54B1" w:rsidRPr="00707D60" w:rsidRDefault="001C54B1" w:rsidP="001C54B1">
      <w:pPr>
        <w:spacing w:after="0" w:line="240" w:lineRule="auto"/>
        <w:ind w:firstLine="709"/>
        <w:rPr>
          <w:rFonts w:eastAsia="Calibri"/>
          <w:color w:val="000000" w:themeColor="text1"/>
          <w:szCs w:val="28"/>
        </w:rPr>
      </w:pPr>
      <w:r w:rsidRPr="00387EF7">
        <w:rPr>
          <w:rFonts w:eastAsia="Calibri"/>
          <w:color w:val="000000" w:themeColor="text1"/>
          <w:szCs w:val="28"/>
        </w:rPr>
        <w:t>После введения однократной дозы меченого радиоактивной меткой эверолимуса большая часть (80%) радиоактивности определялась в кале, небольшое количество (5%) выделялось почками. Неизмененное вещество не определялось ни в моче, ни в кале</w:t>
      </w:r>
      <w:r>
        <w:rPr>
          <w:rFonts w:eastAsia="Calibri"/>
          <w:color w:val="000000" w:themeColor="text1"/>
          <w:szCs w:val="28"/>
        </w:rPr>
        <w:t xml:space="preserve"> [</w:t>
      </w:r>
      <w:r w:rsidRPr="00387EF7">
        <w:rPr>
          <w:rFonts w:eastAsia="Calibri"/>
          <w:color w:val="000000" w:themeColor="text1"/>
          <w:szCs w:val="28"/>
        </w:rPr>
        <w:t>2,3,4</w:t>
      </w:r>
      <w:r w:rsidRPr="00707D60">
        <w:rPr>
          <w:rFonts w:eastAsia="Calibri"/>
          <w:color w:val="000000" w:themeColor="text1"/>
          <w:szCs w:val="28"/>
        </w:rPr>
        <w:t>].</w:t>
      </w:r>
    </w:p>
    <w:p w14:paraId="7F0B466B" w14:textId="77777777" w:rsidR="001C54B1" w:rsidRDefault="001C54B1" w:rsidP="001C54B1">
      <w:pPr>
        <w:autoSpaceDE w:val="0"/>
        <w:autoSpaceDN w:val="0"/>
        <w:adjustRightInd w:val="0"/>
        <w:spacing w:after="0" w:line="240" w:lineRule="auto"/>
        <w:rPr>
          <w:rFonts w:eastAsia="TimesNewRomanPS-BoldMT"/>
          <w:b/>
          <w:bCs/>
          <w:color w:val="000000" w:themeColor="text1"/>
        </w:rPr>
      </w:pPr>
    </w:p>
    <w:p w14:paraId="2144698C" w14:textId="38314636" w:rsidR="00BF6DD4" w:rsidRDefault="00BF6DD4" w:rsidP="00BF6DD4">
      <w:pPr>
        <w:autoSpaceDE w:val="0"/>
        <w:autoSpaceDN w:val="0"/>
        <w:adjustRightInd w:val="0"/>
        <w:spacing w:after="0" w:line="240" w:lineRule="auto"/>
        <w:rPr>
          <w:rFonts w:eastAsia="TimesNewRomanPS-BoldMT"/>
          <w:b/>
          <w:bCs/>
          <w:color w:val="000000" w:themeColor="text1"/>
        </w:rPr>
      </w:pPr>
      <w:r w:rsidRPr="00110C2D">
        <w:rPr>
          <w:rFonts w:eastAsia="TimesNewRomanPS-BoldMT"/>
          <w:b/>
          <w:bCs/>
          <w:color w:val="000000" w:themeColor="text1"/>
        </w:rPr>
        <w:t>Линейность фармакокинетики</w:t>
      </w:r>
    </w:p>
    <w:p w14:paraId="0A22C527" w14:textId="77777777" w:rsidR="001C54B1" w:rsidRPr="00110C2D" w:rsidRDefault="001C54B1" w:rsidP="00BF6DD4">
      <w:pPr>
        <w:autoSpaceDE w:val="0"/>
        <w:autoSpaceDN w:val="0"/>
        <w:adjustRightInd w:val="0"/>
        <w:spacing w:after="0" w:line="240" w:lineRule="auto"/>
        <w:rPr>
          <w:rFonts w:eastAsia="TimesNewRomanPS-BoldMT"/>
          <w:b/>
          <w:bCs/>
          <w:color w:val="000000" w:themeColor="text1"/>
        </w:rPr>
      </w:pPr>
    </w:p>
    <w:p w14:paraId="729646B0" w14:textId="77777777" w:rsidR="001C54B1" w:rsidRDefault="001C54B1" w:rsidP="001C54B1">
      <w:pPr>
        <w:spacing w:after="0" w:line="240" w:lineRule="auto"/>
        <w:ind w:firstLine="709"/>
      </w:pPr>
      <w:bookmarkStart w:id="289" w:name="_Toc52190582"/>
      <w:r>
        <w:t>Линейность фармакокинетики была исследована на здоровых добровольцах при однократных дозах 0,5-4 мг. Согласно полученным результатам, фармакокинетика является линейной в изученном диапазоне. Однако, при применении доз 20 мг в неделю и выше отмечался менее, чем пропорциональный дозе рост показателя C</w:t>
      </w:r>
      <w:r w:rsidRPr="00790695">
        <w:rPr>
          <w:vertAlign w:val="subscript"/>
        </w:rPr>
        <w:t>max</w:t>
      </w:r>
      <w:r w:rsidRPr="00387EF7">
        <w:t xml:space="preserve"> [2,3,4].</w:t>
      </w:r>
    </w:p>
    <w:p w14:paraId="72F21C57" w14:textId="77777777" w:rsidR="001C54B1" w:rsidRDefault="001C54B1" w:rsidP="001C54B1">
      <w:pPr>
        <w:spacing w:after="0" w:line="240" w:lineRule="auto"/>
        <w:ind w:firstLine="709"/>
      </w:pPr>
    </w:p>
    <w:p w14:paraId="0F636901" w14:textId="77777777" w:rsidR="001C54B1" w:rsidRPr="00387EF7" w:rsidRDefault="001C54B1" w:rsidP="001C54B1">
      <w:pPr>
        <w:autoSpaceDE w:val="0"/>
        <w:autoSpaceDN w:val="0"/>
        <w:adjustRightInd w:val="0"/>
        <w:spacing w:after="0" w:line="240" w:lineRule="auto"/>
        <w:rPr>
          <w:rFonts w:eastAsia="TimesNewRomanPS-BoldMT"/>
          <w:b/>
          <w:bCs/>
          <w:color w:val="000000" w:themeColor="text1"/>
        </w:rPr>
      </w:pPr>
      <w:r w:rsidRPr="00387EF7">
        <w:rPr>
          <w:rFonts w:eastAsia="TimesNewRomanPS-BoldMT"/>
          <w:b/>
          <w:bCs/>
          <w:color w:val="000000" w:themeColor="text1"/>
        </w:rPr>
        <w:t>Фармакокинетика в равновесном состоянии</w:t>
      </w:r>
    </w:p>
    <w:p w14:paraId="73C01756" w14:textId="77777777" w:rsidR="001C54B1" w:rsidRPr="00387EF7" w:rsidRDefault="001C54B1" w:rsidP="001C54B1">
      <w:pPr>
        <w:autoSpaceDE w:val="0"/>
        <w:autoSpaceDN w:val="0"/>
        <w:adjustRightInd w:val="0"/>
        <w:spacing w:after="0" w:line="240" w:lineRule="auto"/>
        <w:rPr>
          <w:rFonts w:eastAsia="TimesNewRomanPS-BoldMT"/>
          <w:b/>
          <w:bCs/>
          <w:color w:val="000000" w:themeColor="text1"/>
        </w:rPr>
      </w:pPr>
    </w:p>
    <w:p w14:paraId="2B4C457D" w14:textId="77777777" w:rsidR="001C54B1" w:rsidRPr="001C54B1" w:rsidRDefault="001C54B1" w:rsidP="001C54B1">
      <w:pPr>
        <w:autoSpaceDE w:val="0"/>
        <w:autoSpaceDN w:val="0"/>
        <w:adjustRightInd w:val="0"/>
        <w:spacing w:after="0" w:line="240" w:lineRule="auto"/>
        <w:ind w:firstLine="709"/>
        <w:rPr>
          <w:rFonts w:eastAsia="Times New Roman"/>
          <w:color w:val="000000"/>
          <w:lang w:eastAsia="ru-RU"/>
        </w:rPr>
      </w:pPr>
      <w:r w:rsidRPr="00387EF7">
        <w:rPr>
          <w:rFonts w:eastAsia="Times New Roman"/>
          <w:color w:val="000000"/>
          <w:lang w:eastAsia="ru-RU"/>
        </w:rPr>
        <w:t>Фармакокинетика была сопоставима у пациентов с трансплантацией почки и сердца, получавших эверолимус два раза в сутки одновременно с циклоспорином в виде микроэмульсии. Равновесное состояние достигается к 4-му дню с 2-3</w:t>
      </w:r>
      <w:r w:rsidRPr="00387EF7">
        <w:rPr>
          <w:rFonts w:eastAsia="Times New Roman"/>
          <w:color w:val="000000"/>
          <w:lang w:eastAsia="ru-RU"/>
        </w:rPr>
        <w:noBreakHyphen/>
        <w:t>кратной кумуляцией концентраций в крови по сравнению с экспозицией после первой дозы. T</w:t>
      </w:r>
      <w:r w:rsidRPr="00387EF7">
        <w:rPr>
          <w:rFonts w:eastAsia="Times New Roman"/>
          <w:color w:val="000000"/>
          <w:vertAlign w:val="subscript"/>
          <w:lang w:eastAsia="ru-RU"/>
        </w:rPr>
        <w:t>max</w:t>
      </w:r>
      <w:r w:rsidRPr="00387EF7">
        <w:rPr>
          <w:rFonts w:eastAsia="Times New Roman"/>
          <w:color w:val="000000"/>
          <w:lang w:eastAsia="ru-RU"/>
        </w:rPr>
        <w:t> отмечается через 1-2 часа после применения препарата. C</w:t>
      </w:r>
      <w:r w:rsidRPr="00387EF7">
        <w:rPr>
          <w:rFonts w:eastAsia="Times New Roman"/>
          <w:color w:val="000000"/>
          <w:vertAlign w:val="subscript"/>
          <w:lang w:eastAsia="ru-RU"/>
        </w:rPr>
        <w:t xml:space="preserve">max </w:t>
      </w:r>
      <w:r w:rsidRPr="00387EF7">
        <w:rPr>
          <w:rFonts w:eastAsia="Times New Roman"/>
          <w:color w:val="000000"/>
          <w:lang w:eastAsia="ru-RU"/>
        </w:rPr>
        <w:t xml:space="preserve">составляет в среднем 11,1 ± 4,6 и 20,3 ± 8,0 нг/мл, а AUC - в среднем 75 ± 31 и 131 ± 59 нг•ч/мл при 0,75 и 1,5 мг </w:t>
      </w:r>
      <w:r w:rsidRPr="00387EF7">
        <w:rPr>
          <w:rFonts w:eastAsia="Times New Roman"/>
          <w:i/>
          <w:iCs/>
          <w:color w:val="000000"/>
          <w:lang w:eastAsia="ru-RU"/>
        </w:rPr>
        <w:t xml:space="preserve">2 р/сут, </w:t>
      </w:r>
      <w:r w:rsidRPr="00387EF7">
        <w:rPr>
          <w:rFonts w:eastAsia="Times New Roman"/>
          <w:color w:val="000000"/>
          <w:lang w:eastAsia="ru-RU"/>
        </w:rPr>
        <w:t>соответственно. Минимальные концентрации в крови (C</w:t>
      </w:r>
      <w:r w:rsidRPr="00387EF7">
        <w:rPr>
          <w:rFonts w:eastAsia="Times New Roman"/>
          <w:color w:val="000000"/>
          <w:vertAlign w:val="subscript"/>
          <w:lang w:eastAsia="ru-RU"/>
        </w:rPr>
        <w:t>min</w:t>
      </w:r>
      <w:r w:rsidRPr="00387EF7">
        <w:rPr>
          <w:rFonts w:eastAsia="Times New Roman"/>
          <w:color w:val="000000"/>
          <w:lang w:eastAsia="ru-RU"/>
        </w:rPr>
        <w:t xml:space="preserve">) до применения препарата составляют в </w:t>
      </w:r>
      <w:r w:rsidRPr="00387EF7">
        <w:rPr>
          <w:rFonts w:eastAsia="Times New Roman"/>
          <w:color w:val="000000"/>
          <w:lang w:eastAsia="ru-RU"/>
        </w:rPr>
        <w:lastRenderedPageBreak/>
        <w:t xml:space="preserve">среднем 4,1 ± 2,1 и 7,1 ± 4,6 нг/мл при 0,75 и 1,5 мг </w:t>
      </w:r>
      <w:r w:rsidRPr="00387EF7">
        <w:rPr>
          <w:rFonts w:eastAsia="Times New Roman"/>
          <w:i/>
          <w:iCs/>
          <w:color w:val="000000"/>
          <w:lang w:eastAsia="ru-RU"/>
        </w:rPr>
        <w:t>2 р/сут</w:t>
      </w:r>
      <w:r w:rsidRPr="00387EF7">
        <w:rPr>
          <w:rFonts w:eastAsia="Times New Roman"/>
          <w:color w:val="000000"/>
          <w:lang w:eastAsia="ru-RU"/>
        </w:rPr>
        <w:t>, соответственно. Воздействие эверолимуса остается стабильным в динамике в течение первого года после трансплантации. C</w:t>
      </w:r>
      <w:r w:rsidRPr="00387EF7">
        <w:rPr>
          <w:rFonts w:eastAsia="Times New Roman"/>
          <w:color w:val="000000"/>
          <w:vertAlign w:val="subscript"/>
          <w:lang w:eastAsia="ru-RU"/>
        </w:rPr>
        <w:t>min</w:t>
      </w:r>
      <w:r w:rsidRPr="00387EF7">
        <w:rPr>
          <w:rFonts w:eastAsia="Times New Roman"/>
          <w:color w:val="000000"/>
          <w:lang w:eastAsia="ru-RU"/>
        </w:rPr>
        <w:t xml:space="preserve"> значительно коррелировал с AUC, что приводит к коэффициенту корреляции 0,86-0,94. На основании анализа популяционной фармакокинетики клиренс (CL/F) после приема внутрь составляет 8,8 л/час (27 % межиндивидуальная вариабельность), а объем центрального распределения (Vc/F) - 110 л (36 % межиндивидуальная вариабельность). Остаточная вариабельность концентраций в крови составляет 31 %. Период полувыведения равен 28 ± 7 часов</w:t>
      </w:r>
      <w:r w:rsidRPr="001C54B1">
        <w:rPr>
          <w:rFonts w:eastAsia="Times New Roman"/>
          <w:color w:val="000000"/>
          <w:lang w:eastAsia="ru-RU"/>
        </w:rPr>
        <w:t xml:space="preserve"> [3].</w:t>
      </w:r>
    </w:p>
    <w:p w14:paraId="4D363821" w14:textId="77777777" w:rsidR="001C54B1" w:rsidRPr="00387EF7" w:rsidRDefault="001C54B1" w:rsidP="001C54B1">
      <w:pPr>
        <w:spacing w:after="0" w:line="240" w:lineRule="auto"/>
        <w:ind w:firstLine="709"/>
      </w:pPr>
    </w:p>
    <w:p w14:paraId="7B3ECDE7" w14:textId="28ED573A" w:rsidR="00BF6DD4" w:rsidRPr="00530B28" w:rsidRDefault="00BF6DD4" w:rsidP="00BF6DD4">
      <w:pPr>
        <w:autoSpaceDE w:val="0"/>
        <w:autoSpaceDN w:val="0"/>
        <w:adjustRightInd w:val="0"/>
        <w:spacing w:after="0" w:line="240" w:lineRule="auto"/>
        <w:rPr>
          <w:rFonts w:eastAsia="TimesNewRomanPS-BoldMT"/>
          <w:b/>
          <w:bCs/>
          <w:color w:val="000000" w:themeColor="text1"/>
        </w:rPr>
      </w:pPr>
      <w:r w:rsidRPr="00530B28">
        <w:rPr>
          <w:rFonts w:eastAsia="TimesNewRomanPS-BoldMT"/>
          <w:b/>
          <w:bCs/>
          <w:color w:val="000000" w:themeColor="text1"/>
        </w:rPr>
        <w:t>Фармакокинетика у особых групп пациентов</w:t>
      </w:r>
    </w:p>
    <w:p w14:paraId="2DE85DD5" w14:textId="77777777" w:rsidR="00BF6DD4" w:rsidRDefault="00BF6DD4" w:rsidP="003D31EB">
      <w:pPr>
        <w:spacing w:after="0" w:line="240" w:lineRule="auto"/>
      </w:pPr>
    </w:p>
    <w:bookmarkEnd w:id="289"/>
    <w:p w14:paraId="7079C4FC" w14:textId="77777777" w:rsidR="001C54B1" w:rsidRPr="00695000" w:rsidRDefault="001C54B1" w:rsidP="001C54B1">
      <w:pPr>
        <w:spacing w:after="0" w:line="240" w:lineRule="auto"/>
        <w:rPr>
          <w:b/>
          <w:i/>
        </w:rPr>
      </w:pPr>
      <w:r w:rsidRPr="00695000">
        <w:rPr>
          <w:b/>
          <w:i/>
        </w:rPr>
        <w:t>Дети в возрасте от 2 до 16 лет</w:t>
      </w:r>
    </w:p>
    <w:p w14:paraId="0A86FCB3" w14:textId="77777777"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Четырнадцать детей с трансплантацией почки </w:t>
      </w:r>
      <w:r w:rsidRPr="00695000">
        <w:rPr>
          <w:rFonts w:eastAsia="Times New Roman"/>
          <w:i/>
          <w:iCs/>
          <w:color w:val="000000"/>
          <w:lang w:eastAsia="ru-RU"/>
        </w:rPr>
        <w:t>de novo</w:t>
      </w:r>
      <w:r w:rsidRPr="00695000">
        <w:rPr>
          <w:rFonts w:eastAsia="Times New Roman"/>
          <w:color w:val="000000"/>
          <w:lang w:eastAsia="ru-RU"/>
        </w:rPr>
        <w:t xml:space="preserve"> (от 2 до 16 лет) получали диспергируемые таблетки Сертикан в начальной дозе 0,8 мг/м</w:t>
      </w:r>
      <w:r w:rsidRPr="00695000">
        <w:rPr>
          <w:rFonts w:eastAsia="Times New Roman"/>
          <w:color w:val="000000"/>
          <w:vertAlign w:val="superscript"/>
          <w:lang w:eastAsia="ru-RU"/>
        </w:rPr>
        <w:t>2</w:t>
      </w:r>
      <w:r w:rsidRPr="00695000">
        <w:rPr>
          <w:rFonts w:eastAsia="Times New Roman"/>
          <w:color w:val="000000"/>
          <w:lang w:eastAsia="ru-RU"/>
        </w:rPr>
        <w:t xml:space="preserve"> (не более 1,5 мг) два раза в сутки с циклоспорином для микроэмульсии. Их дозы впоследствии подбирались индивидуально на основе мониторинга терапевтических препаратов для поддержания минимальной концентрации эверолимуса перед применением препарата ≥ 3 нг/мл. В равновесном состоянии минимальная концентрация эверолимуса составляла 6,2 ± 2,4 нг/мл, C</w:t>
      </w:r>
      <w:r w:rsidRPr="00695000">
        <w:rPr>
          <w:rFonts w:eastAsia="Times New Roman"/>
          <w:color w:val="000000"/>
          <w:vertAlign w:val="subscript"/>
          <w:lang w:eastAsia="ru-RU"/>
        </w:rPr>
        <w:t>max</w:t>
      </w:r>
      <w:r w:rsidRPr="00695000">
        <w:rPr>
          <w:rFonts w:eastAsia="Times New Roman"/>
          <w:color w:val="000000"/>
          <w:lang w:eastAsia="ru-RU"/>
        </w:rPr>
        <w:t xml:space="preserve"> - 18,2 ± 5,5 нг/мл, AUC - 118 ± 28 нг•ч/мл, что сопоставимо со взрослыми, получающими Сертикан, с целью достижения аналогичных минимальных концентраций до введения препарата. У детей равновесный CL/F составил 7,1 ± 1,7 л/ч/м</w:t>
      </w:r>
      <w:r w:rsidRPr="00695000">
        <w:rPr>
          <w:rFonts w:eastAsia="Times New Roman"/>
          <w:color w:val="000000"/>
          <w:vertAlign w:val="superscript"/>
          <w:lang w:eastAsia="ru-RU"/>
        </w:rPr>
        <w:t>2</w:t>
      </w:r>
      <w:r w:rsidRPr="00695000">
        <w:rPr>
          <w:rFonts w:eastAsia="Times New Roman"/>
          <w:color w:val="000000"/>
          <w:lang w:eastAsia="ru-RU"/>
        </w:rPr>
        <w:t>, период полувыведения - 30 ± 11 ч [3,4].</w:t>
      </w:r>
    </w:p>
    <w:p w14:paraId="391CF84F" w14:textId="77777777" w:rsidR="001C54B1" w:rsidRPr="00695000" w:rsidRDefault="001C54B1" w:rsidP="001C54B1">
      <w:pPr>
        <w:pStyle w:val="aff"/>
        <w:kinsoku w:val="0"/>
        <w:overflowPunct w:val="0"/>
        <w:spacing w:after="0" w:line="240" w:lineRule="auto"/>
        <w:rPr>
          <w:b/>
          <w:i/>
          <w:iCs/>
          <w:color w:val="3F3D3F"/>
        </w:rPr>
      </w:pPr>
      <w:r w:rsidRPr="00695000">
        <w:rPr>
          <w:b/>
          <w:i/>
          <w:iCs/>
          <w:color w:val="2B2A2B"/>
        </w:rPr>
        <w:t xml:space="preserve">Пациенты </w:t>
      </w:r>
      <w:r w:rsidRPr="00695000">
        <w:rPr>
          <w:b/>
          <w:i/>
          <w:iCs/>
          <w:color w:val="3F3D3F"/>
        </w:rPr>
        <w:t>пожилого возраста</w:t>
      </w:r>
    </w:p>
    <w:p w14:paraId="276EB80E" w14:textId="77777777" w:rsidR="001C54B1" w:rsidRPr="001C54B1"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У взрослых отмечалось ограниченное снижение клиренса после приема внутрь эверолимуса на 0,33 % в год (исследуемый возрастной диапазон составлял 16-70 лет). Коррекция дозы не требуется</w:t>
      </w:r>
      <w:r w:rsidRPr="001C54B1">
        <w:rPr>
          <w:rFonts w:eastAsia="Times New Roman"/>
          <w:color w:val="000000"/>
          <w:lang w:eastAsia="ru-RU"/>
        </w:rPr>
        <w:t xml:space="preserve"> </w:t>
      </w:r>
      <w:r w:rsidRPr="00695000">
        <w:rPr>
          <w:rFonts w:eastAsia="Times New Roman"/>
          <w:color w:val="000000"/>
          <w:lang w:eastAsia="ru-RU"/>
        </w:rPr>
        <w:t>[3,4].</w:t>
      </w:r>
    </w:p>
    <w:p w14:paraId="5D97C441" w14:textId="77777777" w:rsidR="001C54B1" w:rsidRPr="00695000" w:rsidRDefault="001C54B1" w:rsidP="00961899">
      <w:pPr>
        <w:pStyle w:val="aff"/>
        <w:kinsoku w:val="0"/>
        <w:overflowPunct w:val="0"/>
        <w:spacing w:after="0" w:line="240" w:lineRule="auto"/>
        <w:rPr>
          <w:b/>
          <w:i/>
          <w:iCs/>
          <w:color w:val="2B2A2B"/>
          <w:w w:val="105"/>
        </w:rPr>
      </w:pPr>
      <w:r w:rsidRPr="00695000">
        <w:rPr>
          <w:b/>
          <w:i/>
          <w:iCs/>
          <w:color w:val="2B2A2B"/>
          <w:w w:val="105"/>
        </w:rPr>
        <w:t>Влияние расовой</w:t>
      </w:r>
      <w:r w:rsidRPr="00695000">
        <w:rPr>
          <w:b/>
          <w:i/>
          <w:iCs/>
          <w:color w:val="2B2A2B"/>
          <w:spacing w:val="40"/>
          <w:w w:val="105"/>
        </w:rPr>
        <w:t xml:space="preserve"> </w:t>
      </w:r>
      <w:r w:rsidRPr="00695000">
        <w:rPr>
          <w:b/>
          <w:i/>
          <w:iCs/>
          <w:color w:val="2B2A2B"/>
          <w:w w:val="105"/>
        </w:rPr>
        <w:t xml:space="preserve">и </w:t>
      </w:r>
      <w:r w:rsidRPr="00695000">
        <w:rPr>
          <w:b/>
          <w:i/>
          <w:iCs/>
          <w:color w:val="3F3D3F"/>
          <w:w w:val="105"/>
        </w:rPr>
        <w:t xml:space="preserve">этнической </w:t>
      </w:r>
      <w:r w:rsidRPr="00695000">
        <w:rPr>
          <w:b/>
          <w:i/>
          <w:iCs/>
          <w:color w:val="2B2A2B"/>
          <w:w w:val="105"/>
        </w:rPr>
        <w:t>принадлежности</w:t>
      </w:r>
    </w:p>
    <w:p w14:paraId="2250E348" w14:textId="77777777" w:rsidR="001C54B1" w:rsidRPr="00695000" w:rsidRDefault="001C54B1" w:rsidP="001C54B1">
      <w:pPr>
        <w:pStyle w:val="aff"/>
        <w:kinsoku w:val="0"/>
        <w:overflowPunct w:val="0"/>
        <w:spacing w:after="0" w:line="240" w:lineRule="auto"/>
        <w:ind w:firstLine="709"/>
        <w:rPr>
          <w:rFonts w:eastAsia="Calibri"/>
          <w:color w:val="000000" w:themeColor="text1"/>
          <w:szCs w:val="28"/>
        </w:rPr>
      </w:pPr>
      <w:r w:rsidRPr="00695000">
        <w:rPr>
          <w:rFonts w:eastAsia="Calibri"/>
          <w:color w:val="000000" w:themeColor="text1"/>
          <w:szCs w:val="28"/>
        </w:rPr>
        <w:t>Клиренс эверолимуса (CL/F) после приема препарата внутрь у лиц европеоидной и монголоидной рас при сходной функции печени не различается.</w:t>
      </w:r>
    </w:p>
    <w:p w14:paraId="142C09B1" w14:textId="77777777" w:rsidR="001C54B1" w:rsidRPr="00707D60" w:rsidRDefault="001C54B1" w:rsidP="001C54B1">
      <w:pPr>
        <w:pStyle w:val="aff"/>
        <w:kinsoku w:val="0"/>
        <w:overflowPunct w:val="0"/>
        <w:spacing w:after="0" w:line="240" w:lineRule="auto"/>
        <w:ind w:firstLine="709"/>
        <w:contextualSpacing/>
        <w:rPr>
          <w:color w:val="312F31"/>
        </w:rPr>
      </w:pPr>
      <w:r w:rsidRPr="00695000">
        <w:rPr>
          <w:color w:val="2B2A2B"/>
        </w:rPr>
        <w:t xml:space="preserve">По </w:t>
      </w:r>
      <w:r w:rsidRPr="00695000">
        <w:rPr>
          <w:color w:val="3F3D3F"/>
        </w:rPr>
        <w:t>данным</w:t>
      </w:r>
      <w:r w:rsidRPr="00695000">
        <w:rPr>
          <w:color w:val="3F3D3F"/>
          <w:spacing w:val="40"/>
        </w:rPr>
        <w:t xml:space="preserve"> </w:t>
      </w:r>
      <w:r w:rsidRPr="00695000">
        <w:rPr>
          <w:color w:val="2B2A2B"/>
        </w:rPr>
        <w:t>популяционного фармакокинетического анализа</w:t>
      </w:r>
      <w:r w:rsidRPr="00695000">
        <w:rPr>
          <w:color w:val="2B2A2B"/>
          <w:spacing w:val="40"/>
        </w:rPr>
        <w:t xml:space="preserve"> </w:t>
      </w:r>
      <w:r w:rsidRPr="00695000">
        <w:rPr>
          <w:color w:val="3F3D3F"/>
        </w:rPr>
        <w:t>у лиц</w:t>
      </w:r>
      <w:r w:rsidRPr="00695000">
        <w:rPr>
          <w:color w:val="3F3D3F"/>
          <w:spacing w:val="40"/>
        </w:rPr>
        <w:t xml:space="preserve"> </w:t>
      </w:r>
      <w:r w:rsidRPr="00695000">
        <w:rPr>
          <w:color w:val="2B2A2B"/>
        </w:rPr>
        <w:t>негроидной</w:t>
      </w:r>
      <w:r w:rsidRPr="00695000">
        <w:rPr>
          <w:color w:val="2B2A2B"/>
          <w:spacing w:val="40"/>
        </w:rPr>
        <w:t xml:space="preserve"> </w:t>
      </w:r>
      <w:r w:rsidRPr="00695000">
        <w:rPr>
          <w:color w:val="2B2A2B"/>
        </w:rPr>
        <w:t>расы</w:t>
      </w:r>
      <w:r w:rsidRPr="00695000">
        <w:rPr>
          <w:color w:val="2B2A2B"/>
          <w:spacing w:val="40"/>
        </w:rPr>
        <w:t xml:space="preserve"> </w:t>
      </w:r>
      <w:r w:rsidRPr="00695000">
        <w:rPr>
          <w:color w:val="2B2A2B"/>
        </w:rPr>
        <w:t xml:space="preserve">после </w:t>
      </w:r>
      <w:r w:rsidRPr="00695000">
        <w:rPr>
          <w:color w:val="312F31"/>
        </w:rPr>
        <w:t>пересадки</w:t>
      </w:r>
      <w:r w:rsidRPr="00695000">
        <w:rPr>
          <w:color w:val="312F31"/>
          <w:spacing w:val="40"/>
        </w:rPr>
        <w:t xml:space="preserve"> </w:t>
      </w:r>
      <w:r w:rsidRPr="00695000">
        <w:rPr>
          <w:color w:val="312F31"/>
        </w:rPr>
        <w:t>органов</w:t>
      </w:r>
      <w:r w:rsidRPr="00695000">
        <w:rPr>
          <w:color w:val="312F31"/>
          <w:spacing w:val="40"/>
        </w:rPr>
        <w:t xml:space="preserve"> </w:t>
      </w:r>
      <w:r w:rsidRPr="00695000">
        <w:rPr>
          <w:color w:val="312F31"/>
        </w:rPr>
        <w:t>клиренс</w:t>
      </w:r>
      <w:r w:rsidRPr="00695000">
        <w:rPr>
          <w:color w:val="312F31"/>
          <w:spacing w:val="40"/>
        </w:rPr>
        <w:t xml:space="preserve"> </w:t>
      </w:r>
      <w:r w:rsidRPr="00695000">
        <w:rPr>
          <w:color w:val="444446"/>
        </w:rPr>
        <w:t>эверолимуса</w:t>
      </w:r>
      <w:r w:rsidRPr="00695000">
        <w:rPr>
          <w:color w:val="444446"/>
          <w:spacing w:val="40"/>
        </w:rPr>
        <w:t xml:space="preserve"> </w:t>
      </w:r>
      <w:r w:rsidRPr="00695000">
        <w:rPr>
          <w:color w:val="312F31"/>
        </w:rPr>
        <w:t>(CL/F)</w:t>
      </w:r>
      <w:r w:rsidRPr="00695000">
        <w:rPr>
          <w:color w:val="312F31"/>
          <w:spacing w:val="40"/>
        </w:rPr>
        <w:t xml:space="preserve"> </w:t>
      </w:r>
      <w:r w:rsidRPr="00695000">
        <w:rPr>
          <w:color w:val="444446"/>
        </w:rPr>
        <w:t>(после</w:t>
      </w:r>
      <w:r w:rsidRPr="00695000">
        <w:rPr>
          <w:color w:val="444446"/>
          <w:spacing w:val="40"/>
        </w:rPr>
        <w:t xml:space="preserve"> </w:t>
      </w:r>
      <w:r w:rsidRPr="00695000">
        <w:rPr>
          <w:color w:val="312F31"/>
        </w:rPr>
        <w:t>приема</w:t>
      </w:r>
      <w:r w:rsidRPr="00695000">
        <w:rPr>
          <w:color w:val="312F31"/>
          <w:spacing w:val="40"/>
        </w:rPr>
        <w:t xml:space="preserve"> </w:t>
      </w:r>
      <w:r w:rsidRPr="00695000">
        <w:rPr>
          <w:color w:val="312F31"/>
        </w:rPr>
        <w:t>внутрь)</w:t>
      </w:r>
      <w:r w:rsidRPr="00695000">
        <w:rPr>
          <w:color w:val="312F31"/>
          <w:spacing w:val="40"/>
        </w:rPr>
        <w:t xml:space="preserve"> </w:t>
      </w:r>
      <w:r w:rsidRPr="00695000">
        <w:rPr>
          <w:color w:val="312F31"/>
        </w:rPr>
        <w:t>был</w:t>
      </w:r>
      <w:r w:rsidRPr="00695000">
        <w:rPr>
          <w:color w:val="312F31"/>
          <w:spacing w:val="40"/>
        </w:rPr>
        <w:t xml:space="preserve"> </w:t>
      </w:r>
      <w:r w:rsidRPr="00695000">
        <w:rPr>
          <w:color w:val="312F31"/>
        </w:rPr>
        <w:t>в</w:t>
      </w:r>
      <w:r w:rsidRPr="00695000">
        <w:rPr>
          <w:color w:val="312F31"/>
          <w:spacing w:val="36"/>
        </w:rPr>
        <w:t xml:space="preserve"> </w:t>
      </w:r>
      <w:r w:rsidRPr="00695000">
        <w:rPr>
          <w:color w:val="312F31"/>
        </w:rPr>
        <w:t>среднем</w:t>
      </w:r>
      <w:r w:rsidRPr="00695000">
        <w:rPr>
          <w:color w:val="312F31"/>
          <w:spacing w:val="40"/>
        </w:rPr>
        <w:t xml:space="preserve"> </w:t>
      </w:r>
      <w:r w:rsidRPr="00695000">
        <w:rPr>
          <w:color w:val="312F31"/>
        </w:rPr>
        <w:t xml:space="preserve">на </w:t>
      </w:r>
      <w:r w:rsidRPr="00695000">
        <w:rPr>
          <w:color w:val="444446"/>
        </w:rPr>
        <w:t xml:space="preserve">20% </w:t>
      </w:r>
      <w:r w:rsidRPr="00695000">
        <w:rPr>
          <w:color w:val="312F31"/>
        </w:rPr>
        <w:t>выше,</w:t>
      </w:r>
      <w:r w:rsidRPr="00695000">
        <w:rPr>
          <w:color w:val="312F31"/>
          <w:spacing w:val="32"/>
        </w:rPr>
        <w:t xml:space="preserve"> </w:t>
      </w:r>
      <w:r w:rsidRPr="00695000">
        <w:rPr>
          <w:color w:val="312F31"/>
        </w:rPr>
        <w:t>чем</w:t>
      </w:r>
      <w:r w:rsidRPr="00695000">
        <w:rPr>
          <w:color w:val="312F31"/>
          <w:spacing w:val="15"/>
        </w:rPr>
        <w:t xml:space="preserve"> </w:t>
      </w:r>
      <w:r w:rsidRPr="00695000">
        <w:rPr>
          <w:color w:val="444446"/>
        </w:rPr>
        <w:t xml:space="preserve">у </w:t>
      </w:r>
      <w:r w:rsidRPr="00695000">
        <w:rPr>
          <w:color w:val="312F31"/>
        </w:rPr>
        <w:t>представителей</w:t>
      </w:r>
      <w:r w:rsidRPr="00695000">
        <w:rPr>
          <w:color w:val="312F31"/>
          <w:spacing w:val="-3"/>
        </w:rPr>
        <w:t xml:space="preserve"> </w:t>
      </w:r>
      <w:r w:rsidRPr="00695000">
        <w:rPr>
          <w:color w:val="312F31"/>
        </w:rPr>
        <w:t>европеоидной</w:t>
      </w:r>
      <w:r w:rsidRPr="00695000">
        <w:rPr>
          <w:color w:val="312F31"/>
          <w:spacing w:val="40"/>
        </w:rPr>
        <w:t xml:space="preserve"> </w:t>
      </w:r>
      <w:r w:rsidRPr="00695000">
        <w:rPr>
          <w:color w:val="312F31"/>
        </w:rPr>
        <w:t>расы</w:t>
      </w:r>
      <w:r w:rsidRPr="00707D60">
        <w:rPr>
          <w:color w:val="312F31"/>
        </w:rPr>
        <w:t xml:space="preserve"> </w:t>
      </w:r>
      <w:r>
        <w:rPr>
          <w:rFonts w:eastAsia="Calibri"/>
          <w:color w:val="000000" w:themeColor="text1"/>
        </w:rPr>
        <w:t>[</w:t>
      </w:r>
      <w:r w:rsidRPr="00695000">
        <w:rPr>
          <w:rFonts w:eastAsia="Calibri"/>
          <w:color w:val="000000" w:themeColor="text1"/>
        </w:rPr>
        <w:t>3,4</w:t>
      </w:r>
      <w:r w:rsidRPr="00707D60">
        <w:rPr>
          <w:rFonts w:eastAsia="Calibri"/>
          <w:color w:val="000000" w:themeColor="text1"/>
        </w:rPr>
        <w:t>].</w:t>
      </w:r>
    </w:p>
    <w:p w14:paraId="787C782E" w14:textId="77777777" w:rsidR="001C54B1" w:rsidRPr="00695000" w:rsidRDefault="001C54B1" w:rsidP="001C54B1">
      <w:pPr>
        <w:autoSpaceDE w:val="0"/>
        <w:autoSpaceDN w:val="0"/>
        <w:adjustRightInd w:val="0"/>
        <w:spacing w:after="0" w:line="240" w:lineRule="auto"/>
        <w:ind w:firstLine="708"/>
        <w:contextualSpacing/>
        <w:rPr>
          <w:iCs/>
        </w:rPr>
      </w:pPr>
    </w:p>
    <w:p w14:paraId="6F3DC799" w14:textId="27CA77C4" w:rsidR="00B47726" w:rsidRPr="002400A7" w:rsidRDefault="00B24109" w:rsidP="00790695">
      <w:pPr>
        <w:spacing w:after="0" w:line="240" w:lineRule="auto"/>
        <w:rPr>
          <w:b/>
          <w:i/>
          <w:iCs/>
        </w:rPr>
      </w:pPr>
      <w:r w:rsidRPr="002400A7">
        <w:rPr>
          <w:b/>
          <w:i/>
        </w:rPr>
        <w:t>Пациенты с нарушением функции печени</w:t>
      </w:r>
    </w:p>
    <w:p w14:paraId="4FF2E252" w14:textId="77777777"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По сравнению с AUC эверолимуса у пациентов с нормальной функцией печени средняя AUC у 6 пациентов с легким нарушением функции печени (класс А по шкале Чайлда-Пью) была в 1,6 раза выше; в двух независимо исследованных группах из 8 и 9 пациентов с умеренным нарушением функции печени (класс В по шкале Чайлда-Пью) средняя AUC была в 2,1 раза и 3,3 раза выше, соответственно; у 6 пациентов с тяжелым нарушением функции печени (класс C по шкале Чайлда-Пью) средняя AUC была в 3,6 раза выше. Средний период полувыведения составил 52, 59 и 78 часов при легком, умеренном и тя</w:t>
      </w:r>
      <w:r w:rsidRPr="00695000">
        <w:rPr>
          <w:rFonts w:eastAsia="Times New Roman"/>
          <w:color w:val="000000"/>
          <w:lang w:eastAsia="ru-RU"/>
        </w:rPr>
        <w:lastRenderedPageBreak/>
        <w:t>желом нарушении функции печени. Длительный период полувыведения приводит к задержке времени достижения равновесной концентрации эверолимуса в крови.</w:t>
      </w:r>
    </w:p>
    <w:p w14:paraId="33E150BC" w14:textId="77777777" w:rsidR="001C54B1" w:rsidRPr="00695000" w:rsidRDefault="001C54B1" w:rsidP="001C54B1">
      <w:pPr>
        <w:shd w:val="clear" w:color="auto" w:fill="FFFFFF"/>
        <w:spacing w:after="143" w:line="240" w:lineRule="auto"/>
        <w:ind w:firstLine="709"/>
        <w:contextualSpacing/>
        <w:rPr>
          <w:color w:val="000000" w:themeColor="text1"/>
        </w:rPr>
      </w:pPr>
      <w:r w:rsidRPr="00695000">
        <w:rPr>
          <w:color w:val="000000" w:themeColor="text1"/>
        </w:rPr>
        <w:t>Необходима коррекция дозы эверолимуса у пациентов с нарушением функции печени [3,4].</w:t>
      </w:r>
    </w:p>
    <w:p w14:paraId="65E31A2E" w14:textId="77777777" w:rsidR="001C54B1" w:rsidRPr="00695000" w:rsidRDefault="001C54B1" w:rsidP="001C54B1">
      <w:pPr>
        <w:shd w:val="clear" w:color="auto" w:fill="FFFFFF"/>
        <w:spacing w:after="143" w:line="240" w:lineRule="auto"/>
        <w:ind w:firstLine="709"/>
        <w:contextualSpacing/>
        <w:rPr>
          <w:color w:val="000000" w:themeColor="text1"/>
        </w:rPr>
      </w:pPr>
    </w:p>
    <w:p w14:paraId="54704767" w14:textId="77777777" w:rsidR="001C54B1" w:rsidRDefault="001C54B1" w:rsidP="001C54B1">
      <w:pPr>
        <w:shd w:val="clear" w:color="auto" w:fill="FFFFFF"/>
        <w:spacing w:after="143" w:line="240" w:lineRule="auto"/>
        <w:contextualSpacing/>
        <w:rPr>
          <w:color w:val="000000" w:themeColor="text1"/>
        </w:rPr>
      </w:pPr>
      <w:r w:rsidRPr="00695000">
        <w:rPr>
          <w:b/>
          <w:color w:val="000000" w:themeColor="text1"/>
        </w:rPr>
        <w:t>Таблица</w:t>
      </w:r>
      <w:r w:rsidRPr="001C54B1">
        <w:rPr>
          <w:b/>
          <w:color w:val="000000" w:themeColor="text1"/>
        </w:rPr>
        <w:t xml:space="preserve"> 4-2</w:t>
      </w:r>
      <w:r w:rsidRPr="00695000">
        <w:rPr>
          <w:b/>
          <w:color w:val="000000" w:themeColor="text1"/>
        </w:rPr>
        <w:t>.</w:t>
      </w:r>
      <w:r>
        <w:rPr>
          <w:color w:val="000000" w:themeColor="text1"/>
        </w:rPr>
        <w:t xml:space="preserve"> Редукция дозы эверолимуса у пациентов с нарушением функции печени</w:t>
      </w:r>
    </w:p>
    <w:tbl>
      <w:tblPr>
        <w:tblW w:w="5000" w:type="pct"/>
        <w:tblInd w:w="-5" w:type="dxa"/>
        <w:tblLook w:val="04A0" w:firstRow="1" w:lastRow="0" w:firstColumn="1" w:lastColumn="0" w:noHBand="0" w:noVBand="1"/>
      </w:tblPr>
      <w:tblGrid>
        <w:gridCol w:w="2272"/>
        <w:gridCol w:w="1914"/>
        <w:gridCol w:w="1709"/>
        <w:gridCol w:w="1709"/>
        <w:gridCol w:w="1742"/>
      </w:tblGrid>
      <w:tr w:rsidR="001C54B1" w:rsidRPr="00702505" w14:paraId="4B344520" w14:textId="77777777" w:rsidTr="008A7500">
        <w:trPr>
          <w:trHeight w:val="20"/>
          <w:tblHeader/>
        </w:trPr>
        <w:tc>
          <w:tcPr>
            <w:tcW w:w="2274"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2701B73" w14:textId="77777777" w:rsidR="001C54B1" w:rsidRPr="00702505" w:rsidRDefault="001C54B1" w:rsidP="001C54B1">
            <w:pPr>
              <w:spacing w:after="0" w:line="240" w:lineRule="auto"/>
              <w:jc w:val="left"/>
              <w:rPr>
                <w:rFonts w:eastAsia="Times New Roman"/>
                <w:b/>
                <w:color w:val="000000"/>
                <w:lang w:eastAsia="ru-RU"/>
              </w:rPr>
            </w:pPr>
            <w:r w:rsidRPr="00702505">
              <w:rPr>
                <w:rFonts w:eastAsia="Times New Roman"/>
                <w:b/>
                <w:color w:val="000000"/>
                <w:lang w:eastAsia="ru-RU"/>
              </w:rPr>
              <w:t> </w:t>
            </w:r>
          </w:p>
        </w:tc>
        <w:tc>
          <w:tcPr>
            <w:tcW w:w="1916" w:type="dxa"/>
            <w:tcBorders>
              <w:top w:val="single" w:sz="4" w:space="0" w:color="auto"/>
              <w:left w:val="nil"/>
              <w:bottom w:val="single" w:sz="4" w:space="0" w:color="auto"/>
              <w:right w:val="single" w:sz="4" w:space="0" w:color="auto"/>
            </w:tcBorders>
            <w:shd w:val="clear" w:color="000000" w:fill="D9D9D9"/>
            <w:vAlign w:val="center"/>
            <w:hideMark/>
          </w:tcPr>
          <w:p w14:paraId="51D9ED3B" w14:textId="77777777" w:rsidR="001C54B1" w:rsidRPr="00702505" w:rsidRDefault="001C54B1" w:rsidP="001C54B1">
            <w:pPr>
              <w:spacing w:after="0" w:line="240" w:lineRule="auto"/>
              <w:jc w:val="center"/>
              <w:rPr>
                <w:rFonts w:eastAsia="Times New Roman"/>
                <w:b/>
                <w:color w:val="000000"/>
                <w:lang w:eastAsia="ru-RU"/>
              </w:rPr>
            </w:pPr>
            <w:r w:rsidRPr="00702505">
              <w:rPr>
                <w:rFonts w:eastAsia="Times New Roman"/>
                <w:b/>
                <w:color w:val="000000"/>
                <w:lang w:eastAsia="ru-RU"/>
              </w:rPr>
              <w:t>Нормальная функция печени</w:t>
            </w:r>
          </w:p>
        </w:tc>
        <w:tc>
          <w:tcPr>
            <w:tcW w:w="1711" w:type="dxa"/>
            <w:tcBorders>
              <w:top w:val="single" w:sz="4" w:space="0" w:color="auto"/>
              <w:left w:val="nil"/>
              <w:bottom w:val="single" w:sz="4" w:space="0" w:color="auto"/>
              <w:right w:val="single" w:sz="4" w:space="0" w:color="auto"/>
            </w:tcBorders>
            <w:shd w:val="clear" w:color="000000" w:fill="D9D9D9"/>
            <w:vAlign w:val="center"/>
            <w:hideMark/>
          </w:tcPr>
          <w:p w14:paraId="306EE433" w14:textId="77777777" w:rsidR="001C54B1" w:rsidRPr="00702505" w:rsidRDefault="001C54B1" w:rsidP="001C54B1">
            <w:pPr>
              <w:spacing w:after="0" w:line="240" w:lineRule="auto"/>
              <w:jc w:val="center"/>
              <w:rPr>
                <w:rFonts w:eastAsia="Times New Roman"/>
                <w:b/>
                <w:color w:val="000000"/>
                <w:lang w:eastAsia="ru-RU"/>
              </w:rPr>
            </w:pPr>
            <w:r w:rsidRPr="00702505">
              <w:rPr>
                <w:rFonts w:eastAsia="Times New Roman"/>
                <w:b/>
                <w:color w:val="000000"/>
                <w:lang w:eastAsia="ru-RU"/>
              </w:rPr>
              <w:t>Легкое нарушение функции печени (Чайлд-Пью А)</w:t>
            </w:r>
          </w:p>
        </w:tc>
        <w:tc>
          <w:tcPr>
            <w:tcW w:w="1711" w:type="dxa"/>
            <w:tcBorders>
              <w:top w:val="single" w:sz="4" w:space="0" w:color="auto"/>
              <w:left w:val="nil"/>
              <w:bottom w:val="single" w:sz="4" w:space="0" w:color="auto"/>
              <w:right w:val="single" w:sz="4" w:space="0" w:color="auto"/>
            </w:tcBorders>
            <w:shd w:val="clear" w:color="000000" w:fill="D9D9D9"/>
            <w:vAlign w:val="center"/>
            <w:hideMark/>
          </w:tcPr>
          <w:p w14:paraId="2935445B" w14:textId="77777777" w:rsidR="001C54B1" w:rsidRPr="00702505" w:rsidRDefault="001C54B1" w:rsidP="001C54B1">
            <w:pPr>
              <w:spacing w:after="0" w:line="240" w:lineRule="auto"/>
              <w:jc w:val="center"/>
              <w:rPr>
                <w:rFonts w:eastAsia="Times New Roman"/>
                <w:b/>
                <w:color w:val="000000"/>
                <w:lang w:eastAsia="ru-RU"/>
              </w:rPr>
            </w:pPr>
            <w:r w:rsidRPr="00702505">
              <w:rPr>
                <w:rFonts w:eastAsia="Times New Roman"/>
                <w:b/>
                <w:color w:val="000000"/>
                <w:lang w:eastAsia="ru-RU"/>
              </w:rPr>
              <w:t>Умеренное нарушение функции печени (Чайлд-Пью В)</w:t>
            </w:r>
          </w:p>
        </w:tc>
        <w:tc>
          <w:tcPr>
            <w:tcW w:w="1744" w:type="dxa"/>
            <w:tcBorders>
              <w:top w:val="single" w:sz="4" w:space="0" w:color="auto"/>
              <w:left w:val="nil"/>
              <w:bottom w:val="single" w:sz="4" w:space="0" w:color="auto"/>
              <w:right w:val="single" w:sz="4" w:space="0" w:color="auto"/>
            </w:tcBorders>
            <w:shd w:val="clear" w:color="000000" w:fill="D9D9D9"/>
            <w:vAlign w:val="center"/>
            <w:hideMark/>
          </w:tcPr>
          <w:p w14:paraId="7B8C2A00" w14:textId="77777777" w:rsidR="001C54B1" w:rsidRPr="00702505" w:rsidRDefault="001C54B1" w:rsidP="001C54B1">
            <w:pPr>
              <w:spacing w:after="0" w:line="240" w:lineRule="auto"/>
              <w:jc w:val="center"/>
              <w:rPr>
                <w:rFonts w:eastAsia="Times New Roman"/>
                <w:b/>
                <w:color w:val="000000"/>
                <w:lang w:eastAsia="ru-RU"/>
              </w:rPr>
            </w:pPr>
            <w:r w:rsidRPr="00702505">
              <w:rPr>
                <w:rFonts w:eastAsia="Times New Roman"/>
                <w:b/>
                <w:color w:val="000000"/>
                <w:lang w:eastAsia="ru-RU"/>
              </w:rPr>
              <w:t>Тяжелое нарушение функции печени (Чайлд-Пью С)</w:t>
            </w:r>
          </w:p>
        </w:tc>
      </w:tr>
      <w:tr w:rsidR="001C54B1" w:rsidRPr="00702505" w14:paraId="0EE5055A" w14:textId="77777777" w:rsidTr="008A7500">
        <w:trPr>
          <w:trHeight w:val="20"/>
        </w:trPr>
        <w:tc>
          <w:tcPr>
            <w:tcW w:w="2274" w:type="dxa"/>
            <w:tcBorders>
              <w:top w:val="nil"/>
              <w:left w:val="single" w:sz="4" w:space="0" w:color="auto"/>
              <w:bottom w:val="single" w:sz="4" w:space="0" w:color="auto"/>
              <w:right w:val="single" w:sz="4" w:space="0" w:color="auto"/>
            </w:tcBorders>
            <w:shd w:val="clear" w:color="auto" w:fill="auto"/>
            <w:vAlign w:val="bottom"/>
            <w:hideMark/>
          </w:tcPr>
          <w:p w14:paraId="2F4CB185"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Трансплантация сердца/почки</w:t>
            </w:r>
          </w:p>
        </w:tc>
        <w:tc>
          <w:tcPr>
            <w:tcW w:w="1916" w:type="dxa"/>
            <w:tcBorders>
              <w:top w:val="nil"/>
              <w:left w:val="nil"/>
              <w:bottom w:val="single" w:sz="4" w:space="0" w:color="auto"/>
              <w:right w:val="single" w:sz="4" w:space="0" w:color="auto"/>
            </w:tcBorders>
            <w:shd w:val="clear" w:color="auto" w:fill="auto"/>
            <w:vAlign w:val="bottom"/>
            <w:hideMark/>
          </w:tcPr>
          <w:p w14:paraId="2C430D70"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0,75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23675E87"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4FA2168B"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44" w:type="dxa"/>
            <w:tcBorders>
              <w:top w:val="nil"/>
              <w:left w:val="nil"/>
              <w:bottom w:val="single" w:sz="4" w:space="0" w:color="auto"/>
              <w:right w:val="single" w:sz="4" w:space="0" w:color="auto"/>
            </w:tcBorders>
            <w:shd w:val="clear" w:color="auto" w:fill="auto"/>
            <w:vAlign w:val="bottom"/>
            <w:hideMark/>
          </w:tcPr>
          <w:p w14:paraId="1847A080"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0,25 мг 2 раза в день</w:t>
            </w:r>
          </w:p>
        </w:tc>
      </w:tr>
      <w:tr w:rsidR="001C54B1" w:rsidRPr="00702505" w14:paraId="51C6FCEA" w14:textId="77777777" w:rsidTr="008A7500">
        <w:trPr>
          <w:trHeight w:val="20"/>
        </w:trPr>
        <w:tc>
          <w:tcPr>
            <w:tcW w:w="2274" w:type="dxa"/>
            <w:tcBorders>
              <w:top w:val="nil"/>
              <w:left w:val="single" w:sz="4" w:space="0" w:color="auto"/>
              <w:bottom w:val="single" w:sz="4" w:space="0" w:color="auto"/>
              <w:right w:val="single" w:sz="4" w:space="0" w:color="auto"/>
            </w:tcBorders>
            <w:shd w:val="clear" w:color="auto" w:fill="auto"/>
            <w:vAlign w:val="bottom"/>
            <w:hideMark/>
          </w:tcPr>
          <w:p w14:paraId="030AFFAD"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Трансплантация печени</w:t>
            </w:r>
          </w:p>
        </w:tc>
        <w:tc>
          <w:tcPr>
            <w:tcW w:w="1916" w:type="dxa"/>
            <w:tcBorders>
              <w:top w:val="nil"/>
              <w:left w:val="nil"/>
              <w:bottom w:val="single" w:sz="4" w:space="0" w:color="auto"/>
              <w:right w:val="single" w:sz="4" w:space="0" w:color="auto"/>
            </w:tcBorders>
            <w:shd w:val="clear" w:color="auto" w:fill="auto"/>
            <w:vAlign w:val="bottom"/>
            <w:hideMark/>
          </w:tcPr>
          <w:p w14:paraId="57FF493E"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1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77A9AE9B"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0,75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439C7468"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44" w:type="dxa"/>
            <w:tcBorders>
              <w:top w:val="nil"/>
              <w:left w:val="nil"/>
              <w:bottom w:val="single" w:sz="4" w:space="0" w:color="auto"/>
              <w:right w:val="single" w:sz="4" w:space="0" w:color="auto"/>
            </w:tcBorders>
            <w:shd w:val="clear" w:color="auto" w:fill="auto"/>
            <w:vAlign w:val="bottom"/>
            <w:hideMark/>
          </w:tcPr>
          <w:p w14:paraId="642A9C9C" w14:textId="77777777" w:rsidR="001C54B1" w:rsidRPr="00702505" w:rsidRDefault="001C54B1" w:rsidP="001C54B1">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r>
    </w:tbl>
    <w:p w14:paraId="59E17A98" w14:textId="77777777" w:rsidR="001C54B1" w:rsidRDefault="001C54B1" w:rsidP="001C54B1">
      <w:pPr>
        <w:shd w:val="clear" w:color="auto" w:fill="FFFFFF"/>
        <w:spacing w:after="143" w:line="240" w:lineRule="auto"/>
        <w:contextualSpacing/>
        <w:rPr>
          <w:b/>
          <w:i/>
        </w:rPr>
      </w:pPr>
    </w:p>
    <w:p w14:paraId="4A247939" w14:textId="77777777" w:rsidR="001C54B1" w:rsidRPr="00695000" w:rsidRDefault="001C54B1" w:rsidP="001C54B1">
      <w:pPr>
        <w:spacing w:after="0" w:line="240" w:lineRule="auto"/>
        <w:contextualSpacing/>
        <w:rPr>
          <w:b/>
          <w:i/>
        </w:rPr>
      </w:pPr>
      <w:r w:rsidRPr="00695000">
        <w:rPr>
          <w:b/>
          <w:i/>
        </w:rPr>
        <w:t>Пациенты с нарушением функции почек</w:t>
      </w:r>
    </w:p>
    <w:p w14:paraId="744B52A6" w14:textId="77777777" w:rsidR="001C54B1" w:rsidRDefault="001C54B1" w:rsidP="001C54B1">
      <w:pPr>
        <w:pStyle w:val="aff"/>
        <w:kinsoku w:val="0"/>
        <w:overflowPunct w:val="0"/>
        <w:spacing w:after="0" w:line="240" w:lineRule="auto"/>
        <w:ind w:firstLine="709"/>
        <w:contextualSpacing/>
        <w:rPr>
          <w:color w:val="000000" w:themeColor="text1"/>
        </w:rPr>
      </w:pPr>
      <w:r w:rsidRPr="00695000">
        <w:rPr>
          <w:color w:val="000000" w:themeColor="text1"/>
        </w:rPr>
        <w:t>Постrрансплантационные нарушения функции почек (клиренс креатинина от 11 до 107 мл/мин) не влияли на фармакокинетику эверолимуса у пациентов после трансплантации органов</w:t>
      </w:r>
      <w:r>
        <w:rPr>
          <w:color w:val="000000" w:themeColor="text1"/>
        </w:rPr>
        <w:t xml:space="preserve"> [3</w:t>
      </w:r>
      <w:r w:rsidRPr="00237DD8">
        <w:rPr>
          <w:color w:val="000000" w:themeColor="text1"/>
        </w:rPr>
        <w:t>].</w:t>
      </w:r>
    </w:p>
    <w:p w14:paraId="08AEAD6F" w14:textId="77777777" w:rsidR="001C54B1" w:rsidRDefault="001C54B1" w:rsidP="001C54B1">
      <w:pPr>
        <w:pStyle w:val="aff"/>
        <w:kinsoku w:val="0"/>
        <w:overflowPunct w:val="0"/>
        <w:spacing w:after="0" w:line="240" w:lineRule="auto"/>
        <w:ind w:firstLine="709"/>
        <w:contextualSpacing/>
        <w:rPr>
          <w:color w:val="000000" w:themeColor="text1"/>
        </w:rPr>
      </w:pPr>
    </w:p>
    <w:p w14:paraId="075C4215" w14:textId="33652960" w:rsidR="001C54B1" w:rsidRPr="00695000" w:rsidRDefault="001C54B1" w:rsidP="001C54B1">
      <w:pPr>
        <w:autoSpaceDE w:val="0"/>
        <w:autoSpaceDN w:val="0"/>
        <w:adjustRightInd w:val="0"/>
        <w:spacing w:after="0" w:line="240" w:lineRule="auto"/>
        <w:contextualSpacing/>
        <w:rPr>
          <w:rFonts w:eastAsia="TimesNewRomanPS-BoldMT"/>
          <w:b/>
          <w:bCs/>
          <w:color w:val="000000" w:themeColor="text1"/>
        </w:rPr>
      </w:pPr>
      <w:r w:rsidRPr="00695000">
        <w:rPr>
          <w:rFonts w:eastAsia="TimesNewRomanPS-BoldMT"/>
          <w:b/>
          <w:bCs/>
          <w:color w:val="000000" w:themeColor="text1"/>
        </w:rPr>
        <w:t>Зависимо</w:t>
      </w:r>
      <w:r w:rsidR="00203B53">
        <w:rPr>
          <w:rFonts w:eastAsia="TimesNewRomanPS-BoldMT"/>
          <w:b/>
          <w:bCs/>
          <w:color w:val="000000" w:themeColor="text1"/>
        </w:rPr>
        <w:t>с</w:t>
      </w:r>
      <w:r w:rsidRPr="00695000">
        <w:rPr>
          <w:rFonts w:eastAsia="TimesNewRomanPS-BoldMT"/>
          <w:b/>
          <w:bCs/>
          <w:color w:val="000000" w:themeColor="text1"/>
        </w:rPr>
        <w:t>ть ответа от экспозиции</w:t>
      </w:r>
    </w:p>
    <w:p w14:paraId="795FD2CD" w14:textId="77777777" w:rsidR="001C54B1" w:rsidRPr="00695000" w:rsidRDefault="001C54B1" w:rsidP="001C54B1">
      <w:pPr>
        <w:autoSpaceDE w:val="0"/>
        <w:autoSpaceDN w:val="0"/>
        <w:adjustRightInd w:val="0"/>
        <w:spacing w:after="0" w:line="240" w:lineRule="auto"/>
        <w:contextualSpacing/>
        <w:rPr>
          <w:rFonts w:eastAsia="TimesNewRomanPS-BoldMT"/>
          <w:b/>
          <w:bCs/>
          <w:color w:val="000000" w:themeColor="text1"/>
        </w:rPr>
      </w:pPr>
    </w:p>
    <w:p w14:paraId="6C2704FF" w14:textId="77777777"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Средняя минимальная концентрация эверолимуса в течение первых 6 месяцев после трансплантации коррелировала с частотой острого отторжения, подтвержденного биопсией, и тромбоцитопении у пациентов с трансплантацией почки и сердца (см. таблицу 4-3). У пациентов, перенесших трансплантацию печени, взаимосвязь между средними минимальными концентрациями эверолимуса и частотой острого отторжения, подтвержденного биопсией, определена менее четко. Корреляции между более высокой экспозицией эверолимуса и нежелательными явлениями, такими как тромбоцитопения, не наблюдалось (см. таблицу 4-3) [3].</w:t>
      </w:r>
    </w:p>
    <w:p w14:paraId="2FF79483" w14:textId="77777777" w:rsidR="001C54B1" w:rsidRPr="00695000" w:rsidRDefault="001C54B1" w:rsidP="001C54B1">
      <w:pPr>
        <w:shd w:val="clear" w:color="auto" w:fill="FFFFFF"/>
        <w:spacing w:after="143" w:line="240" w:lineRule="auto"/>
        <w:contextualSpacing/>
        <w:rPr>
          <w:rFonts w:eastAsia="Times New Roman"/>
          <w:color w:val="000000"/>
          <w:lang w:eastAsia="ru-RU"/>
        </w:rPr>
      </w:pPr>
    </w:p>
    <w:p w14:paraId="4CEF90A2" w14:textId="77777777" w:rsidR="008A7500" w:rsidRDefault="008A7500" w:rsidP="001C54B1">
      <w:pPr>
        <w:shd w:val="clear" w:color="auto" w:fill="FFFFFF"/>
        <w:spacing w:after="143" w:line="240" w:lineRule="auto"/>
        <w:contextualSpacing/>
        <w:rPr>
          <w:rFonts w:eastAsia="Times New Roman"/>
          <w:b/>
          <w:bCs/>
          <w:color w:val="000000"/>
          <w:lang w:eastAsia="ru-RU"/>
        </w:rPr>
        <w:sectPr w:rsidR="008A7500" w:rsidSect="00AB01E2">
          <w:pgSz w:w="11906" w:h="16838"/>
          <w:pgMar w:top="1134" w:right="849" w:bottom="1134" w:left="1701" w:header="708" w:footer="709" w:gutter="0"/>
          <w:cols w:space="708"/>
          <w:docGrid w:linePitch="360"/>
        </w:sectPr>
      </w:pPr>
    </w:p>
    <w:p w14:paraId="48093264" w14:textId="60FFB5D5" w:rsidR="001C54B1" w:rsidRPr="00950534" w:rsidRDefault="001C54B1" w:rsidP="001C54B1">
      <w:pPr>
        <w:shd w:val="clear" w:color="auto" w:fill="FFFFFF"/>
        <w:spacing w:after="143" w:line="240" w:lineRule="auto"/>
        <w:contextualSpacing/>
        <w:rPr>
          <w:rFonts w:eastAsia="Times New Roman"/>
          <w:color w:val="000000"/>
          <w:lang w:eastAsia="ru-RU"/>
        </w:rPr>
      </w:pPr>
      <w:r w:rsidRPr="00695000">
        <w:rPr>
          <w:rFonts w:eastAsia="Times New Roman"/>
          <w:b/>
          <w:bCs/>
          <w:color w:val="000000"/>
          <w:lang w:eastAsia="ru-RU"/>
        </w:rPr>
        <w:lastRenderedPageBreak/>
        <w:t xml:space="preserve">Таблица 4-3. </w:t>
      </w:r>
      <w:r w:rsidRPr="00695000">
        <w:rPr>
          <w:rFonts w:eastAsia="Times New Roman"/>
          <w:bCs/>
          <w:color w:val="000000"/>
          <w:lang w:eastAsia="ru-RU"/>
        </w:rPr>
        <w:t>Зависимость ответа от экспозиции эверолимуса у пациентов, перенесших трансплантацию</w:t>
      </w:r>
      <w:r w:rsidR="00961899">
        <w:rPr>
          <w:rFonts w:eastAsia="Times New Roman"/>
          <w:bCs/>
          <w:color w:val="000000"/>
          <w:lang w:eastAsia="ru-RU"/>
        </w:rPr>
        <w:t>.</w:t>
      </w:r>
    </w:p>
    <w:tbl>
      <w:tblPr>
        <w:tblW w:w="5000" w:type="pct"/>
        <w:tblBorders>
          <w:top w:val="outset" w:sz="6" w:space="0" w:color="7B7B7B"/>
          <w:left w:val="outset" w:sz="6" w:space="0" w:color="7B7B7B"/>
          <w:bottom w:val="outset" w:sz="6" w:space="0" w:color="7B7B7B"/>
          <w:right w:val="outset" w:sz="6" w:space="0" w:color="7B7B7B"/>
        </w:tblBorders>
        <w:tblCellMar>
          <w:top w:w="24" w:type="dxa"/>
          <w:left w:w="24" w:type="dxa"/>
          <w:bottom w:w="24" w:type="dxa"/>
          <w:right w:w="24" w:type="dxa"/>
        </w:tblCellMar>
        <w:tblLook w:val="04A0" w:firstRow="1" w:lastRow="0" w:firstColumn="1" w:lastColumn="0" w:noHBand="0" w:noVBand="1"/>
      </w:tblPr>
      <w:tblGrid>
        <w:gridCol w:w="3271"/>
        <w:gridCol w:w="1215"/>
        <w:gridCol w:w="1215"/>
        <w:gridCol w:w="1215"/>
        <w:gridCol w:w="1215"/>
        <w:gridCol w:w="1215"/>
      </w:tblGrid>
      <w:tr w:rsidR="001C54B1" w:rsidRPr="00950534" w14:paraId="3E219744" w14:textId="77777777" w:rsidTr="008A750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23DF0723" w14:textId="77777777" w:rsidR="001C54B1" w:rsidRPr="00950534" w:rsidRDefault="001C54B1" w:rsidP="001C54B1">
            <w:pPr>
              <w:spacing w:after="0" w:line="240" w:lineRule="auto"/>
              <w:contextualSpacing/>
              <w:rPr>
                <w:rFonts w:eastAsia="Times New Roman"/>
                <w:lang w:eastAsia="ru-RU"/>
              </w:rPr>
            </w:pPr>
            <w:r w:rsidRPr="00950534">
              <w:rPr>
                <w:rFonts w:eastAsia="Times New Roman"/>
                <w:b/>
                <w:bCs/>
                <w:lang w:eastAsia="ru-RU"/>
              </w:rPr>
              <w:t>Трансплантация почки:</w:t>
            </w:r>
          </w:p>
        </w:tc>
      </w:tr>
      <w:tr w:rsidR="001C54B1" w:rsidRPr="00950534" w14:paraId="4320A2BE"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9B4E578"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Минимальная концентрация (нг/мл)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BD3F74D" w14:textId="77777777" w:rsidR="001C54B1" w:rsidRPr="00950534" w:rsidRDefault="001C54B1" w:rsidP="001C54B1">
            <w:pPr>
              <w:spacing w:after="0" w:line="240" w:lineRule="auto"/>
              <w:contextualSpacing/>
              <w:jc w:val="center"/>
              <w:rPr>
                <w:rFonts w:eastAsia="Times New Roman"/>
                <w:lang w:eastAsia="ru-RU"/>
              </w:rPr>
            </w:pPr>
            <w:r>
              <w:rPr>
                <w:rFonts w:eastAsia="Times New Roman"/>
                <w:lang w:eastAsia="ru-RU"/>
              </w:rPr>
              <w:t>≤ </w:t>
            </w:r>
            <w:r w:rsidRPr="00950534">
              <w:rPr>
                <w:rFonts w:eastAsia="Times New Roman"/>
                <w:lang w:eastAsia="ru-RU"/>
              </w:rPr>
              <w:t>3,4</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DC2FC1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3,5 - 4,5</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C4EFF1D"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4,6 - 5,7</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D9DCAC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5,8 - 7,7</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97A47C8"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7,8 - 15,0</w:t>
            </w:r>
          </w:p>
        </w:tc>
      </w:tr>
      <w:tr w:rsidR="001C54B1" w:rsidRPr="00950534" w14:paraId="09009272"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61019C1"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Отсутствие отторжения</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2B8ECE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68</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B667546"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81</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4ADE036"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86</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D7F5308"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81</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8A12475"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91</w:t>
            </w:r>
            <w:r>
              <w:rPr>
                <w:rFonts w:eastAsia="Times New Roman"/>
                <w:lang w:eastAsia="ru-RU"/>
              </w:rPr>
              <w:t> %</w:t>
            </w:r>
          </w:p>
        </w:tc>
      </w:tr>
      <w:tr w:rsidR="001C54B1" w:rsidRPr="00950534" w14:paraId="77DC0FF3"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5FECF24"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Тромбоцитопения</w:t>
            </w:r>
          </w:p>
          <w:p w14:paraId="4B5D8CF7"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w:t>
            </w:r>
            <w:r>
              <w:rPr>
                <w:rFonts w:eastAsia="Times New Roman"/>
                <w:lang w:eastAsia="ru-RU"/>
              </w:rPr>
              <w:t>&lt; </w:t>
            </w:r>
            <w:r w:rsidRPr="00950534">
              <w:rPr>
                <w:rFonts w:eastAsia="Times New Roman"/>
                <w:lang w:eastAsia="ru-RU"/>
              </w:rPr>
              <w:t>100 x 10</w:t>
            </w:r>
            <w:r w:rsidRPr="00950534">
              <w:rPr>
                <w:rFonts w:eastAsia="Times New Roman"/>
                <w:vertAlign w:val="superscript"/>
                <w:lang w:eastAsia="ru-RU"/>
              </w:rPr>
              <w:t>9</w:t>
            </w:r>
            <w:r w:rsidRPr="00950534">
              <w:rPr>
                <w:rFonts w:eastAsia="Times New Roman"/>
                <w:lang w:eastAsia="ru-RU"/>
              </w:rPr>
              <w:t>/л)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EF5C75B"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10</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5EDCFEB"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9</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F4E2663"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7</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42390C3"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14</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37558C9"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17</w:t>
            </w:r>
            <w:r>
              <w:rPr>
                <w:rFonts w:eastAsia="Times New Roman"/>
                <w:lang w:eastAsia="ru-RU"/>
              </w:rPr>
              <w:t> %</w:t>
            </w:r>
          </w:p>
        </w:tc>
      </w:tr>
      <w:tr w:rsidR="001C54B1" w:rsidRPr="00950534" w14:paraId="16A0BE50" w14:textId="77777777" w:rsidTr="008A750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505CE3EC" w14:textId="77777777" w:rsidR="001C54B1" w:rsidRPr="00950534" w:rsidRDefault="001C54B1" w:rsidP="001C54B1">
            <w:pPr>
              <w:spacing w:after="0" w:line="240" w:lineRule="auto"/>
              <w:contextualSpacing/>
              <w:rPr>
                <w:rFonts w:eastAsia="Times New Roman"/>
                <w:lang w:eastAsia="ru-RU"/>
              </w:rPr>
            </w:pPr>
            <w:r w:rsidRPr="00950534">
              <w:rPr>
                <w:rFonts w:eastAsia="Times New Roman"/>
                <w:b/>
                <w:bCs/>
                <w:lang w:eastAsia="ru-RU"/>
              </w:rPr>
              <w:t>Трансплантация сердца</w:t>
            </w:r>
            <w:r w:rsidRPr="00950534">
              <w:rPr>
                <w:rFonts w:eastAsia="Times New Roman"/>
                <w:lang w:eastAsia="ru-RU"/>
              </w:rPr>
              <w:t>:</w:t>
            </w:r>
          </w:p>
        </w:tc>
      </w:tr>
      <w:tr w:rsidR="001C54B1" w:rsidRPr="00950534" w14:paraId="3259B651"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FB1B3EB"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Минимальная концентрация (нг/мл)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F500255" w14:textId="77777777" w:rsidR="001C54B1" w:rsidRPr="00950534" w:rsidRDefault="001C54B1" w:rsidP="001C54B1">
            <w:pPr>
              <w:spacing w:after="0" w:line="240" w:lineRule="auto"/>
              <w:contextualSpacing/>
              <w:jc w:val="center"/>
              <w:rPr>
                <w:rFonts w:eastAsia="Times New Roman"/>
                <w:lang w:eastAsia="ru-RU"/>
              </w:rPr>
            </w:pPr>
            <w:r>
              <w:rPr>
                <w:rFonts w:eastAsia="Times New Roman"/>
                <w:lang w:eastAsia="ru-RU"/>
              </w:rPr>
              <w:t>≤ </w:t>
            </w:r>
            <w:r w:rsidRPr="00950534">
              <w:rPr>
                <w:rFonts w:eastAsia="Times New Roman"/>
                <w:lang w:eastAsia="ru-RU"/>
              </w:rPr>
              <w:t>3,5</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B76470D"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3,6 - 5,3</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390A534"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5,4 - 7,3</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F1E6973"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7,4 - 10,2</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CC0250A"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10,3 - 21,8</w:t>
            </w:r>
          </w:p>
        </w:tc>
      </w:tr>
      <w:tr w:rsidR="001C54B1" w:rsidRPr="00950534" w14:paraId="6ED06C04"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6B4186B"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Отсутствие отторжения</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619964A"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65</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EA7716C"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69</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8B6FC39"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80</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EF6F531"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85</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3293483"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85</w:t>
            </w:r>
            <w:r>
              <w:rPr>
                <w:rFonts w:eastAsia="Times New Roman"/>
                <w:lang w:eastAsia="ru-RU"/>
              </w:rPr>
              <w:t> %</w:t>
            </w:r>
          </w:p>
        </w:tc>
      </w:tr>
      <w:tr w:rsidR="001C54B1" w:rsidRPr="00950534" w14:paraId="6BD066A3"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CCCBAE8"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Тромбоцитопения</w:t>
            </w:r>
          </w:p>
          <w:p w14:paraId="652B2DDF"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w:t>
            </w:r>
            <w:r>
              <w:rPr>
                <w:rFonts w:eastAsia="Times New Roman"/>
                <w:lang w:eastAsia="ru-RU"/>
              </w:rPr>
              <w:t>&lt; </w:t>
            </w:r>
            <w:r w:rsidRPr="00950534">
              <w:rPr>
                <w:rFonts w:eastAsia="Times New Roman"/>
                <w:lang w:eastAsia="ru-RU"/>
              </w:rPr>
              <w:t>75 x 10</w:t>
            </w:r>
            <w:r w:rsidRPr="00950534">
              <w:rPr>
                <w:rFonts w:eastAsia="Times New Roman"/>
                <w:vertAlign w:val="superscript"/>
                <w:lang w:eastAsia="ru-RU"/>
              </w:rPr>
              <w:t>9</w:t>
            </w:r>
            <w:r w:rsidRPr="00950534">
              <w:rPr>
                <w:rFonts w:eastAsia="Times New Roman"/>
                <w:lang w:eastAsia="ru-RU"/>
              </w:rPr>
              <w:t>/л)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48BAAD0"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5</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D24CF7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5</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838FE1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6</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D79D3F0"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5C46E82"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9</w:t>
            </w:r>
            <w:r>
              <w:rPr>
                <w:rFonts w:eastAsia="Times New Roman"/>
                <w:lang w:eastAsia="ru-RU"/>
              </w:rPr>
              <w:t> %</w:t>
            </w:r>
          </w:p>
        </w:tc>
      </w:tr>
      <w:tr w:rsidR="001C54B1" w:rsidRPr="00950534" w14:paraId="1FB241FD" w14:textId="77777777" w:rsidTr="008A750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34FE6D42" w14:textId="77777777" w:rsidR="001C54B1" w:rsidRPr="00950534" w:rsidRDefault="001C54B1" w:rsidP="001C54B1">
            <w:pPr>
              <w:spacing w:after="0" w:line="240" w:lineRule="auto"/>
              <w:contextualSpacing/>
              <w:rPr>
                <w:rFonts w:eastAsia="Times New Roman"/>
                <w:lang w:eastAsia="ru-RU"/>
              </w:rPr>
            </w:pPr>
            <w:r w:rsidRPr="00950534">
              <w:rPr>
                <w:rFonts w:eastAsia="Times New Roman"/>
                <w:b/>
                <w:bCs/>
                <w:lang w:eastAsia="ru-RU"/>
              </w:rPr>
              <w:t>Трансплантация печени:</w:t>
            </w:r>
          </w:p>
        </w:tc>
      </w:tr>
      <w:tr w:rsidR="001C54B1" w:rsidRPr="00950534" w14:paraId="21392881"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49A458E"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Минимальная концентрация (нг/мл)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D6B065D" w14:textId="77777777" w:rsidR="001C54B1" w:rsidRPr="00950534" w:rsidRDefault="001C54B1" w:rsidP="001C54B1">
            <w:pPr>
              <w:spacing w:after="0" w:line="240" w:lineRule="auto"/>
              <w:contextualSpacing/>
              <w:jc w:val="center"/>
              <w:rPr>
                <w:rFonts w:eastAsia="Times New Roman"/>
                <w:lang w:eastAsia="ru-RU"/>
              </w:rPr>
            </w:pPr>
            <w:r>
              <w:rPr>
                <w:rFonts w:eastAsia="Times New Roman"/>
                <w:lang w:eastAsia="ru-RU"/>
              </w:rPr>
              <w:t>≤ </w:t>
            </w:r>
            <w:r w:rsidRPr="00950534">
              <w:rPr>
                <w:rFonts w:eastAsia="Times New Roman"/>
                <w:lang w:eastAsia="ru-RU"/>
              </w:rPr>
              <w:t>3</w:t>
            </w:r>
          </w:p>
        </w:tc>
        <w:tc>
          <w:tcPr>
            <w:tcW w:w="1950" w:type="pct"/>
            <w:gridSpan w:val="3"/>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DE01D51"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3-8</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9D165BE" w14:textId="77777777" w:rsidR="001C54B1" w:rsidRPr="00950534" w:rsidRDefault="001C54B1" w:rsidP="001C54B1">
            <w:pPr>
              <w:spacing w:after="0" w:line="240" w:lineRule="auto"/>
              <w:contextualSpacing/>
              <w:jc w:val="center"/>
              <w:rPr>
                <w:rFonts w:eastAsia="Times New Roman"/>
                <w:lang w:eastAsia="ru-RU"/>
              </w:rPr>
            </w:pPr>
            <w:r>
              <w:rPr>
                <w:rFonts w:eastAsia="Times New Roman"/>
                <w:lang w:eastAsia="ru-RU"/>
              </w:rPr>
              <w:t>≥ </w:t>
            </w:r>
            <w:r w:rsidRPr="00950534">
              <w:rPr>
                <w:rFonts w:eastAsia="Times New Roman"/>
                <w:lang w:eastAsia="ru-RU"/>
              </w:rPr>
              <w:t>8</w:t>
            </w:r>
          </w:p>
        </w:tc>
      </w:tr>
      <w:tr w:rsidR="001C54B1" w:rsidRPr="00950534" w14:paraId="0686A1DB"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8D3A7B8"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Отсутствие леченого BPAR</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AD602ED"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88</w:t>
            </w:r>
            <w:r>
              <w:rPr>
                <w:rFonts w:eastAsia="Times New Roman"/>
                <w:lang w:eastAsia="ru-RU"/>
              </w:rPr>
              <w:t> %</w:t>
            </w:r>
          </w:p>
        </w:tc>
        <w:tc>
          <w:tcPr>
            <w:tcW w:w="1950" w:type="pct"/>
            <w:gridSpan w:val="3"/>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F3B2A11"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98</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BC9C48F"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92</w:t>
            </w:r>
            <w:r>
              <w:rPr>
                <w:rFonts w:eastAsia="Times New Roman"/>
                <w:lang w:eastAsia="ru-RU"/>
              </w:rPr>
              <w:t> %</w:t>
            </w:r>
          </w:p>
        </w:tc>
      </w:tr>
      <w:tr w:rsidR="001C54B1" w:rsidRPr="00950534" w14:paraId="499E82DB" w14:textId="77777777" w:rsidTr="008A7500">
        <w:tc>
          <w:tcPr>
            <w:tcW w:w="17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5FC046E" w14:textId="77777777" w:rsidR="001C54B1" w:rsidRPr="00950534" w:rsidRDefault="001C54B1" w:rsidP="001C54B1">
            <w:pPr>
              <w:spacing w:after="0" w:line="240" w:lineRule="auto"/>
              <w:contextualSpacing/>
              <w:rPr>
                <w:rFonts w:eastAsia="Times New Roman"/>
                <w:lang w:eastAsia="ru-RU"/>
              </w:rPr>
            </w:pPr>
            <w:r w:rsidRPr="00950534">
              <w:rPr>
                <w:rFonts w:eastAsia="Times New Roman"/>
                <w:lang w:eastAsia="ru-RU"/>
              </w:rPr>
              <w:t>Тромбоцитопения (</w:t>
            </w:r>
            <w:r>
              <w:rPr>
                <w:rFonts w:eastAsia="Times New Roman"/>
                <w:lang w:eastAsia="ru-RU"/>
              </w:rPr>
              <w:t>≤ </w:t>
            </w:r>
            <w:r w:rsidRPr="00950534">
              <w:rPr>
                <w:rFonts w:eastAsia="Times New Roman"/>
                <w:lang w:eastAsia="ru-RU"/>
              </w:rPr>
              <w:t>75</w:t>
            </w:r>
            <w:r>
              <w:rPr>
                <w:rFonts w:eastAsia="Times New Roman"/>
                <w:lang w:eastAsia="ru-RU"/>
              </w:rPr>
              <w:t> </w:t>
            </w:r>
            <w:r w:rsidRPr="00950534">
              <w:rPr>
                <w:rFonts w:eastAsia="Times New Roman"/>
                <w:lang w:eastAsia="ru-RU"/>
              </w:rPr>
              <w:t>x</w:t>
            </w:r>
            <w:r>
              <w:rPr>
                <w:rFonts w:eastAsia="Times New Roman"/>
                <w:lang w:eastAsia="ru-RU"/>
              </w:rPr>
              <w:t> </w:t>
            </w:r>
            <w:r w:rsidRPr="00950534">
              <w:rPr>
                <w:rFonts w:eastAsia="Times New Roman"/>
                <w:lang w:eastAsia="ru-RU"/>
              </w:rPr>
              <w:t>10</w:t>
            </w:r>
            <w:r w:rsidRPr="00950534">
              <w:rPr>
                <w:rFonts w:eastAsia="Times New Roman"/>
                <w:vertAlign w:val="superscript"/>
                <w:lang w:eastAsia="ru-RU"/>
              </w:rPr>
              <w:t>9</w:t>
            </w:r>
            <w:r w:rsidRPr="00950534">
              <w:rPr>
                <w:rFonts w:eastAsia="Times New Roman"/>
                <w:lang w:eastAsia="ru-RU"/>
              </w:rPr>
              <w:t>/л)</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042E0CD"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35</w:t>
            </w:r>
            <w:r>
              <w:rPr>
                <w:rFonts w:eastAsia="Times New Roman"/>
                <w:lang w:eastAsia="ru-RU"/>
              </w:rPr>
              <w:t> %</w:t>
            </w:r>
          </w:p>
        </w:tc>
        <w:tc>
          <w:tcPr>
            <w:tcW w:w="1950" w:type="pct"/>
            <w:gridSpan w:val="3"/>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0B70772"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13</w:t>
            </w:r>
            <w:r>
              <w:rPr>
                <w:rFonts w:eastAsia="Times New Roman"/>
                <w:lang w:eastAsia="ru-RU"/>
              </w:rPr>
              <w:t> %</w:t>
            </w:r>
          </w:p>
        </w:tc>
        <w:tc>
          <w:tcPr>
            <w:tcW w:w="6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8A55445" w14:textId="77777777" w:rsidR="001C54B1" w:rsidRPr="00950534" w:rsidRDefault="001C54B1" w:rsidP="001C54B1">
            <w:pPr>
              <w:spacing w:after="0" w:line="240" w:lineRule="auto"/>
              <w:contextualSpacing/>
              <w:jc w:val="center"/>
              <w:rPr>
                <w:rFonts w:eastAsia="Times New Roman"/>
                <w:lang w:eastAsia="ru-RU"/>
              </w:rPr>
            </w:pPr>
            <w:r w:rsidRPr="00950534">
              <w:rPr>
                <w:rFonts w:eastAsia="Times New Roman"/>
                <w:lang w:eastAsia="ru-RU"/>
              </w:rPr>
              <w:t>18</w:t>
            </w:r>
            <w:r>
              <w:rPr>
                <w:rFonts w:eastAsia="Times New Roman"/>
                <w:lang w:eastAsia="ru-RU"/>
              </w:rPr>
              <w:t> %</w:t>
            </w:r>
          </w:p>
        </w:tc>
      </w:tr>
    </w:tbl>
    <w:p w14:paraId="3A28EE0A" w14:textId="77777777" w:rsidR="001C54B1" w:rsidRDefault="001C54B1" w:rsidP="001C54B1">
      <w:pPr>
        <w:shd w:val="clear" w:color="auto" w:fill="FFFFFF"/>
        <w:spacing w:after="143" w:line="240" w:lineRule="auto"/>
        <w:contextualSpacing/>
        <w:rPr>
          <w:b/>
          <w:i/>
        </w:rPr>
      </w:pPr>
    </w:p>
    <w:p w14:paraId="208EB84F" w14:textId="283E21CB" w:rsidR="00F42555" w:rsidRPr="002400A7" w:rsidRDefault="00F42555" w:rsidP="002400A7">
      <w:pPr>
        <w:rPr>
          <w:b/>
        </w:rPr>
      </w:pPr>
      <w:r w:rsidRPr="002400A7">
        <w:rPr>
          <w:b/>
        </w:rPr>
        <w:t>Фармакокинетические лекарственные взаимодействия</w:t>
      </w:r>
    </w:p>
    <w:p w14:paraId="39047088" w14:textId="77777777" w:rsidR="001C54B1" w:rsidRPr="00AD729A" w:rsidRDefault="001C54B1" w:rsidP="001C54B1">
      <w:pPr>
        <w:pStyle w:val="aff"/>
        <w:widowControl w:val="0"/>
        <w:spacing w:after="0" w:line="240" w:lineRule="auto"/>
        <w:ind w:firstLine="567"/>
        <w:rPr>
          <w:szCs w:val="28"/>
        </w:rPr>
      </w:pPr>
      <w:bookmarkStart w:id="290" w:name="_Toc112014980"/>
      <w:bookmarkStart w:id="291" w:name="_Toc115217970"/>
      <w:r w:rsidRPr="00AD729A">
        <w:rPr>
          <w:szCs w:val="28"/>
        </w:rPr>
        <w:t>Следует избегать одновременного применения с ингибиторами и индукторами CYP3A4 и/или P-гликопротеина. Если невозможно избежать одновременного применения умеренного ингибитора или индуктора CYP3A4 и/или P</w:t>
      </w:r>
      <w:r>
        <w:rPr>
          <w:szCs w:val="28"/>
        </w:rPr>
        <w:t>-гликопротеина</w:t>
      </w:r>
      <w:r w:rsidRPr="00AD729A">
        <w:rPr>
          <w:szCs w:val="28"/>
        </w:rPr>
        <w:t xml:space="preserve">, следует тщательно контролировать клиническое состояние пациента. Коррекция дозы </w:t>
      </w:r>
      <w:r>
        <w:rPr>
          <w:szCs w:val="28"/>
        </w:rPr>
        <w:t>эверолимуса</w:t>
      </w:r>
      <w:r w:rsidRPr="00AD729A">
        <w:rPr>
          <w:szCs w:val="28"/>
        </w:rPr>
        <w:t xml:space="preserve"> может быть принята во внимание на основе прогнозируемого AUC</w:t>
      </w:r>
      <w:r>
        <w:rPr>
          <w:szCs w:val="28"/>
        </w:rPr>
        <w:t xml:space="preserve"> </w:t>
      </w:r>
      <w:r w:rsidRPr="00790695">
        <w:rPr>
          <w:szCs w:val="28"/>
        </w:rPr>
        <w:t>[49].</w:t>
      </w:r>
    </w:p>
    <w:p w14:paraId="7A5DD2F7" w14:textId="77777777" w:rsidR="001C54B1" w:rsidRPr="00695000" w:rsidRDefault="001C54B1" w:rsidP="001C54B1">
      <w:pPr>
        <w:pStyle w:val="aff"/>
        <w:widowControl w:val="0"/>
        <w:spacing w:after="0" w:line="240" w:lineRule="auto"/>
        <w:ind w:firstLine="567"/>
        <w:contextualSpacing/>
        <w:rPr>
          <w:b/>
          <w:szCs w:val="28"/>
        </w:rPr>
      </w:pPr>
      <w:r w:rsidRPr="00707D60">
        <w:rPr>
          <w:szCs w:val="28"/>
        </w:rPr>
        <w:t xml:space="preserve">Эверолимус не следует применять у пациентов с нарушением функции печени тяжелой степени (класс С по классификации Чайлд-Пью) за исключением случаев, когда польза от приема препарата превышает возможный риск. Поскольку при применении производных рапамицина, </w:t>
      </w:r>
      <w:r>
        <w:rPr>
          <w:szCs w:val="28"/>
        </w:rPr>
        <w:t>э</w:t>
      </w:r>
      <w:r w:rsidRPr="00707D60">
        <w:rPr>
          <w:szCs w:val="28"/>
        </w:rPr>
        <w:t xml:space="preserve">веролимус может замедлять процесс заживления ран, следует соблюдать осторожность при применении препарата у пациентов перед хирургическими </w:t>
      </w:r>
      <w:r w:rsidRPr="00695000">
        <w:rPr>
          <w:szCs w:val="28"/>
        </w:rPr>
        <w:t xml:space="preserve">вмешательствами </w:t>
      </w:r>
      <w:r w:rsidRPr="00695000">
        <w:rPr>
          <w:rFonts w:eastAsia="Calibri"/>
          <w:color w:val="000000" w:themeColor="text1"/>
          <w:szCs w:val="28"/>
        </w:rPr>
        <w:t>[3].</w:t>
      </w:r>
    </w:p>
    <w:p w14:paraId="796F72F2" w14:textId="77777777" w:rsidR="008A7500" w:rsidRDefault="008A7500" w:rsidP="003E7920">
      <w:pPr>
        <w:rPr>
          <w:b/>
          <w:color w:val="000000" w:themeColor="text1"/>
        </w:rPr>
        <w:sectPr w:rsidR="008A7500" w:rsidSect="00AB01E2">
          <w:pgSz w:w="11906" w:h="16838"/>
          <w:pgMar w:top="1134" w:right="849" w:bottom="1134" w:left="1701" w:header="708" w:footer="709" w:gutter="0"/>
          <w:cols w:space="708"/>
          <w:docGrid w:linePitch="360"/>
        </w:sectPr>
      </w:pPr>
      <w:bookmarkStart w:id="292" w:name="_Toc118124205"/>
    </w:p>
    <w:p w14:paraId="7C734B75" w14:textId="1C36B2A0" w:rsidR="001C54B1" w:rsidRPr="002A634E" w:rsidRDefault="001C54B1" w:rsidP="008A7500">
      <w:pPr>
        <w:spacing w:after="0" w:line="240" w:lineRule="auto"/>
        <w:rPr>
          <w:color w:val="000000" w:themeColor="text1"/>
        </w:rPr>
      </w:pPr>
      <w:r w:rsidRPr="00695000">
        <w:rPr>
          <w:b/>
          <w:color w:val="000000" w:themeColor="text1"/>
        </w:rPr>
        <w:lastRenderedPageBreak/>
        <w:t>Таблица</w:t>
      </w:r>
      <w:r w:rsidRPr="001C54B1">
        <w:rPr>
          <w:b/>
          <w:color w:val="000000" w:themeColor="text1"/>
        </w:rPr>
        <w:t xml:space="preserve"> 4-4</w:t>
      </w:r>
      <w:r w:rsidRPr="00695000">
        <w:rPr>
          <w:b/>
          <w:color w:val="000000" w:themeColor="text1"/>
        </w:rPr>
        <w:t xml:space="preserve">. </w:t>
      </w:r>
      <w:r w:rsidRPr="00695000">
        <w:rPr>
          <w:color w:val="000000" w:themeColor="text1"/>
        </w:rPr>
        <w:t xml:space="preserve">Эффекты, оказываемые другими действующими веществами, на фармакокинетику эверолимуса. </w:t>
      </w:r>
      <w:r w:rsidRPr="00693820">
        <w:rPr>
          <w:color w:val="000000" w:themeColor="text1"/>
        </w:rPr>
        <w:t>[3]</w:t>
      </w:r>
      <w:bookmarkEnd w:id="292"/>
    </w:p>
    <w:tbl>
      <w:tblPr>
        <w:tblW w:w="5000" w:type="pct"/>
        <w:tblInd w:w="-5" w:type="dxa"/>
        <w:tblLook w:val="04A0" w:firstRow="1" w:lastRow="0" w:firstColumn="1" w:lastColumn="0" w:noHBand="0" w:noVBand="1"/>
      </w:tblPr>
      <w:tblGrid>
        <w:gridCol w:w="2901"/>
        <w:gridCol w:w="3501"/>
        <w:gridCol w:w="2949"/>
      </w:tblGrid>
      <w:tr w:rsidR="001C54B1" w:rsidRPr="002A634E" w14:paraId="4FBF9E67" w14:textId="77777777" w:rsidTr="008A7500">
        <w:trPr>
          <w:trHeight w:val="20"/>
          <w:tblHeader/>
        </w:trPr>
        <w:tc>
          <w:tcPr>
            <w:tcW w:w="290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E22BFC3" w14:textId="77777777" w:rsidR="001C54B1" w:rsidRPr="002A634E" w:rsidRDefault="001C54B1" w:rsidP="001C54B1">
            <w:pPr>
              <w:spacing w:after="0" w:line="240" w:lineRule="auto"/>
              <w:contextualSpacing/>
              <w:jc w:val="center"/>
              <w:rPr>
                <w:rFonts w:eastAsia="Times New Roman"/>
                <w:b/>
                <w:bCs/>
                <w:color w:val="000000"/>
                <w:lang w:eastAsia="ru-RU"/>
              </w:rPr>
            </w:pPr>
            <w:r w:rsidRPr="002A634E">
              <w:rPr>
                <w:rFonts w:eastAsia="Times New Roman"/>
                <w:b/>
                <w:bCs/>
                <w:color w:val="000000"/>
                <w:lang w:eastAsia="ru-RU"/>
              </w:rPr>
              <w:t>Действующее вещество</w:t>
            </w:r>
          </w:p>
        </w:tc>
        <w:tc>
          <w:tcPr>
            <w:tcW w:w="3503" w:type="dxa"/>
            <w:tcBorders>
              <w:top w:val="single" w:sz="4" w:space="0" w:color="auto"/>
              <w:left w:val="nil"/>
              <w:bottom w:val="single" w:sz="4" w:space="0" w:color="auto"/>
              <w:right w:val="single" w:sz="4" w:space="0" w:color="auto"/>
            </w:tcBorders>
            <w:shd w:val="clear" w:color="000000" w:fill="D9D9D9"/>
            <w:vAlign w:val="center"/>
            <w:hideMark/>
          </w:tcPr>
          <w:p w14:paraId="46238A36" w14:textId="77777777" w:rsidR="001C54B1" w:rsidRPr="002A634E" w:rsidRDefault="001C54B1" w:rsidP="001C54B1">
            <w:pPr>
              <w:spacing w:after="0" w:line="240" w:lineRule="auto"/>
              <w:contextualSpacing/>
              <w:jc w:val="center"/>
              <w:rPr>
                <w:rFonts w:eastAsia="Times New Roman"/>
                <w:b/>
                <w:bCs/>
                <w:color w:val="000000"/>
                <w:lang w:eastAsia="ru-RU"/>
              </w:rPr>
            </w:pPr>
            <w:r w:rsidRPr="002A634E">
              <w:rPr>
                <w:rFonts w:eastAsia="Times New Roman"/>
                <w:b/>
                <w:bCs/>
                <w:color w:val="000000"/>
                <w:lang w:eastAsia="ru-RU"/>
              </w:rPr>
              <w:t>Взаимодействие - изменения в AUC/Cmax эверолимуса</w:t>
            </w:r>
            <w:r w:rsidRPr="002A634E">
              <w:rPr>
                <w:rFonts w:eastAsia="Times New Roman"/>
                <w:b/>
                <w:bCs/>
                <w:color w:val="000000"/>
                <w:lang w:eastAsia="ru-RU"/>
              </w:rPr>
              <w:br/>
              <w:t>Отношение среднего геометрического (наблюдаемый диапазон)</w:t>
            </w:r>
          </w:p>
        </w:tc>
        <w:tc>
          <w:tcPr>
            <w:tcW w:w="2951" w:type="dxa"/>
            <w:tcBorders>
              <w:top w:val="single" w:sz="4" w:space="0" w:color="auto"/>
              <w:left w:val="nil"/>
              <w:bottom w:val="single" w:sz="4" w:space="0" w:color="auto"/>
              <w:right w:val="single" w:sz="4" w:space="0" w:color="auto"/>
            </w:tcBorders>
            <w:shd w:val="clear" w:color="000000" w:fill="D9D9D9"/>
            <w:vAlign w:val="center"/>
            <w:hideMark/>
          </w:tcPr>
          <w:p w14:paraId="5C7A0285" w14:textId="77777777" w:rsidR="001C54B1" w:rsidRPr="002A634E" w:rsidRDefault="001C54B1" w:rsidP="001C54B1">
            <w:pPr>
              <w:spacing w:after="0" w:line="240" w:lineRule="auto"/>
              <w:contextualSpacing/>
              <w:jc w:val="center"/>
              <w:rPr>
                <w:rFonts w:eastAsia="Times New Roman"/>
                <w:b/>
                <w:bCs/>
                <w:color w:val="000000"/>
                <w:lang w:eastAsia="ru-RU"/>
              </w:rPr>
            </w:pPr>
            <w:r w:rsidRPr="002A634E">
              <w:rPr>
                <w:rFonts w:eastAsia="Times New Roman"/>
                <w:b/>
                <w:bCs/>
                <w:color w:val="000000"/>
                <w:lang w:eastAsia="ru-RU"/>
              </w:rPr>
              <w:t>Рекомендации по совместному применению</w:t>
            </w:r>
          </w:p>
        </w:tc>
      </w:tr>
      <w:tr w:rsidR="001C54B1" w:rsidRPr="002A634E" w14:paraId="1FD33710" w14:textId="77777777" w:rsidTr="008A7500">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CB973" w14:textId="77777777" w:rsidR="001C54B1" w:rsidRPr="002A634E" w:rsidRDefault="001C54B1" w:rsidP="001C54B1">
            <w:pPr>
              <w:spacing w:after="0" w:line="240" w:lineRule="auto"/>
              <w:contextualSpacing/>
              <w:jc w:val="left"/>
              <w:rPr>
                <w:rFonts w:eastAsia="Times New Roman"/>
                <w:i/>
                <w:iCs/>
                <w:color w:val="000000"/>
                <w:lang w:eastAsia="ru-RU"/>
              </w:rPr>
            </w:pPr>
            <w:r w:rsidRPr="002A634E">
              <w:rPr>
                <w:rFonts w:eastAsia="Times New Roman"/>
                <w:i/>
                <w:iCs/>
                <w:color w:val="000000"/>
                <w:lang w:eastAsia="ru-RU"/>
              </w:rPr>
              <w:t>Сильные ингибиторы CYP3A4/PgP</w:t>
            </w:r>
          </w:p>
        </w:tc>
      </w:tr>
      <w:tr w:rsidR="001C54B1" w:rsidRPr="002A634E" w14:paraId="4F9E3862"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04F422D4"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Кетоконазол</w:t>
            </w:r>
          </w:p>
        </w:tc>
        <w:tc>
          <w:tcPr>
            <w:tcW w:w="3503" w:type="dxa"/>
            <w:tcBorders>
              <w:top w:val="nil"/>
              <w:left w:val="nil"/>
              <w:bottom w:val="single" w:sz="4" w:space="0" w:color="auto"/>
              <w:right w:val="single" w:sz="4" w:space="0" w:color="auto"/>
            </w:tcBorders>
            <w:shd w:val="clear" w:color="auto" w:fill="auto"/>
            <w:vAlign w:val="center"/>
            <w:hideMark/>
          </w:tcPr>
          <w:p w14:paraId="24E8D378"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↑AUC в 15,3 раза</w:t>
            </w:r>
            <w:r w:rsidRPr="002A634E">
              <w:rPr>
                <w:rFonts w:eastAsia="Times New Roman"/>
                <w:color w:val="000000"/>
                <w:lang w:eastAsia="ru-RU"/>
              </w:rPr>
              <w:br/>
              <w:t>(диапазон 11,2-22,5)</w:t>
            </w:r>
            <w:r w:rsidRPr="002A634E">
              <w:rPr>
                <w:rFonts w:eastAsia="Times New Roman"/>
                <w:color w:val="000000"/>
                <w:lang w:eastAsia="ru-RU"/>
              </w:rPr>
              <w:br/>
              <w:t>↑Cmax в 4,1 раза</w:t>
            </w:r>
            <w:r w:rsidRPr="002A634E">
              <w:rPr>
                <w:rFonts w:eastAsia="Times New Roman"/>
                <w:color w:val="000000"/>
                <w:lang w:eastAsia="ru-RU"/>
              </w:rPr>
              <w:br/>
              <w:t>(диапазон 2,6-7,0)</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13055BC4"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рекомендуется одновременное применение эверолимуса с сильнодействующими ингибиторами CYP3A4/PgP.</w:t>
            </w:r>
          </w:p>
        </w:tc>
      </w:tr>
      <w:tr w:rsidR="001C54B1" w:rsidRPr="002A634E" w14:paraId="7519B88E"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03E5DAB3"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Итраконазол,</w:t>
            </w:r>
            <w:r w:rsidRPr="002A634E">
              <w:rPr>
                <w:rFonts w:eastAsia="Times New Roman"/>
                <w:color w:val="000000"/>
                <w:lang w:eastAsia="ru-RU"/>
              </w:rPr>
              <w:br/>
              <w:t>Позаконазол,</w:t>
            </w:r>
            <w:r w:rsidRPr="002A634E">
              <w:rPr>
                <w:rFonts w:eastAsia="Times New Roman"/>
                <w:color w:val="000000"/>
                <w:lang w:eastAsia="ru-RU"/>
              </w:rPr>
              <w:br/>
              <w:t>Вориконазол</w:t>
            </w:r>
          </w:p>
        </w:tc>
        <w:tc>
          <w:tcPr>
            <w:tcW w:w="3503" w:type="dxa"/>
            <w:vMerge w:val="restart"/>
            <w:tcBorders>
              <w:top w:val="nil"/>
              <w:left w:val="single" w:sz="4" w:space="0" w:color="auto"/>
              <w:bottom w:val="single" w:sz="4" w:space="0" w:color="000000"/>
              <w:right w:val="single" w:sz="4" w:space="0" w:color="auto"/>
            </w:tcBorders>
            <w:shd w:val="clear" w:color="auto" w:fill="auto"/>
            <w:vAlign w:val="center"/>
            <w:hideMark/>
          </w:tcPr>
          <w:p w14:paraId="2403C95D"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значительное увеличение концентрации эверолимуса.</w:t>
            </w:r>
          </w:p>
        </w:tc>
        <w:tc>
          <w:tcPr>
            <w:tcW w:w="2951" w:type="dxa"/>
            <w:vMerge/>
            <w:tcBorders>
              <w:top w:val="nil"/>
              <w:left w:val="single" w:sz="4" w:space="0" w:color="auto"/>
              <w:bottom w:val="single" w:sz="4" w:space="0" w:color="000000"/>
              <w:right w:val="single" w:sz="4" w:space="0" w:color="auto"/>
            </w:tcBorders>
            <w:vAlign w:val="center"/>
            <w:hideMark/>
          </w:tcPr>
          <w:p w14:paraId="4050C170" w14:textId="77777777" w:rsidR="001C54B1" w:rsidRPr="002A634E" w:rsidRDefault="001C54B1" w:rsidP="001C54B1">
            <w:pPr>
              <w:spacing w:after="0" w:line="240" w:lineRule="auto"/>
              <w:contextualSpacing/>
              <w:jc w:val="left"/>
              <w:rPr>
                <w:rFonts w:eastAsia="Times New Roman"/>
                <w:color w:val="000000"/>
                <w:lang w:eastAsia="ru-RU"/>
              </w:rPr>
            </w:pPr>
          </w:p>
        </w:tc>
      </w:tr>
      <w:tr w:rsidR="001C54B1" w:rsidRPr="002A634E" w14:paraId="78A4095B"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6CA1BBD"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Телитромицин,</w:t>
            </w:r>
            <w:r w:rsidRPr="002A634E">
              <w:rPr>
                <w:rFonts w:eastAsia="Times New Roman"/>
                <w:color w:val="000000"/>
                <w:lang w:eastAsia="ru-RU"/>
              </w:rPr>
              <w:br/>
              <w:t>Кларитромицин</w:t>
            </w:r>
          </w:p>
        </w:tc>
        <w:tc>
          <w:tcPr>
            <w:tcW w:w="3503" w:type="dxa"/>
            <w:vMerge/>
            <w:tcBorders>
              <w:top w:val="nil"/>
              <w:left w:val="single" w:sz="4" w:space="0" w:color="auto"/>
              <w:bottom w:val="single" w:sz="4" w:space="0" w:color="000000"/>
              <w:right w:val="single" w:sz="4" w:space="0" w:color="auto"/>
            </w:tcBorders>
            <w:vAlign w:val="center"/>
            <w:hideMark/>
          </w:tcPr>
          <w:p w14:paraId="4297211D" w14:textId="77777777" w:rsidR="001C54B1" w:rsidRPr="002A634E" w:rsidRDefault="001C54B1" w:rsidP="001C54B1">
            <w:pPr>
              <w:spacing w:after="0" w:line="240" w:lineRule="auto"/>
              <w:contextualSpacing/>
              <w:jc w:val="left"/>
              <w:rPr>
                <w:rFonts w:eastAsia="Times New Roman"/>
                <w:color w:val="000000"/>
                <w:lang w:eastAsia="ru-RU"/>
              </w:rPr>
            </w:pPr>
          </w:p>
        </w:tc>
        <w:tc>
          <w:tcPr>
            <w:tcW w:w="2951" w:type="dxa"/>
            <w:vMerge/>
            <w:tcBorders>
              <w:top w:val="nil"/>
              <w:left w:val="single" w:sz="4" w:space="0" w:color="auto"/>
              <w:bottom w:val="single" w:sz="4" w:space="0" w:color="000000"/>
              <w:right w:val="single" w:sz="4" w:space="0" w:color="auto"/>
            </w:tcBorders>
            <w:vAlign w:val="center"/>
            <w:hideMark/>
          </w:tcPr>
          <w:p w14:paraId="3ADE2E53" w14:textId="77777777" w:rsidR="001C54B1" w:rsidRPr="002A634E" w:rsidRDefault="001C54B1" w:rsidP="001C54B1">
            <w:pPr>
              <w:spacing w:after="0" w:line="240" w:lineRule="auto"/>
              <w:contextualSpacing/>
              <w:jc w:val="left"/>
              <w:rPr>
                <w:rFonts w:eastAsia="Times New Roman"/>
                <w:color w:val="000000"/>
                <w:lang w:eastAsia="ru-RU"/>
              </w:rPr>
            </w:pPr>
          </w:p>
        </w:tc>
      </w:tr>
      <w:tr w:rsidR="001C54B1" w:rsidRPr="002A634E" w14:paraId="13C71215"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807D4C8"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Нефазодон</w:t>
            </w:r>
          </w:p>
        </w:tc>
        <w:tc>
          <w:tcPr>
            <w:tcW w:w="3503" w:type="dxa"/>
            <w:vMerge/>
            <w:tcBorders>
              <w:top w:val="nil"/>
              <w:left w:val="single" w:sz="4" w:space="0" w:color="auto"/>
              <w:bottom w:val="single" w:sz="4" w:space="0" w:color="000000"/>
              <w:right w:val="single" w:sz="4" w:space="0" w:color="auto"/>
            </w:tcBorders>
            <w:vAlign w:val="center"/>
            <w:hideMark/>
          </w:tcPr>
          <w:p w14:paraId="6F7AC5B5" w14:textId="77777777" w:rsidR="001C54B1" w:rsidRPr="002A634E" w:rsidRDefault="001C54B1" w:rsidP="001C54B1">
            <w:pPr>
              <w:spacing w:after="0" w:line="240" w:lineRule="auto"/>
              <w:contextualSpacing/>
              <w:jc w:val="left"/>
              <w:rPr>
                <w:rFonts w:eastAsia="Times New Roman"/>
                <w:color w:val="000000"/>
                <w:lang w:eastAsia="ru-RU"/>
              </w:rPr>
            </w:pPr>
          </w:p>
        </w:tc>
        <w:tc>
          <w:tcPr>
            <w:tcW w:w="2951" w:type="dxa"/>
            <w:vMerge/>
            <w:tcBorders>
              <w:top w:val="nil"/>
              <w:left w:val="single" w:sz="4" w:space="0" w:color="auto"/>
              <w:bottom w:val="single" w:sz="4" w:space="0" w:color="000000"/>
              <w:right w:val="single" w:sz="4" w:space="0" w:color="auto"/>
            </w:tcBorders>
            <w:vAlign w:val="center"/>
            <w:hideMark/>
          </w:tcPr>
          <w:p w14:paraId="53FFB4C7" w14:textId="77777777" w:rsidR="001C54B1" w:rsidRPr="002A634E" w:rsidRDefault="001C54B1" w:rsidP="001C54B1">
            <w:pPr>
              <w:spacing w:after="0" w:line="240" w:lineRule="auto"/>
              <w:contextualSpacing/>
              <w:jc w:val="left"/>
              <w:rPr>
                <w:rFonts w:eastAsia="Times New Roman"/>
                <w:color w:val="000000"/>
                <w:lang w:eastAsia="ru-RU"/>
              </w:rPr>
            </w:pPr>
          </w:p>
        </w:tc>
      </w:tr>
      <w:tr w:rsidR="001C54B1" w:rsidRPr="002A634E" w14:paraId="4EEC080D"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570D76A9"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Ритонавир, атазанавир, саквинавир, дарунавир, индинавир, нелфинавир</w:t>
            </w:r>
          </w:p>
        </w:tc>
        <w:tc>
          <w:tcPr>
            <w:tcW w:w="3503" w:type="dxa"/>
            <w:vMerge/>
            <w:tcBorders>
              <w:top w:val="nil"/>
              <w:left w:val="single" w:sz="4" w:space="0" w:color="auto"/>
              <w:bottom w:val="single" w:sz="4" w:space="0" w:color="000000"/>
              <w:right w:val="single" w:sz="4" w:space="0" w:color="auto"/>
            </w:tcBorders>
            <w:vAlign w:val="center"/>
            <w:hideMark/>
          </w:tcPr>
          <w:p w14:paraId="3A8E12BA" w14:textId="77777777" w:rsidR="001C54B1" w:rsidRPr="002A634E" w:rsidRDefault="001C54B1" w:rsidP="001C54B1">
            <w:pPr>
              <w:spacing w:after="0" w:line="240" w:lineRule="auto"/>
              <w:contextualSpacing/>
              <w:jc w:val="left"/>
              <w:rPr>
                <w:rFonts w:eastAsia="Times New Roman"/>
                <w:color w:val="000000"/>
                <w:lang w:eastAsia="ru-RU"/>
              </w:rPr>
            </w:pPr>
          </w:p>
        </w:tc>
        <w:tc>
          <w:tcPr>
            <w:tcW w:w="2951" w:type="dxa"/>
            <w:vMerge/>
            <w:tcBorders>
              <w:top w:val="nil"/>
              <w:left w:val="single" w:sz="4" w:space="0" w:color="auto"/>
              <w:bottom w:val="single" w:sz="4" w:space="0" w:color="000000"/>
              <w:right w:val="single" w:sz="4" w:space="0" w:color="auto"/>
            </w:tcBorders>
            <w:vAlign w:val="center"/>
            <w:hideMark/>
          </w:tcPr>
          <w:p w14:paraId="77714188" w14:textId="77777777" w:rsidR="001C54B1" w:rsidRPr="002A634E" w:rsidRDefault="001C54B1" w:rsidP="001C54B1">
            <w:pPr>
              <w:spacing w:after="0" w:line="240" w:lineRule="auto"/>
              <w:contextualSpacing/>
              <w:jc w:val="left"/>
              <w:rPr>
                <w:rFonts w:eastAsia="Times New Roman"/>
                <w:color w:val="000000"/>
                <w:lang w:eastAsia="ru-RU"/>
              </w:rPr>
            </w:pPr>
          </w:p>
        </w:tc>
      </w:tr>
      <w:tr w:rsidR="001C54B1" w:rsidRPr="002A634E" w14:paraId="51279F74" w14:textId="77777777" w:rsidTr="008A7500">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FFDA81F" w14:textId="77777777" w:rsidR="001C54B1" w:rsidRPr="002A634E" w:rsidRDefault="001C54B1" w:rsidP="001C54B1">
            <w:pPr>
              <w:spacing w:after="0" w:line="240" w:lineRule="auto"/>
              <w:contextualSpacing/>
              <w:jc w:val="left"/>
              <w:rPr>
                <w:rFonts w:eastAsia="Times New Roman"/>
                <w:i/>
                <w:iCs/>
                <w:color w:val="000000"/>
                <w:lang w:eastAsia="ru-RU"/>
              </w:rPr>
            </w:pPr>
            <w:r w:rsidRPr="002A634E">
              <w:rPr>
                <w:rFonts w:eastAsia="Times New Roman"/>
                <w:i/>
                <w:iCs/>
                <w:color w:val="000000"/>
                <w:lang w:eastAsia="ru-RU"/>
              </w:rPr>
              <w:t>Умеренные ингибиторы CYP3A4/PgP</w:t>
            </w:r>
          </w:p>
        </w:tc>
      </w:tr>
      <w:tr w:rsidR="001C54B1" w:rsidRPr="002A634E" w14:paraId="13667BDA"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81CF815"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Эритромицин</w:t>
            </w:r>
          </w:p>
        </w:tc>
        <w:tc>
          <w:tcPr>
            <w:tcW w:w="3503" w:type="dxa"/>
            <w:tcBorders>
              <w:top w:val="nil"/>
              <w:left w:val="nil"/>
              <w:bottom w:val="single" w:sz="4" w:space="0" w:color="auto"/>
              <w:right w:val="single" w:sz="4" w:space="0" w:color="auto"/>
            </w:tcBorders>
            <w:shd w:val="clear" w:color="auto" w:fill="auto"/>
            <w:vAlign w:val="center"/>
            <w:hideMark/>
          </w:tcPr>
          <w:p w14:paraId="0A6640C2"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↑AUC в 4,4 раза</w:t>
            </w:r>
            <w:r w:rsidRPr="002A634E">
              <w:rPr>
                <w:rFonts w:eastAsia="Times New Roman"/>
                <w:color w:val="000000"/>
                <w:lang w:eastAsia="ru-RU"/>
              </w:rPr>
              <w:br/>
              <w:t>(диапазон 2,0-12,6)</w:t>
            </w:r>
            <w:r w:rsidRPr="002A634E">
              <w:rPr>
                <w:rFonts w:eastAsia="Times New Roman"/>
                <w:color w:val="000000"/>
                <w:lang w:eastAsia="ru-RU"/>
              </w:rPr>
              <w:br/>
              <w:t>↑Cmax в 2,0 раза</w:t>
            </w:r>
            <w:r w:rsidRPr="002A634E">
              <w:rPr>
                <w:rFonts w:eastAsia="Times New Roman"/>
                <w:color w:val="000000"/>
                <w:lang w:eastAsia="ru-RU"/>
              </w:rPr>
              <w:br/>
              <w:t>(диапазон 0,9-3,5)</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0FCF0103" w14:textId="77777777" w:rsidR="001C54B1" w:rsidRPr="002A634E" w:rsidRDefault="001C54B1" w:rsidP="001C54B1">
            <w:pPr>
              <w:spacing w:after="0" w:line="240" w:lineRule="auto"/>
              <w:contextualSpacing/>
              <w:jc w:val="center"/>
              <w:rPr>
                <w:rFonts w:eastAsia="Times New Roman"/>
                <w:color w:val="000000"/>
                <w:sz w:val="22"/>
                <w:szCs w:val="22"/>
                <w:lang w:eastAsia="ru-RU"/>
              </w:rPr>
            </w:pPr>
            <w:r w:rsidRPr="002A634E">
              <w:rPr>
                <w:rFonts w:eastAsia="Times New Roman"/>
                <w:color w:val="000000"/>
                <w:sz w:val="22"/>
                <w:szCs w:val="22"/>
                <w:lang w:eastAsia="ru-RU"/>
              </w:rPr>
              <w:t>Если пациентам требуется одновременное назначение умеренного ингибитора CYP3A4/PgP, уменьшите суточную дозу эверолимуса примерно на 50%. Для купирования побочных реакций может потребоваться дальнейшее снижение дозы. Минимальные концентрации эверолимуса следует оценивать примерно через 2 недели после добавления умеренных ингибиторов CYP3A4/PgP. Если умеренный ингибитор отменен, дозу эверолимуса следует вернуть к исходной, а минимальную концентрацию эверолимуса следует повторно оценить приблизительно через 2 недели.</w:t>
            </w:r>
          </w:p>
        </w:tc>
      </w:tr>
      <w:tr w:rsidR="001C54B1" w:rsidRPr="002A634E" w14:paraId="5DDE6812"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5DAA10AB"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Верапамил</w:t>
            </w:r>
          </w:p>
        </w:tc>
        <w:tc>
          <w:tcPr>
            <w:tcW w:w="3503" w:type="dxa"/>
            <w:tcBorders>
              <w:top w:val="nil"/>
              <w:left w:val="nil"/>
              <w:bottom w:val="single" w:sz="4" w:space="0" w:color="auto"/>
              <w:right w:val="single" w:sz="4" w:space="0" w:color="auto"/>
            </w:tcBorders>
            <w:shd w:val="clear" w:color="auto" w:fill="auto"/>
            <w:vAlign w:val="center"/>
            <w:hideMark/>
          </w:tcPr>
          <w:p w14:paraId="604E4BFB"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↑AUC в 3,5 раза</w:t>
            </w:r>
            <w:r w:rsidRPr="002A634E">
              <w:rPr>
                <w:rFonts w:eastAsia="Times New Roman"/>
                <w:color w:val="000000"/>
                <w:lang w:eastAsia="ru-RU"/>
              </w:rPr>
              <w:br/>
              <w:t>(диапазон 2,2-6,3)</w:t>
            </w:r>
            <w:r w:rsidRPr="002A634E">
              <w:rPr>
                <w:rFonts w:eastAsia="Times New Roman"/>
                <w:color w:val="000000"/>
                <w:lang w:eastAsia="ru-RU"/>
              </w:rPr>
              <w:br/>
              <w:t>↑Cmax в 2,3 раза</w:t>
            </w:r>
            <w:r w:rsidRPr="002A634E">
              <w:rPr>
                <w:rFonts w:eastAsia="Times New Roman"/>
                <w:color w:val="000000"/>
                <w:lang w:eastAsia="ru-RU"/>
              </w:rPr>
              <w:br/>
              <w:t>(диапазон 1,3-3,8)</w:t>
            </w:r>
          </w:p>
        </w:tc>
        <w:tc>
          <w:tcPr>
            <w:tcW w:w="2951" w:type="dxa"/>
            <w:vMerge/>
            <w:tcBorders>
              <w:top w:val="nil"/>
              <w:left w:val="single" w:sz="4" w:space="0" w:color="auto"/>
              <w:bottom w:val="single" w:sz="4" w:space="0" w:color="000000"/>
              <w:right w:val="single" w:sz="4" w:space="0" w:color="auto"/>
            </w:tcBorders>
            <w:vAlign w:val="center"/>
            <w:hideMark/>
          </w:tcPr>
          <w:p w14:paraId="36C5D08C" w14:textId="77777777" w:rsidR="001C54B1" w:rsidRPr="002A634E" w:rsidRDefault="001C54B1" w:rsidP="001C54B1">
            <w:pPr>
              <w:spacing w:after="0" w:line="240" w:lineRule="auto"/>
              <w:contextualSpacing/>
              <w:jc w:val="left"/>
              <w:rPr>
                <w:rFonts w:eastAsia="Times New Roman"/>
                <w:color w:val="000000"/>
                <w:sz w:val="20"/>
                <w:szCs w:val="20"/>
                <w:lang w:eastAsia="ru-RU"/>
              </w:rPr>
            </w:pPr>
          </w:p>
        </w:tc>
      </w:tr>
      <w:tr w:rsidR="001C54B1" w:rsidRPr="002A634E" w14:paraId="1F8E6571"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84B52E1"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Циклоспорин</w:t>
            </w:r>
          </w:p>
        </w:tc>
        <w:tc>
          <w:tcPr>
            <w:tcW w:w="3503" w:type="dxa"/>
            <w:tcBorders>
              <w:top w:val="nil"/>
              <w:left w:val="nil"/>
              <w:bottom w:val="single" w:sz="4" w:space="0" w:color="auto"/>
              <w:right w:val="single" w:sz="4" w:space="0" w:color="auto"/>
            </w:tcBorders>
            <w:shd w:val="clear" w:color="auto" w:fill="auto"/>
            <w:vAlign w:val="center"/>
            <w:hideMark/>
          </w:tcPr>
          <w:p w14:paraId="3CB7617F"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↑AUC в 2,7 раз</w:t>
            </w:r>
            <w:r w:rsidRPr="002A634E">
              <w:rPr>
                <w:rFonts w:eastAsia="Times New Roman"/>
                <w:color w:val="000000"/>
                <w:lang w:eastAsia="ru-RU"/>
              </w:rPr>
              <w:br/>
              <w:t>(диапазон 1,5-4,7)</w:t>
            </w:r>
            <w:r w:rsidRPr="002A634E">
              <w:rPr>
                <w:rFonts w:eastAsia="Times New Roman"/>
                <w:color w:val="000000"/>
                <w:lang w:eastAsia="ru-RU"/>
              </w:rPr>
              <w:br/>
              <w:t>↑Cmax в 1,8 раз</w:t>
            </w:r>
            <w:r w:rsidRPr="002A634E">
              <w:rPr>
                <w:rFonts w:eastAsia="Times New Roman"/>
                <w:color w:val="000000"/>
                <w:lang w:eastAsia="ru-RU"/>
              </w:rPr>
              <w:br/>
              <w:t>(диапазон 1,3-2,6)</w:t>
            </w:r>
          </w:p>
        </w:tc>
        <w:tc>
          <w:tcPr>
            <w:tcW w:w="2951" w:type="dxa"/>
            <w:vMerge/>
            <w:tcBorders>
              <w:top w:val="nil"/>
              <w:left w:val="single" w:sz="4" w:space="0" w:color="auto"/>
              <w:bottom w:val="single" w:sz="4" w:space="0" w:color="000000"/>
              <w:right w:val="single" w:sz="4" w:space="0" w:color="auto"/>
            </w:tcBorders>
            <w:vAlign w:val="center"/>
            <w:hideMark/>
          </w:tcPr>
          <w:p w14:paraId="62242438" w14:textId="77777777" w:rsidR="001C54B1" w:rsidRPr="002A634E" w:rsidRDefault="001C54B1" w:rsidP="001C54B1">
            <w:pPr>
              <w:spacing w:after="0" w:line="240" w:lineRule="auto"/>
              <w:contextualSpacing/>
              <w:jc w:val="left"/>
              <w:rPr>
                <w:rFonts w:eastAsia="Times New Roman"/>
                <w:color w:val="000000"/>
                <w:sz w:val="20"/>
                <w:szCs w:val="20"/>
                <w:lang w:eastAsia="ru-RU"/>
              </w:rPr>
            </w:pPr>
          </w:p>
        </w:tc>
      </w:tr>
      <w:tr w:rsidR="001C54B1" w:rsidRPr="002A634E" w14:paraId="136E85E7"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4D66583"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Флуконазол</w:t>
            </w:r>
          </w:p>
        </w:tc>
        <w:tc>
          <w:tcPr>
            <w:tcW w:w="3503" w:type="dxa"/>
            <w:vMerge w:val="restart"/>
            <w:tcBorders>
              <w:top w:val="nil"/>
              <w:left w:val="single" w:sz="4" w:space="0" w:color="auto"/>
              <w:bottom w:val="single" w:sz="4" w:space="0" w:color="auto"/>
              <w:right w:val="single" w:sz="4" w:space="0" w:color="auto"/>
            </w:tcBorders>
            <w:shd w:val="clear" w:color="auto" w:fill="auto"/>
            <w:vAlign w:val="center"/>
            <w:hideMark/>
          </w:tcPr>
          <w:p w14:paraId="200114AE"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повышение концентрации эверолимуса.</w:t>
            </w:r>
          </w:p>
        </w:tc>
        <w:tc>
          <w:tcPr>
            <w:tcW w:w="2951" w:type="dxa"/>
            <w:vMerge/>
            <w:tcBorders>
              <w:top w:val="nil"/>
              <w:left w:val="single" w:sz="4" w:space="0" w:color="auto"/>
              <w:bottom w:val="single" w:sz="4" w:space="0" w:color="000000"/>
              <w:right w:val="single" w:sz="4" w:space="0" w:color="auto"/>
            </w:tcBorders>
            <w:vAlign w:val="center"/>
            <w:hideMark/>
          </w:tcPr>
          <w:p w14:paraId="648312A1" w14:textId="77777777" w:rsidR="001C54B1" w:rsidRPr="002A634E" w:rsidRDefault="001C54B1" w:rsidP="001C54B1">
            <w:pPr>
              <w:spacing w:after="0" w:line="240" w:lineRule="auto"/>
              <w:contextualSpacing/>
              <w:jc w:val="left"/>
              <w:rPr>
                <w:rFonts w:eastAsia="Times New Roman"/>
                <w:color w:val="000000"/>
                <w:sz w:val="20"/>
                <w:szCs w:val="20"/>
                <w:lang w:eastAsia="ru-RU"/>
              </w:rPr>
            </w:pPr>
          </w:p>
        </w:tc>
      </w:tr>
      <w:tr w:rsidR="001C54B1" w:rsidRPr="002A634E" w14:paraId="147DCE07"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1213B97A"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Дилтиазем</w:t>
            </w:r>
          </w:p>
        </w:tc>
        <w:tc>
          <w:tcPr>
            <w:tcW w:w="3503" w:type="dxa"/>
            <w:vMerge/>
            <w:tcBorders>
              <w:top w:val="nil"/>
              <w:left w:val="single" w:sz="4" w:space="0" w:color="auto"/>
              <w:bottom w:val="single" w:sz="4" w:space="0" w:color="auto"/>
              <w:right w:val="single" w:sz="4" w:space="0" w:color="auto"/>
            </w:tcBorders>
            <w:vAlign w:val="center"/>
            <w:hideMark/>
          </w:tcPr>
          <w:p w14:paraId="19BF2689" w14:textId="77777777" w:rsidR="001C54B1" w:rsidRPr="002A634E" w:rsidRDefault="001C54B1" w:rsidP="001C54B1">
            <w:pPr>
              <w:spacing w:after="0" w:line="240" w:lineRule="auto"/>
              <w:contextualSpacing/>
              <w:jc w:val="left"/>
              <w:rPr>
                <w:rFonts w:eastAsia="Times New Roman"/>
                <w:color w:val="000000"/>
                <w:lang w:eastAsia="ru-RU"/>
              </w:rPr>
            </w:pPr>
          </w:p>
        </w:tc>
        <w:tc>
          <w:tcPr>
            <w:tcW w:w="2951" w:type="dxa"/>
            <w:vMerge/>
            <w:tcBorders>
              <w:top w:val="nil"/>
              <w:left w:val="single" w:sz="4" w:space="0" w:color="auto"/>
              <w:bottom w:val="single" w:sz="4" w:space="0" w:color="000000"/>
              <w:right w:val="single" w:sz="4" w:space="0" w:color="auto"/>
            </w:tcBorders>
            <w:vAlign w:val="center"/>
            <w:hideMark/>
          </w:tcPr>
          <w:p w14:paraId="5536057F" w14:textId="77777777" w:rsidR="001C54B1" w:rsidRPr="002A634E" w:rsidRDefault="001C54B1" w:rsidP="001C54B1">
            <w:pPr>
              <w:spacing w:after="0" w:line="240" w:lineRule="auto"/>
              <w:contextualSpacing/>
              <w:jc w:val="left"/>
              <w:rPr>
                <w:rFonts w:eastAsia="Times New Roman"/>
                <w:color w:val="000000"/>
                <w:sz w:val="20"/>
                <w:szCs w:val="20"/>
                <w:lang w:eastAsia="ru-RU"/>
              </w:rPr>
            </w:pPr>
          </w:p>
        </w:tc>
      </w:tr>
      <w:tr w:rsidR="001C54B1" w:rsidRPr="002A634E" w14:paraId="1305B703"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955A3CE"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Ампренавир, фосампренавир</w:t>
            </w:r>
          </w:p>
        </w:tc>
        <w:tc>
          <w:tcPr>
            <w:tcW w:w="3503" w:type="dxa"/>
            <w:tcBorders>
              <w:top w:val="nil"/>
              <w:left w:val="nil"/>
              <w:bottom w:val="single" w:sz="4" w:space="0" w:color="auto"/>
              <w:right w:val="single" w:sz="4" w:space="0" w:color="auto"/>
            </w:tcBorders>
            <w:shd w:val="clear" w:color="auto" w:fill="auto"/>
            <w:vAlign w:val="center"/>
            <w:hideMark/>
          </w:tcPr>
          <w:p w14:paraId="2579F7B2"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повышение концентрации эверолимуса.</w:t>
            </w:r>
          </w:p>
        </w:tc>
        <w:tc>
          <w:tcPr>
            <w:tcW w:w="2951" w:type="dxa"/>
            <w:vMerge/>
            <w:tcBorders>
              <w:top w:val="nil"/>
              <w:left w:val="single" w:sz="4" w:space="0" w:color="auto"/>
              <w:bottom w:val="single" w:sz="4" w:space="0" w:color="000000"/>
              <w:right w:val="single" w:sz="4" w:space="0" w:color="auto"/>
            </w:tcBorders>
            <w:vAlign w:val="center"/>
            <w:hideMark/>
          </w:tcPr>
          <w:p w14:paraId="532023AE" w14:textId="77777777" w:rsidR="001C54B1" w:rsidRPr="002A634E" w:rsidRDefault="001C54B1" w:rsidP="001C54B1">
            <w:pPr>
              <w:spacing w:after="0" w:line="240" w:lineRule="auto"/>
              <w:contextualSpacing/>
              <w:jc w:val="left"/>
              <w:rPr>
                <w:rFonts w:eastAsia="Times New Roman"/>
                <w:color w:val="000000"/>
                <w:sz w:val="20"/>
                <w:szCs w:val="20"/>
                <w:lang w:eastAsia="ru-RU"/>
              </w:rPr>
            </w:pPr>
          </w:p>
        </w:tc>
      </w:tr>
      <w:tr w:rsidR="001C54B1" w:rsidRPr="002A634E" w14:paraId="3A0550AB"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5D4A97AC"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Грейпфрутовый сок и другие продукты, влияющие на CYP3A4/PgP</w:t>
            </w:r>
          </w:p>
        </w:tc>
        <w:tc>
          <w:tcPr>
            <w:tcW w:w="3503" w:type="dxa"/>
            <w:tcBorders>
              <w:top w:val="nil"/>
              <w:left w:val="nil"/>
              <w:bottom w:val="single" w:sz="4" w:space="0" w:color="auto"/>
              <w:right w:val="single" w:sz="4" w:space="0" w:color="auto"/>
            </w:tcBorders>
            <w:shd w:val="clear" w:color="auto" w:fill="auto"/>
            <w:vAlign w:val="center"/>
            <w:hideMark/>
          </w:tcPr>
          <w:p w14:paraId="11A99A6C"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повышение концентрации эверолимуса (эффект варьируется в широких пределах).</w:t>
            </w:r>
          </w:p>
        </w:tc>
        <w:tc>
          <w:tcPr>
            <w:tcW w:w="2951" w:type="dxa"/>
            <w:tcBorders>
              <w:top w:val="nil"/>
              <w:left w:val="nil"/>
              <w:bottom w:val="single" w:sz="4" w:space="0" w:color="auto"/>
              <w:right w:val="single" w:sz="4" w:space="0" w:color="auto"/>
            </w:tcBorders>
            <w:shd w:val="clear" w:color="auto" w:fill="auto"/>
            <w:vAlign w:val="center"/>
            <w:hideMark/>
          </w:tcPr>
          <w:p w14:paraId="3295DB28"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Комбинации следует избегать.</w:t>
            </w:r>
          </w:p>
        </w:tc>
      </w:tr>
      <w:tr w:rsidR="001C54B1" w:rsidRPr="002A634E" w14:paraId="56ED8497" w14:textId="77777777" w:rsidTr="008A7500">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hideMark/>
          </w:tcPr>
          <w:p w14:paraId="78F4805E" w14:textId="77777777" w:rsidR="001C54B1" w:rsidRPr="002A634E" w:rsidRDefault="001C54B1" w:rsidP="001C54B1">
            <w:pPr>
              <w:spacing w:after="0" w:line="240" w:lineRule="auto"/>
              <w:contextualSpacing/>
              <w:jc w:val="left"/>
              <w:rPr>
                <w:rFonts w:eastAsia="Times New Roman"/>
                <w:i/>
                <w:iCs/>
                <w:color w:val="000000"/>
                <w:lang w:eastAsia="ru-RU"/>
              </w:rPr>
            </w:pPr>
            <w:r w:rsidRPr="002A634E">
              <w:rPr>
                <w:rFonts w:eastAsia="Times New Roman"/>
                <w:i/>
                <w:iCs/>
                <w:color w:val="000000"/>
                <w:lang w:eastAsia="ru-RU"/>
              </w:rPr>
              <w:t>Сильные индукторы CYP3A4</w:t>
            </w:r>
          </w:p>
        </w:tc>
      </w:tr>
      <w:tr w:rsidR="001C54B1" w:rsidRPr="002A634E" w14:paraId="7522E1B8"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1048B04"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Рифампицин</w:t>
            </w:r>
          </w:p>
        </w:tc>
        <w:tc>
          <w:tcPr>
            <w:tcW w:w="3503" w:type="dxa"/>
            <w:tcBorders>
              <w:top w:val="nil"/>
              <w:left w:val="nil"/>
              <w:bottom w:val="single" w:sz="4" w:space="0" w:color="auto"/>
              <w:right w:val="single" w:sz="4" w:space="0" w:color="auto"/>
            </w:tcBorders>
            <w:shd w:val="clear" w:color="auto" w:fill="auto"/>
            <w:vAlign w:val="center"/>
            <w:hideMark/>
          </w:tcPr>
          <w:p w14:paraId="56560373"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↓AUC на 63%</w:t>
            </w:r>
            <w:r w:rsidRPr="002A634E">
              <w:rPr>
                <w:rFonts w:eastAsia="Times New Roman"/>
                <w:color w:val="000000"/>
                <w:lang w:eastAsia="ru-RU"/>
              </w:rPr>
              <w:br/>
              <w:t>(диапазон 0-80%)</w:t>
            </w:r>
            <w:r w:rsidRPr="002A634E">
              <w:rPr>
                <w:rFonts w:eastAsia="Times New Roman"/>
                <w:color w:val="000000"/>
                <w:lang w:eastAsia="ru-RU"/>
              </w:rPr>
              <w:br/>
              <w:t>↓Cmax на 58%</w:t>
            </w:r>
            <w:r w:rsidRPr="002A634E">
              <w:rPr>
                <w:rFonts w:eastAsia="Times New Roman"/>
                <w:color w:val="000000"/>
                <w:lang w:eastAsia="ru-RU"/>
              </w:rPr>
              <w:br/>
              <w:t>(диапазон 10-70%)</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3CCF3B4E" w14:textId="77777777" w:rsidR="001C54B1" w:rsidRPr="002A634E" w:rsidRDefault="001C54B1" w:rsidP="001C54B1">
            <w:pPr>
              <w:spacing w:after="0" w:line="240" w:lineRule="auto"/>
              <w:contextualSpacing/>
              <w:jc w:val="center"/>
              <w:rPr>
                <w:rFonts w:eastAsia="Times New Roman"/>
                <w:color w:val="000000"/>
                <w:sz w:val="22"/>
                <w:szCs w:val="22"/>
                <w:lang w:eastAsia="ru-RU"/>
              </w:rPr>
            </w:pPr>
            <w:r w:rsidRPr="002A634E">
              <w:rPr>
                <w:rFonts w:eastAsia="Times New Roman"/>
                <w:color w:val="000000"/>
                <w:sz w:val="22"/>
                <w:szCs w:val="22"/>
                <w:lang w:eastAsia="ru-RU"/>
              </w:rPr>
              <w:t>Избегайте одновременного применения мощных индукторов CYP3A4.</w:t>
            </w:r>
            <w:r w:rsidRPr="002A634E">
              <w:rPr>
                <w:rFonts w:eastAsia="Times New Roman"/>
                <w:color w:val="000000"/>
                <w:sz w:val="22"/>
                <w:szCs w:val="22"/>
                <w:lang w:eastAsia="ru-RU"/>
              </w:rPr>
              <w:br/>
              <w:t>Пациентам, одновременно получающим мощные индукторы CYP3A4, может потребоваться повышенная доза эверолимуса для достижения такого же воздействия, как у пациентов, не принимающих мощные индукторы. Дозировку следует титровать для достижения минимальных концентраций от 5 до 15 нг/мл. Если концентрации ниже 5 нг/мл, суточную дозу можно увеличивать на 2,5 мг каждые 2 недели, проверяя минимальный уровень и оценивая переносимость перед увеличением дозы. Если прием сильнодействующего индуктора завершен, дозу эверолимуса следует вернуть к исходной, а минимальные концентрации эверолимуса следует оценить приблизительно через 2 недели.</w:t>
            </w:r>
            <w:r w:rsidRPr="002A634E">
              <w:rPr>
                <w:rFonts w:eastAsia="Times New Roman"/>
                <w:color w:val="000000"/>
                <w:sz w:val="22"/>
                <w:szCs w:val="22"/>
                <w:lang w:eastAsia="ru-RU"/>
              </w:rPr>
              <w:br/>
              <w:t xml:space="preserve">Соблюдайте осторожность, если нельзя избежать одновременного </w:t>
            </w:r>
            <w:r w:rsidRPr="002A634E">
              <w:rPr>
                <w:rFonts w:eastAsia="Times New Roman"/>
                <w:color w:val="000000"/>
                <w:sz w:val="22"/>
                <w:szCs w:val="22"/>
                <w:lang w:eastAsia="ru-RU"/>
              </w:rPr>
              <w:lastRenderedPageBreak/>
              <w:t>применения умеренных ингибиторов CYP3A4/PgP.</w:t>
            </w:r>
          </w:p>
        </w:tc>
      </w:tr>
      <w:tr w:rsidR="001C54B1" w:rsidRPr="002A634E" w14:paraId="1BE1EED5"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563A4D7F"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Кортикостероиды (например, дексаметазон, преднизолон)</w:t>
            </w:r>
          </w:p>
        </w:tc>
        <w:tc>
          <w:tcPr>
            <w:tcW w:w="3503" w:type="dxa"/>
            <w:tcBorders>
              <w:top w:val="nil"/>
              <w:left w:val="nil"/>
              <w:bottom w:val="single" w:sz="4" w:space="0" w:color="auto"/>
              <w:right w:val="single" w:sz="4" w:space="0" w:color="auto"/>
            </w:tcBorders>
            <w:shd w:val="clear" w:color="auto" w:fill="auto"/>
            <w:vAlign w:val="center"/>
            <w:hideMark/>
          </w:tcPr>
          <w:p w14:paraId="15BBF282"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снижение концентрации эверолимуса.</w:t>
            </w:r>
          </w:p>
        </w:tc>
        <w:tc>
          <w:tcPr>
            <w:tcW w:w="2951" w:type="dxa"/>
            <w:vMerge/>
            <w:tcBorders>
              <w:top w:val="nil"/>
              <w:left w:val="single" w:sz="4" w:space="0" w:color="auto"/>
              <w:bottom w:val="single" w:sz="4" w:space="0" w:color="auto"/>
              <w:right w:val="single" w:sz="4" w:space="0" w:color="auto"/>
            </w:tcBorders>
            <w:vAlign w:val="center"/>
            <w:hideMark/>
          </w:tcPr>
          <w:p w14:paraId="665311E2" w14:textId="77777777" w:rsidR="001C54B1" w:rsidRPr="002A634E" w:rsidRDefault="001C54B1" w:rsidP="001C54B1">
            <w:pPr>
              <w:spacing w:after="0" w:line="240" w:lineRule="auto"/>
              <w:contextualSpacing/>
              <w:jc w:val="left"/>
              <w:rPr>
                <w:rFonts w:eastAsia="Times New Roman"/>
                <w:color w:val="000000"/>
                <w:sz w:val="22"/>
                <w:szCs w:val="22"/>
                <w:lang w:eastAsia="ru-RU"/>
              </w:rPr>
            </w:pPr>
          </w:p>
        </w:tc>
      </w:tr>
      <w:tr w:rsidR="001C54B1" w:rsidRPr="002A634E" w14:paraId="606C3B28"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5943227"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Антиэпилептические препараты (например, карбамазепин, фенобарбитал, фенитион)</w:t>
            </w:r>
          </w:p>
        </w:tc>
        <w:tc>
          <w:tcPr>
            <w:tcW w:w="3503" w:type="dxa"/>
            <w:tcBorders>
              <w:top w:val="nil"/>
              <w:left w:val="nil"/>
              <w:bottom w:val="single" w:sz="4" w:space="0" w:color="auto"/>
              <w:right w:val="single" w:sz="4" w:space="0" w:color="auto"/>
            </w:tcBorders>
            <w:shd w:val="clear" w:color="auto" w:fill="auto"/>
            <w:vAlign w:val="center"/>
            <w:hideMark/>
          </w:tcPr>
          <w:p w14:paraId="6154D4AA"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снижение концентрации эверолимуса.</w:t>
            </w:r>
          </w:p>
        </w:tc>
        <w:tc>
          <w:tcPr>
            <w:tcW w:w="2951" w:type="dxa"/>
            <w:vMerge/>
            <w:tcBorders>
              <w:top w:val="nil"/>
              <w:left w:val="single" w:sz="4" w:space="0" w:color="auto"/>
              <w:bottom w:val="single" w:sz="4" w:space="0" w:color="auto"/>
              <w:right w:val="single" w:sz="4" w:space="0" w:color="auto"/>
            </w:tcBorders>
            <w:vAlign w:val="center"/>
            <w:hideMark/>
          </w:tcPr>
          <w:p w14:paraId="0E6F5713" w14:textId="77777777" w:rsidR="001C54B1" w:rsidRPr="002A634E" w:rsidRDefault="001C54B1" w:rsidP="001C54B1">
            <w:pPr>
              <w:spacing w:after="0" w:line="240" w:lineRule="auto"/>
              <w:contextualSpacing/>
              <w:jc w:val="left"/>
              <w:rPr>
                <w:rFonts w:eastAsia="Times New Roman"/>
                <w:color w:val="000000"/>
                <w:sz w:val="22"/>
                <w:szCs w:val="22"/>
                <w:lang w:eastAsia="ru-RU"/>
              </w:rPr>
            </w:pPr>
          </w:p>
        </w:tc>
      </w:tr>
      <w:tr w:rsidR="001C54B1" w:rsidRPr="002A634E" w14:paraId="66F6954D"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32663C5"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Эфавиренз, невирапин</w:t>
            </w:r>
          </w:p>
        </w:tc>
        <w:tc>
          <w:tcPr>
            <w:tcW w:w="3503" w:type="dxa"/>
            <w:tcBorders>
              <w:top w:val="nil"/>
              <w:left w:val="nil"/>
              <w:bottom w:val="single" w:sz="4" w:space="0" w:color="auto"/>
              <w:right w:val="single" w:sz="4" w:space="0" w:color="auto"/>
            </w:tcBorders>
            <w:shd w:val="clear" w:color="auto" w:fill="auto"/>
            <w:vAlign w:val="center"/>
            <w:hideMark/>
          </w:tcPr>
          <w:p w14:paraId="62CE482B"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снижение концентрации эверолимуса.</w:t>
            </w:r>
          </w:p>
        </w:tc>
        <w:tc>
          <w:tcPr>
            <w:tcW w:w="2951" w:type="dxa"/>
            <w:vMerge/>
            <w:tcBorders>
              <w:top w:val="nil"/>
              <w:left w:val="single" w:sz="4" w:space="0" w:color="auto"/>
              <w:bottom w:val="single" w:sz="4" w:space="0" w:color="auto"/>
              <w:right w:val="single" w:sz="4" w:space="0" w:color="auto"/>
            </w:tcBorders>
            <w:vAlign w:val="center"/>
            <w:hideMark/>
          </w:tcPr>
          <w:p w14:paraId="1EB37E07" w14:textId="77777777" w:rsidR="001C54B1" w:rsidRPr="002A634E" w:rsidRDefault="001C54B1" w:rsidP="001C54B1">
            <w:pPr>
              <w:spacing w:after="0" w:line="240" w:lineRule="auto"/>
              <w:contextualSpacing/>
              <w:jc w:val="left"/>
              <w:rPr>
                <w:rFonts w:eastAsia="Times New Roman"/>
                <w:color w:val="000000"/>
                <w:sz w:val="22"/>
                <w:szCs w:val="22"/>
                <w:lang w:eastAsia="ru-RU"/>
              </w:rPr>
            </w:pPr>
          </w:p>
        </w:tc>
      </w:tr>
      <w:tr w:rsidR="001C54B1" w:rsidRPr="002A634E" w14:paraId="62CF5B0E" w14:textId="77777777" w:rsidTr="008A7500">
        <w:trPr>
          <w:trHeight w:val="20"/>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1CCAA51C"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Зверобой продырявленный (Hypericum perforatum)</w:t>
            </w:r>
          </w:p>
        </w:tc>
        <w:tc>
          <w:tcPr>
            <w:tcW w:w="3503" w:type="dxa"/>
            <w:tcBorders>
              <w:top w:val="nil"/>
              <w:left w:val="nil"/>
              <w:bottom w:val="single" w:sz="4" w:space="0" w:color="auto"/>
              <w:right w:val="single" w:sz="4" w:space="0" w:color="auto"/>
            </w:tcBorders>
            <w:shd w:val="clear" w:color="auto" w:fill="auto"/>
            <w:vAlign w:val="center"/>
            <w:hideMark/>
          </w:tcPr>
          <w:p w14:paraId="252CD97F"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Не изучалось. Ожидается повышение концентрации эверолимуса (эффект варьируется в широких пределах).</w:t>
            </w:r>
          </w:p>
        </w:tc>
        <w:tc>
          <w:tcPr>
            <w:tcW w:w="2951" w:type="dxa"/>
            <w:tcBorders>
              <w:top w:val="nil"/>
              <w:left w:val="nil"/>
              <w:bottom w:val="single" w:sz="4" w:space="0" w:color="auto"/>
              <w:right w:val="single" w:sz="4" w:space="0" w:color="auto"/>
            </w:tcBorders>
            <w:shd w:val="clear" w:color="auto" w:fill="auto"/>
            <w:vAlign w:val="center"/>
            <w:hideMark/>
          </w:tcPr>
          <w:p w14:paraId="44A0AB10" w14:textId="77777777" w:rsidR="001C54B1" w:rsidRPr="002A634E" w:rsidRDefault="001C54B1" w:rsidP="001C54B1">
            <w:pPr>
              <w:spacing w:after="0" w:line="240" w:lineRule="auto"/>
              <w:contextualSpacing/>
              <w:jc w:val="center"/>
              <w:rPr>
                <w:rFonts w:eastAsia="Times New Roman"/>
                <w:color w:val="000000"/>
                <w:lang w:eastAsia="ru-RU"/>
              </w:rPr>
            </w:pPr>
            <w:r w:rsidRPr="002A634E">
              <w:rPr>
                <w:rFonts w:eastAsia="Times New Roman"/>
                <w:color w:val="000000"/>
                <w:lang w:eastAsia="ru-RU"/>
              </w:rPr>
              <w:t>Препараты, содержащие зверобой продырявленный не должны использоваться совместно с эверолимусом.</w:t>
            </w:r>
          </w:p>
        </w:tc>
      </w:tr>
    </w:tbl>
    <w:p w14:paraId="00424CD6" w14:textId="40BE9B35" w:rsidR="00E75618" w:rsidRPr="007A52EB" w:rsidRDefault="007A52EB" w:rsidP="007A52EB">
      <w:pPr>
        <w:spacing w:before="240" w:after="240" w:line="240" w:lineRule="auto"/>
        <w:outlineLvl w:val="2"/>
        <w:rPr>
          <w:b/>
          <w:color w:val="000000" w:themeColor="text1"/>
        </w:rPr>
      </w:pPr>
      <w:bookmarkStart w:id="293" w:name="_Toc118124206"/>
      <w:bookmarkStart w:id="294" w:name="_Toc119313774"/>
      <w:r w:rsidRPr="00284823">
        <w:rPr>
          <w:b/>
          <w:color w:val="000000" w:themeColor="text1"/>
        </w:rPr>
        <w:t xml:space="preserve">4.1.2. </w:t>
      </w:r>
      <w:r w:rsidRPr="007A52EB">
        <w:rPr>
          <w:b/>
          <w:color w:val="000000" w:themeColor="text1"/>
        </w:rPr>
        <w:t>Фармакодинамика</w:t>
      </w:r>
      <w:bookmarkEnd w:id="290"/>
      <w:r w:rsidRPr="007A52EB">
        <w:rPr>
          <w:b/>
          <w:color w:val="000000" w:themeColor="text1"/>
        </w:rPr>
        <w:t xml:space="preserve"> </w:t>
      </w:r>
      <w:r w:rsidR="00E75618" w:rsidRPr="007A52EB">
        <w:rPr>
          <w:b/>
          <w:color w:val="000000" w:themeColor="text1"/>
        </w:rPr>
        <w:t>у человека</w:t>
      </w:r>
      <w:bookmarkEnd w:id="291"/>
      <w:bookmarkEnd w:id="293"/>
      <w:bookmarkEnd w:id="294"/>
    </w:p>
    <w:p w14:paraId="1D426D70" w14:textId="77777777" w:rsidR="001C54B1" w:rsidRPr="00695000" w:rsidRDefault="001C54B1" w:rsidP="001C54B1">
      <w:pPr>
        <w:spacing w:after="0" w:line="240" w:lineRule="auto"/>
        <w:ind w:firstLine="709"/>
        <w:contextualSpacing/>
      </w:pPr>
      <w:r w:rsidRPr="00695000">
        <w:t>Клинические механистические исследования эверолимуса не проводились.</w:t>
      </w:r>
    </w:p>
    <w:p w14:paraId="186D14A4" w14:textId="77777777" w:rsidR="001C54B1" w:rsidRPr="001C54B1" w:rsidRDefault="001C54B1" w:rsidP="001C54B1">
      <w:pPr>
        <w:spacing w:after="0" w:line="240" w:lineRule="auto"/>
        <w:ind w:firstLine="709"/>
      </w:pPr>
      <w:r w:rsidRPr="00695000">
        <w:t>Для оценки фармакодинамических свойств эверолимуса (корреляция эффективности/безопасности с экспозицией/дозой) проведено 3 фармакодинамических исследования. Кардиотоксичность эверолимуса изучена в отдельном фармакодинамич</w:t>
      </w:r>
      <w:r>
        <w:t>еском исследовании.</w:t>
      </w:r>
    </w:p>
    <w:p w14:paraId="2BBD9ED6" w14:textId="77777777" w:rsidR="001C54B1" w:rsidRPr="00193FF8" w:rsidRDefault="001C54B1" w:rsidP="001C54B1">
      <w:pPr>
        <w:widowControl w:val="0"/>
        <w:spacing w:after="0" w:line="240" w:lineRule="auto"/>
        <w:ind w:firstLine="709"/>
        <w:rPr>
          <w:bCs/>
          <w:color w:val="000000"/>
          <w:lang w:bidi="ru-RU"/>
        </w:rPr>
      </w:pPr>
      <w:r>
        <w:rPr>
          <w:rFonts w:eastAsia="Calibri"/>
          <w:lang w:eastAsia="ru-RU"/>
        </w:rPr>
        <w:t xml:space="preserve">В перекрестном исследовании влияния эверолимуса на интервал </w:t>
      </w:r>
      <w:r>
        <w:rPr>
          <w:rFonts w:eastAsia="Calibri"/>
          <w:lang w:val="en-US" w:eastAsia="ru-RU"/>
        </w:rPr>
        <w:t>QT</w:t>
      </w:r>
      <w:r>
        <w:rPr>
          <w:rFonts w:eastAsia="Calibri"/>
          <w:lang w:eastAsia="ru-RU"/>
        </w:rPr>
        <w:t xml:space="preserve"> с участием 59 здоровых добровольцев, участники получали эверолимус (в дозах 20 мг или</w:t>
      </w:r>
      <w:r w:rsidRPr="0067314B">
        <w:rPr>
          <w:rFonts w:eastAsia="Calibri"/>
          <w:lang w:eastAsia="ru-RU"/>
        </w:rPr>
        <w:t xml:space="preserve"> 50 мг</w:t>
      </w:r>
      <w:r>
        <w:rPr>
          <w:rFonts w:eastAsia="Calibri"/>
          <w:lang w:eastAsia="ru-RU"/>
        </w:rPr>
        <w:t>) или плацебо</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установлено, что эверолимус не вызывает увеличения продолжительности интервала </w:t>
      </w:r>
      <w:r>
        <w:rPr>
          <w:rFonts w:eastAsia="Calibri"/>
          <w:lang w:val="en-US" w:eastAsia="ru-RU"/>
        </w:rPr>
        <w:t>QT</w:t>
      </w:r>
      <w:r>
        <w:rPr>
          <w:rFonts w:eastAsia="Calibri"/>
          <w:lang w:eastAsia="ru-RU"/>
        </w:rPr>
        <w:t xml:space="preserve"> в дозах до 50 мг</w:t>
      </w:r>
      <w:r w:rsidRPr="00695000">
        <w:rPr>
          <w:rFonts w:eastAsia="Calibri"/>
          <w:lang w:eastAsia="ru-RU"/>
        </w:rPr>
        <w:t xml:space="preserve"> </w:t>
      </w:r>
      <w:r w:rsidRPr="00695000">
        <w:t>[2]</w:t>
      </w:r>
      <w:r>
        <w:rPr>
          <w:rFonts w:eastAsia="Calibri"/>
          <w:lang w:eastAsia="ru-RU"/>
        </w:rPr>
        <w:t>.</w:t>
      </w:r>
    </w:p>
    <w:p w14:paraId="51BFEA3A" w14:textId="77777777" w:rsidR="00DD166B" w:rsidRDefault="00DD166B" w:rsidP="00DD166B">
      <w:pPr>
        <w:spacing w:after="0" w:line="240" w:lineRule="auto"/>
      </w:pPr>
    </w:p>
    <w:p w14:paraId="3F3EA98D" w14:textId="1B16B8E5" w:rsidR="00B30F15" w:rsidRPr="00DD166B" w:rsidRDefault="00B30F15" w:rsidP="00DD166B">
      <w:pPr>
        <w:spacing w:after="0" w:line="240" w:lineRule="auto"/>
        <w:rPr>
          <w:b/>
        </w:rPr>
      </w:pPr>
      <w:r w:rsidRPr="00DD166B">
        <w:rPr>
          <w:b/>
        </w:rPr>
        <w:t>Фармакодинамические лекарственные взаимодействия</w:t>
      </w:r>
    </w:p>
    <w:p w14:paraId="7735F2A2" w14:textId="77777777" w:rsidR="00DD166B" w:rsidRDefault="00DD166B" w:rsidP="00DD166B">
      <w:pPr>
        <w:pStyle w:val="ab"/>
        <w:shd w:val="clear" w:color="auto" w:fill="FFFFFF"/>
        <w:spacing w:before="0" w:beforeAutospacing="0" w:after="0" w:afterAutospacing="0"/>
        <w:ind w:firstLine="709"/>
        <w:jc w:val="both"/>
      </w:pPr>
    </w:p>
    <w:p w14:paraId="61FB4EFA" w14:textId="46000543" w:rsidR="00556EE7" w:rsidRPr="00F417CF" w:rsidRDefault="001C54B1" w:rsidP="001C54B1">
      <w:pPr>
        <w:pStyle w:val="ab"/>
        <w:shd w:val="clear" w:color="auto" w:fill="FFFFFF"/>
        <w:spacing w:before="0" w:beforeAutospacing="0" w:after="0" w:afterAutospacing="0"/>
        <w:ind w:firstLine="709"/>
        <w:jc w:val="both"/>
      </w:pPr>
      <w:r w:rsidRPr="00707D60">
        <w:t>Иммунодепрессанты могут оказывать влияние на ответ при вакцинации; на фоне лечения эверолимусом вакцинация может быть менее эффективной. Следует избегать применения живых вакцин и тесного контакта с лицами, вакцинированными живыми вакцинами</w:t>
      </w:r>
      <w:r w:rsidRPr="00695000">
        <w:t xml:space="preserve"> [2,3]</w:t>
      </w:r>
      <w:r w:rsidRPr="00707D60">
        <w:t>.</w:t>
      </w:r>
      <w:r w:rsidRPr="00F417CF">
        <w:t xml:space="preserve"> </w:t>
      </w:r>
      <w:r w:rsidR="00F417CF" w:rsidRPr="00F417CF">
        <w:t xml:space="preserve"> </w:t>
      </w:r>
    </w:p>
    <w:p w14:paraId="0C9D1738" w14:textId="77777777" w:rsidR="003C3091" w:rsidRPr="00707D60" w:rsidRDefault="003C3091" w:rsidP="00707D60">
      <w:pPr>
        <w:pStyle w:val="ab"/>
        <w:shd w:val="clear" w:color="auto" w:fill="FFFFFF"/>
        <w:spacing w:before="0" w:beforeAutospacing="0" w:after="0" w:afterAutospacing="0"/>
        <w:ind w:firstLine="709"/>
        <w:jc w:val="both"/>
        <w:rPr>
          <w:highlight w:val="yellow"/>
        </w:rPr>
      </w:pPr>
    </w:p>
    <w:p w14:paraId="0111B4FA" w14:textId="34E406A6" w:rsidR="008B7FBF" w:rsidRPr="00707D60" w:rsidRDefault="008B7FBF" w:rsidP="00707D60">
      <w:pPr>
        <w:pStyle w:val="2"/>
        <w:spacing w:before="0" w:after="0" w:line="240" w:lineRule="auto"/>
        <w:rPr>
          <w:color w:val="000000" w:themeColor="text1"/>
          <w:szCs w:val="24"/>
        </w:rPr>
      </w:pPr>
      <w:bookmarkStart w:id="295" w:name="_Toc115217971"/>
      <w:bookmarkStart w:id="296" w:name="_Toc118124207"/>
      <w:bookmarkStart w:id="297" w:name="_Toc119313775"/>
      <w:r w:rsidRPr="00707D60">
        <w:rPr>
          <w:color w:val="000000" w:themeColor="text1"/>
          <w:szCs w:val="24"/>
        </w:rPr>
        <w:t>4.</w:t>
      </w:r>
      <w:r w:rsidR="00DD166B">
        <w:rPr>
          <w:color w:val="000000" w:themeColor="text1"/>
          <w:szCs w:val="24"/>
        </w:rPr>
        <w:t>2</w:t>
      </w:r>
      <w:r w:rsidRPr="00707D60">
        <w:rPr>
          <w:color w:val="000000" w:themeColor="text1"/>
          <w:szCs w:val="24"/>
        </w:rPr>
        <w:t>. Безопасность и эффективность</w:t>
      </w:r>
      <w:bookmarkEnd w:id="295"/>
      <w:bookmarkEnd w:id="296"/>
      <w:bookmarkEnd w:id="297"/>
    </w:p>
    <w:p w14:paraId="75E4A61D" w14:textId="77777777" w:rsidR="003C3091" w:rsidRPr="00707D60" w:rsidRDefault="003C3091" w:rsidP="00707D60">
      <w:pPr>
        <w:spacing w:after="0" w:line="240" w:lineRule="auto"/>
      </w:pPr>
    </w:p>
    <w:p w14:paraId="5FC1A2F2" w14:textId="7F6F1FBC" w:rsidR="003C3091" w:rsidRPr="00707D60" w:rsidRDefault="00AB20DF" w:rsidP="00707D60">
      <w:pPr>
        <w:pStyle w:val="3"/>
        <w:spacing w:before="0" w:after="0" w:line="240" w:lineRule="auto"/>
        <w:rPr>
          <w:rFonts w:ascii="Times New Roman" w:hAnsi="Times New Roman"/>
          <w:szCs w:val="24"/>
        </w:rPr>
      </w:pPr>
      <w:bookmarkStart w:id="298" w:name="_Toc52190587"/>
      <w:bookmarkStart w:id="299" w:name="_Toc115217972"/>
      <w:bookmarkStart w:id="300" w:name="_Toc118124208"/>
      <w:bookmarkStart w:id="301" w:name="_Toc119313776"/>
      <w:r w:rsidRPr="00707D60">
        <w:rPr>
          <w:rFonts w:ascii="Times New Roman" w:hAnsi="Times New Roman"/>
          <w:szCs w:val="24"/>
        </w:rPr>
        <w:t>4.</w:t>
      </w:r>
      <w:r w:rsidR="00DD166B">
        <w:rPr>
          <w:rFonts w:ascii="Times New Roman" w:hAnsi="Times New Roman"/>
          <w:szCs w:val="24"/>
        </w:rPr>
        <w:t>2</w:t>
      </w:r>
      <w:r w:rsidRPr="00707D60">
        <w:rPr>
          <w:rFonts w:ascii="Times New Roman" w:hAnsi="Times New Roman"/>
          <w:szCs w:val="24"/>
        </w:rPr>
        <w:t>.1</w:t>
      </w:r>
      <w:bookmarkEnd w:id="298"/>
      <w:r w:rsidR="00B30F15" w:rsidRPr="00707D60">
        <w:rPr>
          <w:rFonts w:ascii="Times New Roman" w:hAnsi="Times New Roman"/>
          <w:szCs w:val="24"/>
        </w:rPr>
        <w:t>. Клиническая эффективность</w:t>
      </w:r>
      <w:bookmarkEnd w:id="299"/>
      <w:bookmarkEnd w:id="300"/>
      <w:bookmarkEnd w:id="301"/>
    </w:p>
    <w:p w14:paraId="039BF437" w14:textId="4070E980" w:rsidR="00DD166B" w:rsidRDefault="00DD166B" w:rsidP="00DD166B">
      <w:pPr>
        <w:spacing w:after="0" w:line="240" w:lineRule="auto"/>
        <w:ind w:firstLine="851"/>
      </w:pPr>
    </w:p>
    <w:p w14:paraId="4D583FCB" w14:textId="77777777" w:rsidR="001C54B1" w:rsidRPr="00DA0DA9" w:rsidRDefault="001C54B1" w:rsidP="001C54B1">
      <w:pPr>
        <w:spacing w:after="0" w:line="240" w:lineRule="auto"/>
        <w:ind w:firstLine="709"/>
      </w:pP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о участие в общей сложности 4449 пациентов. Х</w:t>
      </w:r>
      <w:r w:rsidRPr="00DA0DA9">
        <w:t>отя бы од</w:t>
      </w:r>
      <w:r>
        <w:t>ну дозу эверолимуса приняли 2825</w:t>
      </w:r>
      <w:r w:rsidRPr="00DA0DA9">
        <w:t xml:space="preserve"> пациентов, из них </w:t>
      </w:r>
      <w:r>
        <w:t>1622 пациента получали иммуносупрессивную терапию как реципиенты трансплантата почки, 958 пациентов – как реципиенты трансплантата сердца и 245 пациентов – как реципиенты трансплантата печени.</w:t>
      </w:r>
      <w:r w:rsidRPr="00DA0DA9">
        <w:t xml:space="preserve"> </w:t>
      </w:r>
      <w:r>
        <w:t>Наблюдение за субъектами исследования составляло от 6 до 36 месяцев.</w:t>
      </w:r>
    </w:p>
    <w:p w14:paraId="4D943EC3" w14:textId="77777777" w:rsidR="001C54B1" w:rsidRPr="008C08C9" w:rsidRDefault="001C54B1" w:rsidP="001C54B1">
      <w:pPr>
        <w:spacing w:after="0" w:line="240" w:lineRule="auto"/>
        <w:ind w:firstLine="709"/>
      </w:pPr>
      <w:r w:rsidRPr="00DA0DA9">
        <w:t>В большинстве исследований</w:t>
      </w:r>
      <w:r>
        <w:t xml:space="preserve"> первичной конечной точкой был комбинированный показатель: неэффективности трансплантата, смерть или утрата контакта для дальнейшего наблюдения. В ряде исследований в качестве первичной конечной точки фигурировали параметры безопасности (например, оценка функции почек или частота развития инфекций), а оценка эффективности </w:t>
      </w:r>
      <w:r>
        <w:lastRenderedPageBreak/>
        <w:t>трансплантата выступала в качестве вторичной конечной точки</w:t>
      </w:r>
      <w:r w:rsidRPr="00695000">
        <w:t xml:space="preserve"> [5,6,7,8,9,10,11,12]</w:t>
      </w:r>
      <w:r>
        <w:t>.</w:t>
      </w:r>
    </w:p>
    <w:p w14:paraId="4B38ADE2" w14:textId="77777777" w:rsidR="001C54B1" w:rsidRDefault="001C54B1" w:rsidP="001C54B1">
      <w:pPr>
        <w:spacing w:after="0" w:line="240" w:lineRule="auto"/>
        <w:ind w:firstLine="709"/>
      </w:pPr>
      <w:r>
        <w:t xml:space="preserve">По результатам данных исследований эверолимус был впервые одобрен </w:t>
      </w:r>
      <w:r>
        <w:rPr>
          <w:lang w:val="en-US"/>
        </w:rPr>
        <w:t>FDA</w:t>
      </w:r>
      <w:r>
        <w:t xml:space="preserve"> как иммуносупрессант для реципиентов трансплантата почки 22 апреля 2010 года</w:t>
      </w:r>
      <w:r w:rsidRPr="00695000">
        <w:t xml:space="preserve"> [1]</w:t>
      </w:r>
      <w:r>
        <w:t>.</w:t>
      </w:r>
    </w:p>
    <w:p w14:paraId="014396A5" w14:textId="23CAB876" w:rsidR="00BF3BBC" w:rsidRPr="008A7500" w:rsidRDefault="001C54B1" w:rsidP="008A7500">
      <w:pPr>
        <w:spacing w:after="0" w:line="240" w:lineRule="auto"/>
        <w:ind w:firstLine="709"/>
        <w:rPr>
          <w:color w:val="000000"/>
        </w:rPr>
      </w:pPr>
      <w:r>
        <w:t>В России оригинальный препарат Сертикан</w:t>
      </w:r>
      <w:r w:rsidRPr="008C08C9">
        <w:rPr>
          <w:vertAlign w:val="superscript"/>
        </w:rPr>
        <w:t>®</w:t>
      </w:r>
      <w:r>
        <w:t xml:space="preserve"> был впервые зарегистрирован 29 июля 2011 года</w:t>
      </w:r>
      <w:r w:rsidRPr="00695000">
        <w:t xml:space="preserve"> [4]</w:t>
      </w:r>
      <w:r>
        <w:t>.</w:t>
      </w:r>
    </w:p>
    <w:p w14:paraId="75809184" w14:textId="77777777" w:rsidR="001C54B1" w:rsidRPr="008A7500" w:rsidRDefault="001C54B1" w:rsidP="008A7500">
      <w:pPr>
        <w:pStyle w:val="4"/>
        <w:spacing w:after="240" w:line="240" w:lineRule="auto"/>
        <w:rPr>
          <w:rFonts w:ascii="Times New Roman" w:hAnsi="Times New Roman"/>
          <w:b w:val="0"/>
          <w:color w:val="000000" w:themeColor="text1"/>
          <w:sz w:val="24"/>
          <w:szCs w:val="24"/>
        </w:rPr>
      </w:pPr>
      <w:bookmarkStart w:id="302" w:name="_Toc112014983"/>
      <w:bookmarkStart w:id="303" w:name="_Toc115217973"/>
      <w:bookmarkStart w:id="304" w:name="_Toc118124209"/>
      <w:bookmarkStart w:id="305" w:name="_Toc119313777"/>
      <w:bookmarkStart w:id="306" w:name="_Toc60075762"/>
      <w:r w:rsidRPr="008A7500">
        <w:rPr>
          <w:rFonts w:ascii="Times New Roman" w:hAnsi="Times New Roman"/>
          <w:color w:val="000000" w:themeColor="text1"/>
          <w:sz w:val="24"/>
          <w:szCs w:val="24"/>
        </w:rPr>
        <w:t>4.2.1.1.</w:t>
      </w:r>
      <w:bookmarkEnd w:id="302"/>
      <w:r w:rsidRPr="008A7500">
        <w:rPr>
          <w:rFonts w:ascii="Times New Roman" w:hAnsi="Times New Roman"/>
          <w:color w:val="000000" w:themeColor="text1"/>
          <w:sz w:val="24"/>
          <w:szCs w:val="24"/>
        </w:rPr>
        <w:t xml:space="preserve"> </w:t>
      </w:r>
      <w:bookmarkEnd w:id="303"/>
      <w:r w:rsidRPr="008A7500">
        <w:rPr>
          <w:rFonts w:ascii="Times New Roman" w:hAnsi="Times New Roman"/>
          <w:iCs/>
          <w:sz w:val="24"/>
          <w:szCs w:val="24"/>
        </w:rPr>
        <w:t>Трансплантация почки</w:t>
      </w:r>
      <w:bookmarkEnd w:id="304"/>
      <w:bookmarkEnd w:id="305"/>
    </w:p>
    <w:bookmarkEnd w:id="306"/>
    <w:p w14:paraId="2F7C5359" w14:textId="16615AB0" w:rsidR="001C54B1" w:rsidRPr="00695000" w:rsidRDefault="00961899" w:rsidP="001C54B1">
      <w:pPr>
        <w:shd w:val="clear" w:color="auto" w:fill="FFFFFF"/>
        <w:spacing w:after="143" w:line="240" w:lineRule="auto"/>
        <w:ind w:firstLine="709"/>
        <w:contextualSpacing/>
        <w:rPr>
          <w:rFonts w:eastAsia="Times New Roman"/>
          <w:color w:val="000000"/>
          <w:lang w:eastAsia="ru-RU"/>
        </w:rPr>
      </w:pPr>
      <w:r>
        <w:rPr>
          <w:rFonts w:eastAsia="Times New Roman"/>
          <w:color w:val="000000"/>
          <w:lang w:eastAsia="ru-RU"/>
        </w:rPr>
        <w:t>Эверолимус</w:t>
      </w:r>
      <w:r w:rsidR="001C54B1" w:rsidRPr="00695000">
        <w:rPr>
          <w:rFonts w:eastAsia="Times New Roman"/>
          <w:color w:val="000000"/>
          <w:lang w:eastAsia="ru-RU"/>
        </w:rPr>
        <w:t xml:space="preserve"> в фиксированных дозах 1,5 мг/сут и 3 мг/сут в комбинации со стандартными дозами циклоспорина для получения микроэмульсии и кортикостероидов был изучен в двух исследованиях III фазы с трансплантацией почки взрослым пациентам </w:t>
      </w:r>
      <w:r w:rsidR="001C54B1" w:rsidRPr="00695000">
        <w:rPr>
          <w:rFonts w:eastAsia="Times New Roman"/>
          <w:i/>
          <w:iCs/>
          <w:color w:val="000000"/>
          <w:lang w:eastAsia="ru-RU"/>
        </w:rPr>
        <w:t>de novo</w:t>
      </w:r>
      <w:r w:rsidR="001C54B1" w:rsidRPr="00695000">
        <w:rPr>
          <w:rFonts w:eastAsia="Times New Roman"/>
          <w:color w:val="000000"/>
          <w:lang w:eastAsia="ru-RU"/>
        </w:rPr>
        <w:t xml:space="preserve"> (B201 и B251). В качестве препарата сравнения использовали микофенолата мофетил (MMF) 1 г </w:t>
      </w:r>
      <w:r w:rsidR="001C54B1" w:rsidRPr="00695000">
        <w:rPr>
          <w:rFonts w:eastAsia="Times New Roman"/>
          <w:i/>
          <w:iCs/>
          <w:color w:val="000000"/>
          <w:lang w:eastAsia="ru-RU"/>
        </w:rPr>
        <w:t>2 р/сут</w:t>
      </w:r>
      <w:r w:rsidR="001C54B1" w:rsidRPr="00695000">
        <w:rPr>
          <w:rFonts w:eastAsia="Times New Roman"/>
          <w:color w:val="000000"/>
          <w:lang w:eastAsia="ru-RU"/>
        </w:rPr>
        <w:t xml:space="preserve">. Комбинированными первичными составными конечными точками были неэффективность (подтвержденное биопсией острое отторжение, отторжение трансплантата, смерть или утрата контакта для последующего наблюдения) через 6 месяцев и отторжение трансплантата, смерть или утрата контакта для последующего наблюдения через 12 месяцев. В целом </w:t>
      </w:r>
      <w:r>
        <w:rPr>
          <w:rFonts w:eastAsia="Times New Roman"/>
          <w:color w:val="000000"/>
          <w:lang w:eastAsia="ru-RU"/>
        </w:rPr>
        <w:t>эверолимус</w:t>
      </w:r>
      <w:r w:rsidR="001C54B1" w:rsidRPr="00695000">
        <w:rPr>
          <w:rFonts w:eastAsia="Times New Roman"/>
          <w:color w:val="000000"/>
          <w:lang w:eastAsia="ru-RU"/>
        </w:rPr>
        <w:t xml:space="preserve"> не уступал MMF в данных исследованиях. Частота подтвержденного биопсией острого отторжения через 6 месяцев в исследовании B201 составила 21,6 %, 18,2 % и 23,5 % в группах </w:t>
      </w:r>
      <w:r>
        <w:rPr>
          <w:rFonts w:eastAsia="Times New Roman"/>
          <w:color w:val="000000"/>
          <w:lang w:eastAsia="ru-RU"/>
        </w:rPr>
        <w:t>эверолимуса</w:t>
      </w:r>
      <w:r w:rsidR="001C54B1" w:rsidRPr="00695000">
        <w:rPr>
          <w:rFonts w:eastAsia="Times New Roman"/>
          <w:color w:val="000000"/>
          <w:lang w:eastAsia="ru-RU"/>
        </w:rPr>
        <w:t xml:space="preserve"> 1,5 мг/сут, </w:t>
      </w:r>
      <w:r>
        <w:rPr>
          <w:rFonts w:eastAsia="Times New Roman"/>
          <w:color w:val="000000"/>
          <w:lang w:eastAsia="ru-RU"/>
        </w:rPr>
        <w:t>эверолимуса</w:t>
      </w:r>
      <w:r w:rsidRPr="00695000">
        <w:rPr>
          <w:rFonts w:eastAsia="Times New Roman"/>
          <w:color w:val="000000"/>
          <w:lang w:eastAsia="ru-RU"/>
        </w:rPr>
        <w:t xml:space="preserve"> </w:t>
      </w:r>
      <w:r w:rsidR="001C54B1" w:rsidRPr="00695000">
        <w:rPr>
          <w:rFonts w:eastAsia="Times New Roman"/>
          <w:color w:val="000000"/>
          <w:lang w:eastAsia="ru-RU"/>
        </w:rPr>
        <w:t xml:space="preserve">3 мг/сут и MMF, соответственно. В исследовании B251 частота встречаемости составила 17,1 %, 20,1 % и 23,5 % для групп </w:t>
      </w:r>
      <w:r>
        <w:rPr>
          <w:rFonts w:eastAsia="Times New Roman"/>
          <w:color w:val="000000"/>
          <w:lang w:eastAsia="ru-RU"/>
        </w:rPr>
        <w:t>эверолимуса</w:t>
      </w:r>
      <w:r w:rsidRPr="00695000">
        <w:rPr>
          <w:rFonts w:eastAsia="Times New Roman"/>
          <w:color w:val="000000"/>
          <w:lang w:eastAsia="ru-RU"/>
        </w:rPr>
        <w:t xml:space="preserve"> </w:t>
      </w:r>
      <w:r w:rsidR="001C54B1" w:rsidRPr="00695000">
        <w:rPr>
          <w:rFonts w:eastAsia="Times New Roman"/>
          <w:color w:val="000000"/>
          <w:lang w:eastAsia="ru-RU"/>
        </w:rPr>
        <w:t xml:space="preserve">1,5 мг/сут, </w:t>
      </w:r>
      <w:r>
        <w:rPr>
          <w:rFonts w:eastAsia="Times New Roman"/>
          <w:color w:val="000000"/>
          <w:lang w:eastAsia="ru-RU"/>
        </w:rPr>
        <w:t>эверолимуса</w:t>
      </w:r>
      <w:r w:rsidRPr="00695000">
        <w:rPr>
          <w:rFonts w:eastAsia="Times New Roman"/>
          <w:color w:val="000000"/>
          <w:lang w:eastAsia="ru-RU"/>
        </w:rPr>
        <w:t xml:space="preserve"> </w:t>
      </w:r>
      <w:r w:rsidR="001C54B1" w:rsidRPr="00695000">
        <w:rPr>
          <w:rFonts w:eastAsia="Times New Roman"/>
          <w:color w:val="000000"/>
          <w:lang w:eastAsia="ru-RU"/>
        </w:rPr>
        <w:t>3 мг/сут и MMF, соответственно [3,5,6].</w:t>
      </w:r>
    </w:p>
    <w:p w14:paraId="4F9652E6" w14:textId="0AD4AAC9"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Снижение функции аллотрансплантата с повышением уровня креатинина в сыворотке крови наблюдалось чаще у пациентов, получавших </w:t>
      </w:r>
      <w:r w:rsidR="00961899">
        <w:rPr>
          <w:rFonts w:eastAsia="Times New Roman"/>
          <w:color w:val="000000"/>
          <w:lang w:eastAsia="ru-RU"/>
        </w:rPr>
        <w:t xml:space="preserve">эверолимус </w:t>
      </w:r>
      <w:r w:rsidRPr="00695000">
        <w:rPr>
          <w:rFonts w:eastAsia="Times New Roman"/>
          <w:color w:val="000000"/>
          <w:lang w:eastAsia="ru-RU"/>
        </w:rPr>
        <w:t xml:space="preserve">в комбинации с полной дозой циклоспорина для получения микроэмульсии, чем у пациентов, получавших MMF. Этот эффект свидетельствует о том, что </w:t>
      </w:r>
      <w:r w:rsidR="00961899">
        <w:rPr>
          <w:rFonts w:eastAsia="Times New Roman"/>
          <w:color w:val="000000"/>
          <w:lang w:eastAsia="ru-RU"/>
        </w:rPr>
        <w:t>эверолимус</w:t>
      </w:r>
      <w:r w:rsidRPr="00695000">
        <w:rPr>
          <w:rFonts w:eastAsia="Times New Roman"/>
          <w:color w:val="000000"/>
          <w:lang w:eastAsia="ru-RU"/>
        </w:rPr>
        <w:t xml:space="preserve"> усиливает нефротоксичность циклоспорина. Анализ зависимости фармакодинамики от концентрации препарата показал, что функция почек не нарушалась при снижении экспозиции циклоспорина, при этом эффективность сохранялась до тех пор, пока концентрация эверолимуса в крови сохранялась выше 3 нг/мл. Впоследствии эта концепция была подтверждена в двух дальнейших исследованиях III фазы (A2306 и A2307, включавших 237 и 256 пациентов, соответственно), в которых оценивали эффективность и безопасность </w:t>
      </w:r>
      <w:r w:rsidR="00961899">
        <w:rPr>
          <w:rFonts w:eastAsia="Times New Roman"/>
          <w:color w:val="000000"/>
          <w:lang w:eastAsia="ru-RU"/>
        </w:rPr>
        <w:t>эверолимуса</w:t>
      </w:r>
      <w:r w:rsidRPr="00695000">
        <w:rPr>
          <w:rFonts w:eastAsia="Times New Roman"/>
          <w:color w:val="000000"/>
          <w:lang w:eastAsia="ru-RU"/>
        </w:rPr>
        <w:t xml:space="preserve"> в дозах 1,5 мг и 3 мг в сутки (начальная доза; последующее дозирование основано на целевой минимальной концентрации ≥ 3 нг/мл) в сочетании со сниженной экспозицией циклоспорина. В обоих исследованиях функция почек была сохранена без нарушения эффективности. Однако в этих исследованиях отсутствовала группа сравнения, не получавшая </w:t>
      </w:r>
      <w:r w:rsidR="00961899">
        <w:rPr>
          <w:rFonts w:eastAsia="Times New Roman"/>
          <w:color w:val="000000"/>
          <w:lang w:eastAsia="ru-RU"/>
        </w:rPr>
        <w:t>эверолимус</w:t>
      </w:r>
      <w:r w:rsidRPr="00695000">
        <w:rPr>
          <w:rFonts w:eastAsia="Times New Roman"/>
          <w:color w:val="000000"/>
          <w:lang w:eastAsia="ru-RU"/>
        </w:rPr>
        <w:t xml:space="preserve"> [3,7].</w:t>
      </w:r>
    </w:p>
    <w:p w14:paraId="54F72C07" w14:textId="31F07059"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Было завершено многоцентровое рандомизированное открытое контролируемое исследование III фазы (A2309), в ходе которого 833 реципиента трансплантата почки </w:t>
      </w:r>
      <w:r w:rsidRPr="00695000">
        <w:rPr>
          <w:rFonts w:eastAsia="Times New Roman"/>
          <w:i/>
          <w:iCs/>
          <w:color w:val="000000"/>
          <w:lang w:eastAsia="ru-RU"/>
        </w:rPr>
        <w:t>de novo</w:t>
      </w:r>
      <w:r w:rsidRPr="00695000">
        <w:rPr>
          <w:rFonts w:eastAsia="Times New Roman"/>
          <w:color w:val="000000"/>
          <w:lang w:eastAsia="ru-RU"/>
        </w:rPr>
        <w:t xml:space="preserve"> были рандомизированы для получения одной из двух схем терапии </w:t>
      </w:r>
      <w:r w:rsidR="00961899">
        <w:rPr>
          <w:rFonts w:eastAsia="Times New Roman"/>
          <w:color w:val="000000"/>
          <w:lang w:eastAsia="ru-RU"/>
        </w:rPr>
        <w:t>эверолимусом</w:t>
      </w:r>
      <w:r w:rsidRPr="00695000">
        <w:rPr>
          <w:rFonts w:eastAsia="Times New Roman"/>
          <w:color w:val="000000"/>
          <w:lang w:eastAsia="ru-RU"/>
        </w:rPr>
        <w:t>, отличающихся дозами, в сочетании с цикло</w:t>
      </w:r>
      <w:r w:rsidRPr="00695000">
        <w:rPr>
          <w:rFonts w:eastAsia="Times New Roman"/>
          <w:color w:val="000000"/>
          <w:lang w:eastAsia="ru-RU"/>
        </w:rPr>
        <w:lastRenderedPageBreak/>
        <w:t>спорином в сниженных дозах или стандартной схемы применения микофенолата натрия (MPA) + циклоспорин и получали лечение в течение 12 месяцев. Все пациенты получали индукционную терапию базиликсимабом до трансплантации и на 4</w:t>
      </w:r>
      <w:r w:rsidRPr="00695000">
        <w:rPr>
          <w:rFonts w:eastAsia="Times New Roman"/>
          <w:color w:val="000000"/>
          <w:lang w:eastAsia="ru-RU"/>
        </w:rPr>
        <w:noBreakHyphen/>
        <w:t>й день после трансплантации. Стероиды применяли по мере необходимости после трансплантации.</w:t>
      </w:r>
    </w:p>
    <w:p w14:paraId="2960E6A8" w14:textId="7DCE079E"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Начальные дозы в двух группах </w:t>
      </w:r>
      <w:r w:rsidR="00961899">
        <w:rPr>
          <w:rFonts w:eastAsia="Times New Roman"/>
          <w:color w:val="000000"/>
          <w:lang w:eastAsia="ru-RU"/>
        </w:rPr>
        <w:t>эверолимуса</w:t>
      </w:r>
      <w:r w:rsidRPr="00695000">
        <w:rPr>
          <w:rFonts w:eastAsia="Times New Roman"/>
          <w:color w:val="000000"/>
          <w:lang w:eastAsia="ru-RU"/>
        </w:rPr>
        <w:t xml:space="preserve"> составляли 1,5 мг/сут и 3 мг/сут, </w:t>
      </w:r>
      <w:r w:rsidRPr="00695000">
        <w:rPr>
          <w:rFonts w:eastAsia="Times New Roman"/>
          <w:iCs/>
          <w:color w:val="000000"/>
          <w:lang w:eastAsia="ru-RU"/>
        </w:rPr>
        <w:t>вводимые в двух отдельных дозах</w:t>
      </w:r>
      <w:r w:rsidRPr="00695000">
        <w:rPr>
          <w:rFonts w:eastAsia="Times New Roman"/>
          <w:color w:val="000000"/>
          <w:lang w:eastAsia="ru-RU"/>
        </w:rPr>
        <w:t>, которые впоследствии изменялись с 5</w:t>
      </w:r>
      <w:r w:rsidRPr="00695000">
        <w:rPr>
          <w:rFonts w:eastAsia="Times New Roman"/>
          <w:color w:val="000000"/>
          <w:lang w:eastAsia="ru-RU"/>
        </w:rPr>
        <w:noBreakHyphen/>
        <w:t>го дня для поддержания целевых концентраций эверолимуса в крови на уровне 3-8 нг/мл и 6-12 нг/мл, соответственно. Доза микофенолата натрия составляла 1,44 г/сут. Дозы циклоспорина были адаптированы для поддержания целевых значений минимальной концентрации в крови, как показано в таблице 6. Фактические измеренные значения концентраций эверолимуса и циклоспорина в крови (C</w:t>
      </w:r>
      <w:r w:rsidRPr="00695000">
        <w:rPr>
          <w:rFonts w:eastAsia="Times New Roman"/>
          <w:color w:val="000000"/>
          <w:vertAlign w:val="subscript"/>
          <w:lang w:eastAsia="ru-RU"/>
        </w:rPr>
        <w:t>0</w:t>
      </w:r>
      <w:r w:rsidRPr="00695000">
        <w:rPr>
          <w:rFonts w:eastAsia="Times New Roman"/>
          <w:color w:val="000000"/>
          <w:lang w:eastAsia="ru-RU"/>
        </w:rPr>
        <w:t xml:space="preserve"> и C2) приведены в таблице 4-5.</w:t>
      </w:r>
    </w:p>
    <w:p w14:paraId="057D73E8" w14:textId="76505621"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Несмотря на то, что схема с более высокой дозой </w:t>
      </w:r>
      <w:r w:rsidR="00A834C9">
        <w:rPr>
          <w:rFonts w:eastAsia="Times New Roman"/>
          <w:color w:val="000000"/>
          <w:lang w:eastAsia="ru-RU"/>
        </w:rPr>
        <w:t>эверолимуса</w:t>
      </w:r>
      <w:r w:rsidRPr="00695000">
        <w:rPr>
          <w:rFonts w:eastAsia="Times New Roman"/>
          <w:color w:val="000000"/>
          <w:lang w:eastAsia="ru-RU"/>
        </w:rPr>
        <w:t xml:space="preserve"> была столь же эффективна, как и схема с более низкой дозой, общая безопасность была ниже, поэтому схема с более высокой дозой не рекомендуется.</w:t>
      </w:r>
    </w:p>
    <w:p w14:paraId="38D43996" w14:textId="51F701DB"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Рекомендуется схема применения </w:t>
      </w:r>
      <w:r w:rsidR="00961899">
        <w:rPr>
          <w:rFonts w:eastAsia="Times New Roman"/>
          <w:color w:val="000000"/>
          <w:lang w:eastAsia="ru-RU"/>
        </w:rPr>
        <w:t xml:space="preserve">эверолимуса </w:t>
      </w:r>
      <w:r w:rsidRPr="00695000">
        <w:rPr>
          <w:rFonts w:eastAsia="Times New Roman"/>
          <w:color w:val="000000"/>
          <w:lang w:eastAsia="ru-RU"/>
        </w:rPr>
        <w:t>в более низких дозах [3,8].</w:t>
      </w:r>
    </w:p>
    <w:p w14:paraId="40B21312" w14:textId="77777777" w:rsidR="001C54B1" w:rsidRPr="00695000" w:rsidRDefault="001C54B1" w:rsidP="001C54B1">
      <w:pPr>
        <w:shd w:val="clear" w:color="auto" w:fill="FFFFFF"/>
        <w:spacing w:after="143" w:line="240" w:lineRule="auto"/>
        <w:contextualSpacing/>
        <w:rPr>
          <w:rFonts w:eastAsia="Times New Roman"/>
          <w:color w:val="000000"/>
          <w:lang w:eastAsia="ru-RU"/>
        </w:rPr>
      </w:pPr>
    </w:p>
    <w:p w14:paraId="3690E20A" w14:textId="77777777" w:rsidR="008A7500" w:rsidRDefault="008A7500" w:rsidP="00411567">
      <w:pPr>
        <w:shd w:val="clear" w:color="auto" w:fill="FFFFFF"/>
        <w:spacing w:after="143" w:line="240" w:lineRule="auto"/>
        <w:contextualSpacing/>
        <w:rPr>
          <w:rFonts w:eastAsia="Times New Roman"/>
          <w:b/>
          <w:bCs/>
          <w:color w:val="000000"/>
          <w:lang w:eastAsia="ru-RU"/>
        </w:rPr>
        <w:sectPr w:rsidR="008A7500" w:rsidSect="00AB01E2">
          <w:pgSz w:w="11906" w:h="16838"/>
          <w:pgMar w:top="1134" w:right="849" w:bottom="1134" w:left="1701" w:header="708" w:footer="709" w:gutter="0"/>
          <w:cols w:space="708"/>
          <w:docGrid w:linePitch="360"/>
        </w:sectPr>
      </w:pPr>
    </w:p>
    <w:p w14:paraId="7C6A876D" w14:textId="27D8786E" w:rsidR="00411567" w:rsidRDefault="001C54B1" w:rsidP="00411567">
      <w:pPr>
        <w:shd w:val="clear" w:color="auto" w:fill="FFFFFF"/>
        <w:spacing w:after="143" w:line="240" w:lineRule="auto"/>
        <w:contextualSpacing/>
        <w:rPr>
          <w:rFonts w:eastAsia="Times New Roman"/>
          <w:bCs/>
          <w:color w:val="000000"/>
          <w:lang w:eastAsia="ru-RU"/>
        </w:rPr>
      </w:pPr>
      <w:r w:rsidRPr="00695000">
        <w:rPr>
          <w:rFonts w:eastAsia="Times New Roman"/>
          <w:b/>
          <w:bCs/>
          <w:color w:val="000000"/>
          <w:lang w:eastAsia="ru-RU"/>
        </w:rPr>
        <w:lastRenderedPageBreak/>
        <w:t xml:space="preserve">Таблица </w:t>
      </w:r>
      <w:r w:rsidRPr="001C54B1">
        <w:rPr>
          <w:rFonts w:eastAsia="Times New Roman"/>
          <w:b/>
          <w:bCs/>
          <w:color w:val="000000"/>
          <w:lang w:eastAsia="ru-RU"/>
        </w:rPr>
        <w:t>4-5</w:t>
      </w:r>
      <w:r w:rsidRPr="00695000">
        <w:rPr>
          <w:rFonts w:eastAsia="Times New Roman"/>
          <w:b/>
          <w:bCs/>
          <w:color w:val="000000"/>
          <w:lang w:eastAsia="ru-RU"/>
        </w:rPr>
        <w:t xml:space="preserve">. </w:t>
      </w:r>
      <w:r w:rsidRPr="00695000">
        <w:rPr>
          <w:rFonts w:eastAsia="Times New Roman"/>
          <w:bCs/>
          <w:color w:val="000000"/>
          <w:lang w:eastAsia="ru-RU"/>
        </w:rPr>
        <w:t>Исследование A2309: Заданные интервалы минимальной концентрации циклоспорина в крови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184"/>
        <w:gridCol w:w="1791"/>
        <w:gridCol w:w="1791"/>
        <w:gridCol w:w="1791"/>
        <w:gridCol w:w="1789"/>
      </w:tblGrid>
      <w:tr w:rsidR="00411567" w:rsidRPr="00695000" w14:paraId="620C2655" w14:textId="77777777" w:rsidTr="008A7500">
        <w:trPr>
          <w:tblHeader/>
        </w:trPr>
        <w:tc>
          <w:tcPr>
            <w:tcW w:w="1169" w:type="pct"/>
            <w:shd w:val="clear" w:color="auto" w:fill="D9D9D9" w:themeFill="background1" w:themeFillShade="D9"/>
            <w:tcMar>
              <w:top w:w="30" w:type="dxa"/>
              <w:left w:w="30" w:type="dxa"/>
              <w:bottom w:w="30" w:type="dxa"/>
              <w:right w:w="30" w:type="dxa"/>
            </w:tcMar>
            <w:vAlign w:val="center"/>
            <w:hideMark/>
          </w:tcPr>
          <w:p w14:paraId="1B655089"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b/>
                <w:bCs/>
                <w:lang w:eastAsia="ru-RU"/>
              </w:rPr>
              <w:t>Заданная C</w:t>
            </w:r>
            <w:r w:rsidRPr="00695000">
              <w:rPr>
                <w:rFonts w:eastAsia="Times New Roman"/>
                <w:b/>
                <w:bCs/>
                <w:vertAlign w:val="subscript"/>
                <w:lang w:eastAsia="ru-RU"/>
              </w:rPr>
              <w:t>0</w:t>
            </w:r>
            <w:r w:rsidRPr="00695000">
              <w:rPr>
                <w:rFonts w:eastAsia="Times New Roman"/>
                <w:b/>
                <w:bCs/>
                <w:lang w:eastAsia="ru-RU"/>
              </w:rPr>
              <w:t> циклоспорина (нг/мл)</w:t>
            </w:r>
          </w:p>
        </w:tc>
        <w:tc>
          <w:tcPr>
            <w:tcW w:w="958" w:type="pct"/>
            <w:shd w:val="clear" w:color="auto" w:fill="D9D9D9" w:themeFill="background1" w:themeFillShade="D9"/>
            <w:tcMar>
              <w:top w:w="30" w:type="dxa"/>
              <w:left w:w="30" w:type="dxa"/>
              <w:bottom w:w="30" w:type="dxa"/>
              <w:right w:w="30" w:type="dxa"/>
            </w:tcMar>
            <w:vAlign w:val="center"/>
            <w:hideMark/>
          </w:tcPr>
          <w:p w14:paraId="18CF4A46"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b/>
                <w:bCs/>
                <w:lang w:eastAsia="ru-RU"/>
              </w:rPr>
              <w:t>Мес. 1</w:t>
            </w:r>
          </w:p>
        </w:tc>
        <w:tc>
          <w:tcPr>
            <w:tcW w:w="958" w:type="pct"/>
            <w:shd w:val="clear" w:color="auto" w:fill="D9D9D9" w:themeFill="background1" w:themeFillShade="D9"/>
            <w:tcMar>
              <w:top w:w="30" w:type="dxa"/>
              <w:left w:w="30" w:type="dxa"/>
              <w:bottom w:w="30" w:type="dxa"/>
              <w:right w:w="30" w:type="dxa"/>
            </w:tcMar>
            <w:vAlign w:val="center"/>
            <w:hideMark/>
          </w:tcPr>
          <w:p w14:paraId="6361233D"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b/>
                <w:bCs/>
                <w:lang w:eastAsia="ru-RU"/>
              </w:rPr>
              <w:t>Мес. 2-3</w:t>
            </w:r>
          </w:p>
        </w:tc>
        <w:tc>
          <w:tcPr>
            <w:tcW w:w="958" w:type="pct"/>
            <w:shd w:val="clear" w:color="auto" w:fill="D9D9D9" w:themeFill="background1" w:themeFillShade="D9"/>
            <w:tcMar>
              <w:top w:w="30" w:type="dxa"/>
              <w:left w:w="30" w:type="dxa"/>
              <w:bottom w:w="30" w:type="dxa"/>
              <w:right w:w="30" w:type="dxa"/>
            </w:tcMar>
            <w:vAlign w:val="center"/>
            <w:hideMark/>
          </w:tcPr>
          <w:p w14:paraId="2091C3C3"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b/>
                <w:bCs/>
                <w:lang w:eastAsia="ru-RU"/>
              </w:rPr>
              <w:t>Мес. 4-5</w:t>
            </w:r>
          </w:p>
        </w:tc>
        <w:tc>
          <w:tcPr>
            <w:tcW w:w="957" w:type="pct"/>
            <w:shd w:val="clear" w:color="auto" w:fill="D9D9D9" w:themeFill="background1" w:themeFillShade="D9"/>
            <w:tcMar>
              <w:top w:w="30" w:type="dxa"/>
              <w:left w:w="30" w:type="dxa"/>
              <w:bottom w:w="30" w:type="dxa"/>
              <w:right w:w="30" w:type="dxa"/>
            </w:tcMar>
            <w:vAlign w:val="center"/>
            <w:hideMark/>
          </w:tcPr>
          <w:p w14:paraId="130FD933"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b/>
                <w:bCs/>
                <w:lang w:eastAsia="ru-RU"/>
              </w:rPr>
              <w:t>Мес. 6-12</w:t>
            </w:r>
          </w:p>
        </w:tc>
      </w:tr>
      <w:tr w:rsidR="00411567" w:rsidRPr="00695000" w14:paraId="06E26FAD" w14:textId="77777777" w:rsidTr="008A7500">
        <w:tc>
          <w:tcPr>
            <w:tcW w:w="1169" w:type="pct"/>
            <w:shd w:val="clear" w:color="auto" w:fill="auto"/>
            <w:tcMar>
              <w:top w:w="30" w:type="dxa"/>
              <w:left w:w="30" w:type="dxa"/>
              <w:bottom w:w="30" w:type="dxa"/>
              <w:right w:w="30" w:type="dxa"/>
            </w:tcMar>
            <w:vAlign w:val="center"/>
            <w:hideMark/>
          </w:tcPr>
          <w:p w14:paraId="07277C8D" w14:textId="77777777" w:rsidR="00411567" w:rsidRPr="00695000" w:rsidRDefault="00411567" w:rsidP="007B4992">
            <w:pPr>
              <w:keepLines/>
              <w:spacing w:after="0" w:line="240" w:lineRule="auto"/>
              <w:contextualSpacing/>
              <w:rPr>
                <w:rFonts w:eastAsia="Times New Roman"/>
                <w:lang w:eastAsia="ru-RU"/>
              </w:rPr>
            </w:pPr>
            <w:r w:rsidRPr="00695000">
              <w:rPr>
                <w:rFonts w:eastAsia="Times New Roman"/>
                <w:lang w:eastAsia="ru-RU"/>
              </w:rPr>
              <w:t xml:space="preserve">Группы </w:t>
            </w:r>
            <w:r>
              <w:rPr>
                <w:rFonts w:eastAsia="Times New Roman"/>
                <w:color w:val="000000"/>
                <w:lang w:eastAsia="ru-RU"/>
              </w:rPr>
              <w:t>эверолимуса</w:t>
            </w:r>
          </w:p>
        </w:tc>
        <w:tc>
          <w:tcPr>
            <w:tcW w:w="958" w:type="pct"/>
            <w:shd w:val="clear" w:color="auto" w:fill="auto"/>
            <w:tcMar>
              <w:top w:w="30" w:type="dxa"/>
              <w:left w:w="30" w:type="dxa"/>
              <w:bottom w:w="30" w:type="dxa"/>
              <w:right w:w="30" w:type="dxa"/>
            </w:tcMar>
            <w:vAlign w:val="center"/>
            <w:hideMark/>
          </w:tcPr>
          <w:p w14:paraId="10E1CF65"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100-200</w:t>
            </w:r>
          </w:p>
        </w:tc>
        <w:tc>
          <w:tcPr>
            <w:tcW w:w="958" w:type="pct"/>
            <w:shd w:val="clear" w:color="auto" w:fill="auto"/>
            <w:tcMar>
              <w:top w:w="30" w:type="dxa"/>
              <w:left w:w="30" w:type="dxa"/>
              <w:bottom w:w="30" w:type="dxa"/>
              <w:right w:w="30" w:type="dxa"/>
            </w:tcMar>
            <w:vAlign w:val="center"/>
            <w:hideMark/>
          </w:tcPr>
          <w:p w14:paraId="41DE0293"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75-150</w:t>
            </w:r>
          </w:p>
        </w:tc>
        <w:tc>
          <w:tcPr>
            <w:tcW w:w="958" w:type="pct"/>
            <w:shd w:val="clear" w:color="auto" w:fill="auto"/>
            <w:tcMar>
              <w:top w:w="30" w:type="dxa"/>
              <w:left w:w="30" w:type="dxa"/>
              <w:bottom w:w="30" w:type="dxa"/>
              <w:right w:w="30" w:type="dxa"/>
            </w:tcMar>
            <w:vAlign w:val="center"/>
            <w:hideMark/>
          </w:tcPr>
          <w:p w14:paraId="7D1593AC"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50-100</w:t>
            </w:r>
          </w:p>
        </w:tc>
        <w:tc>
          <w:tcPr>
            <w:tcW w:w="957" w:type="pct"/>
            <w:shd w:val="clear" w:color="auto" w:fill="auto"/>
            <w:tcMar>
              <w:top w:w="30" w:type="dxa"/>
              <w:left w:w="30" w:type="dxa"/>
              <w:bottom w:w="30" w:type="dxa"/>
              <w:right w:w="30" w:type="dxa"/>
            </w:tcMar>
            <w:vAlign w:val="center"/>
            <w:hideMark/>
          </w:tcPr>
          <w:p w14:paraId="3FCF1842"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25-50</w:t>
            </w:r>
          </w:p>
        </w:tc>
      </w:tr>
      <w:tr w:rsidR="00411567" w:rsidRPr="00695000" w14:paraId="2C99CCFE" w14:textId="77777777" w:rsidTr="008A7500">
        <w:tc>
          <w:tcPr>
            <w:tcW w:w="1169" w:type="pct"/>
            <w:shd w:val="clear" w:color="auto" w:fill="auto"/>
            <w:tcMar>
              <w:top w:w="30" w:type="dxa"/>
              <w:left w:w="30" w:type="dxa"/>
              <w:bottom w:w="30" w:type="dxa"/>
              <w:right w:w="30" w:type="dxa"/>
            </w:tcMar>
            <w:vAlign w:val="center"/>
            <w:hideMark/>
          </w:tcPr>
          <w:p w14:paraId="37E2EF34" w14:textId="77777777" w:rsidR="00411567" w:rsidRPr="00695000" w:rsidRDefault="00411567" w:rsidP="007B4992">
            <w:pPr>
              <w:keepLines/>
              <w:spacing w:after="0" w:line="240" w:lineRule="auto"/>
              <w:contextualSpacing/>
              <w:rPr>
                <w:rFonts w:eastAsia="Times New Roman"/>
                <w:lang w:eastAsia="ru-RU"/>
              </w:rPr>
            </w:pPr>
            <w:r w:rsidRPr="00695000">
              <w:rPr>
                <w:rFonts w:eastAsia="Times New Roman"/>
                <w:lang w:eastAsia="ru-RU"/>
              </w:rPr>
              <w:t>Группа MPA</w:t>
            </w:r>
          </w:p>
        </w:tc>
        <w:tc>
          <w:tcPr>
            <w:tcW w:w="958" w:type="pct"/>
            <w:shd w:val="clear" w:color="auto" w:fill="auto"/>
            <w:tcMar>
              <w:top w:w="30" w:type="dxa"/>
              <w:left w:w="30" w:type="dxa"/>
              <w:bottom w:w="30" w:type="dxa"/>
              <w:right w:w="30" w:type="dxa"/>
            </w:tcMar>
            <w:vAlign w:val="center"/>
            <w:hideMark/>
          </w:tcPr>
          <w:p w14:paraId="17FF6FF1"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200-300</w:t>
            </w:r>
          </w:p>
        </w:tc>
        <w:tc>
          <w:tcPr>
            <w:tcW w:w="958" w:type="pct"/>
            <w:shd w:val="clear" w:color="auto" w:fill="auto"/>
            <w:tcMar>
              <w:top w:w="30" w:type="dxa"/>
              <w:left w:w="30" w:type="dxa"/>
              <w:bottom w:w="30" w:type="dxa"/>
              <w:right w:w="30" w:type="dxa"/>
            </w:tcMar>
            <w:vAlign w:val="center"/>
            <w:hideMark/>
          </w:tcPr>
          <w:p w14:paraId="3D76200E"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100-250</w:t>
            </w:r>
          </w:p>
        </w:tc>
        <w:tc>
          <w:tcPr>
            <w:tcW w:w="958" w:type="pct"/>
            <w:shd w:val="clear" w:color="auto" w:fill="auto"/>
            <w:tcMar>
              <w:top w:w="30" w:type="dxa"/>
              <w:left w:w="30" w:type="dxa"/>
              <w:bottom w:w="30" w:type="dxa"/>
              <w:right w:w="30" w:type="dxa"/>
            </w:tcMar>
            <w:vAlign w:val="center"/>
            <w:hideMark/>
          </w:tcPr>
          <w:p w14:paraId="77B89911"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100-250</w:t>
            </w:r>
          </w:p>
        </w:tc>
        <w:tc>
          <w:tcPr>
            <w:tcW w:w="957" w:type="pct"/>
            <w:shd w:val="clear" w:color="auto" w:fill="auto"/>
            <w:tcMar>
              <w:top w:w="30" w:type="dxa"/>
              <w:left w:w="30" w:type="dxa"/>
              <w:bottom w:w="30" w:type="dxa"/>
              <w:right w:w="30" w:type="dxa"/>
            </w:tcMar>
            <w:vAlign w:val="center"/>
            <w:hideMark/>
          </w:tcPr>
          <w:p w14:paraId="7FD51529" w14:textId="77777777" w:rsidR="00411567" w:rsidRPr="00695000" w:rsidRDefault="00411567" w:rsidP="007B4992">
            <w:pPr>
              <w:keepLines/>
              <w:spacing w:after="0" w:line="240" w:lineRule="auto"/>
              <w:contextualSpacing/>
              <w:jc w:val="center"/>
              <w:rPr>
                <w:rFonts w:eastAsia="Times New Roman"/>
                <w:lang w:eastAsia="ru-RU"/>
              </w:rPr>
            </w:pPr>
            <w:r w:rsidRPr="00695000">
              <w:rPr>
                <w:rFonts w:eastAsia="Times New Roman"/>
                <w:lang w:eastAsia="ru-RU"/>
              </w:rPr>
              <w:t>100-250</w:t>
            </w:r>
          </w:p>
        </w:tc>
      </w:tr>
    </w:tbl>
    <w:p w14:paraId="7ECC76BD" w14:textId="4898F8F0" w:rsidR="00411567" w:rsidRDefault="00411567" w:rsidP="00411567">
      <w:pPr>
        <w:shd w:val="clear" w:color="auto" w:fill="FFFFFF"/>
        <w:spacing w:after="143" w:line="240" w:lineRule="auto"/>
        <w:contextualSpacing/>
        <w:rPr>
          <w:rFonts w:eastAsia="Times New Roman"/>
          <w:bCs/>
          <w:color w:val="000000"/>
          <w:lang w:eastAsia="ru-RU"/>
        </w:rPr>
      </w:pPr>
    </w:p>
    <w:p w14:paraId="4CCED36A" w14:textId="2FD7A472" w:rsidR="00736A12" w:rsidRPr="00695000" w:rsidRDefault="00736A12" w:rsidP="00411567">
      <w:pPr>
        <w:shd w:val="clear" w:color="auto" w:fill="FFFFFF"/>
        <w:spacing w:after="143" w:line="240" w:lineRule="auto"/>
        <w:contextualSpacing/>
        <w:rPr>
          <w:rFonts w:eastAsia="Times New Roman"/>
          <w:color w:val="000000"/>
          <w:lang w:eastAsia="ru-RU"/>
        </w:rPr>
      </w:pPr>
      <w:r>
        <w:rPr>
          <w:rFonts w:eastAsia="Times New Roman"/>
          <w:b/>
          <w:bCs/>
          <w:color w:val="000000"/>
          <w:lang w:eastAsia="ru-RU"/>
        </w:rPr>
        <w:t xml:space="preserve">Таблица </w:t>
      </w:r>
      <w:r w:rsidRPr="00695000">
        <w:rPr>
          <w:rFonts w:eastAsia="Times New Roman"/>
          <w:b/>
          <w:bCs/>
          <w:color w:val="000000"/>
          <w:lang w:eastAsia="ru-RU"/>
        </w:rPr>
        <w:t xml:space="preserve">4-6. </w:t>
      </w:r>
      <w:r w:rsidRPr="00695000">
        <w:rPr>
          <w:rFonts w:eastAsia="Times New Roman"/>
          <w:bCs/>
          <w:color w:val="000000"/>
          <w:lang w:eastAsia="ru-RU"/>
        </w:rPr>
        <w:t>Исследование A2309: Измеренные средние концентрации циклоспорина и эверолимуса в крови</w:t>
      </w:r>
      <w:r w:rsidR="00961899">
        <w:rPr>
          <w:rFonts w:eastAsia="Times New Roman"/>
          <w:bCs/>
          <w:color w:val="000000"/>
          <w:lang w:eastAsia="ru-RU"/>
        </w:rPr>
        <w:t>.</w:t>
      </w:r>
    </w:p>
    <w:tbl>
      <w:tblPr>
        <w:tblW w:w="5000" w:type="pct"/>
        <w:tblBorders>
          <w:top w:val="outset" w:sz="6" w:space="0" w:color="7B7B7B"/>
          <w:left w:val="outset" w:sz="6" w:space="0" w:color="7B7B7B"/>
          <w:bottom w:val="outset" w:sz="6" w:space="0" w:color="7B7B7B"/>
          <w:right w:val="outset" w:sz="6" w:space="0" w:color="7B7B7B"/>
        </w:tblBorders>
        <w:tblCellMar>
          <w:top w:w="24" w:type="dxa"/>
          <w:left w:w="24" w:type="dxa"/>
          <w:bottom w:w="24" w:type="dxa"/>
          <w:right w:w="24" w:type="dxa"/>
        </w:tblCellMar>
        <w:tblLook w:val="04A0" w:firstRow="1" w:lastRow="0" w:firstColumn="1" w:lastColumn="0" w:noHBand="0" w:noVBand="1"/>
      </w:tblPr>
      <w:tblGrid>
        <w:gridCol w:w="1896"/>
        <w:gridCol w:w="1241"/>
        <w:gridCol w:w="1243"/>
        <w:gridCol w:w="1241"/>
        <w:gridCol w:w="1243"/>
        <w:gridCol w:w="1241"/>
        <w:gridCol w:w="1241"/>
      </w:tblGrid>
      <w:tr w:rsidR="00736A12" w:rsidRPr="00695000" w14:paraId="6410B54E" w14:textId="77777777" w:rsidTr="008A7500">
        <w:trPr>
          <w:tblHeader/>
        </w:trPr>
        <w:tc>
          <w:tcPr>
            <w:tcW w:w="101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35915855"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b/>
                <w:bCs/>
                <w:lang w:eastAsia="ru-RU"/>
              </w:rPr>
              <w:t>Минимальные концентрации</w:t>
            </w:r>
          </w:p>
          <w:p w14:paraId="23F69204"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b/>
                <w:bCs/>
                <w:lang w:eastAsia="ru-RU"/>
              </w:rPr>
              <w:t>(нг/мл)</w:t>
            </w:r>
          </w:p>
        </w:tc>
        <w:tc>
          <w:tcPr>
            <w:tcW w:w="2658"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454C74D3"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b/>
                <w:bCs/>
                <w:lang w:eastAsia="ru-RU"/>
              </w:rPr>
              <w:t>Группы препарата Сертикан</w:t>
            </w:r>
          </w:p>
          <w:p w14:paraId="212AA689" w14:textId="77777777" w:rsidR="00736A12" w:rsidRPr="00695000" w:rsidRDefault="00736A12" w:rsidP="00711874">
            <w:pPr>
              <w:spacing w:after="0" w:line="240" w:lineRule="auto"/>
              <w:contextualSpacing/>
              <w:jc w:val="center"/>
              <w:rPr>
                <w:rFonts w:eastAsia="Times New Roman"/>
                <w:b/>
                <w:lang w:eastAsia="ru-RU"/>
              </w:rPr>
            </w:pPr>
            <w:r w:rsidRPr="00695000">
              <w:rPr>
                <w:rFonts w:eastAsia="Times New Roman"/>
                <w:b/>
                <w:lang w:eastAsia="ru-RU"/>
              </w:rPr>
              <w:t>(циклоспорин в низкой дозе)</w:t>
            </w:r>
          </w:p>
        </w:tc>
        <w:tc>
          <w:tcPr>
            <w:tcW w:w="13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7C438E1D"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b/>
                <w:bCs/>
                <w:lang w:eastAsia="ru-RU"/>
              </w:rPr>
              <w:t>MPA</w:t>
            </w:r>
          </w:p>
          <w:p w14:paraId="46AFDF27" w14:textId="77777777" w:rsidR="00736A12" w:rsidRPr="00695000" w:rsidRDefault="00736A12" w:rsidP="00711874">
            <w:pPr>
              <w:spacing w:after="0" w:line="240" w:lineRule="auto"/>
              <w:contextualSpacing/>
              <w:jc w:val="center"/>
              <w:rPr>
                <w:rFonts w:eastAsia="Times New Roman"/>
                <w:b/>
                <w:lang w:eastAsia="ru-RU"/>
              </w:rPr>
            </w:pPr>
            <w:r w:rsidRPr="00695000">
              <w:rPr>
                <w:rFonts w:eastAsia="Times New Roman"/>
                <w:b/>
                <w:lang w:eastAsia="ru-RU"/>
              </w:rPr>
              <w:t>(стандартный циклоспорин)</w:t>
            </w:r>
          </w:p>
        </w:tc>
      </w:tr>
      <w:tr w:rsidR="00736A12" w:rsidRPr="00695000" w14:paraId="5EFC755F" w14:textId="77777777" w:rsidTr="008A7500">
        <w:trPr>
          <w:tblHeader/>
        </w:trPr>
        <w:tc>
          <w:tcPr>
            <w:tcW w:w="101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70085EE1" w14:textId="77777777" w:rsidR="00736A12" w:rsidRPr="00695000" w:rsidRDefault="00736A12" w:rsidP="00711874">
            <w:pPr>
              <w:spacing w:after="0" w:line="240" w:lineRule="auto"/>
              <w:contextualSpacing/>
              <w:rPr>
                <w:rFonts w:eastAsia="Times New Roman"/>
                <w:lang w:eastAsia="ru-RU"/>
              </w:rPr>
            </w:pPr>
          </w:p>
        </w:tc>
        <w:tc>
          <w:tcPr>
            <w:tcW w:w="13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0C2CCD03" w14:textId="003FEF61" w:rsidR="00736A12" w:rsidRPr="00961899" w:rsidRDefault="00961899" w:rsidP="00711874">
            <w:pPr>
              <w:spacing w:after="0" w:line="240" w:lineRule="auto"/>
              <w:contextualSpacing/>
              <w:jc w:val="center"/>
              <w:rPr>
                <w:rFonts w:eastAsia="Times New Roman"/>
                <w:b/>
                <w:lang w:eastAsia="ru-RU"/>
              </w:rPr>
            </w:pPr>
            <w:r w:rsidRPr="00961899">
              <w:rPr>
                <w:rFonts w:eastAsia="Times New Roman"/>
                <w:b/>
                <w:color w:val="000000"/>
                <w:lang w:eastAsia="ru-RU"/>
              </w:rPr>
              <w:t xml:space="preserve">Эверолимус </w:t>
            </w:r>
            <w:r w:rsidR="00736A12" w:rsidRPr="00961899">
              <w:rPr>
                <w:rFonts w:eastAsia="Times New Roman"/>
                <w:b/>
                <w:bCs/>
                <w:lang w:eastAsia="ru-RU"/>
              </w:rPr>
              <w:t>1,5 мг</w:t>
            </w:r>
          </w:p>
        </w:tc>
        <w:tc>
          <w:tcPr>
            <w:tcW w:w="13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2DC19587" w14:textId="0C33FEF9" w:rsidR="00736A12" w:rsidRPr="00961899" w:rsidRDefault="00961899" w:rsidP="00711874">
            <w:pPr>
              <w:spacing w:after="0" w:line="240" w:lineRule="auto"/>
              <w:contextualSpacing/>
              <w:jc w:val="center"/>
              <w:rPr>
                <w:rFonts w:eastAsia="Times New Roman"/>
                <w:b/>
                <w:lang w:eastAsia="ru-RU"/>
              </w:rPr>
            </w:pPr>
            <w:r w:rsidRPr="00961899">
              <w:rPr>
                <w:rFonts w:eastAsia="Times New Roman"/>
                <w:b/>
                <w:color w:val="000000"/>
                <w:lang w:eastAsia="ru-RU"/>
              </w:rPr>
              <w:t xml:space="preserve">Эверолимус </w:t>
            </w:r>
            <w:r w:rsidR="00736A12" w:rsidRPr="00961899">
              <w:rPr>
                <w:rFonts w:eastAsia="Times New Roman"/>
                <w:b/>
                <w:bCs/>
                <w:lang w:eastAsia="ru-RU"/>
              </w:rPr>
              <w:t>3,0 мг</w:t>
            </w:r>
          </w:p>
        </w:tc>
        <w:tc>
          <w:tcPr>
            <w:tcW w:w="13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hideMark/>
          </w:tcPr>
          <w:p w14:paraId="769220AD" w14:textId="6B826536" w:rsidR="00736A12" w:rsidRPr="00695000" w:rsidRDefault="00736A12" w:rsidP="00711874">
            <w:pPr>
              <w:spacing w:after="0" w:line="240" w:lineRule="auto"/>
              <w:contextualSpacing/>
              <w:jc w:val="center"/>
              <w:rPr>
                <w:rFonts w:eastAsia="Times New Roman"/>
                <w:lang w:eastAsia="ru-RU"/>
              </w:rPr>
            </w:pPr>
            <w:r w:rsidRPr="00695000">
              <w:rPr>
                <w:rFonts w:eastAsia="Times New Roman"/>
                <w:b/>
                <w:bCs/>
                <w:lang w:eastAsia="ru-RU"/>
              </w:rPr>
              <w:t>Майфортик</w:t>
            </w:r>
            <w:r w:rsidR="00961899" w:rsidRPr="0071249E">
              <w:rPr>
                <w:rFonts w:eastAsia="Times New Roman"/>
                <w:b/>
                <w:bCs/>
                <w:vertAlign w:val="superscript"/>
                <w:lang w:val="en-US" w:eastAsia="ru-RU"/>
              </w:rPr>
              <w:t>®</w:t>
            </w:r>
            <w:r w:rsidRPr="00695000">
              <w:rPr>
                <w:rFonts w:eastAsia="Times New Roman"/>
                <w:b/>
                <w:bCs/>
                <w:lang w:eastAsia="ru-RU"/>
              </w:rPr>
              <w:t xml:space="preserve"> 1,44 г</w:t>
            </w:r>
          </w:p>
        </w:tc>
      </w:tr>
      <w:tr w:rsidR="00736A12" w:rsidRPr="00695000" w14:paraId="0511E04E"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62FA657"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Циклоспорин</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D0D0F81" w14:textId="77777777" w:rsidR="00736A12" w:rsidRPr="00695000" w:rsidRDefault="00736A12" w:rsidP="00711874">
            <w:pPr>
              <w:tabs>
                <w:tab w:val="center" w:pos="595"/>
              </w:tabs>
              <w:spacing w:after="0" w:line="240" w:lineRule="auto"/>
              <w:contextualSpacing/>
              <w:rPr>
                <w:rFonts w:eastAsia="Times New Roman"/>
                <w:lang w:eastAsia="ru-RU"/>
              </w:rPr>
            </w:pPr>
            <w:r>
              <w:rPr>
                <w:rFonts w:eastAsia="Times New Roman"/>
                <w:i/>
                <w:iCs/>
                <w:lang w:eastAsia="ru-RU"/>
              </w:rPr>
              <w:tab/>
            </w:r>
            <w:r w:rsidRPr="00695000">
              <w:rPr>
                <w:rFonts w:eastAsia="Times New Roman"/>
                <w:i/>
                <w:iCs/>
                <w:lang w:eastAsia="ru-RU"/>
              </w:rPr>
              <w:t>C</w:t>
            </w:r>
            <w:r w:rsidRPr="00695000">
              <w:rPr>
                <w:rFonts w:eastAsia="Times New Roman"/>
                <w:i/>
                <w:iCs/>
                <w:vertAlign w:val="subscript"/>
                <w:lang w:eastAsia="ru-RU"/>
              </w:rPr>
              <w:t>o</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9188EA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i/>
                <w:iCs/>
                <w:lang w:eastAsia="ru-RU"/>
              </w:rPr>
              <w:t>C2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E2628E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i/>
                <w:iCs/>
                <w:lang w:eastAsia="ru-RU"/>
              </w:rPr>
              <w:t>C</w:t>
            </w:r>
            <w:r w:rsidRPr="00695000">
              <w:rPr>
                <w:rFonts w:eastAsia="Times New Roman"/>
                <w:i/>
                <w:iCs/>
                <w:vertAlign w:val="subscript"/>
                <w:lang w:eastAsia="ru-RU"/>
              </w:rPr>
              <w:t>o</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8FC56F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i/>
                <w:iCs/>
                <w:lang w:eastAsia="ru-RU"/>
              </w:rPr>
              <w:t>C2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3A170B1"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i/>
                <w:iCs/>
                <w:lang w:eastAsia="ru-RU"/>
              </w:rPr>
              <w:t>C</w:t>
            </w:r>
            <w:r w:rsidRPr="00695000">
              <w:rPr>
                <w:rFonts w:eastAsia="Times New Roman"/>
                <w:i/>
                <w:iCs/>
                <w:vertAlign w:val="subscript"/>
                <w:lang w:eastAsia="ru-RU"/>
              </w:rPr>
              <w:t>o</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36CEECD"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i/>
                <w:iCs/>
                <w:lang w:eastAsia="ru-RU"/>
              </w:rPr>
              <w:t>C2</w:t>
            </w:r>
          </w:p>
        </w:tc>
      </w:tr>
      <w:tr w:rsidR="00736A12" w:rsidRPr="00695000" w14:paraId="176E26B3"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9D6BBCC"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День 7</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DEF4212"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195 ± 106</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EC698E3"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847 ± 412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3E408F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192 ± 104</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E38D70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718 ± 319</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59E0594"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239 ± 130</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A48D70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934 ± 438</w:t>
            </w:r>
          </w:p>
        </w:tc>
      </w:tr>
      <w:tr w:rsidR="00736A12" w:rsidRPr="00695000" w14:paraId="6FDCE70A"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7CF5DDE"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Месяц 1</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950FA5E"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173 ± 84</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2A1D791"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770 ± 364</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5D7B355"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177 ± 99</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F07C60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762 ± 378</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844E804"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250 ± 119</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685A37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992 ± 482</w:t>
            </w:r>
          </w:p>
        </w:tc>
      </w:tr>
      <w:tr w:rsidR="00736A12" w:rsidRPr="00695000" w14:paraId="0C251146"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8987089"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Месяц 3</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B21DBA9"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122 ± 53</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CF4BC75"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580 ± 322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3EEBB15"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123 ± 75</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88BE1A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548 ± 272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95CB962"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182 ± 65</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540A5C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821 ± 273</w:t>
            </w:r>
          </w:p>
        </w:tc>
      </w:tr>
      <w:tr w:rsidR="00736A12" w:rsidRPr="00695000" w14:paraId="36EFA171"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5146A92"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Месяц 6</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B49291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88 ± 55</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0BA778D"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408 ± 226</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C894366"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80 ± 40</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8EB7E7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426 ± 225</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D5F6FF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163 ± 103</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1578E02"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751 ± 269</w:t>
            </w:r>
          </w:p>
        </w:tc>
      </w:tr>
      <w:tr w:rsidR="00736A12" w:rsidRPr="00695000" w14:paraId="6F693919"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211472A"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Месяц 9</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BE3EB4E"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55± 24</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1C6C90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319 ± 172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21B0C81"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51 ± 30</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2BB671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296 ± 183</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A6F8A7F"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149 ± 69</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420F524"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648 ± 265</w:t>
            </w:r>
          </w:p>
        </w:tc>
      </w:tr>
      <w:tr w:rsidR="00736A12" w:rsidRPr="00695000" w14:paraId="4CEC4FC5"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2C057D0"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Месяц 12</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7F5976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55 ± 38</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3BE709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291 ± 155</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BF2E5DD"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49 ± 27</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0693D4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281 ± 198</w:t>
            </w:r>
          </w:p>
        </w:tc>
        <w:tc>
          <w:tcPr>
            <w:tcW w:w="66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060BF82"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137 ± 55</w:t>
            </w:r>
          </w:p>
        </w:tc>
        <w:tc>
          <w:tcPr>
            <w:tcW w:w="66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A9FBB9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587± 241</w:t>
            </w:r>
          </w:p>
        </w:tc>
      </w:tr>
      <w:tr w:rsidR="00736A12" w:rsidRPr="00695000" w14:paraId="609E192A"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0BD1016" w14:textId="77777777" w:rsidR="00736A12" w:rsidRPr="00695000" w:rsidRDefault="00736A12" w:rsidP="00711874">
            <w:pPr>
              <w:spacing w:after="0" w:line="240" w:lineRule="auto"/>
              <w:contextualSpacing/>
              <w:rPr>
                <w:rFonts w:eastAsia="Times New Roman"/>
                <w:lang w:eastAsia="ru-RU"/>
              </w:rPr>
            </w:pPr>
            <w:r w:rsidRPr="00695000">
              <w:rPr>
                <w:rFonts w:eastAsia="Times New Roman"/>
                <w:b/>
                <w:bCs/>
                <w:lang w:eastAsia="ru-RU"/>
              </w:rPr>
              <w:t>Эверолимус</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01ED577"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(Заданная C</w:t>
            </w:r>
            <w:r w:rsidRPr="00695000">
              <w:rPr>
                <w:rFonts w:eastAsia="Times New Roman"/>
                <w:vertAlign w:val="subscript"/>
                <w:lang w:eastAsia="ru-RU"/>
              </w:rPr>
              <w:t>o</w:t>
            </w:r>
            <w:r w:rsidRPr="00695000">
              <w:rPr>
                <w:rFonts w:eastAsia="Times New Roman"/>
                <w:lang w:eastAsia="ru-RU"/>
              </w:rPr>
              <w:t> 3-8)</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9EFF5E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(Заданная C</w:t>
            </w:r>
            <w:r w:rsidRPr="00695000">
              <w:rPr>
                <w:rFonts w:eastAsia="Times New Roman"/>
                <w:vertAlign w:val="subscript"/>
                <w:lang w:eastAsia="ru-RU"/>
              </w:rPr>
              <w:t>o</w:t>
            </w:r>
            <w:r w:rsidRPr="00695000">
              <w:rPr>
                <w:rFonts w:eastAsia="Times New Roman"/>
                <w:lang w:eastAsia="ru-RU"/>
              </w:rPr>
              <w:t> 6-12)</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5BA215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56384EB8"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C384530"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День 7</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5C30F9E"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4,5 ± 2,3</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73AD753"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8,3 ± 4,8</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763441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05F6C13F"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930C84D"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Месяц 1</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F811B8B"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5,3 ± 2,2</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70AA113"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8,6 ± 3,9</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DD24039"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37AF33C8"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6604EFF"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Месяц 3</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7C386E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6,0 ± 2,7</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31BCFFF"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8,8 ± 3,6</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D072F53"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59EFD59C"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7625513"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Месяц 6</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2669670"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5,3 ± 1,9</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4A62D0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8,0 ± 3,1</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61AB71E"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39572F82"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0E2A819"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Месяц 9</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257AC88"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5,3 ± 1,9</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882DB5D"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7,7 ± 2,6</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F263F4C"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736A12" w:rsidRPr="00695000" w14:paraId="084DFBAB" w14:textId="77777777" w:rsidTr="008A7500">
        <w:tc>
          <w:tcPr>
            <w:tcW w:w="1014"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0C67374" w14:textId="77777777" w:rsidR="00736A12" w:rsidRPr="00695000" w:rsidRDefault="00736A12" w:rsidP="00711874">
            <w:pPr>
              <w:spacing w:after="0" w:line="240" w:lineRule="auto"/>
              <w:contextualSpacing/>
              <w:rPr>
                <w:rFonts w:eastAsia="Times New Roman"/>
                <w:lang w:eastAsia="ru-RU"/>
              </w:rPr>
            </w:pPr>
            <w:r w:rsidRPr="00695000">
              <w:rPr>
                <w:rFonts w:eastAsia="Times New Roman"/>
                <w:lang w:eastAsia="ru-RU"/>
              </w:rPr>
              <w:t>Месяц 12</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481231"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5,3 ± 2,3</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FEEAE9A"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7,9 ± 3,5</w:t>
            </w:r>
          </w:p>
        </w:tc>
        <w:tc>
          <w:tcPr>
            <w:tcW w:w="1329"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2AD2AC1" w14:textId="77777777" w:rsidR="00736A12" w:rsidRPr="00695000" w:rsidRDefault="00736A12" w:rsidP="00711874">
            <w:pPr>
              <w:spacing w:after="0" w:line="240" w:lineRule="auto"/>
              <w:contextualSpacing/>
              <w:jc w:val="center"/>
              <w:rPr>
                <w:rFonts w:eastAsia="Times New Roman"/>
                <w:lang w:eastAsia="ru-RU"/>
              </w:rPr>
            </w:pPr>
            <w:r w:rsidRPr="00695000">
              <w:rPr>
                <w:rFonts w:eastAsia="Times New Roman"/>
                <w:lang w:eastAsia="ru-RU"/>
              </w:rPr>
              <w:t>-</w:t>
            </w:r>
          </w:p>
        </w:tc>
      </w:tr>
      <w:tr w:rsidR="00411567" w:rsidRPr="00695000" w14:paraId="0B64DDBE" w14:textId="77777777" w:rsidTr="008A7500">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5AAE4257" w14:textId="77777777" w:rsidR="00411567" w:rsidRPr="00695000" w:rsidRDefault="00411567" w:rsidP="00411567">
            <w:pPr>
              <w:shd w:val="clear" w:color="auto" w:fill="FFFFFF"/>
              <w:spacing w:after="143" w:line="240" w:lineRule="auto"/>
              <w:contextualSpacing/>
              <w:rPr>
                <w:rFonts w:eastAsia="Times New Roman"/>
                <w:b/>
                <w:color w:val="000000"/>
                <w:sz w:val="20"/>
                <w:szCs w:val="20"/>
                <w:lang w:eastAsia="ru-RU"/>
              </w:rPr>
            </w:pPr>
            <w:r w:rsidRPr="00695000">
              <w:rPr>
                <w:rFonts w:eastAsia="Times New Roman"/>
                <w:b/>
                <w:color w:val="000000"/>
                <w:sz w:val="20"/>
                <w:szCs w:val="20"/>
                <w:lang w:eastAsia="ru-RU"/>
              </w:rPr>
              <w:t>Примечание:</w:t>
            </w:r>
          </w:p>
          <w:p w14:paraId="4D3528A3" w14:textId="29CF135E" w:rsidR="00411567" w:rsidRPr="00411567" w:rsidRDefault="00411567" w:rsidP="00411567">
            <w:pPr>
              <w:shd w:val="clear" w:color="auto" w:fill="FFFFFF"/>
              <w:spacing w:after="143" w:line="240" w:lineRule="auto"/>
              <w:contextualSpacing/>
              <w:rPr>
                <w:rFonts w:eastAsia="Times New Roman"/>
                <w:color w:val="000000"/>
                <w:sz w:val="20"/>
                <w:szCs w:val="20"/>
                <w:lang w:eastAsia="ru-RU"/>
              </w:rPr>
            </w:pPr>
            <w:r w:rsidRPr="00695000">
              <w:rPr>
                <w:rFonts w:eastAsia="Times New Roman"/>
                <w:color w:val="000000"/>
                <w:sz w:val="20"/>
                <w:szCs w:val="20"/>
                <w:lang w:eastAsia="ru-RU"/>
              </w:rPr>
              <w:t>Числа представляют собой среднее значение ± SD измеренных значений с C</w:t>
            </w:r>
            <w:r w:rsidRPr="00695000">
              <w:rPr>
                <w:rFonts w:eastAsia="Times New Roman"/>
                <w:color w:val="000000"/>
                <w:sz w:val="20"/>
                <w:szCs w:val="20"/>
                <w:vertAlign w:val="subscript"/>
                <w:lang w:eastAsia="ru-RU"/>
              </w:rPr>
              <w:t>0</w:t>
            </w:r>
            <w:r w:rsidRPr="00695000">
              <w:rPr>
                <w:rFonts w:eastAsia="Times New Roman"/>
                <w:color w:val="000000"/>
                <w:sz w:val="20"/>
                <w:szCs w:val="20"/>
                <w:lang w:eastAsia="ru-RU"/>
              </w:rPr>
              <w:t> = минимальной концентрацией, C2 = значением через 2 часа после введения препарат</w:t>
            </w:r>
            <w:r>
              <w:rPr>
                <w:rFonts w:eastAsia="Times New Roman"/>
                <w:color w:val="000000"/>
                <w:sz w:val="20"/>
                <w:szCs w:val="20"/>
                <w:lang w:eastAsia="ru-RU"/>
              </w:rPr>
              <w:t>а.</w:t>
            </w:r>
          </w:p>
        </w:tc>
      </w:tr>
    </w:tbl>
    <w:p w14:paraId="4D545EF3" w14:textId="77777777" w:rsidR="001C54B1" w:rsidRDefault="001C54B1" w:rsidP="00736A12">
      <w:pPr>
        <w:shd w:val="clear" w:color="auto" w:fill="FFFFFF"/>
        <w:spacing w:after="143" w:line="240" w:lineRule="auto"/>
        <w:contextualSpacing/>
        <w:rPr>
          <w:rFonts w:eastAsia="Times New Roman"/>
          <w:color w:val="000000"/>
          <w:highlight w:val="green"/>
          <w:lang w:eastAsia="ru-RU"/>
        </w:rPr>
      </w:pPr>
    </w:p>
    <w:p w14:paraId="38CB7163" w14:textId="77777777"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Первичной конечной точкой оценки эффективности была комбинированная переменная неэффективности (подтвержденное биопсией острое отторжение, отторжение трансплантата, смерть или потеря контакта для последующего наблюдения). Результат показан в таблице 4-7 [3,8].</w:t>
      </w:r>
    </w:p>
    <w:p w14:paraId="032845DD" w14:textId="77777777" w:rsidR="001C54B1" w:rsidRDefault="001C54B1" w:rsidP="00D853E6">
      <w:pPr>
        <w:spacing w:after="0" w:line="240" w:lineRule="auto"/>
        <w:ind w:firstLine="709"/>
        <w:rPr>
          <w:b/>
          <w:color w:val="000000"/>
          <w:highlight w:val="yellow"/>
          <w:u w:val="single"/>
        </w:rPr>
      </w:pPr>
    </w:p>
    <w:p w14:paraId="52363463" w14:textId="77777777" w:rsidR="008A7500" w:rsidRDefault="008A7500" w:rsidP="001C54B1">
      <w:pPr>
        <w:shd w:val="clear" w:color="auto" w:fill="FFFFFF"/>
        <w:spacing w:after="143" w:line="240" w:lineRule="auto"/>
        <w:contextualSpacing/>
        <w:rPr>
          <w:rFonts w:eastAsia="Times New Roman"/>
          <w:b/>
          <w:bCs/>
          <w:color w:val="000000"/>
          <w:lang w:eastAsia="ru-RU"/>
        </w:rPr>
        <w:sectPr w:rsidR="008A7500" w:rsidSect="00AB01E2">
          <w:pgSz w:w="11906" w:h="16838"/>
          <w:pgMar w:top="1134" w:right="849" w:bottom="1134" w:left="1701" w:header="708" w:footer="709" w:gutter="0"/>
          <w:cols w:space="708"/>
          <w:docGrid w:linePitch="360"/>
        </w:sectPr>
      </w:pPr>
    </w:p>
    <w:p w14:paraId="14DC948E" w14:textId="0610EBE4" w:rsidR="001C54B1" w:rsidRPr="00695000" w:rsidRDefault="001C54B1" w:rsidP="001C54B1">
      <w:pPr>
        <w:shd w:val="clear" w:color="auto" w:fill="FFFFFF"/>
        <w:spacing w:after="143" w:line="240" w:lineRule="auto"/>
        <w:contextualSpacing/>
        <w:rPr>
          <w:rFonts w:eastAsia="Times New Roman"/>
          <w:color w:val="000000"/>
          <w:lang w:eastAsia="ru-RU"/>
        </w:rPr>
      </w:pPr>
      <w:r w:rsidRPr="00695000">
        <w:rPr>
          <w:rFonts w:eastAsia="Times New Roman"/>
          <w:b/>
          <w:bCs/>
          <w:color w:val="000000"/>
          <w:lang w:eastAsia="ru-RU"/>
        </w:rPr>
        <w:lastRenderedPageBreak/>
        <w:t xml:space="preserve">Таблица 4-7. </w:t>
      </w:r>
      <w:r w:rsidRPr="00695000">
        <w:rPr>
          <w:rFonts w:eastAsia="Times New Roman"/>
          <w:bCs/>
          <w:color w:val="000000"/>
          <w:lang w:eastAsia="ru-RU"/>
        </w:rPr>
        <w:t>Исследование A2309: Совокупные и индивидуальные конечные точки оценки эффективности через 6 и 12 месяцев (частота встречаемости в популяции ITT)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371"/>
        <w:gridCol w:w="997"/>
        <w:gridCol w:w="996"/>
        <w:gridCol w:w="996"/>
        <w:gridCol w:w="996"/>
        <w:gridCol w:w="996"/>
        <w:gridCol w:w="994"/>
      </w:tblGrid>
      <w:tr w:rsidR="001C54B1" w:rsidRPr="00695000" w14:paraId="0A965D46" w14:textId="77777777" w:rsidTr="008A7500">
        <w:trPr>
          <w:tblHeader/>
        </w:trPr>
        <w:tc>
          <w:tcPr>
            <w:tcW w:w="1803" w:type="pct"/>
            <w:vMerge w:val="restart"/>
            <w:shd w:val="clear" w:color="auto" w:fill="D9D9D9" w:themeFill="background1" w:themeFillShade="D9"/>
            <w:tcMar>
              <w:top w:w="30" w:type="dxa"/>
              <w:left w:w="30" w:type="dxa"/>
              <w:bottom w:w="30" w:type="dxa"/>
              <w:right w:w="30" w:type="dxa"/>
            </w:tcMar>
            <w:hideMark/>
          </w:tcPr>
          <w:p w14:paraId="6D3BD709" w14:textId="77777777" w:rsidR="001C54B1" w:rsidRPr="00695000" w:rsidRDefault="001C54B1" w:rsidP="001C54B1">
            <w:pPr>
              <w:spacing w:after="0" w:line="240" w:lineRule="auto"/>
              <w:contextualSpacing/>
              <w:jc w:val="center"/>
              <w:rPr>
                <w:rFonts w:eastAsia="Times New Roman"/>
                <w:lang w:eastAsia="ru-RU"/>
              </w:rPr>
            </w:pPr>
          </w:p>
        </w:tc>
        <w:tc>
          <w:tcPr>
            <w:tcW w:w="1066" w:type="pct"/>
            <w:gridSpan w:val="2"/>
            <w:shd w:val="clear" w:color="auto" w:fill="D9D9D9" w:themeFill="background1" w:themeFillShade="D9"/>
            <w:tcMar>
              <w:top w:w="30" w:type="dxa"/>
              <w:left w:w="30" w:type="dxa"/>
              <w:bottom w:w="30" w:type="dxa"/>
              <w:right w:w="30" w:type="dxa"/>
            </w:tcMar>
            <w:hideMark/>
          </w:tcPr>
          <w:p w14:paraId="2BB5711A" w14:textId="3A635F88" w:rsidR="001C54B1" w:rsidRPr="00695000" w:rsidRDefault="00AA5270" w:rsidP="001C54B1">
            <w:pPr>
              <w:spacing w:after="0" w:line="240" w:lineRule="auto"/>
              <w:contextualSpacing/>
              <w:jc w:val="center"/>
              <w:rPr>
                <w:rFonts w:eastAsia="Times New Roman"/>
                <w:lang w:eastAsia="ru-RU"/>
              </w:rPr>
            </w:pPr>
            <w:r w:rsidRPr="0071249E">
              <w:rPr>
                <w:rFonts w:eastAsia="Times New Roman"/>
                <w:b/>
                <w:color w:val="000000"/>
                <w:lang w:eastAsia="ru-RU"/>
              </w:rPr>
              <w:t>Эверолимус</w:t>
            </w:r>
            <w:r>
              <w:rPr>
                <w:rFonts w:eastAsia="Times New Roman"/>
                <w:color w:val="000000"/>
                <w:lang w:eastAsia="ru-RU"/>
              </w:rPr>
              <w:t xml:space="preserve"> </w:t>
            </w:r>
            <w:r w:rsidR="001C54B1" w:rsidRPr="00695000">
              <w:rPr>
                <w:rFonts w:eastAsia="Times New Roman"/>
                <w:b/>
                <w:bCs/>
                <w:lang w:eastAsia="ru-RU"/>
              </w:rPr>
              <w:t>1,5 мг</w:t>
            </w:r>
          </w:p>
          <w:p w14:paraId="6AC0BD7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N = 277</w:t>
            </w:r>
          </w:p>
          <w:p w14:paraId="7F30B7C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 (n)</w:t>
            </w:r>
          </w:p>
        </w:tc>
        <w:tc>
          <w:tcPr>
            <w:tcW w:w="1066" w:type="pct"/>
            <w:gridSpan w:val="2"/>
            <w:shd w:val="clear" w:color="auto" w:fill="D9D9D9" w:themeFill="background1" w:themeFillShade="D9"/>
            <w:tcMar>
              <w:top w:w="30" w:type="dxa"/>
              <w:left w:w="30" w:type="dxa"/>
              <w:bottom w:w="30" w:type="dxa"/>
              <w:right w:w="30" w:type="dxa"/>
            </w:tcMar>
            <w:hideMark/>
          </w:tcPr>
          <w:p w14:paraId="0B07F0D8" w14:textId="1154A526" w:rsidR="001C54B1" w:rsidRPr="00695000" w:rsidRDefault="00AA5270" w:rsidP="001C54B1">
            <w:pPr>
              <w:spacing w:after="0" w:line="240" w:lineRule="auto"/>
              <w:contextualSpacing/>
              <w:jc w:val="center"/>
              <w:rPr>
                <w:rFonts w:eastAsia="Times New Roman"/>
                <w:lang w:eastAsia="ru-RU"/>
              </w:rPr>
            </w:pPr>
            <w:r w:rsidRPr="0071249E">
              <w:rPr>
                <w:rFonts w:eastAsia="Times New Roman"/>
                <w:b/>
                <w:color w:val="000000"/>
                <w:lang w:eastAsia="ru-RU"/>
              </w:rPr>
              <w:t xml:space="preserve">Эверолимус </w:t>
            </w:r>
            <w:r w:rsidR="001C54B1" w:rsidRPr="00695000">
              <w:rPr>
                <w:rFonts w:eastAsia="Times New Roman"/>
                <w:b/>
                <w:bCs/>
                <w:lang w:eastAsia="ru-RU"/>
              </w:rPr>
              <w:t>3,0 мг</w:t>
            </w:r>
          </w:p>
          <w:p w14:paraId="4AAF38F4"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N=279</w:t>
            </w:r>
          </w:p>
          <w:p w14:paraId="3F28C21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 (n)</w:t>
            </w:r>
          </w:p>
        </w:tc>
        <w:tc>
          <w:tcPr>
            <w:tcW w:w="1064" w:type="pct"/>
            <w:gridSpan w:val="2"/>
            <w:shd w:val="clear" w:color="auto" w:fill="D9D9D9" w:themeFill="background1" w:themeFillShade="D9"/>
            <w:tcMar>
              <w:top w:w="30" w:type="dxa"/>
              <w:left w:w="30" w:type="dxa"/>
              <w:bottom w:w="30" w:type="dxa"/>
              <w:right w:w="30" w:type="dxa"/>
            </w:tcMar>
            <w:hideMark/>
          </w:tcPr>
          <w:p w14:paraId="19AB5B01"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MPA 1,44 г</w:t>
            </w:r>
          </w:p>
          <w:p w14:paraId="5DCEFCFE"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N = 277</w:t>
            </w:r>
          </w:p>
          <w:p w14:paraId="68CC8EF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 (n)</w:t>
            </w:r>
          </w:p>
        </w:tc>
      </w:tr>
      <w:tr w:rsidR="001C54B1" w:rsidRPr="00695000" w14:paraId="5F2166AC" w14:textId="77777777" w:rsidTr="008A7500">
        <w:trPr>
          <w:tblHeader/>
        </w:trPr>
        <w:tc>
          <w:tcPr>
            <w:tcW w:w="1803" w:type="pct"/>
            <w:vMerge/>
            <w:shd w:val="clear" w:color="auto" w:fill="D9D9D9" w:themeFill="background1" w:themeFillShade="D9"/>
            <w:vAlign w:val="center"/>
            <w:hideMark/>
          </w:tcPr>
          <w:p w14:paraId="45850658"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D9D9D9" w:themeFill="background1" w:themeFillShade="D9"/>
            <w:tcMar>
              <w:top w:w="30" w:type="dxa"/>
              <w:left w:w="30" w:type="dxa"/>
              <w:bottom w:w="30" w:type="dxa"/>
              <w:right w:w="30" w:type="dxa"/>
            </w:tcMar>
            <w:hideMark/>
          </w:tcPr>
          <w:p w14:paraId="1B51357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6 мес.</w:t>
            </w:r>
          </w:p>
        </w:tc>
        <w:tc>
          <w:tcPr>
            <w:tcW w:w="533" w:type="pct"/>
            <w:shd w:val="clear" w:color="auto" w:fill="D9D9D9" w:themeFill="background1" w:themeFillShade="D9"/>
            <w:tcMar>
              <w:top w:w="30" w:type="dxa"/>
              <w:left w:w="30" w:type="dxa"/>
              <w:bottom w:w="30" w:type="dxa"/>
              <w:right w:w="30" w:type="dxa"/>
            </w:tcMar>
            <w:hideMark/>
          </w:tcPr>
          <w:p w14:paraId="157DB5E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12 мес.</w:t>
            </w:r>
          </w:p>
        </w:tc>
        <w:tc>
          <w:tcPr>
            <w:tcW w:w="533" w:type="pct"/>
            <w:shd w:val="clear" w:color="auto" w:fill="D9D9D9" w:themeFill="background1" w:themeFillShade="D9"/>
            <w:tcMar>
              <w:top w:w="30" w:type="dxa"/>
              <w:left w:w="30" w:type="dxa"/>
              <w:bottom w:w="30" w:type="dxa"/>
              <w:right w:w="30" w:type="dxa"/>
            </w:tcMar>
            <w:hideMark/>
          </w:tcPr>
          <w:p w14:paraId="12B75EC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6 мес.</w:t>
            </w:r>
          </w:p>
        </w:tc>
        <w:tc>
          <w:tcPr>
            <w:tcW w:w="533" w:type="pct"/>
            <w:shd w:val="clear" w:color="auto" w:fill="D9D9D9" w:themeFill="background1" w:themeFillShade="D9"/>
            <w:tcMar>
              <w:top w:w="30" w:type="dxa"/>
              <w:left w:w="30" w:type="dxa"/>
              <w:bottom w:w="30" w:type="dxa"/>
              <w:right w:w="30" w:type="dxa"/>
            </w:tcMar>
            <w:hideMark/>
          </w:tcPr>
          <w:p w14:paraId="1FBC545C"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12 мес.</w:t>
            </w:r>
          </w:p>
        </w:tc>
        <w:tc>
          <w:tcPr>
            <w:tcW w:w="533" w:type="pct"/>
            <w:shd w:val="clear" w:color="auto" w:fill="D9D9D9" w:themeFill="background1" w:themeFillShade="D9"/>
            <w:tcMar>
              <w:top w:w="30" w:type="dxa"/>
              <w:left w:w="30" w:type="dxa"/>
              <w:bottom w:w="30" w:type="dxa"/>
              <w:right w:w="30" w:type="dxa"/>
            </w:tcMar>
            <w:hideMark/>
          </w:tcPr>
          <w:p w14:paraId="16FD134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6 мес.</w:t>
            </w:r>
          </w:p>
        </w:tc>
        <w:tc>
          <w:tcPr>
            <w:tcW w:w="531" w:type="pct"/>
            <w:shd w:val="clear" w:color="auto" w:fill="D9D9D9" w:themeFill="background1" w:themeFillShade="D9"/>
            <w:tcMar>
              <w:top w:w="30" w:type="dxa"/>
              <w:left w:w="30" w:type="dxa"/>
              <w:bottom w:w="30" w:type="dxa"/>
              <w:right w:w="30" w:type="dxa"/>
            </w:tcMar>
            <w:hideMark/>
          </w:tcPr>
          <w:p w14:paraId="05D8898C"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12 мес.</w:t>
            </w:r>
          </w:p>
        </w:tc>
      </w:tr>
      <w:tr w:rsidR="001C54B1" w:rsidRPr="00695000" w14:paraId="68F729AD" w14:textId="77777777" w:rsidTr="008A7500">
        <w:tc>
          <w:tcPr>
            <w:tcW w:w="1803" w:type="pct"/>
            <w:shd w:val="clear" w:color="auto" w:fill="auto"/>
            <w:tcMar>
              <w:top w:w="30" w:type="dxa"/>
              <w:left w:w="30" w:type="dxa"/>
              <w:bottom w:w="30" w:type="dxa"/>
              <w:right w:w="30" w:type="dxa"/>
            </w:tcMar>
            <w:hideMark/>
          </w:tcPr>
          <w:p w14:paraId="1F6CB1C6" w14:textId="77777777" w:rsidR="001C54B1" w:rsidRPr="00695000" w:rsidRDefault="001C54B1" w:rsidP="001C54B1">
            <w:pPr>
              <w:spacing w:after="0" w:line="240" w:lineRule="auto"/>
              <w:contextualSpacing/>
              <w:rPr>
                <w:rFonts w:eastAsia="Times New Roman"/>
                <w:lang w:eastAsia="ru-RU"/>
              </w:rPr>
            </w:pPr>
            <w:r w:rsidRPr="00695000">
              <w:rPr>
                <w:rFonts w:eastAsia="Times New Roman"/>
                <w:b/>
                <w:bCs/>
                <w:lang w:eastAsia="ru-RU"/>
              </w:rPr>
              <w:t>Комбинированная конечная точка</w:t>
            </w:r>
            <w:r w:rsidRPr="00695000">
              <w:rPr>
                <w:rFonts w:eastAsia="Times New Roman"/>
                <w:lang w:eastAsia="ru-RU"/>
              </w:rPr>
              <w:t> (1</w:t>
            </w:r>
            <w:r w:rsidRPr="00695000">
              <w:rPr>
                <w:rFonts w:eastAsia="Times New Roman"/>
                <w:vertAlign w:val="superscript"/>
                <w:lang w:eastAsia="ru-RU"/>
              </w:rPr>
              <w:t>0</w:t>
            </w:r>
            <w:r w:rsidRPr="00695000">
              <w:rPr>
                <w:rFonts w:eastAsia="Times New Roman"/>
                <w:lang w:eastAsia="ru-RU"/>
              </w:rPr>
              <w:t> критерий)</w:t>
            </w:r>
          </w:p>
        </w:tc>
        <w:tc>
          <w:tcPr>
            <w:tcW w:w="533" w:type="pct"/>
            <w:shd w:val="clear" w:color="auto" w:fill="auto"/>
            <w:tcMar>
              <w:top w:w="30" w:type="dxa"/>
              <w:left w:w="30" w:type="dxa"/>
              <w:bottom w:w="30" w:type="dxa"/>
              <w:right w:w="30" w:type="dxa"/>
            </w:tcMar>
            <w:hideMark/>
          </w:tcPr>
          <w:p w14:paraId="27ECB1E1"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19,1</w:t>
            </w:r>
            <w:r w:rsidRPr="00695000">
              <w:rPr>
                <w:rFonts w:eastAsia="Times New Roman"/>
                <w:lang w:eastAsia="ru-RU"/>
              </w:rPr>
              <w:t> (53)</w:t>
            </w:r>
          </w:p>
        </w:tc>
        <w:tc>
          <w:tcPr>
            <w:tcW w:w="533" w:type="pct"/>
            <w:shd w:val="clear" w:color="auto" w:fill="auto"/>
            <w:tcMar>
              <w:top w:w="30" w:type="dxa"/>
              <w:left w:w="30" w:type="dxa"/>
              <w:bottom w:w="30" w:type="dxa"/>
              <w:right w:w="30" w:type="dxa"/>
            </w:tcMar>
            <w:hideMark/>
          </w:tcPr>
          <w:p w14:paraId="3E70BA03"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25,3</w:t>
            </w:r>
            <w:r w:rsidRPr="00695000">
              <w:rPr>
                <w:rFonts w:eastAsia="Times New Roman"/>
                <w:lang w:eastAsia="ru-RU"/>
              </w:rPr>
              <w:t> (70)</w:t>
            </w:r>
          </w:p>
        </w:tc>
        <w:tc>
          <w:tcPr>
            <w:tcW w:w="533" w:type="pct"/>
            <w:shd w:val="clear" w:color="auto" w:fill="auto"/>
            <w:tcMar>
              <w:top w:w="30" w:type="dxa"/>
              <w:left w:w="30" w:type="dxa"/>
              <w:bottom w:w="30" w:type="dxa"/>
              <w:right w:w="30" w:type="dxa"/>
            </w:tcMar>
            <w:hideMark/>
          </w:tcPr>
          <w:p w14:paraId="059CE48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16,8</w:t>
            </w:r>
            <w:r w:rsidRPr="00695000">
              <w:rPr>
                <w:rFonts w:eastAsia="Times New Roman"/>
                <w:lang w:eastAsia="ru-RU"/>
              </w:rPr>
              <w:t> (47)</w:t>
            </w:r>
          </w:p>
        </w:tc>
        <w:tc>
          <w:tcPr>
            <w:tcW w:w="533" w:type="pct"/>
            <w:shd w:val="clear" w:color="auto" w:fill="auto"/>
            <w:tcMar>
              <w:top w:w="30" w:type="dxa"/>
              <w:left w:w="30" w:type="dxa"/>
              <w:bottom w:w="30" w:type="dxa"/>
              <w:right w:w="30" w:type="dxa"/>
            </w:tcMar>
            <w:hideMark/>
          </w:tcPr>
          <w:p w14:paraId="6EF8B86E"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21,5</w:t>
            </w:r>
            <w:r w:rsidRPr="00695000">
              <w:rPr>
                <w:rFonts w:eastAsia="Times New Roman"/>
                <w:lang w:eastAsia="ru-RU"/>
              </w:rPr>
              <w:t> (60)</w:t>
            </w:r>
          </w:p>
        </w:tc>
        <w:tc>
          <w:tcPr>
            <w:tcW w:w="533" w:type="pct"/>
            <w:shd w:val="clear" w:color="auto" w:fill="auto"/>
            <w:tcMar>
              <w:top w:w="30" w:type="dxa"/>
              <w:left w:w="30" w:type="dxa"/>
              <w:bottom w:w="30" w:type="dxa"/>
              <w:right w:w="30" w:type="dxa"/>
            </w:tcMar>
            <w:hideMark/>
          </w:tcPr>
          <w:p w14:paraId="56C8518A"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18,8</w:t>
            </w:r>
            <w:r w:rsidRPr="00695000">
              <w:rPr>
                <w:rFonts w:eastAsia="Times New Roman"/>
                <w:lang w:eastAsia="ru-RU"/>
              </w:rPr>
              <w:t> (52)</w:t>
            </w:r>
          </w:p>
        </w:tc>
        <w:tc>
          <w:tcPr>
            <w:tcW w:w="531" w:type="pct"/>
            <w:shd w:val="clear" w:color="auto" w:fill="auto"/>
            <w:tcMar>
              <w:top w:w="30" w:type="dxa"/>
              <w:left w:w="30" w:type="dxa"/>
              <w:bottom w:w="30" w:type="dxa"/>
              <w:right w:w="30" w:type="dxa"/>
            </w:tcMar>
            <w:hideMark/>
          </w:tcPr>
          <w:p w14:paraId="5DED0574"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24,2</w:t>
            </w:r>
            <w:r w:rsidRPr="00695000">
              <w:rPr>
                <w:rFonts w:eastAsia="Times New Roman"/>
                <w:lang w:eastAsia="ru-RU"/>
              </w:rPr>
              <w:t> (67)</w:t>
            </w:r>
          </w:p>
        </w:tc>
      </w:tr>
      <w:tr w:rsidR="001C54B1" w:rsidRPr="00695000" w14:paraId="42843A9E" w14:textId="77777777" w:rsidTr="008A7500">
        <w:tc>
          <w:tcPr>
            <w:tcW w:w="1803" w:type="pct"/>
            <w:shd w:val="clear" w:color="auto" w:fill="auto"/>
            <w:tcMar>
              <w:top w:w="30" w:type="dxa"/>
              <w:left w:w="30" w:type="dxa"/>
              <w:bottom w:w="30" w:type="dxa"/>
              <w:right w:w="30" w:type="dxa"/>
            </w:tcMar>
            <w:hideMark/>
          </w:tcPr>
          <w:p w14:paraId="6D06B952" w14:textId="775053E1"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Различие, % </w:t>
            </w:r>
            <w:r w:rsidRPr="00695000">
              <w:rPr>
                <w:rFonts w:eastAsia="Times New Roman"/>
                <w:i/>
                <w:iCs/>
                <w:lang w:eastAsia="ru-RU"/>
              </w:rPr>
              <w:t>(</w:t>
            </w:r>
            <w:r w:rsidR="00AA5270" w:rsidRPr="0071249E">
              <w:rPr>
                <w:rFonts w:eastAsia="Times New Roman"/>
                <w:i/>
                <w:color w:val="000000"/>
                <w:lang w:eastAsia="ru-RU"/>
              </w:rPr>
              <w:t>Эверолимус</w:t>
            </w:r>
            <w:r w:rsidR="00AA5270">
              <w:rPr>
                <w:rFonts w:eastAsia="Times New Roman"/>
                <w:color w:val="000000"/>
                <w:lang w:eastAsia="ru-RU"/>
              </w:rPr>
              <w:t xml:space="preserve"> </w:t>
            </w:r>
            <w:r w:rsidRPr="00695000">
              <w:rPr>
                <w:rFonts w:eastAsia="Times New Roman"/>
                <w:i/>
                <w:iCs/>
                <w:lang w:eastAsia="ru-RU"/>
              </w:rPr>
              <w:t>- MPA)</w:t>
            </w:r>
          </w:p>
          <w:p w14:paraId="36007913"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95 % ДИ</w:t>
            </w:r>
          </w:p>
        </w:tc>
        <w:tc>
          <w:tcPr>
            <w:tcW w:w="533" w:type="pct"/>
            <w:shd w:val="clear" w:color="auto" w:fill="auto"/>
            <w:tcMar>
              <w:top w:w="30" w:type="dxa"/>
              <w:left w:w="30" w:type="dxa"/>
              <w:bottom w:w="30" w:type="dxa"/>
              <w:right w:w="30" w:type="dxa"/>
            </w:tcMar>
            <w:hideMark/>
          </w:tcPr>
          <w:p w14:paraId="4B319229"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0,4 %</w:t>
            </w:r>
          </w:p>
          <w:p w14:paraId="47C11AF1"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(-6,2, 6,9)</w:t>
            </w:r>
          </w:p>
        </w:tc>
        <w:tc>
          <w:tcPr>
            <w:tcW w:w="533" w:type="pct"/>
            <w:shd w:val="clear" w:color="auto" w:fill="auto"/>
            <w:tcMar>
              <w:top w:w="30" w:type="dxa"/>
              <w:left w:w="30" w:type="dxa"/>
              <w:bottom w:w="30" w:type="dxa"/>
              <w:right w:w="30" w:type="dxa"/>
            </w:tcMar>
            <w:hideMark/>
          </w:tcPr>
          <w:p w14:paraId="5633668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1,1 %</w:t>
            </w:r>
          </w:p>
          <w:p w14:paraId="0CF1B7E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(-6,1, 8,3)</w:t>
            </w:r>
          </w:p>
        </w:tc>
        <w:tc>
          <w:tcPr>
            <w:tcW w:w="533" w:type="pct"/>
            <w:shd w:val="clear" w:color="auto" w:fill="auto"/>
            <w:tcMar>
              <w:top w:w="30" w:type="dxa"/>
              <w:left w:w="30" w:type="dxa"/>
              <w:bottom w:w="30" w:type="dxa"/>
              <w:right w:w="30" w:type="dxa"/>
            </w:tcMar>
            <w:hideMark/>
          </w:tcPr>
          <w:p w14:paraId="3029688C"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-1,9 %</w:t>
            </w:r>
          </w:p>
          <w:p w14:paraId="3F9C82D9"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(-8,3, 4,4)</w:t>
            </w:r>
          </w:p>
        </w:tc>
        <w:tc>
          <w:tcPr>
            <w:tcW w:w="533" w:type="pct"/>
            <w:shd w:val="clear" w:color="auto" w:fill="auto"/>
            <w:tcMar>
              <w:top w:w="30" w:type="dxa"/>
              <w:left w:w="30" w:type="dxa"/>
              <w:bottom w:w="30" w:type="dxa"/>
              <w:right w:w="30" w:type="dxa"/>
            </w:tcMar>
            <w:hideMark/>
          </w:tcPr>
          <w:p w14:paraId="72549D50"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-2,7 %</w:t>
            </w:r>
          </w:p>
          <w:p w14:paraId="33240824"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(-9,7, 4,3)</w:t>
            </w:r>
          </w:p>
        </w:tc>
        <w:tc>
          <w:tcPr>
            <w:tcW w:w="533" w:type="pct"/>
            <w:shd w:val="clear" w:color="auto" w:fill="auto"/>
            <w:tcMar>
              <w:top w:w="30" w:type="dxa"/>
              <w:left w:w="30" w:type="dxa"/>
              <w:bottom w:w="30" w:type="dxa"/>
              <w:right w:w="30" w:type="dxa"/>
            </w:tcMar>
            <w:hideMark/>
          </w:tcPr>
          <w:p w14:paraId="08590D25"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w:t>
            </w:r>
          </w:p>
          <w:p w14:paraId="5B5A0388"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w:t>
            </w:r>
          </w:p>
        </w:tc>
        <w:tc>
          <w:tcPr>
            <w:tcW w:w="531" w:type="pct"/>
            <w:shd w:val="clear" w:color="auto" w:fill="auto"/>
            <w:tcMar>
              <w:top w:w="30" w:type="dxa"/>
              <w:left w:w="30" w:type="dxa"/>
              <w:bottom w:w="30" w:type="dxa"/>
              <w:right w:w="30" w:type="dxa"/>
            </w:tcMar>
            <w:hideMark/>
          </w:tcPr>
          <w:p w14:paraId="27465000"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w:t>
            </w:r>
          </w:p>
          <w:p w14:paraId="4F77D070"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lang w:eastAsia="ru-RU"/>
              </w:rPr>
              <w:t>-</w:t>
            </w:r>
          </w:p>
        </w:tc>
      </w:tr>
      <w:tr w:rsidR="001C54B1" w:rsidRPr="00695000" w14:paraId="7EF0657D" w14:textId="77777777" w:rsidTr="008A7500">
        <w:tc>
          <w:tcPr>
            <w:tcW w:w="1803" w:type="pct"/>
            <w:shd w:val="clear" w:color="auto" w:fill="auto"/>
            <w:tcMar>
              <w:top w:w="30" w:type="dxa"/>
              <w:left w:w="30" w:type="dxa"/>
              <w:bottom w:w="30" w:type="dxa"/>
              <w:right w:w="30" w:type="dxa"/>
            </w:tcMar>
            <w:hideMark/>
          </w:tcPr>
          <w:p w14:paraId="65C9A8BF" w14:textId="77777777" w:rsidR="001C54B1" w:rsidRPr="00695000" w:rsidRDefault="001C54B1" w:rsidP="001C54B1">
            <w:pPr>
              <w:spacing w:after="0" w:line="240" w:lineRule="auto"/>
              <w:contextualSpacing/>
              <w:rPr>
                <w:rFonts w:eastAsia="Times New Roman"/>
                <w:lang w:eastAsia="ru-RU"/>
              </w:rPr>
            </w:pPr>
            <w:r w:rsidRPr="00695000">
              <w:rPr>
                <w:rFonts w:eastAsia="Times New Roman"/>
                <w:b/>
                <w:bCs/>
                <w:lang w:eastAsia="ru-RU"/>
              </w:rPr>
              <w:t>Отдельные конечные точки</w:t>
            </w:r>
            <w:r w:rsidRPr="00695000">
              <w:rPr>
                <w:rFonts w:eastAsia="Times New Roman"/>
                <w:lang w:eastAsia="ru-RU"/>
              </w:rPr>
              <w:t> (2</w:t>
            </w:r>
            <w:r w:rsidRPr="00695000">
              <w:rPr>
                <w:rFonts w:eastAsia="Times New Roman"/>
                <w:vertAlign w:val="superscript"/>
                <w:lang w:eastAsia="ru-RU"/>
              </w:rPr>
              <w:t>0</w:t>
            </w:r>
            <w:r w:rsidRPr="00695000">
              <w:rPr>
                <w:rFonts w:eastAsia="Times New Roman"/>
                <w:lang w:eastAsia="ru-RU"/>
              </w:rPr>
              <w:t> критерии)</w:t>
            </w:r>
          </w:p>
        </w:tc>
        <w:tc>
          <w:tcPr>
            <w:tcW w:w="533" w:type="pct"/>
            <w:shd w:val="clear" w:color="auto" w:fill="auto"/>
            <w:tcMar>
              <w:top w:w="30" w:type="dxa"/>
              <w:left w:w="30" w:type="dxa"/>
              <w:bottom w:w="30" w:type="dxa"/>
              <w:right w:w="30" w:type="dxa"/>
            </w:tcMar>
            <w:hideMark/>
          </w:tcPr>
          <w:p w14:paraId="045B9011"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47B28623"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26D0BBC4"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30C019E2"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54ADB81C" w14:textId="77777777" w:rsidR="001C54B1" w:rsidRPr="00695000" w:rsidRDefault="001C54B1" w:rsidP="001C54B1">
            <w:pPr>
              <w:spacing w:after="0" w:line="240" w:lineRule="auto"/>
              <w:contextualSpacing/>
              <w:jc w:val="center"/>
              <w:rPr>
                <w:rFonts w:eastAsia="Times New Roman"/>
                <w:lang w:eastAsia="ru-RU"/>
              </w:rPr>
            </w:pPr>
          </w:p>
        </w:tc>
        <w:tc>
          <w:tcPr>
            <w:tcW w:w="531" w:type="pct"/>
            <w:shd w:val="clear" w:color="auto" w:fill="auto"/>
            <w:tcMar>
              <w:top w:w="30" w:type="dxa"/>
              <w:left w:w="30" w:type="dxa"/>
              <w:bottom w:w="30" w:type="dxa"/>
              <w:right w:w="30" w:type="dxa"/>
            </w:tcMar>
            <w:hideMark/>
          </w:tcPr>
          <w:p w14:paraId="277CEF2D" w14:textId="77777777" w:rsidR="001C54B1" w:rsidRPr="00695000" w:rsidRDefault="001C54B1" w:rsidP="001C54B1">
            <w:pPr>
              <w:spacing w:after="0" w:line="240" w:lineRule="auto"/>
              <w:contextualSpacing/>
              <w:jc w:val="center"/>
              <w:rPr>
                <w:rFonts w:eastAsia="Times New Roman"/>
                <w:lang w:eastAsia="ru-RU"/>
              </w:rPr>
            </w:pPr>
          </w:p>
        </w:tc>
      </w:tr>
      <w:tr w:rsidR="001C54B1" w:rsidRPr="00695000" w14:paraId="75CD54D8" w14:textId="77777777" w:rsidTr="008A7500">
        <w:tc>
          <w:tcPr>
            <w:tcW w:w="1803" w:type="pct"/>
            <w:shd w:val="clear" w:color="auto" w:fill="auto"/>
            <w:tcMar>
              <w:top w:w="30" w:type="dxa"/>
              <w:left w:w="30" w:type="dxa"/>
              <w:bottom w:w="30" w:type="dxa"/>
              <w:right w:w="30" w:type="dxa"/>
            </w:tcMar>
            <w:hideMark/>
          </w:tcPr>
          <w:p w14:paraId="67726BF0"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Леченное BPAR</w:t>
            </w:r>
          </w:p>
        </w:tc>
        <w:tc>
          <w:tcPr>
            <w:tcW w:w="533" w:type="pct"/>
            <w:shd w:val="clear" w:color="auto" w:fill="auto"/>
            <w:tcMar>
              <w:top w:w="30" w:type="dxa"/>
              <w:left w:w="30" w:type="dxa"/>
              <w:bottom w:w="30" w:type="dxa"/>
              <w:right w:w="30" w:type="dxa"/>
            </w:tcMar>
            <w:hideMark/>
          </w:tcPr>
          <w:p w14:paraId="2BA3B5DF"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10,8</w:t>
            </w:r>
            <w:r w:rsidRPr="00695000">
              <w:rPr>
                <w:rFonts w:eastAsia="Times New Roman"/>
                <w:lang w:eastAsia="ru-RU"/>
              </w:rPr>
              <w:t> (30)</w:t>
            </w:r>
          </w:p>
        </w:tc>
        <w:tc>
          <w:tcPr>
            <w:tcW w:w="533" w:type="pct"/>
            <w:shd w:val="clear" w:color="auto" w:fill="auto"/>
            <w:tcMar>
              <w:top w:w="30" w:type="dxa"/>
              <w:left w:w="30" w:type="dxa"/>
              <w:bottom w:w="30" w:type="dxa"/>
              <w:right w:w="30" w:type="dxa"/>
            </w:tcMar>
            <w:hideMark/>
          </w:tcPr>
          <w:p w14:paraId="42850421"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16,2</w:t>
            </w:r>
            <w:r w:rsidRPr="00695000">
              <w:rPr>
                <w:rFonts w:eastAsia="Times New Roman"/>
                <w:lang w:eastAsia="ru-RU"/>
              </w:rPr>
              <w:t> (45)</w:t>
            </w:r>
          </w:p>
        </w:tc>
        <w:tc>
          <w:tcPr>
            <w:tcW w:w="533" w:type="pct"/>
            <w:shd w:val="clear" w:color="auto" w:fill="auto"/>
            <w:tcMar>
              <w:top w:w="30" w:type="dxa"/>
              <w:left w:w="30" w:type="dxa"/>
              <w:bottom w:w="30" w:type="dxa"/>
              <w:right w:w="30" w:type="dxa"/>
            </w:tcMar>
            <w:hideMark/>
          </w:tcPr>
          <w:p w14:paraId="03FC30D8"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10,0</w:t>
            </w:r>
            <w:r w:rsidRPr="00695000">
              <w:rPr>
                <w:rFonts w:eastAsia="Times New Roman"/>
                <w:lang w:eastAsia="ru-RU"/>
              </w:rPr>
              <w:t> (28)</w:t>
            </w:r>
          </w:p>
        </w:tc>
        <w:tc>
          <w:tcPr>
            <w:tcW w:w="533" w:type="pct"/>
            <w:shd w:val="clear" w:color="auto" w:fill="auto"/>
            <w:tcMar>
              <w:top w:w="30" w:type="dxa"/>
              <w:left w:w="30" w:type="dxa"/>
              <w:bottom w:w="30" w:type="dxa"/>
              <w:right w:w="30" w:type="dxa"/>
            </w:tcMar>
            <w:hideMark/>
          </w:tcPr>
          <w:p w14:paraId="7CEA938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13,3</w:t>
            </w:r>
            <w:r w:rsidRPr="00695000">
              <w:rPr>
                <w:rFonts w:eastAsia="Times New Roman"/>
                <w:lang w:eastAsia="ru-RU"/>
              </w:rPr>
              <w:t> (37)</w:t>
            </w:r>
          </w:p>
        </w:tc>
        <w:tc>
          <w:tcPr>
            <w:tcW w:w="533" w:type="pct"/>
            <w:shd w:val="clear" w:color="auto" w:fill="auto"/>
            <w:tcMar>
              <w:top w:w="30" w:type="dxa"/>
              <w:left w:w="30" w:type="dxa"/>
              <w:bottom w:w="30" w:type="dxa"/>
              <w:right w:w="30" w:type="dxa"/>
            </w:tcMar>
            <w:hideMark/>
          </w:tcPr>
          <w:p w14:paraId="4E2B743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13,7</w:t>
            </w:r>
            <w:r w:rsidRPr="00695000">
              <w:rPr>
                <w:rFonts w:eastAsia="Times New Roman"/>
                <w:lang w:eastAsia="ru-RU"/>
              </w:rPr>
              <w:t> (38)</w:t>
            </w:r>
          </w:p>
        </w:tc>
        <w:tc>
          <w:tcPr>
            <w:tcW w:w="531" w:type="pct"/>
            <w:shd w:val="clear" w:color="auto" w:fill="auto"/>
            <w:tcMar>
              <w:top w:w="30" w:type="dxa"/>
              <w:left w:w="30" w:type="dxa"/>
              <w:bottom w:w="30" w:type="dxa"/>
              <w:right w:w="30" w:type="dxa"/>
            </w:tcMar>
            <w:hideMark/>
          </w:tcPr>
          <w:p w14:paraId="7415724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17,0</w:t>
            </w:r>
            <w:r w:rsidRPr="00695000">
              <w:rPr>
                <w:rFonts w:eastAsia="Times New Roman"/>
                <w:lang w:eastAsia="ru-RU"/>
              </w:rPr>
              <w:t> (47)</w:t>
            </w:r>
          </w:p>
        </w:tc>
      </w:tr>
      <w:tr w:rsidR="001C54B1" w:rsidRPr="00695000" w14:paraId="717E6383" w14:textId="77777777" w:rsidTr="008A7500">
        <w:tc>
          <w:tcPr>
            <w:tcW w:w="1803" w:type="pct"/>
            <w:shd w:val="clear" w:color="auto" w:fill="auto"/>
            <w:tcMar>
              <w:top w:w="30" w:type="dxa"/>
              <w:left w:w="30" w:type="dxa"/>
              <w:bottom w:w="30" w:type="dxa"/>
              <w:right w:w="30" w:type="dxa"/>
            </w:tcMar>
            <w:hideMark/>
          </w:tcPr>
          <w:p w14:paraId="613CE0DF"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Отторжение трансплантата</w:t>
            </w:r>
          </w:p>
        </w:tc>
        <w:tc>
          <w:tcPr>
            <w:tcW w:w="533" w:type="pct"/>
            <w:shd w:val="clear" w:color="auto" w:fill="auto"/>
            <w:tcMar>
              <w:top w:w="30" w:type="dxa"/>
              <w:left w:w="30" w:type="dxa"/>
              <w:bottom w:w="30" w:type="dxa"/>
              <w:right w:w="30" w:type="dxa"/>
            </w:tcMar>
            <w:hideMark/>
          </w:tcPr>
          <w:p w14:paraId="778BB555"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4,0</w:t>
            </w:r>
            <w:r w:rsidRPr="00695000">
              <w:rPr>
                <w:rFonts w:eastAsia="Times New Roman"/>
                <w:lang w:eastAsia="ru-RU"/>
              </w:rPr>
              <w:t> (11)</w:t>
            </w:r>
          </w:p>
        </w:tc>
        <w:tc>
          <w:tcPr>
            <w:tcW w:w="533" w:type="pct"/>
            <w:shd w:val="clear" w:color="auto" w:fill="auto"/>
            <w:tcMar>
              <w:top w:w="30" w:type="dxa"/>
              <w:left w:w="30" w:type="dxa"/>
              <w:bottom w:w="30" w:type="dxa"/>
              <w:right w:w="30" w:type="dxa"/>
            </w:tcMar>
            <w:hideMark/>
          </w:tcPr>
          <w:p w14:paraId="45B8746A"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4,3</w:t>
            </w:r>
            <w:r w:rsidRPr="00695000">
              <w:rPr>
                <w:rFonts w:eastAsia="Times New Roman"/>
                <w:lang w:eastAsia="ru-RU"/>
              </w:rPr>
              <w:t> (12)</w:t>
            </w:r>
          </w:p>
        </w:tc>
        <w:tc>
          <w:tcPr>
            <w:tcW w:w="533" w:type="pct"/>
            <w:shd w:val="clear" w:color="auto" w:fill="auto"/>
            <w:tcMar>
              <w:top w:w="30" w:type="dxa"/>
              <w:left w:w="30" w:type="dxa"/>
              <w:bottom w:w="30" w:type="dxa"/>
              <w:right w:w="30" w:type="dxa"/>
            </w:tcMar>
            <w:hideMark/>
          </w:tcPr>
          <w:p w14:paraId="5056EDFC"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3,9</w:t>
            </w:r>
            <w:r w:rsidRPr="00695000">
              <w:rPr>
                <w:rFonts w:eastAsia="Times New Roman"/>
                <w:lang w:eastAsia="ru-RU"/>
              </w:rPr>
              <w:t> (11)</w:t>
            </w:r>
          </w:p>
        </w:tc>
        <w:tc>
          <w:tcPr>
            <w:tcW w:w="533" w:type="pct"/>
            <w:shd w:val="clear" w:color="auto" w:fill="auto"/>
            <w:tcMar>
              <w:top w:w="30" w:type="dxa"/>
              <w:left w:w="30" w:type="dxa"/>
              <w:bottom w:w="30" w:type="dxa"/>
              <w:right w:w="30" w:type="dxa"/>
            </w:tcMar>
            <w:hideMark/>
          </w:tcPr>
          <w:p w14:paraId="31F4B078"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4,7</w:t>
            </w:r>
            <w:r w:rsidRPr="00695000">
              <w:rPr>
                <w:rFonts w:eastAsia="Times New Roman"/>
                <w:lang w:eastAsia="ru-RU"/>
              </w:rPr>
              <w:t> (13)</w:t>
            </w:r>
          </w:p>
        </w:tc>
        <w:tc>
          <w:tcPr>
            <w:tcW w:w="533" w:type="pct"/>
            <w:shd w:val="clear" w:color="auto" w:fill="auto"/>
            <w:tcMar>
              <w:top w:w="30" w:type="dxa"/>
              <w:left w:w="30" w:type="dxa"/>
              <w:bottom w:w="30" w:type="dxa"/>
              <w:right w:w="30" w:type="dxa"/>
            </w:tcMar>
            <w:hideMark/>
          </w:tcPr>
          <w:p w14:paraId="1322AFDB"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2,9</w:t>
            </w:r>
            <w:r w:rsidRPr="00695000">
              <w:rPr>
                <w:rFonts w:eastAsia="Times New Roman"/>
                <w:lang w:eastAsia="ru-RU"/>
              </w:rPr>
              <w:t> (8)</w:t>
            </w:r>
          </w:p>
        </w:tc>
        <w:tc>
          <w:tcPr>
            <w:tcW w:w="531" w:type="pct"/>
            <w:shd w:val="clear" w:color="auto" w:fill="auto"/>
            <w:tcMar>
              <w:top w:w="30" w:type="dxa"/>
              <w:left w:w="30" w:type="dxa"/>
              <w:bottom w:w="30" w:type="dxa"/>
              <w:right w:w="30" w:type="dxa"/>
            </w:tcMar>
            <w:hideMark/>
          </w:tcPr>
          <w:p w14:paraId="34C12A3E"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3,2</w:t>
            </w:r>
            <w:r w:rsidRPr="00695000">
              <w:rPr>
                <w:rFonts w:eastAsia="Times New Roman"/>
                <w:lang w:eastAsia="ru-RU"/>
              </w:rPr>
              <w:t> (9)</w:t>
            </w:r>
          </w:p>
        </w:tc>
      </w:tr>
      <w:tr w:rsidR="001C54B1" w:rsidRPr="00695000" w14:paraId="30728099" w14:textId="77777777" w:rsidTr="008A7500">
        <w:tc>
          <w:tcPr>
            <w:tcW w:w="1803" w:type="pct"/>
            <w:shd w:val="clear" w:color="auto" w:fill="auto"/>
            <w:tcMar>
              <w:top w:w="30" w:type="dxa"/>
              <w:left w:w="30" w:type="dxa"/>
              <w:bottom w:w="30" w:type="dxa"/>
              <w:right w:w="30" w:type="dxa"/>
            </w:tcMar>
            <w:hideMark/>
          </w:tcPr>
          <w:p w14:paraId="18BC9460"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Смерть</w:t>
            </w:r>
          </w:p>
        </w:tc>
        <w:tc>
          <w:tcPr>
            <w:tcW w:w="533" w:type="pct"/>
            <w:shd w:val="clear" w:color="auto" w:fill="auto"/>
            <w:tcMar>
              <w:top w:w="30" w:type="dxa"/>
              <w:left w:w="30" w:type="dxa"/>
              <w:bottom w:w="30" w:type="dxa"/>
              <w:right w:w="30" w:type="dxa"/>
            </w:tcMar>
            <w:hideMark/>
          </w:tcPr>
          <w:p w14:paraId="1594DD0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2,2</w:t>
            </w:r>
            <w:r w:rsidRPr="00695000">
              <w:rPr>
                <w:rFonts w:eastAsia="Times New Roman"/>
                <w:lang w:eastAsia="ru-RU"/>
              </w:rPr>
              <w:t> (6)</w:t>
            </w:r>
          </w:p>
        </w:tc>
        <w:tc>
          <w:tcPr>
            <w:tcW w:w="533" w:type="pct"/>
            <w:shd w:val="clear" w:color="auto" w:fill="auto"/>
            <w:tcMar>
              <w:top w:w="30" w:type="dxa"/>
              <w:left w:w="30" w:type="dxa"/>
              <w:bottom w:w="30" w:type="dxa"/>
              <w:right w:w="30" w:type="dxa"/>
            </w:tcMar>
            <w:hideMark/>
          </w:tcPr>
          <w:p w14:paraId="0AF0FBB7"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2,5</w:t>
            </w:r>
            <w:r w:rsidRPr="00695000">
              <w:rPr>
                <w:rFonts w:eastAsia="Times New Roman"/>
                <w:lang w:eastAsia="ru-RU"/>
              </w:rPr>
              <w:t> (7)</w:t>
            </w:r>
          </w:p>
        </w:tc>
        <w:tc>
          <w:tcPr>
            <w:tcW w:w="533" w:type="pct"/>
            <w:shd w:val="clear" w:color="auto" w:fill="auto"/>
            <w:tcMar>
              <w:top w:w="30" w:type="dxa"/>
              <w:left w:w="30" w:type="dxa"/>
              <w:bottom w:w="30" w:type="dxa"/>
              <w:right w:w="30" w:type="dxa"/>
            </w:tcMar>
            <w:hideMark/>
          </w:tcPr>
          <w:p w14:paraId="59F5539A"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1,8</w:t>
            </w:r>
            <w:r w:rsidRPr="00695000">
              <w:rPr>
                <w:rFonts w:eastAsia="Times New Roman"/>
                <w:lang w:eastAsia="ru-RU"/>
              </w:rPr>
              <w:t> (5)</w:t>
            </w:r>
          </w:p>
        </w:tc>
        <w:tc>
          <w:tcPr>
            <w:tcW w:w="533" w:type="pct"/>
            <w:shd w:val="clear" w:color="auto" w:fill="auto"/>
            <w:tcMar>
              <w:top w:w="30" w:type="dxa"/>
              <w:left w:w="30" w:type="dxa"/>
              <w:bottom w:w="30" w:type="dxa"/>
              <w:right w:w="30" w:type="dxa"/>
            </w:tcMar>
            <w:hideMark/>
          </w:tcPr>
          <w:p w14:paraId="339516A9"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3,2</w:t>
            </w:r>
            <w:r w:rsidRPr="00695000">
              <w:rPr>
                <w:rFonts w:eastAsia="Times New Roman"/>
                <w:lang w:eastAsia="ru-RU"/>
              </w:rPr>
              <w:t> (9)</w:t>
            </w:r>
          </w:p>
        </w:tc>
        <w:tc>
          <w:tcPr>
            <w:tcW w:w="533" w:type="pct"/>
            <w:shd w:val="clear" w:color="auto" w:fill="auto"/>
            <w:tcMar>
              <w:top w:w="30" w:type="dxa"/>
              <w:left w:w="30" w:type="dxa"/>
              <w:bottom w:w="30" w:type="dxa"/>
              <w:right w:w="30" w:type="dxa"/>
            </w:tcMar>
            <w:hideMark/>
          </w:tcPr>
          <w:p w14:paraId="79931174"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1,1</w:t>
            </w:r>
            <w:r w:rsidRPr="00695000">
              <w:rPr>
                <w:rFonts w:eastAsia="Times New Roman"/>
                <w:lang w:eastAsia="ru-RU"/>
              </w:rPr>
              <w:t> (3)</w:t>
            </w:r>
          </w:p>
        </w:tc>
        <w:tc>
          <w:tcPr>
            <w:tcW w:w="531" w:type="pct"/>
            <w:shd w:val="clear" w:color="auto" w:fill="auto"/>
            <w:tcMar>
              <w:top w:w="30" w:type="dxa"/>
              <w:left w:w="30" w:type="dxa"/>
              <w:bottom w:w="30" w:type="dxa"/>
              <w:right w:w="30" w:type="dxa"/>
            </w:tcMar>
            <w:hideMark/>
          </w:tcPr>
          <w:p w14:paraId="1A119AF6"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2,2</w:t>
            </w:r>
            <w:r w:rsidRPr="00695000">
              <w:rPr>
                <w:rFonts w:eastAsia="Times New Roman"/>
                <w:lang w:eastAsia="ru-RU"/>
              </w:rPr>
              <w:t> (6)</w:t>
            </w:r>
          </w:p>
        </w:tc>
      </w:tr>
      <w:tr w:rsidR="001C54B1" w:rsidRPr="00695000" w14:paraId="50639C7B" w14:textId="77777777" w:rsidTr="008A7500">
        <w:tc>
          <w:tcPr>
            <w:tcW w:w="1803" w:type="pct"/>
            <w:shd w:val="clear" w:color="auto" w:fill="auto"/>
            <w:tcMar>
              <w:top w:w="30" w:type="dxa"/>
              <w:left w:w="30" w:type="dxa"/>
              <w:bottom w:w="30" w:type="dxa"/>
              <w:right w:w="30" w:type="dxa"/>
            </w:tcMar>
            <w:hideMark/>
          </w:tcPr>
          <w:p w14:paraId="33BC2E05" w14:textId="77777777" w:rsidR="001C54B1" w:rsidRPr="00695000" w:rsidRDefault="001C54B1" w:rsidP="001C54B1">
            <w:pPr>
              <w:keepNext/>
              <w:keepLines/>
              <w:spacing w:after="0" w:line="240" w:lineRule="auto"/>
              <w:contextualSpacing/>
              <w:rPr>
                <w:rFonts w:eastAsia="Times New Roman"/>
                <w:lang w:eastAsia="ru-RU"/>
              </w:rPr>
            </w:pPr>
            <w:r w:rsidRPr="00695000">
              <w:rPr>
                <w:rFonts w:eastAsia="Times New Roman"/>
                <w:lang w:eastAsia="ru-RU"/>
              </w:rPr>
              <w:t>Потерян контакт для последующего наблюдения</w:t>
            </w:r>
          </w:p>
        </w:tc>
        <w:tc>
          <w:tcPr>
            <w:tcW w:w="533" w:type="pct"/>
            <w:shd w:val="clear" w:color="auto" w:fill="auto"/>
            <w:tcMar>
              <w:top w:w="30" w:type="dxa"/>
              <w:left w:w="30" w:type="dxa"/>
              <w:bottom w:w="30" w:type="dxa"/>
              <w:right w:w="30" w:type="dxa"/>
            </w:tcMar>
            <w:hideMark/>
          </w:tcPr>
          <w:p w14:paraId="553E57BF"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3,6</w:t>
            </w:r>
            <w:r w:rsidRPr="00695000">
              <w:rPr>
                <w:rFonts w:eastAsia="Times New Roman"/>
                <w:lang w:eastAsia="ru-RU"/>
              </w:rPr>
              <w:t> (10)</w:t>
            </w:r>
          </w:p>
        </w:tc>
        <w:tc>
          <w:tcPr>
            <w:tcW w:w="533" w:type="pct"/>
            <w:shd w:val="clear" w:color="auto" w:fill="auto"/>
            <w:tcMar>
              <w:top w:w="30" w:type="dxa"/>
              <w:left w:w="30" w:type="dxa"/>
              <w:bottom w:w="30" w:type="dxa"/>
              <w:right w:w="30" w:type="dxa"/>
            </w:tcMar>
            <w:hideMark/>
          </w:tcPr>
          <w:p w14:paraId="53B923BC"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4,3</w:t>
            </w:r>
            <w:r w:rsidRPr="00695000">
              <w:rPr>
                <w:rFonts w:eastAsia="Times New Roman"/>
                <w:lang w:eastAsia="ru-RU"/>
              </w:rPr>
              <w:t> (12)</w:t>
            </w:r>
          </w:p>
        </w:tc>
        <w:tc>
          <w:tcPr>
            <w:tcW w:w="533" w:type="pct"/>
            <w:shd w:val="clear" w:color="auto" w:fill="auto"/>
            <w:tcMar>
              <w:top w:w="30" w:type="dxa"/>
              <w:left w:w="30" w:type="dxa"/>
              <w:bottom w:w="30" w:type="dxa"/>
              <w:right w:w="30" w:type="dxa"/>
            </w:tcMar>
            <w:hideMark/>
          </w:tcPr>
          <w:p w14:paraId="009CCBFA"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2,5</w:t>
            </w:r>
            <w:r w:rsidRPr="00695000">
              <w:rPr>
                <w:rFonts w:eastAsia="Times New Roman"/>
                <w:lang w:eastAsia="ru-RU"/>
              </w:rPr>
              <w:t> (7)</w:t>
            </w:r>
          </w:p>
        </w:tc>
        <w:tc>
          <w:tcPr>
            <w:tcW w:w="533" w:type="pct"/>
            <w:shd w:val="clear" w:color="auto" w:fill="auto"/>
            <w:tcMar>
              <w:top w:w="30" w:type="dxa"/>
              <w:left w:w="30" w:type="dxa"/>
              <w:bottom w:w="30" w:type="dxa"/>
              <w:right w:w="30" w:type="dxa"/>
            </w:tcMar>
            <w:hideMark/>
          </w:tcPr>
          <w:p w14:paraId="1A49DFC8"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2,5</w:t>
            </w:r>
            <w:r w:rsidRPr="00695000">
              <w:rPr>
                <w:rFonts w:eastAsia="Times New Roman"/>
                <w:lang w:eastAsia="ru-RU"/>
              </w:rPr>
              <w:t> (7)</w:t>
            </w:r>
          </w:p>
        </w:tc>
        <w:tc>
          <w:tcPr>
            <w:tcW w:w="533" w:type="pct"/>
            <w:shd w:val="clear" w:color="auto" w:fill="auto"/>
            <w:tcMar>
              <w:top w:w="30" w:type="dxa"/>
              <w:left w:w="30" w:type="dxa"/>
              <w:bottom w:w="30" w:type="dxa"/>
              <w:right w:w="30" w:type="dxa"/>
            </w:tcMar>
            <w:hideMark/>
          </w:tcPr>
          <w:p w14:paraId="1F1ACAB6"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1,8</w:t>
            </w:r>
            <w:r w:rsidRPr="00695000">
              <w:rPr>
                <w:rFonts w:eastAsia="Times New Roman"/>
                <w:lang w:eastAsia="ru-RU"/>
              </w:rPr>
              <w:t> (5)</w:t>
            </w:r>
          </w:p>
        </w:tc>
        <w:tc>
          <w:tcPr>
            <w:tcW w:w="531" w:type="pct"/>
            <w:shd w:val="clear" w:color="auto" w:fill="auto"/>
            <w:tcMar>
              <w:top w:w="30" w:type="dxa"/>
              <w:left w:w="30" w:type="dxa"/>
              <w:bottom w:w="30" w:type="dxa"/>
              <w:right w:w="30" w:type="dxa"/>
            </w:tcMar>
            <w:hideMark/>
          </w:tcPr>
          <w:p w14:paraId="61DF58EE" w14:textId="77777777" w:rsidR="001C54B1" w:rsidRPr="00695000" w:rsidRDefault="001C54B1" w:rsidP="001C54B1">
            <w:pPr>
              <w:keepNext/>
              <w:keepLines/>
              <w:spacing w:after="0" w:line="240" w:lineRule="auto"/>
              <w:contextualSpacing/>
              <w:jc w:val="center"/>
              <w:rPr>
                <w:rFonts w:eastAsia="Times New Roman"/>
                <w:lang w:eastAsia="ru-RU"/>
              </w:rPr>
            </w:pPr>
            <w:r w:rsidRPr="00695000">
              <w:rPr>
                <w:rFonts w:eastAsia="Times New Roman"/>
                <w:b/>
                <w:bCs/>
                <w:lang w:eastAsia="ru-RU"/>
              </w:rPr>
              <w:t>3,2</w:t>
            </w:r>
            <w:r w:rsidRPr="00695000">
              <w:rPr>
                <w:rFonts w:eastAsia="Times New Roman"/>
                <w:lang w:eastAsia="ru-RU"/>
              </w:rPr>
              <w:t> (9)</w:t>
            </w:r>
          </w:p>
        </w:tc>
      </w:tr>
      <w:tr w:rsidR="001C54B1" w:rsidRPr="00695000" w14:paraId="3CA5497B" w14:textId="77777777" w:rsidTr="008A7500">
        <w:tc>
          <w:tcPr>
            <w:tcW w:w="1803" w:type="pct"/>
            <w:shd w:val="clear" w:color="auto" w:fill="auto"/>
            <w:tcMar>
              <w:top w:w="30" w:type="dxa"/>
              <w:left w:w="30" w:type="dxa"/>
              <w:bottom w:w="30" w:type="dxa"/>
              <w:right w:w="30" w:type="dxa"/>
            </w:tcMar>
            <w:hideMark/>
          </w:tcPr>
          <w:p w14:paraId="18770024" w14:textId="77777777" w:rsidR="001C54B1" w:rsidRPr="00695000" w:rsidRDefault="001C54B1" w:rsidP="001C54B1">
            <w:pPr>
              <w:spacing w:after="0" w:line="240" w:lineRule="auto"/>
              <w:contextualSpacing/>
              <w:rPr>
                <w:rFonts w:eastAsia="Times New Roman"/>
                <w:lang w:eastAsia="ru-RU"/>
              </w:rPr>
            </w:pPr>
            <w:r w:rsidRPr="00695000">
              <w:rPr>
                <w:rFonts w:eastAsia="Times New Roman"/>
                <w:b/>
                <w:bCs/>
                <w:lang w:eastAsia="ru-RU"/>
              </w:rPr>
              <w:t>Комбинированные конечные точки</w:t>
            </w:r>
            <w:r w:rsidRPr="00695000">
              <w:rPr>
                <w:rFonts w:eastAsia="Times New Roman"/>
                <w:lang w:eastAsia="ru-RU"/>
              </w:rPr>
              <w:t> (2</w:t>
            </w:r>
            <w:r w:rsidRPr="00695000">
              <w:rPr>
                <w:rFonts w:eastAsia="Times New Roman"/>
                <w:vertAlign w:val="superscript"/>
                <w:lang w:eastAsia="ru-RU"/>
              </w:rPr>
              <w:t>0</w:t>
            </w:r>
            <w:r w:rsidRPr="00695000">
              <w:rPr>
                <w:rFonts w:eastAsia="Times New Roman"/>
                <w:lang w:eastAsia="ru-RU"/>
              </w:rPr>
              <w:t> критерии)</w:t>
            </w:r>
          </w:p>
        </w:tc>
        <w:tc>
          <w:tcPr>
            <w:tcW w:w="533" w:type="pct"/>
            <w:shd w:val="clear" w:color="auto" w:fill="auto"/>
            <w:tcMar>
              <w:top w:w="30" w:type="dxa"/>
              <w:left w:w="30" w:type="dxa"/>
              <w:bottom w:w="30" w:type="dxa"/>
              <w:right w:w="30" w:type="dxa"/>
            </w:tcMar>
            <w:hideMark/>
          </w:tcPr>
          <w:p w14:paraId="284D164F"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305D9524"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112F41A6"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5CF6404A" w14:textId="77777777" w:rsidR="001C54B1" w:rsidRPr="00695000" w:rsidRDefault="001C54B1" w:rsidP="001C54B1">
            <w:pPr>
              <w:spacing w:after="0" w:line="240" w:lineRule="auto"/>
              <w:contextualSpacing/>
              <w:jc w:val="center"/>
              <w:rPr>
                <w:rFonts w:eastAsia="Times New Roman"/>
                <w:lang w:eastAsia="ru-RU"/>
              </w:rPr>
            </w:pPr>
          </w:p>
        </w:tc>
        <w:tc>
          <w:tcPr>
            <w:tcW w:w="533" w:type="pct"/>
            <w:shd w:val="clear" w:color="auto" w:fill="auto"/>
            <w:tcMar>
              <w:top w:w="30" w:type="dxa"/>
              <w:left w:w="30" w:type="dxa"/>
              <w:bottom w:w="30" w:type="dxa"/>
              <w:right w:w="30" w:type="dxa"/>
            </w:tcMar>
            <w:hideMark/>
          </w:tcPr>
          <w:p w14:paraId="6E0D3F8E" w14:textId="77777777" w:rsidR="001C54B1" w:rsidRPr="00695000" w:rsidRDefault="001C54B1" w:rsidP="001C54B1">
            <w:pPr>
              <w:spacing w:after="0" w:line="240" w:lineRule="auto"/>
              <w:contextualSpacing/>
              <w:jc w:val="center"/>
              <w:rPr>
                <w:rFonts w:eastAsia="Times New Roman"/>
                <w:lang w:eastAsia="ru-RU"/>
              </w:rPr>
            </w:pPr>
          </w:p>
        </w:tc>
        <w:tc>
          <w:tcPr>
            <w:tcW w:w="531" w:type="pct"/>
            <w:shd w:val="clear" w:color="auto" w:fill="auto"/>
            <w:tcMar>
              <w:top w:w="30" w:type="dxa"/>
              <w:left w:w="30" w:type="dxa"/>
              <w:bottom w:w="30" w:type="dxa"/>
              <w:right w:w="30" w:type="dxa"/>
            </w:tcMar>
            <w:hideMark/>
          </w:tcPr>
          <w:p w14:paraId="0D4C2147" w14:textId="77777777" w:rsidR="001C54B1" w:rsidRPr="00695000" w:rsidRDefault="001C54B1" w:rsidP="001C54B1">
            <w:pPr>
              <w:spacing w:after="0" w:line="240" w:lineRule="auto"/>
              <w:contextualSpacing/>
              <w:jc w:val="center"/>
              <w:rPr>
                <w:rFonts w:eastAsia="Times New Roman"/>
                <w:lang w:eastAsia="ru-RU"/>
              </w:rPr>
            </w:pPr>
          </w:p>
        </w:tc>
      </w:tr>
      <w:tr w:rsidR="001C54B1" w:rsidRPr="00695000" w14:paraId="03DD98E2" w14:textId="77777777" w:rsidTr="008A7500">
        <w:tc>
          <w:tcPr>
            <w:tcW w:w="1803" w:type="pct"/>
            <w:shd w:val="clear" w:color="auto" w:fill="auto"/>
            <w:tcMar>
              <w:top w:w="30" w:type="dxa"/>
              <w:left w:w="30" w:type="dxa"/>
              <w:bottom w:w="30" w:type="dxa"/>
              <w:right w:w="30" w:type="dxa"/>
            </w:tcMar>
            <w:hideMark/>
          </w:tcPr>
          <w:p w14:paraId="2C00BF5D"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Отторжение трансплантата/смерть</w:t>
            </w:r>
          </w:p>
        </w:tc>
        <w:tc>
          <w:tcPr>
            <w:tcW w:w="533" w:type="pct"/>
            <w:shd w:val="clear" w:color="auto" w:fill="auto"/>
            <w:tcMar>
              <w:top w:w="30" w:type="dxa"/>
              <w:left w:w="30" w:type="dxa"/>
              <w:bottom w:w="30" w:type="dxa"/>
              <w:right w:w="30" w:type="dxa"/>
            </w:tcMar>
            <w:hideMark/>
          </w:tcPr>
          <w:p w14:paraId="33BA17CC"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5,8</w:t>
            </w:r>
            <w:r w:rsidRPr="00695000">
              <w:rPr>
                <w:rFonts w:eastAsia="Times New Roman"/>
                <w:lang w:eastAsia="ru-RU"/>
              </w:rPr>
              <w:t> (16)</w:t>
            </w:r>
          </w:p>
        </w:tc>
        <w:tc>
          <w:tcPr>
            <w:tcW w:w="533" w:type="pct"/>
            <w:shd w:val="clear" w:color="auto" w:fill="auto"/>
            <w:tcMar>
              <w:top w:w="30" w:type="dxa"/>
              <w:left w:w="30" w:type="dxa"/>
              <w:bottom w:w="30" w:type="dxa"/>
              <w:right w:w="30" w:type="dxa"/>
            </w:tcMar>
            <w:hideMark/>
          </w:tcPr>
          <w:p w14:paraId="052FABC1"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6,5</w:t>
            </w:r>
            <w:r w:rsidRPr="00695000">
              <w:rPr>
                <w:rFonts w:eastAsia="Times New Roman"/>
                <w:lang w:eastAsia="ru-RU"/>
              </w:rPr>
              <w:t> (18)</w:t>
            </w:r>
          </w:p>
        </w:tc>
        <w:tc>
          <w:tcPr>
            <w:tcW w:w="533" w:type="pct"/>
            <w:shd w:val="clear" w:color="auto" w:fill="auto"/>
            <w:tcMar>
              <w:top w:w="30" w:type="dxa"/>
              <w:left w:w="30" w:type="dxa"/>
              <w:bottom w:w="30" w:type="dxa"/>
              <w:right w:w="30" w:type="dxa"/>
            </w:tcMar>
            <w:hideMark/>
          </w:tcPr>
          <w:p w14:paraId="10DCB8E6"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5,7</w:t>
            </w:r>
            <w:r w:rsidRPr="00695000">
              <w:rPr>
                <w:rFonts w:eastAsia="Times New Roman"/>
                <w:lang w:eastAsia="ru-RU"/>
              </w:rPr>
              <w:t> (16)</w:t>
            </w:r>
          </w:p>
        </w:tc>
        <w:tc>
          <w:tcPr>
            <w:tcW w:w="533" w:type="pct"/>
            <w:shd w:val="clear" w:color="auto" w:fill="auto"/>
            <w:tcMar>
              <w:top w:w="30" w:type="dxa"/>
              <w:left w:w="30" w:type="dxa"/>
              <w:bottom w:w="30" w:type="dxa"/>
              <w:right w:w="30" w:type="dxa"/>
            </w:tcMar>
            <w:hideMark/>
          </w:tcPr>
          <w:p w14:paraId="7EAE025A"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7,5</w:t>
            </w:r>
            <w:r w:rsidRPr="00695000">
              <w:rPr>
                <w:rFonts w:eastAsia="Times New Roman"/>
                <w:lang w:eastAsia="ru-RU"/>
              </w:rPr>
              <w:t> (21)</w:t>
            </w:r>
          </w:p>
        </w:tc>
        <w:tc>
          <w:tcPr>
            <w:tcW w:w="533" w:type="pct"/>
            <w:shd w:val="clear" w:color="auto" w:fill="auto"/>
            <w:tcMar>
              <w:top w:w="30" w:type="dxa"/>
              <w:left w:w="30" w:type="dxa"/>
              <w:bottom w:w="30" w:type="dxa"/>
              <w:right w:w="30" w:type="dxa"/>
            </w:tcMar>
            <w:hideMark/>
          </w:tcPr>
          <w:p w14:paraId="749D3CBD"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4,0</w:t>
            </w:r>
            <w:r w:rsidRPr="00695000">
              <w:rPr>
                <w:rFonts w:eastAsia="Times New Roman"/>
                <w:lang w:eastAsia="ru-RU"/>
              </w:rPr>
              <w:t> (11)</w:t>
            </w:r>
          </w:p>
        </w:tc>
        <w:tc>
          <w:tcPr>
            <w:tcW w:w="531" w:type="pct"/>
            <w:shd w:val="clear" w:color="auto" w:fill="auto"/>
            <w:tcMar>
              <w:top w:w="30" w:type="dxa"/>
              <w:left w:w="30" w:type="dxa"/>
              <w:bottom w:w="30" w:type="dxa"/>
              <w:right w:w="30" w:type="dxa"/>
            </w:tcMar>
            <w:hideMark/>
          </w:tcPr>
          <w:p w14:paraId="4F301D37"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5,4</w:t>
            </w:r>
            <w:r w:rsidRPr="00695000">
              <w:rPr>
                <w:rFonts w:eastAsia="Times New Roman"/>
                <w:lang w:eastAsia="ru-RU"/>
              </w:rPr>
              <w:t> (15)</w:t>
            </w:r>
          </w:p>
        </w:tc>
      </w:tr>
      <w:tr w:rsidR="001C54B1" w:rsidRPr="00695000" w14:paraId="1CA8F1ED" w14:textId="77777777" w:rsidTr="008A7500">
        <w:tc>
          <w:tcPr>
            <w:tcW w:w="1803" w:type="pct"/>
            <w:shd w:val="clear" w:color="auto" w:fill="auto"/>
            <w:tcMar>
              <w:top w:w="30" w:type="dxa"/>
              <w:left w:w="30" w:type="dxa"/>
              <w:bottom w:w="30" w:type="dxa"/>
              <w:right w:w="30" w:type="dxa"/>
            </w:tcMar>
            <w:hideMark/>
          </w:tcPr>
          <w:p w14:paraId="673EB7AB" w14:textId="77777777" w:rsidR="001C54B1" w:rsidRPr="00695000" w:rsidRDefault="001C54B1" w:rsidP="001C54B1">
            <w:pPr>
              <w:spacing w:after="0" w:line="240" w:lineRule="auto"/>
              <w:contextualSpacing/>
              <w:rPr>
                <w:rFonts w:eastAsia="Times New Roman"/>
                <w:lang w:eastAsia="ru-RU"/>
              </w:rPr>
            </w:pPr>
            <w:r w:rsidRPr="00695000">
              <w:rPr>
                <w:rFonts w:eastAsia="Times New Roman"/>
                <w:lang w:eastAsia="ru-RU"/>
              </w:rPr>
              <w:t>Отторжение трансплантата/ смерть/ потерян контакт для последующего наблюдения</w:t>
            </w:r>
          </w:p>
        </w:tc>
        <w:tc>
          <w:tcPr>
            <w:tcW w:w="533" w:type="pct"/>
            <w:shd w:val="clear" w:color="auto" w:fill="auto"/>
            <w:tcMar>
              <w:top w:w="30" w:type="dxa"/>
              <w:left w:w="30" w:type="dxa"/>
              <w:bottom w:w="30" w:type="dxa"/>
              <w:right w:w="30" w:type="dxa"/>
            </w:tcMar>
            <w:hideMark/>
          </w:tcPr>
          <w:p w14:paraId="6C190358"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9,4</w:t>
            </w:r>
            <w:r w:rsidRPr="00695000">
              <w:rPr>
                <w:rFonts w:eastAsia="Times New Roman"/>
                <w:lang w:eastAsia="ru-RU"/>
              </w:rPr>
              <w:t> (26)</w:t>
            </w:r>
          </w:p>
        </w:tc>
        <w:tc>
          <w:tcPr>
            <w:tcW w:w="533" w:type="pct"/>
            <w:shd w:val="clear" w:color="auto" w:fill="auto"/>
            <w:tcMar>
              <w:top w:w="30" w:type="dxa"/>
              <w:left w:w="30" w:type="dxa"/>
              <w:bottom w:w="30" w:type="dxa"/>
              <w:right w:w="30" w:type="dxa"/>
            </w:tcMar>
            <w:hideMark/>
          </w:tcPr>
          <w:p w14:paraId="16A23A36"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10,8</w:t>
            </w:r>
            <w:r w:rsidRPr="00695000">
              <w:rPr>
                <w:rFonts w:eastAsia="Times New Roman"/>
                <w:lang w:eastAsia="ru-RU"/>
              </w:rPr>
              <w:t> (30)</w:t>
            </w:r>
          </w:p>
        </w:tc>
        <w:tc>
          <w:tcPr>
            <w:tcW w:w="533" w:type="pct"/>
            <w:shd w:val="clear" w:color="auto" w:fill="auto"/>
            <w:tcMar>
              <w:top w:w="30" w:type="dxa"/>
              <w:left w:w="30" w:type="dxa"/>
              <w:bottom w:w="30" w:type="dxa"/>
              <w:right w:w="30" w:type="dxa"/>
            </w:tcMar>
            <w:hideMark/>
          </w:tcPr>
          <w:p w14:paraId="689FEB07"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8,2</w:t>
            </w:r>
            <w:r w:rsidRPr="00695000">
              <w:rPr>
                <w:rFonts w:eastAsia="Times New Roman"/>
                <w:lang w:eastAsia="ru-RU"/>
              </w:rPr>
              <w:t> (23)</w:t>
            </w:r>
          </w:p>
        </w:tc>
        <w:tc>
          <w:tcPr>
            <w:tcW w:w="533" w:type="pct"/>
            <w:shd w:val="clear" w:color="auto" w:fill="auto"/>
            <w:tcMar>
              <w:top w:w="30" w:type="dxa"/>
              <w:left w:w="30" w:type="dxa"/>
              <w:bottom w:w="30" w:type="dxa"/>
              <w:right w:w="30" w:type="dxa"/>
            </w:tcMar>
            <w:hideMark/>
          </w:tcPr>
          <w:p w14:paraId="5A085B56"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10,0</w:t>
            </w:r>
            <w:r w:rsidRPr="00695000">
              <w:rPr>
                <w:rFonts w:eastAsia="Times New Roman"/>
                <w:lang w:eastAsia="ru-RU"/>
              </w:rPr>
              <w:t> (28)</w:t>
            </w:r>
          </w:p>
        </w:tc>
        <w:tc>
          <w:tcPr>
            <w:tcW w:w="533" w:type="pct"/>
            <w:shd w:val="clear" w:color="auto" w:fill="auto"/>
            <w:tcMar>
              <w:top w:w="30" w:type="dxa"/>
              <w:left w:w="30" w:type="dxa"/>
              <w:bottom w:w="30" w:type="dxa"/>
              <w:right w:w="30" w:type="dxa"/>
            </w:tcMar>
            <w:hideMark/>
          </w:tcPr>
          <w:p w14:paraId="0DA4CC62"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5,8</w:t>
            </w:r>
            <w:r w:rsidRPr="00695000">
              <w:rPr>
                <w:rFonts w:eastAsia="Times New Roman"/>
                <w:lang w:eastAsia="ru-RU"/>
              </w:rPr>
              <w:t> (16)</w:t>
            </w:r>
          </w:p>
        </w:tc>
        <w:tc>
          <w:tcPr>
            <w:tcW w:w="531" w:type="pct"/>
            <w:shd w:val="clear" w:color="auto" w:fill="auto"/>
            <w:tcMar>
              <w:top w:w="30" w:type="dxa"/>
              <w:left w:w="30" w:type="dxa"/>
              <w:bottom w:w="30" w:type="dxa"/>
              <w:right w:w="30" w:type="dxa"/>
            </w:tcMar>
            <w:hideMark/>
          </w:tcPr>
          <w:p w14:paraId="064192CA" w14:textId="77777777" w:rsidR="001C54B1" w:rsidRPr="00695000" w:rsidRDefault="001C54B1" w:rsidP="001C54B1">
            <w:pPr>
              <w:spacing w:after="0" w:line="240" w:lineRule="auto"/>
              <w:contextualSpacing/>
              <w:jc w:val="center"/>
              <w:rPr>
                <w:rFonts w:eastAsia="Times New Roman"/>
                <w:lang w:eastAsia="ru-RU"/>
              </w:rPr>
            </w:pPr>
            <w:r w:rsidRPr="00695000">
              <w:rPr>
                <w:rFonts w:eastAsia="Times New Roman"/>
                <w:b/>
                <w:bCs/>
                <w:lang w:eastAsia="ru-RU"/>
              </w:rPr>
              <w:t>8,7</w:t>
            </w:r>
            <w:r w:rsidRPr="00695000">
              <w:rPr>
                <w:rFonts w:eastAsia="Times New Roman"/>
                <w:lang w:eastAsia="ru-RU"/>
              </w:rPr>
              <w:t> (24)</w:t>
            </w:r>
          </w:p>
        </w:tc>
      </w:tr>
      <w:tr w:rsidR="00AA5270" w:rsidRPr="00695000" w14:paraId="3A278FA4" w14:textId="77777777" w:rsidTr="008A7500">
        <w:tc>
          <w:tcPr>
            <w:tcW w:w="5000" w:type="pct"/>
            <w:gridSpan w:val="7"/>
            <w:shd w:val="clear" w:color="auto" w:fill="auto"/>
            <w:tcMar>
              <w:top w:w="30" w:type="dxa"/>
              <w:left w:w="30" w:type="dxa"/>
              <w:bottom w:w="30" w:type="dxa"/>
              <w:right w:w="30" w:type="dxa"/>
            </w:tcMar>
          </w:tcPr>
          <w:p w14:paraId="171EC6D6" w14:textId="77777777" w:rsidR="00AA5270" w:rsidRPr="00695000" w:rsidRDefault="00AA5270" w:rsidP="00AA5270">
            <w:pPr>
              <w:shd w:val="clear" w:color="auto" w:fill="FFFFFF"/>
              <w:spacing w:after="143" w:line="240" w:lineRule="auto"/>
              <w:contextualSpacing/>
              <w:rPr>
                <w:rFonts w:eastAsia="Times New Roman"/>
                <w:b/>
                <w:color w:val="000000"/>
                <w:sz w:val="20"/>
                <w:szCs w:val="20"/>
                <w:lang w:eastAsia="ru-RU"/>
              </w:rPr>
            </w:pPr>
            <w:r w:rsidRPr="00695000">
              <w:rPr>
                <w:rFonts w:eastAsia="Times New Roman"/>
                <w:b/>
                <w:color w:val="000000"/>
                <w:sz w:val="20"/>
                <w:szCs w:val="20"/>
                <w:lang w:eastAsia="ru-RU"/>
              </w:rPr>
              <w:t>Примечание:</w:t>
            </w:r>
          </w:p>
          <w:p w14:paraId="12BEBAB7" w14:textId="77777777" w:rsidR="00AA5270" w:rsidRPr="00695000" w:rsidRDefault="00AA5270" w:rsidP="00AA5270">
            <w:pPr>
              <w:shd w:val="clear" w:color="auto" w:fill="FFFFFF"/>
              <w:spacing w:after="143" w:line="240" w:lineRule="auto"/>
              <w:contextualSpacing/>
              <w:rPr>
                <w:rFonts w:eastAsia="Times New Roman"/>
                <w:color w:val="000000"/>
                <w:sz w:val="20"/>
                <w:szCs w:val="20"/>
                <w:lang w:eastAsia="ru-RU"/>
              </w:rPr>
            </w:pPr>
            <w:r w:rsidRPr="00695000">
              <w:rPr>
                <w:rFonts w:eastAsia="Times New Roman"/>
                <w:color w:val="000000"/>
                <w:sz w:val="20"/>
                <w:szCs w:val="20"/>
                <w:lang w:eastAsia="ru-RU"/>
              </w:rPr>
              <w:t>мес. = месяцы, 1</w:t>
            </w:r>
            <w:r w:rsidRPr="00695000">
              <w:rPr>
                <w:rFonts w:eastAsia="Times New Roman"/>
                <w:color w:val="000000"/>
                <w:sz w:val="20"/>
                <w:szCs w:val="20"/>
                <w:vertAlign w:val="superscript"/>
                <w:lang w:eastAsia="ru-RU"/>
              </w:rPr>
              <w:t>0</w:t>
            </w:r>
            <w:r w:rsidRPr="00695000">
              <w:rPr>
                <w:rFonts w:eastAsia="Times New Roman"/>
                <w:color w:val="000000"/>
                <w:sz w:val="20"/>
                <w:szCs w:val="20"/>
                <w:lang w:eastAsia="ru-RU"/>
              </w:rPr>
              <w:t> = первичный, 2</w:t>
            </w:r>
            <w:r w:rsidRPr="00695000">
              <w:rPr>
                <w:rFonts w:eastAsia="Times New Roman"/>
                <w:color w:val="000000"/>
                <w:sz w:val="20"/>
                <w:szCs w:val="20"/>
                <w:vertAlign w:val="superscript"/>
                <w:lang w:eastAsia="ru-RU"/>
              </w:rPr>
              <w:t>0</w:t>
            </w:r>
            <w:r w:rsidRPr="00695000">
              <w:rPr>
                <w:rFonts w:eastAsia="Times New Roman"/>
                <w:color w:val="000000"/>
                <w:sz w:val="20"/>
                <w:szCs w:val="20"/>
                <w:lang w:eastAsia="ru-RU"/>
              </w:rPr>
              <w:t> = вторичный, ДИ = доверительный интервал, предел не меньшей эффективности составил 10 %</w:t>
            </w:r>
          </w:p>
          <w:p w14:paraId="7E706D8C" w14:textId="5FAEDDF7" w:rsidR="00AA5270" w:rsidRPr="00695000" w:rsidRDefault="00AA5270" w:rsidP="0071249E">
            <w:pPr>
              <w:shd w:val="clear" w:color="auto" w:fill="FFFFFF"/>
              <w:spacing w:after="143" w:line="240" w:lineRule="auto"/>
              <w:contextualSpacing/>
              <w:rPr>
                <w:rFonts w:eastAsia="Times New Roman"/>
                <w:b/>
                <w:bCs/>
                <w:lang w:eastAsia="ru-RU"/>
              </w:rPr>
            </w:pPr>
            <w:r w:rsidRPr="00695000">
              <w:rPr>
                <w:rFonts w:eastAsia="Times New Roman"/>
                <w:color w:val="000000"/>
                <w:sz w:val="20"/>
                <w:szCs w:val="20"/>
                <w:lang w:eastAsia="ru-RU"/>
              </w:rPr>
              <w:t>Комбинированная конечная точка: подтвержденное биопсией острое отторжение (BPAR), отторжение трансплантата, смерть или утрата контакта для последующего наблюдения (FU).</w:t>
            </w:r>
          </w:p>
        </w:tc>
      </w:tr>
    </w:tbl>
    <w:p w14:paraId="2B6349F7" w14:textId="77777777" w:rsidR="001C54B1" w:rsidRPr="008A7500" w:rsidRDefault="001C54B1" w:rsidP="008A7500">
      <w:pPr>
        <w:pStyle w:val="4"/>
        <w:spacing w:after="240" w:line="240" w:lineRule="auto"/>
        <w:rPr>
          <w:rFonts w:ascii="Times New Roman" w:hAnsi="Times New Roman"/>
          <w:color w:val="000000" w:themeColor="text1"/>
          <w:sz w:val="24"/>
          <w:szCs w:val="24"/>
        </w:rPr>
      </w:pPr>
      <w:bookmarkStart w:id="307" w:name="_Toc115217974"/>
      <w:bookmarkStart w:id="308" w:name="_Toc118124210"/>
      <w:bookmarkStart w:id="309" w:name="_Toc119313778"/>
      <w:r w:rsidRPr="008A7500">
        <w:rPr>
          <w:rFonts w:ascii="Times New Roman" w:hAnsi="Times New Roman"/>
          <w:color w:val="000000" w:themeColor="text1"/>
          <w:sz w:val="24"/>
          <w:szCs w:val="24"/>
        </w:rPr>
        <w:t xml:space="preserve">4.2.1.2. </w:t>
      </w:r>
      <w:bookmarkEnd w:id="307"/>
      <w:r w:rsidRPr="008A7500">
        <w:rPr>
          <w:rFonts w:ascii="Times New Roman" w:hAnsi="Times New Roman"/>
          <w:color w:val="000000" w:themeColor="text1"/>
          <w:sz w:val="24"/>
          <w:szCs w:val="24"/>
        </w:rPr>
        <w:t>Трансплантация сердца</w:t>
      </w:r>
      <w:bookmarkEnd w:id="308"/>
      <w:bookmarkEnd w:id="309"/>
    </w:p>
    <w:p w14:paraId="35F32337" w14:textId="76D7B612" w:rsidR="001C54B1" w:rsidRPr="00695000" w:rsidRDefault="001C54B1" w:rsidP="008A7500">
      <w:pPr>
        <w:shd w:val="clear" w:color="auto" w:fill="FFFFFF"/>
        <w:spacing w:after="0" w:line="240" w:lineRule="auto"/>
        <w:ind w:firstLine="709"/>
        <w:rPr>
          <w:rFonts w:eastAsia="Times New Roman"/>
          <w:color w:val="000000"/>
          <w:lang w:eastAsia="ru-RU"/>
        </w:rPr>
      </w:pPr>
      <w:r w:rsidRPr="00695000">
        <w:rPr>
          <w:rFonts w:eastAsia="Times New Roman"/>
          <w:color w:val="000000"/>
          <w:lang w:eastAsia="ru-RU"/>
        </w:rPr>
        <w:t xml:space="preserve">В кардиологическом исследовании III фазы (B253) были исследованы </w:t>
      </w:r>
      <w:r w:rsidR="00AA5270">
        <w:rPr>
          <w:rFonts w:eastAsia="Times New Roman"/>
          <w:color w:val="000000"/>
          <w:lang w:eastAsia="ru-RU"/>
        </w:rPr>
        <w:t xml:space="preserve">эверолимус </w:t>
      </w:r>
      <w:r w:rsidRPr="00695000">
        <w:rPr>
          <w:rFonts w:eastAsia="Times New Roman"/>
          <w:color w:val="000000"/>
          <w:lang w:eastAsia="ru-RU"/>
        </w:rPr>
        <w:t>в дозах 1,5 мг/сут и 3 мг/сут в комбинации со стандартными дозами циклоспорина для получения микроэмульсии и кортикостероидов в сравнении с азатиоприном (AZA) 1-3 мг/кг/сут. Первичной конечной точкой была совокупность случаев острого отторжения степени ≥ 3A по ISHLT, острого отторжения, связанного с нарушением гемодинамики, отторжения трансплантата, смерти пациента или потери контакта для последующего наблюдения через 6, 12 и 24 месяца. Обе дозы препарата Сертикан превосходили AZA через 6, 12 и 24 месяца. Частота подтвержденного биопсией острого отторжения ≥ 3A степени ISHLT на 6</w:t>
      </w:r>
      <w:r w:rsidRPr="00695000">
        <w:rPr>
          <w:rFonts w:eastAsia="Times New Roman"/>
          <w:color w:val="000000"/>
          <w:lang w:eastAsia="ru-RU"/>
        </w:rPr>
        <w:noBreakHyphen/>
        <w:t>м месяце составила 27,8 % в группе 1,5 мг/сут, 19 % в группе 3 мг/сут и 41,6 % в группе AZA, соответственно (р = 0,003 для 1,5 мг по сравнению с контролем, &lt; 0,001 для 3 мг по сравнению с контролем).</w:t>
      </w:r>
    </w:p>
    <w:p w14:paraId="4B9AC288" w14:textId="4C70D9E2"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Согласно данным внутрисосудистого ультразвукового исследования коронарных артерий в подгруппе исследуемой популяции, обе дозы </w:t>
      </w:r>
      <w:r w:rsidR="00AA5270">
        <w:rPr>
          <w:rFonts w:eastAsia="Times New Roman"/>
          <w:color w:val="000000"/>
          <w:lang w:eastAsia="ru-RU"/>
        </w:rPr>
        <w:t xml:space="preserve">эверолимуса </w:t>
      </w:r>
      <w:r w:rsidRPr="00695000">
        <w:rPr>
          <w:rFonts w:eastAsia="Times New Roman"/>
          <w:color w:val="000000"/>
          <w:lang w:eastAsia="ru-RU"/>
        </w:rPr>
        <w:t>были статистически значимо эффективнее AZA с точки зрения предупреждения васкулопатии аллотрансплантата (определяемой как увеличение максимальной толщины интимы относительно исходного уровня ≥ 0,5 мм по крайней мере в одном подобранном срезе автоматического устройства протяжки катетера), что является важным фактором риска долгосрочного отторжения трансплантата.</w:t>
      </w:r>
    </w:p>
    <w:p w14:paraId="0B25B52D" w14:textId="25D80E96" w:rsidR="001C54B1" w:rsidRPr="00695000"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lastRenderedPageBreak/>
        <w:t xml:space="preserve">Повышение уровня креатинина в сыворотке крови наблюдалось чаще у пациентов, получавших </w:t>
      </w:r>
      <w:r w:rsidR="00AA5270">
        <w:rPr>
          <w:rFonts w:eastAsia="Times New Roman"/>
          <w:color w:val="000000"/>
          <w:lang w:eastAsia="ru-RU"/>
        </w:rPr>
        <w:t xml:space="preserve">эверолимус </w:t>
      </w:r>
      <w:r w:rsidRPr="00695000">
        <w:rPr>
          <w:rFonts w:eastAsia="Times New Roman"/>
          <w:color w:val="000000"/>
          <w:lang w:eastAsia="ru-RU"/>
        </w:rPr>
        <w:t xml:space="preserve">в комбинации с полной дозой циклоспорина для получения микроэмульсии, чем у пациентов, получавших AZA. Эти результаты показали, что </w:t>
      </w:r>
      <w:r w:rsidR="00AA5270">
        <w:rPr>
          <w:rFonts w:eastAsia="Times New Roman"/>
          <w:color w:val="000000"/>
          <w:lang w:eastAsia="ru-RU"/>
        </w:rPr>
        <w:t xml:space="preserve">эверолимус </w:t>
      </w:r>
      <w:r w:rsidRPr="00695000">
        <w:rPr>
          <w:rFonts w:eastAsia="Times New Roman"/>
          <w:color w:val="000000"/>
          <w:lang w:eastAsia="ru-RU"/>
        </w:rPr>
        <w:t>усиливает нефротоксичность, индуцированную циклоспорином</w:t>
      </w:r>
      <w:r w:rsidRPr="001C54B1">
        <w:rPr>
          <w:rFonts w:eastAsia="Times New Roman"/>
          <w:color w:val="000000"/>
          <w:lang w:eastAsia="ru-RU"/>
        </w:rPr>
        <w:t xml:space="preserve"> [3,9]</w:t>
      </w:r>
      <w:r w:rsidRPr="00695000">
        <w:rPr>
          <w:rFonts w:eastAsia="Times New Roman"/>
          <w:color w:val="000000"/>
          <w:lang w:eastAsia="ru-RU"/>
        </w:rPr>
        <w:t>.</w:t>
      </w:r>
    </w:p>
    <w:p w14:paraId="40A423B0" w14:textId="5F1E1F09" w:rsidR="001C54B1" w:rsidRDefault="001C54B1" w:rsidP="001C54B1">
      <w:pPr>
        <w:shd w:val="clear" w:color="auto" w:fill="FFFFFF"/>
        <w:spacing w:after="143" w:line="240" w:lineRule="auto"/>
        <w:ind w:firstLine="709"/>
        <w:contextualSpacing/>
        <w:rPr>
          <w:rFonts w:eastAsia="Times New Roman"/>
          <w:color w:val="000000"/>
          <w:lang w:eastAsia="ru-RU"/>
        </w:rPr>
      </w:pPr>
      <w:r w:rsidRPr="00695000">
        <w:rPr>
          <w:rFonts w:eastAsia="Times New Roman"/>
          <w:color w:val="000000"/>
          <w:lang w:eastAsia="ru-RU"/>
        </w:rPr>
        <w:t xml:space="preserve">Исследование A2411 представляло собой рандомизированное 12-месячное открытое исследование, в котором сравнивали </w:t>
      </w:r>
      <w:r w:rsidR="00AA5270">
        <w:rPr>
          <w:rFonts w:eastAsia="Times New Roman"/>
          <w:color w:val="000000"/>
          <w:lang w:eastAsia="ru-RU"/>
        </w:rPr>
        <w:t xml:space="preserve">эверолимус </w:t>
      </w:r>
      <w:r w:rsidRPr="00695000">
        <w:rPr>
          <w:rFonts w:eastAsia="Times New Roman"/>
          <w:color w:val="000000"/>
          <w:lang w:eastAsia="ru-RU"/>
        </w:rPr>
        <w:t xml:space="preserve">в комбинации со сниженными дозами микроэмульсии циклоспорина и кортикостероидов с микофенолата мофетилом (MMF) и стандартными дозами микроэмульсии циклоспорина и кортикостероидов у пациентов с трансплантацией сердца </w:t>
      </w:r>
      <w:r w:rsidRPr="00695000">
        <w:rPr>
          <w:rFonts w:eastAsia="Times New Roman"/>
          <w:i/>
          <w:iCs/>
          <w:color w:val="000000"/>
          <w:lang w:eastAsia="ru-RU"/>
        </w:rPr>
        <w:t>de novo</w:t>
      </w:r>
      <w:r w:rsidRPr="00695000">
        <w:rPr>
          <w:rFonts w:eastAsia="Times New Roman"/>
          <w:color w:val="000000"/>
          <w:lang w:eastAsia="ru-RU"/>
        </w:rPr>
        <w:t xml:space="preserve">. Применение </w:t>
      </w:r>
      <w:r w:rsidR="00AA5270">
        <w:rPr>
          <w:rFonts w:eastAsia="Times New Roman"/>
          <w:color w:val="000000"/>
          <w:lang w:eastAsia="ru-RU"/>
        </w:rPr>
        <w:t>эверолимуса</w:t>
      </w:r>
      <w:r w:rsidRPr="00695000">
        <w:rPr>
          <w:rFonts w:eastAsia="Times New Roman"/>
          <w:color w:val="000000"/>
          <w:lang w:eastAsia="ru-RU"/>
        </w:rPr>
        <w:t xml:space="preserve"> было начато в дозе 1,5 мг/сут, доза была скорректирована для поддержания целевой концентрации эверолимуса в крови на уровне 3-8 нг/мл. Доза MMF была начата с 1500 мг </w:t>
      </w:r>
      <w:r w:rsidRPr="00695000">
        <w:rPr>
          <w:rFonts w:eastAsia="Times New Roman"/>
          <w:i/>
          <w:iCs/>
          <w:color w:val="000000"/>
          <w:lang w:eastAsia="ru-RU"/>
        </w:rPr>
        <w:t>2 р/сут</w:t>
      </w:r>
      <w:r w:rsidRPr="00695000">
        <w:rPr>
          <w:rFonts w:eastAsia="Times New Roman"/>
          <w:color w:val="000000"/>
          <w:lang w:eastAsia="ru-RU"/>
        </w:rPr>
        <w:t>. Дозы микроэмульсии циклоспорина были адаптированы для следующих целевых минимальных концентраций (нг/мл) [3,10]:</w:t>
      </w:r>
    </w:p>
    <w:p w14:paraId="155127C5" w14:textId="77777777" w:rsidR="00D133AE" w:rsidRDefault="00D133AE" w:rsidP="001C54B1">
      <w:pPr>
        <w:shd w:val="clear" w:color="auto" w:fill="FFFFFF"/>
        <w:spacing w:after="143" w:line="240" w:lineRule="auto"/>
        <w:ind w:firstLine="709"/>
        <w:contextualSpacing/>
        <w:rPr>
          <w:rFonts w:eastAsia="Times New Roman"/>
          <w:color w:val="000000"/>
          <w:lang w:eastAsia="ru-RU"/>
        </w:rPr>
      </w:pPr>
    </w:p>
    <w:p w14:paraId="3F0691D5" w14:textId="24EB1316" w:rsidR="00D133AE" w:rsidRDefault="00D133AE" w:rsidP="00D133AE">
      <w:pPr>
        <w:shd w:val="clear" w:color="auto" w:fill="FFFFFF"/>
        <w:spacing w:after="143" w:line="240" w:lineRule="auto"/>
        <w:contextualSpacing/>
        <w:rPr>
          <w:rFonts w:eastAsia="Times New Roman"/>
          <w:color w:val="000000"/>
          <w:lang w:eastAsia="ru-RU"/>
        </w:rPr>
      </w:pPr>
      <w:r w:rsidRPr="00D133AE">
        <w:rPr>
          <w:rFonts w:eastAsia="Times New Roman"/>
          <w:b/>
          <w:color w:val="000000"/>
          <w:lang w:eastAsia="ru-RU"/>
        </w:rPr>
        <w:t>Таблица 4-8.</w:t>
      </w:r>
      <w:r w:rsidRPr="00D133AE">
        <w:rPr>
          <w:rFonts w:eastAsia="Times New Roman"/>
          <w:color w:val="000000"/>
          <w:lang w:eastAsia="ru-RU"/>
        </w:rPr>
        <w:t xml:space="preserve"> Целевые минимальные концентрации циклоспорина по месяцам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336"/>
        <w:gridCol w:w="1402"/>
        <w:gridCol w:w="1402"/>
        <w:gridCol w:w="1402"/>
        <w:gridCol w:w="1402"/>
        <w:gridCol w:w="1402"/>
      </w:tblGrid>
      <w:tr w:rsidR="00D133AE" w:rsidRPr="00695000" w14:paraId="178E4F15" w14:textId="77777777" w:rsidTr="008A7500">
        <w:trPr>
          <w:tblHeader/>
        </w:trPr>
        <w:tc>
          <w:tcPr>
            <w:tcW w:w="1249" w:type="pct"/>
            <w:shd w:val="clear" w:color="auto" w:fill="D9D9D9" w:themeFill="background1" w:themeFillShade="D9"/>
            <w:tcMar>
              <w:top w:w="30" w:type="dxa"/>
              <w:left w:w="30" w:type="dxa"/>
              <w:bottom w:w="30" w:type="dxa"/>
              <w:right w:w="30" w:type="dxa"/>
            </w:tcMar>
            <w:hideMark/>
          </w:tcPr>
          <w:p w14:paraId="127A13C2"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Заданная C</w:t>
            </w:r>
            <w:r w:rsidRPr="00695000">
              <w:rPr>
                <w:rFonts w:eastAsia="Times New Roman"/>
                <w:b/>
                <w:bCs/>
                <w:vertAlign w:val="subscript"/>
                <w:lang w:eastAsia="ru-RU"/>
              </w:rPr>
              <w:t>0</w:t>
            </w:r>
            <w:r w:rsidRPr="00695000">
              <w:rPr>
                <w:rFonts w:eastAsia="Times New Roman"/>
                <w:b/>
                <w:bCs/>
                <w:lang w:eastAsia="ru-RU"/>
              </w:rPr>
              <w:t xml:space="preserve"> циклоспорина</w:t>
            </w:r>
          </w:p>
        </w:tc>
        <w:tc>
          <w:tcPr>
            <w:tcW w:w="750" w:type="pct"/>
            <w:shd w:val="clear" w:color="auto" w:fill="D9D9D9" w:themeFill="background1" w:themeFillShade="D9"/>
            <w:tcMar>
              <w:top w:w="30" w:type="dxa"/>
              <w:left w:w="30" w:type="dxa"/>
              <w:bottom w:w="30" w:type="dxa"/>
              <w:right w:w="30" w:type="dxa"/>
            </w:tcMar>
            <w:vAlign w:val="center"/>
            <w:hideMark/>
          </w:tcPr>
          <w:p w14:paraId="7054BE55" w14:textId="77777777" w:rsidR="00D133AE" w:rsidRPr="00695000" w:rsidRDefault="00D133AE" w:rsidP="00360E2C">
            <w:pPr>
              <w:spacing w:after="0" w:line="240" w:lineRule="auto"/>
              <w:contextualSpacing/>
              <w:jc w:val="center"/>
              <w:rPr>
                <w:rFonts w:eastAsia="Times New Roman"/>
                <w:b/>
                <w:lang w:eastAsia="ru-RU"/>
              </w:rPr>
            </w:pPr>
            <w:r w:rsidRPr="00695000">
              <w:rPr>
                <w:rFonts w:eastAsia="Times New Roman"/>
                <w:b/>
                <w:lang w:eastAsia="ru-RU"/>
              </w:rPr>
              <w:t>Мес. 1</w:t>
            </w:r>
          </w:p>
        </w:tc>
        <w:tc>
          <w:tcPr>
            <w:tcW w:w="750" w:type="pct"/>
            <w:shd w:val="clear" w:color="auto" w:fill="D9D9D9" w:themeFill="background1" w:themeFillShade="D9"/>
            <w:tcMar>
              <w:top w:w="30" w:type="dxa"/>
              <w:left w:w="30" w:type="dxa"/>
              <w:bottom w:w="30" w:type="dxa"/>
              <w:right w:w="30" w:type="dxa"/>
            </w:tcMar>
            <w:vAlign w:val="center"/>
            <w:hideMark/>
          </w:tcPr>
          <w:p w14:paraId="7E16C04E" w14:textId="77777777" w:rsidR="00D133AE" w:rsidRPr="00695000" w:rsidRDefault="00D133AE" w:rsidP="00360E2C">
            <w:pPr>
              <w:spacing w:after="0" w:line="240" w:lineRule="auto"/>
              <w:contextualSpacing/>
              <w:jc w:val="center"/>
              <w:rPr>
                <w:rFonts w:eastAsia="Times New Roman"/>
                <w:b/>
                <w:lang w:eastAsia="ru-RU"/>
              </w:rPr>
            </w:pPr>
            <w:r w:rsidRPr="00695000">
              <w:rPr>
                <w:rFonts w:eastAsia="Times New Roman"/>
                <w:b/>
                <w:lang w:eastAsia="ru-RU"/>
              </w:rPr>
              <w:t>Мес. 2</w:t>
            </w:r>
          </w:p>
        </w:tc>
        <w:tc>
          <w:tcPr>
            <w:tcW w:w="750" w:type="pct"/>
            <w:shd w:val="clear" w:color="auto" w:fill="D9D9D9" w:themeFill="background1" w:themeFillShade="D9"/>
            <w:tcMar>
              <w:top w:w="30" w:type="dxa"/>
              <w:left w:w="30" w:type="dxa"/>
              <w:bottom w:w="30" w:type="dxa"/>
              <w:right w:w="30" w:type="dxa"/>
            </w:tcMar>
            <w:vAlign w:val="center"/>
            <w:hideMark/>
          </w:tcPr>
          <w:p w14:paraId="49DC7316" w14:textId="77777777" w:rsidR="00D133AE" w:rsidRPr="00695000" w:rsidRDefault="00D133AE" w:rsidP="00360E2C">
            <w:pPr>
              <w:spacing w:after="0" w:line="240" w:lineRule="auto"/>
              <w:contextualSpacing/>
              <w:jc w:val="center"/>
              <w:rPr>
                <w:rFonts w:eastAsia="Times New Roman"/>
                <w:b/>
                <w:lang w:eastAsia="ru-RU"/>
              </w:rPr>
            </w:pPr>
            <w:r w:rsidRPr="00695000">
              <w:rPr>
                <w:rFonts w:eastAsia="Times New Roman"/>
                <w:b/>
                <w:lang w:eastAsia="ru-RU"/>
              </w:rPr>
              <w:t>Мес. 3-4</w:t>
            </w:r>
          </w:p>
        </w:tc>
        <w:tc>
          <w:tcPr>
            <w:tcW w:w="750" w:type="pct"/>
            <w:shd w:val="clear" w:color="auto" w:fill="D9D9D9" w:themeFill="background1" w:themeFillShade="D9"/>
            <w:tcMar>
              <w:top w:w="30" w:type="dxa"/>
              <w:left w:w="30" w:type="dxa"/>
              <w:bottom w:w="30" w:type="dxa"/>
              <w:right w:w="30" w:type="dxa"/>
            </w:tcMar>
            <w:vAlign w:val="center"/>
            <w:hideMark/>
          </w:tcPr>
          <w:p w14:paraId="2937EB7C" w14:textId="77777777" w:rsidR="00D133AE" w:rsidRPr="00695000" w:rsidRDefault="00D133AE" w:rsidP="00360E2C">
            <w:pPr>
              <w:spacing w:after="0" w:line="240" w:lineRule="auto"/>
              <w:contextualSpacing/>
              <w:jc w:val="center"/>
              <w:rPr>
                <w:rFonts w:eastAsia="Times New Roman"/>
                <w:b/>
                <w:lang w:eastAsia="ru-RU"/>
              </w:rPr>
            </w:pPr>
            <w:r w:rsidRPr="00695000">
              <w:rPr>
                <w:rFonts w:eastAsia="Times New Roman"/>
                <w:b/>
                <w:lang w:eastAsia="ru-RU"/>
              </w:rPr>
              <w:t>Мес. 5-6</w:t>
            </w:r>
          </w:p>
        </w:tc>
        <w:tc>
          <w:tcPr>
            <w:tcW w:w="750" w:type="pct"/>
            <w:shd w:val="clear" w:color="auto" w:fill="D9D9D9" w:themeFill="background1" w:themeFillShade="D9"/>
            <w:tcMar>
              <w:top w:w="30" w:type="dxa"/>
              <w:left w:w="30" w:type="dxa"/>
              <w:bottom w:w="30" w:type="dxa"/>
              <w:right w:w="30" w:type="dxa"/>
            </w:tcMar>
            <w:vAlign w:val="center"/>
            <w:hideMark/>
          </w:tcPr>
          <w:p w14:paraId="6151BB60" w14:textId="77777777" w:rsidR="00D133AE" w:rsidRPr="00695000" w:rsidRDefault="00D133AE" w:rsidP="00360E2C">
            <w:pPr>
              <w:spacing w:after="0" w:line="240" w:lineRule="auto"/>
              <w:contextualSpacing/>
              <w:jc w:val="center"/>
              <w:rPr>
                <w:rFonts w:eastAsia="Times New Roman"/>
                <w:b/>
                <w:lang w:eastAsia="ru-RU"/>
              </w:rPr>
            </w:pPr>
            <w:r w:rsidRPr="00695000">
              <w:rPr>
                <w:rFonts w:eastAsia="Times New Roman"/>
                <w:b/>
                <w:lang w:eastAsia="ru-RU"/>
              </w:rPr>
              <w:t>Мес. 7-12</w:t>
            </w:r>
          </w:p>
        </w:tc>
      </w:tr>
      <w:tr w:rsidR="00D133AE" w:rsidRPr="00695000" w14:paraId="377E1020" w14:textId="77777777" w:rsidTr="008A7500">
        <w:tc>
          <w:tcPr>
            <w:tcW w:w="1249" w:type="pct"/>
            <w:shd w:val="clear" w:color="auto" w:fill="auto"/>
            <w:tcMar>
              <w:top w:w="30" w:type="dxa"/>
              <w:left w:w="30" w:type="dxa"/>
              <w:bottom w:w="30" w:type="dxa"/>
              <w:right w:w="30" w:type="dxa"/>
            </w:tcMar>
            <w:hideMark/>
          </w:tcPr>
          <w:p w14:paraId="497CA01C"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Cs/>
                <w:lang w:eastAsia="ru-RU"/>
              </w:rPr>
              <w:t>Группа препарата Сертикан</w:t>
            </w:r>
          </w:p>
        </w:tc>
        <w:tc>
          <w:tcPr>
            <w:tcW w:w="750" w:type="pct"/>
            <w:shd w:val="clear" w:color="auto" w:fill="auto"/>
            <w:tcMar>
              <w:top w:w="30" w:type="dxa"/>
              <w:left w:w="30" w:type="dxa"/>
              <w:bottom w:w="30" w:type="dxa"/>
              <w:right w:w="30" w:type="dxa"/>
            </w:tcMar>
            <w:vAlign w:val="center"/>
            <w:hideMark/>
          </w:tcPr>
          <w:p w14:paraId="4D1736F3"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Cs/>
                <w:lang w:eastAsia="ru-RU"/>
              </w:rPr>
              <w:t>200-350</w:t>
            </w:r>
          </w:p>
        </w:tc>
        <w:tc>
          <w:tcPr>
            <w:tcW w:w="750" w:type="pct"/>
            <w:shd w:val="clear" w:color="auto" w:fill="auto"/>
            <w:tcMar>
              <w:top w:w="30" w:type="dxa"/>
              <w:left w:w="30" w:type="dxa"/>
              <w:bottom w:w="30" w:type="dxa"/>
              <w:right w:w="30" w:type="dxa"/>
            </w:tcMar>
            <w:vAlign w:val="center"/>
            <w:hideMark/>
          </w:tcPr>
          <w:p w14:paraId="0EA3EDE2"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Cs/>
                <w:lang w:eastAsia="ru-RU"/>
              </w:rPr>
              <w:t>150-250</w:t>
            </w:r>
          </w:p>
        </w:tc>
        <w:tc>
          <w:tcPr>
            <w:tcW w:w="750" w:type="pct"/>
            <w:shd w:val="clear" w:color="auto" w:fill="auto"/>
            <w:tcMar>
              <w:top w:w="30" w:type="dxa"/>
              <w:left w:w="30" w:type="dxa"/>
              <w:bottom w:w="30" w:type="dxa"/>
              <w:right w:w="30" w:type="dxa"/>
            </w:tcMar>
            <w:vAlign w:val="center"/>
            <w:hideMark/>
          </w:tcPr>
          <w:p w14:paraId="41E9B64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Cs/>
                <w:lang w:eastAsia="ru-RU"/>
              </w:rPr>
              <w:t>100-200</w:t>
            </w:r>
          </w:p>
        </w:tc>
        <w:tc>
          <w:tcPr>
            <w:tcW w:w="750" w:type="pct"/>
            <w:shd w:val="clear" w:color="auto" w:fill="auto"/>
            <w:tcMar>
              <w:top w:w="30" w:type="dxa"/>
              <w:left w:w="30" w:type="dxa"/>
              <w:bottom w:w="30" w:type="dxa"/>
              <w:right w:w="30" w:type="dxa"/>
            </w:tcMar>
            <w:vAlign w:val="center"/>
            <w:hideMark/>
          </w:tcPr>
          <w:p w14:paraId="3E022D43"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Cs/>
                <w:lang w:eastAsia="ru-RU"/>
              </w:rPr>
              <w:t>75-150</w:t>
            </w:r>
          </w:p>
        </w:tc>
        <w:tc>
          <w:tcPr>
            <w:tcW w:w="750" w:type="pct"/>
            <w:shd w:val="clear" w:color="auto" w:fill="auto"/>
            <w:tcMar>
              <w:top w:w="30" w:type="dxa"/>
              <w:left w:w="30" w:type="dxa"/>
              <w:bottom w:w="30" w:type="dxa"/>
              <w:right w:w="30" w:type="dxa"/>
            </w:tcMar>
            <w:vAlign w:val="center"/>
            <w:hideMark/>
          </w:tcPr>
          <w:p w14:paraId="748F460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Cs/>
                <w:lang w:eastAsia="ru-RU"/>
              </w:rPr>
              <w:t>50-100</w:t>
            </w:r>
          </w:p>
        </w:tc>
      </w:tr>
      <w:tr w:rsidR="00D133AE" w:rsidRPr="00695000" w14:paraId="298EFA80" w14:textId="77777777" w:rsidTr="008A7500">
        <w:tc>
          <w:tcPr>
            <w:tcW w:w="1249" w:type="pct"/>
            <w:shd w:val="clear" w:color="auto" w:fill="auto"/>
            <w:tcMar>
              <w:top w:w="30" w:type="dxa"/>
              <w:left w:w="30" w:type="dxa"/>
              <w:bottom w:w="30" w:type="dxa"/>
              <w:right w:w="30" w:type="dxa"/>
            </w:tcMar>
            <w:hideMark/>
          </w:tcPr>
          <w:p w14:paraId="7A3D5B16"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Cs/>
                <w:lang w:eastAsia="ru-RU"/>
              </w:rPr>
              <w:t>Группа MMF</w:t>
            </w:r>
          </w:p>
        </w:tc>
        <w:tc>
          <w:tcPr>
            <w:tcW w:w="750" w:type="pct"/>
            <w:shd w:val="clear" w:color="auto" w:fill="auto"/>
            <w:tcMar>
              <w:top w:w="30" w:type="dxa"/>
              <w:left w:w="30" w:type="dxa"/>
              <w:bottom w:w="30" w:type="dxa"/>
              <w:right w:w="30" w:type="dxa"/>
            </w:tcMar>
            <w:vAlign w:val="center"/>
            <w:hideMark/>
          </w:tcPr>
          <w:p w14:paraId="1EDC556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05C608C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194C378E"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200-300</w:t>
            </w:r>
          </w:p>
        </w:tc>
        <w:tc>
          <w:tcPr>
            <w:tcW w:w="750" w:type="pct"/>
            <w:shd w:val="clear" w:color="auto" w:fill="auto"/>
            <w:tcMar>
              <w:top w:w="30" w:type="dxa"/>
              <w:left w:w="30" w:type="dxa"/>
              <w:bottom w:w="30" w:type="dxa"/>
              <w:right w:w="30" w:type="dxa"/>
            </w:tcMar>
            <w:vAlign w:val="center"/>
            <w:hideMark/>
          </w:tcPr>
          <w:p w14:paraId="1BFBF3F7"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150-250</w:t>
            </w:r>
          </w:p>
        </w:tc>
        <w:tc>
          <w:tcPr>
            <w:tcW w:w="750" w:type="pct"/>
            <w:shd w:val="clear" w:color="auto" w:fill="auto"/>
            <w:tcMar>
              <w:top w:w="30" w:type="dxa"/>
              <w:left w:w="30" w:type="dxa"/>
              <w:bottom w:w="30" w:type="dxa"/>
              <w:right w:w="30" w:type="dxa"/>
            </w:tcMar>
            <w:vAlign w:val="center"/>
            <w:hideMark/>
          </w:tcPr>
          <w:p w14:paraId="2BCB191B"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100-250</w:t>
            </w:r>
          </w:p>
        </w:tc>
      </w:tr>
    </w:tbl>
    <w:p w14:paraId="656F66BD" w14:textId="77777777" w:rsidR="00D133AE" w:rsidRDefault="00D133AE" w:rsidP="001C54B1">
      <w:pPr>
        <w:shd w:val="clear" w:color="auto" w:fill="FFFFFF"/>
        <w:spacing w:after="143" w:line="240" w:lineRule="auto"/>
        <w:ind w:firstLine="709"/>
        <w:contextualSpacing/>
        <w:rPr>
          <w:rFonts w:eastAsia="Times New Roman"/>
          <w:color w:val="000000"/>
          <w:lang w:eastAsia="ru-RU"/>
        </w:rPr>
      </w:pPr>
    </w:p>
    <w:p w14:paraId="6D2CC43C" w14:textId="3F68EB5B" w:rsidR="00D133AE" w:rsidRDefault="00D133AE" w:rsidP="001C54B1">
      <w:pPr>
        <w:shd w:val="clear" w:color="auto" w:fill="FFFFFF"/>
        <w:spacing w:after="143" w:line="240" w:lineRule="auto"/>
        <w:ind w:firstLine="709"/>
        <w:contextualSpacing/>
        <w:rPr>
          <w:rFonts w:eastAsia="Times New Roman"/>
          <w:color w:val="000000"/>
          <w:lang w:eastAsia="ru-RU"/>
        </w:rPr>
      </w:pPr>
      <w:r w:rsidRPr="00D133AE">
        <w:rPr>
          <w:rFonts w:eastAsia="Times New Roman"/>
          <w:color w:val="000000"/>
          <w:lang w:eastAsia="ru-RU"/>
        </w:rPr>
        <w:t>Фактические измеренные концентрации в крови представлены в таблице 4-9 [3,10].</w:t>
      </w:r>
    </w:p>
    <w:p w14:paraId="3719CCC3" w14:textId="77777777" w:rsidR="00D133AE" w:rsidRPr="00D133AE" w:rsidRDefault="00D133AE" w:rsidP="001C54B1">
      <w:pPr>
        <w:shd w:val="clear" w:color="auto" w:fill="FFFFFF"/>
        <w:spacing w:after="143" w:line="240" w:lineRule="auto"/>
        <w:ind w:firstLine="709"/>
        <w:contextualSpacing/>
        <w:rPr>
          <w:rFonts w:eastAsia="Times New Roman"/>
          <w:b/>
          <w:color w:val="000000"/>
          <w:lang w:eastAsia="ru-RU"/>
        </w:rPr>
      </w:pPr>
    </w:p>
    <w:p w14:paraId="73D13259" w14:textId="6F2D962C" w:rsidR="00D133AE" w:rsidRDefault="00D133AE" w:rsidP="00D133AE">
      <w:pPr>
        <w:shd w:val="clear" w:color="auto" w:fill="FFFFFF"/>
        <w:spacing w:after="143" w:line="240" w:lineRule="auto"/>
        <w:contextualSpacing/>
        <w:rPr>
          <w:rFonts w:eastAsia="Times New Roman"/>
          <w:color w:val="000000"/>
          <w:lang w:eastAsia="ru-RU"/>
        </w:rPr>
      </w:pPr>
      <w:r w:rsidRPr="00D133AE">
        <w:rPr>
          <w:rFonts w:eastAsia="Times New Roman"/>
          <w:b/>
          <w:color w:val="000000"/>
          <w:lang w:eastAsia="ru-RU"/>
        </w:rPr>
        <w:t>Таблица 4-9.</w:t>
      </w:r>
      <w:r w:rsidRPr="00D133AE">
        <w:rPr>
          <w:rFonts w:eastAsia="Times New Roman"/>
          <w:color w:val="000000"/>
          <w:lang w:eastAsia="ru-RU"/>
        </w:rPr>
        <w:t xml:space="preserve"> Исследование A2411: Сводная статистика концентраций CsA в крови* (среднее значение ± SD)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1870"/>
        <w:gridCol w:w="3738"/>
        <w:gridCol w:w="3738"/>
      </w:tblGrid>
      <w:tr w:rsidR="00D133AE" w:rsidRPr="00695000" w14:paraId="2C568992" w14:textId="77777777" w:rsidTr="008A7500">
        <w:trPr>
          <w:tblHeader/>
        </w:trPr>
        <w:tc>
          <w:tcPr>
            <w:tcW w:w="1000" w:type="pct"/>
            <w:shd w:val="clear" w:color="auto" w:fill="D9D9D9" w:themeFill="background1" w:themeFillShade="D9"/>
            <w:tcMar>
              <w:top w:w="30" w:type="dxa"/>
              <w:left w:w="30" w:type="dxa"/>
              <w:bottom w:w="30" w:type="dxa"/>
              <w:right w:w="30" w:type="dxa"/>
            </w:tcMar>
            <w:hideMark/>
          </w:tcPr>
          <w:p w14:paraId="270DFB7A" w14:textId="77777777" w:rsidR="00D133AE" w:rsidRPr="00695000" w:rsidRDefault="00D133AE" w:rsidP="00360E2C">
            <w:pPr>
              <w:spacing w:after="0" w:line="240" w:lineRule="auto"/>
              <w:contextualSpacing/>
              <w:jc w:val="center"/>
              <w:rPr>
                <w:rFonts w:eastAsia="Times New Roman"/>
                <w:lang w:eastAsia="ru-RU"/>
              </w:rPr>
            </w:pPr>
          </w:p>
        </w:tc>
        <w:tc>
          <w:tcPr>
            <w:tcW w:w="2000" w:type="pct"/>
            <w:shd w:val="clear" w:color="auto" w:fill="D9D9D9" w:themeFill="background1" w:themeFillShade="D9"/>
            <w:tcMar>
              <w:top w:w="30" w:type="dxa"/>
              <w:left w:w="30" w:type="dxa"/>
              <w:bottom w:w="30" w:type="dxa"/>
              <w:right w:w="30" w:type="dxa"/>
            </w:tcMar>
            <w:hideMark/>
          </w:tcPr>
          <w:p w14:paraId="5E75477E" w14:textId="21997703"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 xml:space="preserve">Группа </w:t>
            </w:r>
            <w:r w:rsidR="00AA5270" w:rsidRPr="0071249E">
              <w:rPr>
                <w:rFonts w:eastAsia="Times New Roman"/>
                <w:b/>
                <w:color w:val="000000"/>
                <w:lang w:eastAsia="ru-RU"/>
              </w:rPr>
              <w:t>эверолимуса</w:t>
            </w:r>
            <w:r w:rsidR="00AA5270">
              <w:rPr>
                <w:rFonts w:eastAsia="Times New Roman"/>
                <w:color w:val="000000"/>
                <w:lang w:eastAsia="ru-RU"/>
              </w:rPr>
              <w:t xml:space="preserve"> </w:t>
            </w:r>
          </w:p>
          <w:p w14:paraId="54449440"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(N=91)</w:t>
            </w:r>
          </w:p>
        </w:tc>
        <w:tc>
          <w:tcPr>
            <w:tcW w:w="2000" w:type="pct"/>
            <w:shd w:val="clear" w:color="auto" w:fill="D9D9D9" w:themeFill="background1" w:themeFillShade="D9"/>
            <w:tcMar>
              <w:top w:w="30" w:type="dxa"/>
              <w:left w:w="30" w:type="dxa"/>
              <w:bottom w:w="30" w:type="dxa"/>
              <w:right w:w="30" w:type="dxa"/>
            </w:tcMar>
            <w:hideMark/>
          </w:tcPr>
          <w:p w14:paraId="65F82F2B"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Группа MMF</w:t>
            </w:r>
          </w:p>
          <w:p w14:paraId="7D366F3E"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(N=83)</w:t>
            </w:r>
          </w:p>
        </w:tc>
      </w:tr>
      <w:tr w:rsidR="00D133AE" w:rsidRPr="00695000" w14:paraId="39BE9B4A" w14:textId="77777777" w:rsidTr="008A7500">
        <w:tc>
          <w:tcPr>
            <w:tcW w:w="1000" w:type="pct"/>
            <w:shd w:val="clear" w:color="auto" w:fill="auto"/>
            <w:tcMar>
              <w:top w:w="30" w:type="dxa"/>
              <w:left w:w="30" w:type="dxa"/>
              <w:bottom w:w="30" w:type="dxa"/>
              <w:right w:w="30" w:type="dxa"/>
            </w:tcMar>
            <w:vAlign w:val="center"/>
            <w:hideMark/>
          </w:tcPr>
          <w:p w14:paraId="0EE87D09"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Визит</w:t>
            </w:r>
          </w:p>
        </w:tc>
        <w:tc>
          <w:tcPr>
            <w:tcW w:w="2000" w:type="pct"/>
            <w:shd w:val="clear" w:color="auto" w:fill="auto"/>
            <w:tcMar>
              <w:top w:w="30" w:type="dxa"/>
              <w:left w:w="30" w:type="dxa"/>
              <w:bottom w:w="30" w:type="dxa"/>
              <w:right w:w="30" w:type="dxa"/>
            </w:tcMar>
            <w:hideMark/>
          </w:tcPr>
          <w:p w14:paraId="0811715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C</w:t>
            </w:r>
            <w:r w:rsidRPr="00695000">
              <w:rPr>
                <w:rFonts w:eastAsia="Times New Roman"/>
                <w:b/>
                <w:bCs/>
                <w:vertAlign w:val="subscript"/>
                <w:lang w:eastAsia="ru-RU"/>
              </w:rPr>
              <w:t>0</w:t>
            </w:r>
          </w:p>
        </w:tc>
        <w:tc>
          <w:tcPr>
            <w:tcW w:w="2000" w:type="pct"/>
            <w:shd w:val="clear" w:color="auto" w:fill="auto"/>
            <w:tcMar>
              <w:top w:w="30" w:type="dxa"/>
              <w:left w:w="30" w:type="dxa"/>
              <w:bottom w:w="30" w:type="dxa"/>
              <w:right w:w="30" w:type="dxa"/>
            </w:tcMar>
            <w:hideMark/>
          </w:tcPr>
          <w:p w14:paraId="203559B1"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C</w:t>
            </w:r>
            <w:r w:rsidRPr="00695000">
              <w:rPr>
                <w:rFonts w:eastAsia="Times New Roman"/>
                <w:b/>
                <w:bCs/>
                <w:vertAlign w:val="subscript"/>
                <w:lang w:eastAsia="ru-RU"/>
              </w:rPr>
              <w:t>0</w:t>
            </w:r>
          </w:p>
        </w:tc>
      </w:tr>
      <w:tr w:rsidR="00D133AE" w:rsidRPr="00695000" w14:paraId="2F5D037A" w14:textId="77777777" w:rsidTr="008A7500">
        <w:tc>
          <w:tcPr>
            <w:tcW w:w="1000" w:type="pct"/>
            <w:shd w:val="clear" w:color="auto" w:fill="auto"/>
            <w:tcMar>
              <w:top w:w="30" w:type="dxa"/>
              <w:left w:w="30" w:type="dxa"/>
              <w:bottom w:w="30" w:type="dxa"/>
              <w:right w:w="30" w:type="dxa"/>
            </w:tcMar>
            <w:vAlign w:val="center"/>
            <w:hideMark/>
          </w:tcPr>
          <w:p w14:paraId="6058445E"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День 4</w:t>
            </w:r>
          </w:p>
        </w:tc>
        <w:tc>
          <w:tcPr>
            <w:tcW w:w="2000" w:type="pct"/>
            <w:shd w:val="clear" w:color="auto" w:fill="auto"/>
            <w:tcMar>
              <w:top w:w="30" w:type="dxa"/>
              <w:left w:w="30" w:type="dxa"/>
              <w:bottom w:w="30" w:type="dxa"/>
              <w:right w:w="30" w:type="dxa"/>
            </w:tcMar>
            <w:hideMark/>
          </w:tcPr>
          <w:p w14:paraId="3543A5D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154 ± 71</w:t>
            </w:r>
          </w:p>
          <w:p w14:paraId="7F3ECF58"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n=79</w:t>
            </w:r>
          </w:p>
        </w:tc>
        <w:tc>
          <w:tcPr>
            <w:tcW w:w="2000" w:type="pct"/>
            <w:shd w:val="clear" w:color="auto" w:fill="auto"/>
            <w:tcMar>
              <w:top w:w="30" w:type="dxa"/>
              <w:left w:w="30" w:type="dxa"/>
              <w:bottom w:w="30" w:type="dxa"/>
              <w:right w:w="30" w:type="dxa"/>
            </w:tcMar>
            <w:hideMark/>
          </w:tcPr>
          <w:p w14:paraId="27A56EC9"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155 ± 96</w:t>
            </w:r>
          </w:p>
          <w:p w14:paraId="1097EC9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n=74</w:t>
            </w:r>
          </w:p>
        </w:tc>
      </w:tr>
      <w:tr w:rsidR="00D133AE" w:rsidRPr="00695000" w14:paraId="774665C2" w14:textId="77777777" w:rsidTr="008A7500">
        <w:tc>
          <w:tcPr>
            <w:tcW w:w="1000" w:type="pct"/>
            <w:shd w:val="clear" w:color="auto" w:fill="auto"/>
            <w:tcMar>
              <w:top w:w="30" w:type="dxa"/>
              <w:left w:w="30" w:type="dxa"/>
              <w:bottom w:w="30" w:type="dxa"/>
              <w:right w:w="30" w:type="dxa"/>
            </w:tcMar>
            <w:vAlign w:val="center"/>
            <w:hideMark/>
          </w:tcPr>
          <w:p w14:paraId="1E5B1AE4"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Мес. 1</w:t>
            </w:r>
          </w:p>
        </w:tc>
        <w:tc>
          <w:tcPr>
            <w:tcW w:w="2000" w:type="pct"/>
            <w:shd w:val="clear" w:color="auto" w:fill="auto"/>
            <w:tcMar>
              <w:top w:w="30" w:type="dxa"/>
              <w:left w:w="30" w:type="dxa"/>
              <w:bottom w:w="30" w:type="dxa"/>
              <w:right w:w="30" w:type="dxa"/>
            </w:tcMar>
            <w:hideMark/>
          </w:tcPr>
          <w:p w14:paraId="28235FD1"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245 ± 99</w:t>
            </w:r>
          </w:p>
          <w:p w14:paraId="701F973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n=76</w:t>
            </w:r>
          </w:p>
        </w:tc>
        <w:tc>
          <w:tcPr>
            <w:tcW w:w="2000" w:type="pct"/>
            <w:shd w:val="clear" w:color="auto" w:fill="auto"/>
            <w:tcMar>
              <w:top w:w="30" w:type="dxa"/>
              <w:left w:w="30" w:type="dxa"/>
              <w:bottom w:w="30" w:type="dxa"/>
              <w:right w:w="30" w:type="dxa"/>
            </w:tcMar>
            <w:hideMark/>
          </w:tcPr>
          <w:p w14:paraId="06F9CF7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308 ± 96</w:t>
            </w:r>
          </w:p>
          <w:p w14:paraId="38999719"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n=71</w:t>
            </w:r>
          </w:p>
        </w:tc>
      </w:tr>
      <w:tr w:rsidR="00D133AE" w:rsidRPr="00695000" w14:paraId="01CF1479" w14:textId="77777777" w:rsidTr="008A7500">
        <w:tc>
          <w:tcPr>
            <w:tcW w:w="1000" w:type="pct"/>
            <w:shd w:val="clear" w:color="auto" w:fill="auto"/>
            <w:tcMar>
              <w:top w:w="30" w:type="dxa"/>
              <w:left w:w="30" w:type="dxa"/>
              <w:bottom w:w="30" w:type="dxa"/>
              <w:right w:w="30" w:type="dxa"/>
            </w:tcMar>
            <w:vAlign w:val="center"/>
            <w:hideMark/>
          </w:tcPr>
          <w:p w14:paraId="62BAAED9"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Мес. 3</w:t>
            </w:r>
          </w:p>
        </w:tc>
        <w:tc>
          <w:tcPr>
            <w:tcW w:w="2000" w:type="pct"/>
            <w:shd w:val="clear" w:color="auto" w:fill="auto"/>
            <w:tcMar>
              <w:top w:w="30" w:type="dxa"/>
              <w:left w:w="30" w:type="dxa"/>
              <w:bottom w:w="30" w:type="dxa"/>
              <w:right w:w="30" w:type="dxa"/>
            </w:tcMar>
            <w:hideMark/>
          </w:tcPr>
          <w:p w14:paraId="2ED29FE9"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199 ± 96</w:t>
            </w:r>
          </w:p>
          <w:p w14:paraId="614D88C1"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n=70</w:t>
            </w:r>
          </w:p>
        </w:tc>
        <w:tc>
          <w:tcPr>
            <w:tcW w:w="2000" w:type="pct"/>
            <w:shd w:val="clear" w:color="auto" w:fill="auto"/>
            <w:tcMar>
              <w:top w:w="30" w:type="dxa"/>
              <w:left w:w="30" w:type="dxa"/>
              <w:bottom w:w="30" w:type="dxa"/>
              <w:right w:w="30" w:type="dxa"/>
            </w:tcMar>
            <w:hideMark/>
          </w:tcPr>
          <w:p w14:paraId="76844F8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256 ± 73</w:t>
            </w:r>
          </w:p>
          <w:p w14:paraId="4CEB8160"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n=70</w:t>
            </w:r>
          </w:p>
        </w:tc>
      </w:tr>
      <w:tr w:rsidR="00D133AE" w:rsidRPr="00695000" w14:paraId="14585443" w14:textId="77777777" w:rsidTr="008A7500">
        <w:tc>
          <w:tcPr>
            <w:tcW w:w="1000" w:type="pct"/>
            <w:shd w:val="clear" w:color="auto" w:fill="auto"/>
            <w:tcMar>
              <w:top w:w="30" w:type="dxa"/>
              <w:left w:w="30" w:type="dxa"/>
              <w:bottom w:w="30" w:type="dxa"/>
              <w:right w:w="30" w:type="dxa"/>
            </w:tcMar>
            <w:vAlign w:val="center"/>
            <w:hideMark/>
          </w:tcPr>
          <w:p w14:paraId="00511C36"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Мес. 6</w:t>
            </w:r>
          </w:p>
        </w:tc>
        <w:tc>
          <w:tcPr>
            <w:tcW w:w="2000" w:type="pct"/>
            <w:shd w:val="clear" w:color="auto" w:fill="auto"/>
            <w:tcMar>
              <w:top w:w="30" w:type="dxa"/>
              <w:left w:w="30" w:type="dxa"/>
              <w:bottom w:w="30" w:type="dxa"/>
              <w:right w:w="30" w:type="dxa"/>
            </w:tcMar>
            <w:hideMark/>
          </w:tcPr>
          <w:p w14:paraId="42B3E437"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157 ± 61</w:t>
            </w:r>
          </w:p>
          <w:p w14:paraId="0A46DCFB"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n=73</w:t>
            </w:r>
          </w:p>
        </w:tc>
        <w:tc>
          <w:tcPr>
            <w:tcW w:w="2000" w:type="pct"/>
            <w:shd w:val="clear" w:color="auto" w:fill="auto"/>
            <w:tcMar>
              <w:top w:w="30" w:type="dxa"/>
              <w:left w:w="30" w:type="dxa"/>
              <w:bottom w:w="30" w:type="dxa"/>
              <w:right w:w="30" w:type="dxa"/>
            </w:tcMar>
            <w:hideMark/>
          </w:tcPr>
          <w:p w14:paraId="5B984BF1"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219 ± 83</w:t>
            </w:r>
          </w:p>
          <w:p w14:paraId="7CA656AE"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n=67</w:t>
            </w:r>
          </w:p>
        </w:tc>
      </w:tr>
      <w:tr w:rsidR="00D133AE" w:rsidRPr="00695000" w14:paraId="3C25E460" w14:textId="77777777" w:rsidTr="008A7500">
        <w:tc>
          <w:tcPr>
            <w:tcW w:w="1000" w:type="pct"/>
            <w:shd w:val="clear" w:color="auto" w:fill="auto"/>
            <w:tcMar>
              <w:top w:w="30" w:type="dxa"/>
              <w:left w:w="30" w:type="dxa"/>
              <w:bottom w:w="30" w:type="dxa"/>
              <w:right w:w="30" w:type="dxa"/>
            </w:tcMar>
            <w:vAlign w:val="center"/>
            <w:hideMark/>
          </w:tcPr>
          <w:p w14:paraId="1BA55C58"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Мес. 9</w:t>
            </w:r>
          </w:p>
        </w:tc>
        <w:tc>
          <w:tcPr>
            <w:tcW w:w="2000" w:type="pct"/>
            <w:shd w:val="clear" w:color="auto" w:fill="auto"/>
            <w:tcMar>
              <w:top w:w="30" w:type="dxa"/>
              <w:left w:w="30" w:type="dxa"/>
              <w:bottom w:w="30" w:type="dxa"/>
              <w:right w:w="30" w:type="dxa"/>
            </w:tcMar>
            <w:hideMark/>
          </w:tcPr>
          <w:p w14:paraId="31D452D1"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133 ± 67</w:t>
            </w:r>
          </w:p>
          <w:p w14:paraId="3979F44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n=72</w:t>
            </w:r>
          </w:p>
        </w:tc>
        <w:tc>
          <w:tcPr>
            <w:tcW w:w="2000" w:type="pct"/>
            <w:shd w:val="clear" w:color="auto" w:fill="auto"/>
            <w:tcMar>
              <w:top w:w="30" w:type="dxa"/>
              <w:left w:w="30" w:type="dxa"/>
              <w:bottom w:w="30" w:type="dxa"/>
              <w:right w:w="30" w:type="dxa"/>
            </w:tcMar>
            <w:hideMark/>
          </w:tcPr>
          <w:p w14:paraId="169CB477"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187 ± 58</w:t>
            </w:r>
          </w:p>
          <w:p w14:paraId="14C3F1F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n=64</w:t>
            </w:r>
          </w:p>
        </w:tc>
      </w:tr>
      <w:tr w:rsidR="00D133AE" w:rsidRPr="00695000" w14:paraId="61D7BBDE" w14:textId="77777777" w:rsidTr="008A7500">
        <w:tc>
          <w:tcPr>
            <w:tcW w:w="1000" w:type="pct"/>
            <w:shd w:val="clear" w:color="auto" w:fill="auto"/>
            <w:tcMar>
              <w:top w:w="30" w:type="dxa"/>
              <w:left w:w="30" w:type="dxa"/>
              <w:bottom w:w="30" w:type="dxa"/>
              <w:right w:w="30" w:type="dxa"/>
            </w:tcMar>
            <w:vAlign w:val="center"/>
            <w:hideMark/>
          </w:tcPr>
          <w:p w14:paraId="14B6FC56"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Мес. 12</w:t>
            </w:r>
          </w:p>
        </w:tc>
        <w:tc>
          <w:tcPr>
            <w:tcW w:w="2000" w:type="pct"/>
            <w:shd w:val="clear" w:color="auto" w:fill="auto"/>
            <w:tcMar>
              <w:top w:w="30" w:type="dxa"/>
              <w:left w:w="30" w:type="dxa"/>
              <w:bottom w:w="30" w:type="dxa"/>
              <w:right w:w="30" w:type="dxa"/>
            </w:tcMar>
            <w:hideMark/>
          </w:tcPr>
          <w:p w14:paraId="4AFB315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110 ± 50</w:t>
            </w:r>
          </w:p>
          <w:p w14:paraId="21A0454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n=68</w:t>
            </w:r>
          </w:p>
        </w:tc>
        <w:tc>
          <w:tcPr>
            <w:tcW w:w="2000" w:type="pct"/>
            <w:shd w:val="clear" w:color="auto" w:fill="auto"/>
            <w:tcMar>
              <w:top w:w="30" w:type="dxa"/>
              <w:left w:w="30" w:type="dxa"/>
              <w:bottom w:w="30" w:type="dxa"/>
              <w:right w:w="30" w:type="dxa"/>
            </w:tcMar>
            <w:hideMark/>
          </w:tcPr>
          <w:p w14:paraId="1C8F5006"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180 ± 55</w:t>
            </w:r>
          </w:p>
          <w:p w14:paraId="40FDC0B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n=64</w:t>
            </w:r>
          </w:p>
        </w:tc>
      </w:tr>
      <w:tr w:rsidR="00411567" w:rsidRPr="00695000" w14:paraId="3FBA3D2D" w14:textId="77777777" w:rsidTr="008A7500">
        <w:tc>
          <w:tcPr>
            <w:tcW w:w="5000" w:type="pct"/>
            <w:gridSpan w:val="3"/>
            <w:shd w:val="clear" w:color="auto" w:fill="auto"/>
            <w:tcMar>
              <w:top w:w="30" w:type="dxa"/>
              <w:left w:w="30" w:type="dxa"/>
              <w:bottom w:w="30" w:type="dxa"/>
              <w:right w:w="30" w:type="dxa"/>
            </w:tcMar>
            <w:vAlign w:val="center"/>
          </w:tcPr>
          <w:p w14:paraId="46BC6DEA" w14:textId="77777777" w:rsidR="00411567" w:rsidRPr="00695000" w:rsidRDefault="00411567" w:rsidP="00411567">
            <w:pPr>
              <w:shd w:val="clear" w:color="auto" w:fill="FFFFFF"/>
              <w:spacing w:after="143" w:line="240" w:lineRule="auto"/>
              <w:contextualSpacing/>
              <w:rPr>
                <w:rFonts w:eastAsia="Times New Roman"/>
                <w:b/>
                <w:color w:val="000000"/>
                <w:sz w:val="20"/>
                <w:szCs w:val="20"/>
                <w:lang w:eastAsia="ru-RU"/>
              </w:rPr>
            </w:pPr>
            <w:r w:rsidRPr="00695000">
              <w:rPr>
                <w:rFonts w:eastAsia="Times New Roman"/>
                <w:b/>
                <w:color w:val="000000"/>
                <w:sz w:val="20"/>
                <w:szCs w:val="20"/>
                <w:lang w:eastAsia="ru-RU"/>
              </w:rPr>
              <w:t>Примечание:</w:t>
            </w:r>
          </w:p>
          <w:p w14:paraId="5A5D134C" w14:textId="18585A74" w:rsidR="00411567" w:rsidRPr="00411567" w:rsidRDefault="00411567" w:rsidP="00411567">
            <w:pPr>
              <w:shd w:val="clear" w:color="auto" w:fill="FFFFFF"/>
              <w:spacing w:after="143" w:line="240" w:lineRule="auto"/>
              <w:contextualSpacing/>
              <w:rPr>
                <w:rFonts w:eastAsia="Times New Roman"/>
                <w:color w:val="000000"/>
                <w:sz w:val="20"/>
                <w:szCs w:val="20"/>
                <w:lang w:eastAsia="ru-RU"/>
              </w:rPr>
            </w:pPr>
            <w:r w:rsidRPr="00695000">
              <w:rPr>
                <w:rFonts w:eastAsia="Times New Roman"/>
                <w:color w:val="000000"/>
                <w:sz w:val="20"/>
                <w:szCs w:val="20"/>
                <w:lang w:eastAsia="ru-RU"/>
              </w:rPr>
              <w:t>*  минимальные концентрации в цельной крови (C</w:t>
            </w:r>
            <w:r w:rsidRPr="00695000">
              <w:rPr>
                <w:rFonts w:eastAsia="Times New Roman"/>
                <w:color w:val="000000"/>
                <w:sz w:val="20"/>
                <w:szCs w:val="20"/>
                <w:vertAlign w:val="subscript"/>
                <w:lang w:eastAsia="ru-RU"/>
              </w:rPr>
              <w:t>0</w:t>
            </w:r>
            <w:r>
              <w:rPr>
                <w:rFonts w:eastAsia="Times New Roman"/>
                <w:color w:val="000000"/>
                <w:sz w:val="20"/>
                <w:szCs w:val="20"/>
                <w:lang w:eastAsia="ru-RU"/>
              </w:rPr>
              <w:t>)</w:t>
            </w:r>
          </w:p>
        </w:tc>
      </w:tr>
    </w:tbl>
    <w:p w14:paraId="42E70FE5" w14:textId="77777777" w:rsidR="00D133AE" w:rsidRDefault="00D133AE" w:rsidP="00D133AE">
      <w:pPr>
        <w:shd w:val="clear" w:color="auto" w:fill="FFFFFF"/>
        <w:spacing w:after="143" w:line="240" w:lineRule="auto"/>
        <w:contextualSpacing/>
        <w:rPr>
          <w:rFonts w:eastAsia="Times New Roman"/>
          <w:color w:val="000000"/>
          <w:lang w:eastAsia="ru-RU"/>
        </w:rPr>
      </w:pPr>
    </w:p>
    <w:p w14:paraId="6F3C71DB" w14:textId="0A160EDA" w:rsidR="00D133AE" w:rsidRDefault="00D133AE" w:rsidP="00D133AE">
      <w:pPr>
        <w:shd w:val="clear" w:color="auto" w:fill="FFFFFF"/>
        <w:spacing w:after="143" w:line="240" w:lineRule="auto"/>
        <w:contextualSpacing/>
        <w:rPr>
          <w:rFonts w:eastAsia="Times New Roman"/>
          <w:color w:val="000000"/>
          <w:lang w:eastAsia="ru-RU"/>
        </w:rPr>
      </w:pPr>
      <w:r w:rsidRPr="00D133AE">
        <w:rPr>
          <w:rFonts w:eastAsia="Times New Roman"/>
          <w:b/>
          <w:color w:val="000000"/>
          <w:lang w:eastAsia="ru-RU"/>
        </w:rPr>
        <w:t>Таблица 4-10.</w:t>
      </w:r>
      <w:r w:rsidRPr="00D133AE">
        <w:rPr>
          <w:rFonts w:eastAsia="Times New Roman"/>
          <w:color w:val="000000"/>
          <w:lang w:eastAsia="ru-RU"/>
        </w:rPr>
        <w:t xml:space="preserve"> Исследование A2411: Частота встречаемости явлений для оценки эффективности (заболеваемость в популяции ITT) [3,10]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336"/>
        <w:gridCol w:w="2336"/>
        <w:gridCol w:w="2337"/>
        <w:gridCol w:w="2337"/>
      </w:tblGrid>
      <w:tr w:rsidR="00D133AE" w:rsidRPr="00695000" w14:paraId="1545EB44" w14:textId="77777777" w:rsidTr="008A7500">
        <w:trPr>
          <w:tblHeader/>
        </w:trPr>
        <w:tc>
          <w:tcPr>
            <w:tcW w:w="1250" w:type="pct"/>
            <w:shd w:val="clear" w:color="auto" w:fill="D9D9D9" w:themeFill="background1" w:themeFillShade="D9"/>
            <w:tcMar>
              <w:top w:w="30" w:type="dxa"/>
              <w:left w:w="30" w:type="dxa"/>
              <w:bottom w:w="30" w:type="dxa"/>
              <w:right w:w="30" w:type="dxa"/>
            </w:tcMar>
            <w:vAlign w:val="center"/>
            <w:hideMark/>
          </w:tcPr>
          <w:p w14:paraId="39A4E407"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Конечная точка оценки эффективности</w:t>
            </w:r>
          </w:p>
        </w:tc>
        <w:tc>
          <w:tcPr>
            <w:tcW w:w="1250" w:type="pct"/>
            <w:shd w:val="clear" w:color="auto" w:fill="D9D9D9" w:themeFill="background1" w:themeFillShade="D9"/>
            <w:tcMar>
              <w:top w:w="30" w:type="dxa"/>
              <w:left w:w="30" w:type="dxa"/>
              <w:bottom w:w="30" w:type="dxa"/>
              <w:right w:w="30" w:type="dxa"/>
            </w:tcMar>
            <w:vAlign w:val="center"/>
            <w:hideMark/>
          </w:tcPr>
          <w:p w14:paraId="1B368658" w14:textId="59B5EB8B" w:rsidR="00D133AE" w:rsidRPr="00695000" w:rsidRDefault="00AA5270" w:rsidP="00360E2C">
            <w:pPr>
              <w:spacing w:after="0" w:line="240" w:lineRule="auto"/>
              <w:contextualSpacing/>
              <w:jc w:val="center"/>
              <w:rPr>
                <w:rFonts w:eastAsia="Times New Roman"/>
                <w:lang w:eastAsia="ru-RU"/>
              </w:rPr>
            </w:pPr>
            <w:r w:rsidRPr="0071249E">
              <w:rPr>
                <w:rFonts w:eastAsia="Times New Roman"/>
                <w:b/>
                <w:color w:val="000000"/>
                <w:lang w:eastAsia="ru-RU"/>
              </w:rPr>
              <w:t>Эверолиму</w:t>
            </w:r>
            <w:r>
              <w:rPr>
                <w:rFonts w:eastAsia="Times New Roman"/>
                <w:color w:val="000000"/>
                <w:lang w:eastAsia="ru-RU"/>
              </w:rPr>
              <w:t xml:space="preserve">с </w:t>
            </w:r>
            <w:r w:rsidR="00D133AE" w:rsidRPr="00695000">
              <w:rPr>
                <w:rFonts w:eastAsia="Times New Roman"/>
                <w:b/>
                <w:bCs/>
                <w:lang w:eastAsia="ru-RU"/>
              </w:rPr>
              <w:t>n=92</w:t>
            </w:r>
          </w:p>
        </w:tc>
        <w:tc>
          <w:tcPr>
            <w:tcW w:w="1250" w:type="pct"/>
            <w:shd w:val="clear" w:color="auto" w:fill="D9D9D9" w:themeFill="background1" w:themeFillShade="D9"/>
            <w:tcMar>
              <w:top w:w="30" w:type="dxa"/>
              <w:left w:w="30" w:type="dxa"/>
              <w:bottom w:w="30" w:type="dxa"/>
              <w:right w:w="30" w:type="dxa"/>
            </w:tcMar>
            <w:vAlign w:val="center"/>
            <w:hideMark/>
          </w:tcPr>
          <w:p w14:paraId="15CC9AE3"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MMF</w:t>
            </w:r>
          </w:p>
          <w:p w14:paraId="655EC3CA"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n=84</w:t>
            </w:r>
          </w:p>
        </w:tc>
        <w:tc>
          <w:tcPr>
            <w:tcW w:w="1250" w:type="pct"/>
            <w:shd w:val="clear" w:color="auto" w:fill="D9D9D9" w:themeFill="background1" w:themeFillShade="D9"/>
            <w:tcMar>
              <w:top w:w="30" w:type="dxa"/>
              <w:left w:w="30" w:type="dxa"/>
              <w:bottom w:w="30" w:type="dxa"/>
              <w:right w:w="30" w:type="dxa"/>
            </w:tcMar>
            <w:vAlign w:val="center"/>
            <w:hideMark/>
          </w:tcPr>
          <w:p w14:paraId="7F8A079A"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Различие в частоте встречаемости явлений</w:t>
            </w:r>
          </w:p>
          <w:p w14:paraId="6D529C5F"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b/>
                <w:bCs/>
                <w:lang w:eastAsia="ru-RU"/>
              </w:rPr>
              <w:t>Среднее значение (95 % ДИ)</w:t>
            </w:r>
          </w:p>
        </w:tc>
      </w:tr>
      <w:tr w:rsidR="00D133AE" w:rsidRPr="00695000" w14:paraId="7F6D4FB5" w14:textId="77777777" w:rsidTr="008A7500">
        <w:tc>
          <w:tcPr>
            <w:tcW w:w="5000" w:type="pct"/>
            <w:gridSpan w:val="4"/>
            <w:shd w:val="clear" w:color="auto" w:fill="auto"/>
            <w:tcMar>
              <w:top w:w="30" w:type="dxa"/>
              <w:left w:w="30" w:type="dxa"/>
              <w:bottom w:w="30" w:type="dxa"/>
              <w:right w:w="30" w:type="dxa"/>
            </w:tcMar>
            <w:hideMark/>
          </w:tcPr>
          <w:p w14:paraId="365F41D5" w14:textId="77777777" w:rsidR="00D133AE" w:rsidRPr="00695000" w:rsidRDefault="00D133AE" w:rsidP="00360E2C">
            <w:pPr>
              <w:spacing w:after="0" w:line="240" w:lineRule="auto"/>
              <w:contextualSpacing/>
              <w:rPr>
                <w:rFonts w:eastAsia="Times New Roman"/>
                <w:lang w:eastAsia="ru-RU"/>
              </w:rPr>
            </w:pPr>
            <w:r w:rsidRPr="00695000">
              <w:rPr>
                <w:rFonts w:eastAsia="Times New Roman"/>
                <w:b/>
                <w:bCs/>
                <w:lang w:eastAsia="ru-RU"/>
              </w:rPr>
              <w:t>Через 6 месяцев</w:t>
            </w:r>
          </w:p>
        </w:tc>
      </w:tr>
      <w:tr w:rsidR="00D133AE" w:rsidRPr="00695000" w14:paraId="4C72C529" w14:textId="77777777" w:rsidTr="008A7500">
        <w:tc>
          <w:tcPr>
            <w:tcW w:w="1250" w:type="pct"/>
            <w:shd w:val="clear" w:color="auto" w:fill="auto"/>
            <w:tcMar>
              <w:top w:w="30" w:type="dxa"/>
              <w:left w:w="30" w:type="dxa"/>
              <w:bottom w:w="30" w:type="dxa"/>
              <w:right w:w="30" w:type="dxa"/>
            </w:tcMar>
            <w:hideMark/>
          </w:tcPr>
          <w:p w14:paraId="1F97CFF6" w14:textId="77777777" w:rsidR="00D133AE" w:rsidRPr="00695000" w:rsidRDefault="00D133AE" w:rsidP="00360E2C">
            <w:pPr>
              <w:spacing w:after="0" w:line="240" w:lineRule="auto"/>
              <w:contextualSpacing/>
              <w:rPr>
                <w:rFonts w:eastAsia="Times New Roman"/>
                <w:lang w:eastAsia="ru-RU"/>
              </w:rPr>
            </w:pPr>
            <w:r w:rsidRPr="00695000">
              <w:rPr>
                <w:rFonts w:eastAsia="Times New Roman"/>
                <w:lang w:eastAsia="ru-RU"/>
              </w:rPr>
              <w:lastRenderedPageBreak/>
              <w:t>Подтвержденное биопсией острое отторжение ≥ ISHLT степени 3A</w:t>
            </w:r>
          </w:p>
        </w:tc>
        <w:tc>
          <w:tcPr>
            <w:tcW w:w="1250" w:type="pct"/>
            <w:shd w:val="clear" w:color="auto" w:fill="auto"/>
            <w:tcMar>
              <w:top w:w="30" w:type="dxa"/>
              <w:left w:w="30" w:type="dxa"/>
              <w:bottom w:w="30" w:type="dxa"/>
              <w:right w:w="30" w:type="dxa"/>
            </w:tcMar>
            <w:vAlign w:val="center"/>
            <w:hideMark/>
          </w:tcPr>
          <w:p w14:paraId="1E11D7E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18 (19,6 %)</w:t>
            </w:r>
          </w:p>
        </w:tc>
        <w:tc>
          <w:tcPr>
            <w:tcW w:w="1250" w:type="pct"/>
            <w:shd w:val="clear" w:color="auto" w:fill="auto"/>
            <w:tcMar>
              <w:top w:w="30" w:type="dxa"/>
              <w:left w:w="30" w:type="dxa"/>
              <w:bottom w:w="30" w:type="dxa"/>
              <w:right w:w="30" w:type="dxa"/>
            </w:tcMar>
            <w:vAlign w:val="center"/>
            <w:hideMark/>
          </w:tcPr>
          <w:p w14:paraId="2D95647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23 (27,4 %)</w:t>
            </w:r>
          </w:p>
        </w:tc>
        <w:tc>
          <w:tcPr>
            <w:tcW w:w="1250" w:type="pct"/>
            <w:shd w:val="clear" w:color="auto" w:fill="auto"/>
            <w:tcMar>
              <w:top w:w="30" w:type="dxa"/>
              <w:left w:w="30" w:type="dxa"/>
              <w:bottom w:w="30" w:type="dxa"/>
              <w:right w:w="30" w:type="dxa"/>
            </w:tcMar>
            <w:vAlign w:val="center"/>
            <w:hideMark/>
          </w:tcPr>
          <w:p w14:paraId="573CA42A"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-7,8 (-20,3, 4,7)</w:t>
            </w:r>
          </w:p>
        </w:tc>
      </w:tr>
      <w:tr w:rsidR="00D133AE" w:rsidRPr="00695000" w14:paraId="13D0A0F6" w14:textId="77777777" w:rsidTr="008A7500">
        <w:tc>
          <w:tcPr>
            <w:tcW w:w="1250" w:type="pct"/>
            <w:shd w:val="clear" w:color="auto" w:fill="auto"/>
            <w:tcMar>
              <w:top w:w="30" w:type="dxa"/>
              <w:left w:w="30" w:type="dxa"/>
              <w:bottom w:w="30" w:type="dxa"/>
              <w:right w:w="30" w:type="dxa"/>
            </w:tcMar>
            <w:hideMark/>
          </w:tcPr>
          <w:p w14:paraId="6A0290EE" w14:textId="77777777" w:rsidR="00D133AE" w:rsidRPr="00695000" w:rsidRDefault="00D133AE" w:rsidP="00360E2C">
            <w:pPr>
              <w:spacing w:after="0" w:line="240" w:lineRule="auto"/>
              <w:contextualSpacing/>
              <w:rPr>
                <w:rFonts w:eastAsia="Times New Roman"/>
                <w:lang w:eastAsia="ru-RU"/>
              </w:rPr>
            </w:pPr>
            <w:r w:rsidRPr="00695000">
              <w:rPr>
                <w:rFonts w:eastAsia="Times New Roman"/>
                <w:lang w:eastAsia="ru-RU"/>
              </w:rPr>
              <w:t>Неэффективность в комбинированной конечной точке оценки эффективности*</w:t>
            </w:r>
          </w:p>
        </w:tc>
        <w:tc>
          <w:tcPr>
            <w:tcW w:w="1250" w:type="pct"/>
            <w:shd w:val="clear" w:color="auto" w:fill="auto"/>
            <w:tcMar>
              <w:top w:w="30" w:type="dxa"/>
              <w:left w:w="30" w:type="dxa"/>
              <w:bottom w:w="30" w:type="dxa"/>
              <w:right w:w="30" w:type="dxa"/>
            </w:tcMar>
            <w:vAlign w:val="center"/>
            <w:hideMark/>
          </w:tcPr>
          <w:p w14:paraId="7F7EEEE5"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26 (28,3 %)</w:t>
            </w:r>
          </w:p>
        </w:tc>
        <w:tc>
          <w:tcPr>
            <w:tcW w:w="1250" w:type="pct"/>
            <w:shd w:val="clear" w:color="auto" w:fill="auto"/>
            <w:tcMar>
              <w:top w:w="30" w:type="dxa"/>
              <w:left w:w="30" w:type="dxa"/>
              <w:bottom w:w="30" w:type="dxa"/>
              <w:right w:w="30" w:type="dxa"/>
            </w:tcMar>
            <w:vAlign w:val="center"/>
            <w:hideMark/>
          </w:tcPr>
          <w:p w14:paraId="439FD1B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31 (36,9 %)</w:t>
            </w:r>
          </w:p>
        </w:tc>
        <w:tc>
          <w:tcPr>
            <w:tcW w:w="1250" w:type="pct"/>
            <w:shd w:val="clear" w:color="auto" w:fill="auto"/>
            <w:tcMar>
              <w:top w:w="30" w:type="dxa"/>
              <w:left w:w="30" w:type="dxa"/>
              <w:bottom w:w="30" w:type="dxa"/>
              <w:right w:w="30" w:type="dxa"/>
            </w:tcMar>
            <w:vAlign w:val="center"/>
            <w:hideMark/>
          </w:tcPr>
          <w:p w14:paraId="653DED97"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-8,6 (-22,5, 5,2)</w:t>
            </w:r>
          </w:p>
        </w:tc>
      </w:tr>
      <w:tr w:rsidR="00D133AE" w:rsidRPr="00695000" w14:paraId="4C202447" w14:textId="77777777" w:rsidTr="008A7500">
        <w:tc>
          <w:tcPr>
            <w:tcW w:w="5000" w:type="pct"/>
            <w:gridSpan w:val="4"/>
            <w:shd w:val="clear" w:color="auto" w:fill="auto"/>
            <w:tcMar>
              <w:top w:w="30" w:type="dxa"/>
              <w:left w:w="30" w:type="dxa"/>
              <w:bottom w:w="30" w:type="dxa"/>
              <w:right w:w="30" w:type="dxa"/>
            </w:tcMar>
            <w:hideMark/>
          </w:tcPr>
          <w:p w14:paraId="45BBAE72" w14:textId="77777777" w:rsidR="00D133AE" w:rsidRPr="00695000" w:rsidRDefault="00D133AE" w:rsidP="00360E2C">
            <w:pPr>
              <w:spacing w:after="0" w:line="240" w:lineRule="auto"/>
              <w:contextualSpacing/>
              <w:jc w:val="left"/>
              <w:rPr>
                <w:rFonts w:eastAsia="Times New Roman"/>
                <w:lang w:eastAsia="ru-RU"/>
              </w:rPr>
            </w:pPr>
            <w:r w:rsidRPr="00695000">
              <w:rPr>
                <w:rFonts w:eastAsia="Times New Roman"/>
                <w:b/>
                <w:bCs/>
                <w:lang w:eastAsia="ru-RU"/>
              </w:rPr>
              <w:t>Через 12 месяцев</w:t>
            </w:r>
          </w:p>
        </w:tc>
      </w:tr>
      <w:tr w:rsidR="00D133AE" w:rsidRPr="00695000" w14:paraId="1876C866" w14:textId="77777777" w:rsidTr="008A7500">
        <w:tc>
          <w:tcPr>
            <w:tcW w:w="1250" w:type="pct"/>
            <w:shd w:val="clear" w:color="auto" w:fill="auto"/>
            <w:tcMar>
              <w:top w:w="30" w:type="dxa"/>
              <w:left w:w="30" w:type="dxa"/>
              <w:bottom w:w="30" w:type="dxa"/>
              <w:right w:w="30" w:type="dxa"/>
            </w:tcMar>
            <w:hideMark/>
          </w:tcPr>
          <w:p w14:paraId="081CA1F8" w14:textId="77777777" w:rsidR="00D133AE" w:rsidRPr="00695000" w:rsidRDefault="00D133AE" w:rsidP="00360E2C">
            <w:pPr>
              <w:spacing w:after="0" w:line="240" w:lineRule="auto"/>
              <w:contextualSpacing/>
              <w:rPr>
                <w:rFonts w:eastAsia="Times New Roman"/>
                <w:lang w:eastAsia="ru-RU"/>
              </w:rPr>
            </w:pPr>
            <w:r w:rsidRPr="00695000">
              <w:rPr>
                <w:rFonts w:eastAsia="Times New Roman"/>
                <w:lang w:eastAsia="ru-RU"/>
              </w:rPr>
              <w:t>Подтвержденное биопсией острое отторжение ≥ ISHLT степени 3A</w:t>
            </w:r>
          </w:p>
        </w:tc>
        <w:tc>
          <w:tcPr>
            <w:tcW w:w="1250" w:type="pct"/>
            <w:shd w:val="clear" w:color="auto" w:fill="auto"/>
            <w:tcMar>
              <w:top w:w="30" w:type="dxa"/>
              <w:left w:w="30" w:type="dxa"/>
              <w:bottom w:w="30" w:type="dxa"/>
              <w:right w:w="30" w:type="dxa"/>
            </w:tcMar>
            <w:vAlign w:val="center"/>
            <w:hideMark/>
          </w:tcPr>
          <w:p w14:paraId="4D7E695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21 (22,8 %)</w:t>
            </w:r>
          </w:p>
        </w:tc>
        <w:tc>
          <w:tcPr>
            <w:tcW w:w="1250" w:type="pct"/>
            <w:shd w:val="clear" w:color="auto" w:fill="auto"/>
            <w:tcMar>
              <w:top w:w="30" w:type="dxa"/>
              <w:left w:w="30" w:type="dxa"/>
              <w:bottom w:w="30" w:type="dxa"/>
              <w:right w:w="30" w:type="dxa"/>
            </w:tcMar>
            <w:vAlign w:val="center"/>
            <w:hideMark/>
          </w:tcPr>
          <w:p w14:paraId="059BAB3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25 (29,8 %)</w:t>
            </w:r>
          </w:p>
        </w:tc>
        <w:tc>
          <w:tcPr>
            <w:tcW w:w="1250" w:type="pct"/>
            <w:shd w:val="clear" w:color="auto" w:fill="auto"/>
            <w:tcMar>
              <w:top w:w="30" w:type="dxa"/>
              <w:left w:w="30" w:type="dxa"/>
              <w:bottom w:w="30" w:type="dxa"/>
              <w:right w:w="30" w:type="dxa"/>
            </w:tcMar>
            <w:vAlign w:val="center"/>
            <w:hideMark/>
          </w:tcPr>
          <w:p w14:paraId="4004EFF8"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-6,9 (-19,9, 6,1)</w:t>
            </w:r>
          </w:p>
        </w:tc>
      </w:tr>
      <w:tr w:rsidR="00D133AE" w:rsidRPr="00695000" w14:paraId="312BC06B" w14:textId="77777777" w:rsidTr="008A7500">
        <w:tc>
          <w:tcPr>
            <w:tcW w:w="1250" w:type="pct"/>
            <w:shd w:val="clear" w:color="auto" w:fill="auto"/>
            <w:tcMar>
              <w:top w:w="30" w:type="dxa"/>
              <w:left w:w="30" w:type="dxa"/>
              <w:bottom w:w="30" w:type="dxa"/>
              <w:right w:w="30" w:type="dxa"/>
            </w:tcMar>
            <w:hideMark/>
          </w:tcPr>
          <w:p w14:paraId="1FF2B996" w14:textId="77777777" w:rsidR="00D133AE" w:rsidRPr="00695000" w:rsidRDefault="00D133AE" w:rsidP="00360E2C">
            <w:pPr>
              <w:spacing w:after="0" w:line="240" w:lineRule="auto"/>
              <w:contextualSpacing/>
              <w:rPr>
                <w:rFonts w:eastAsia="Times New Roman"/>
                <w:lang w:eastAsia="ru-RU"/>
              </w:rPr>
            </w:pPr>
            <w:r w:rsidRPr="00695000">
              <w:rPr>
                <w:rFonts w:eastAsia="Times New Roman"/>
                <w:lang w:eastAsia="ru-RU"/>
              </w:rPr>
              <w:t>Неэффективность в комбинированной конечной точке оценки эффективности*</w:t>
            </w:r>
          </w:p>
        </w:tc>
        <w:tc>
          <w:tcPr>
            <w:tcW w:w="1250" w:type="pct"/>
            <w:shd w:val="clear" w:color="auto" w:fill="auto"/>
            <w:tcMar>
              <w:top w:w="30" w:type="dxa"/>
              <w:left w:w="30" w:type="dxa"/>
              <w:bottom w:w="30" w:type="dxa"/>
              <w:right w:w="30" w:type="dxa"/>
            </w:tcMar>
            <w:vAlign w:val="center"/>
            <w:hideMark/>
          </w:tcPr>
          <w:p w14:paraId="3DC682B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30 (32,6 %)</w:t>
            </w:r>
          </w:p>
        </w:tc>
        <w:tc>
          <w:tcPr>
            <w:tcW w:w="1250" w:type="pct"/>
            <w:shd w:val="clear" w:color="auto" w:fill="auto"/>
            <w:tcMar>
              <w:top w:w="30" w:type="dxa"/>
              <w:left w:w="30" w:type="dxa"/>
              <w:bottom w:w="30" w:type="dxa"/>
              <w:right w:w="30" w:type="dxa"/>
            </w:tcMar>
            <w:vAlign w:val="center"/>
            <w:hideMark/>
          </w:tcPr>
          <w:p w14:paraId="03925EEF"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35 (41,7 %)</w:t>
            </w:r>
          </w:p>
        </w:tc>
        <w:tc>
          <w:tcPr>
            <w:tcW w:w="1250" w:type="pct"/>
            <w:shd w:val="clear" w:color="auto" w:fill="auto"/>
            <w:tcMar>
              <w:top w:w="30" w:type="dxa"/>
              <w:left w:w="30" w:type="dxa"/>
              <w:bottom w:w="30" w:type="dxa"/>
              <w:right w:w="30" w:type="dxa"/>
            </w:tcMar>
            <w:vAlign w:val="center"/>
            <w:hideMark/>
          </w:tcPr>
          <w:p w14:paraId="2150BB3C"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-9,1 (-23,3, 5,2)</w:t>
            </w:r>
          </w:p>
        </w:tc>
      </w:tr>
      <w:tr w:rsidR="00D133AE" w:rsidRPr="00695000" w14:paraId="7564DCAB" w14:textId="77777777" w:rsidTr="008A7500">
        <w:tc>
          <w:tcPr>
            <w:tcW w:w="1250" w:type="pct"/>
            <w:shd w:val="clear" w:color="auto" w:fill="auto"/>
            <w:tcMar>
              <w:top w:w="30" w:type="dxa"/>
              <w:left w:w="30" w:type="dxa"/>
              <w:bottom w:w="30" w:type="dxa"/>
              <w:right w:w="30" w:type="dxa"/>
            </w:tcMar>
            <w:hideMark/>
          </w:tcPr>
          <w:p w14:paraId="7681979E" w14:textId="77777777" w:rsidR="00D133AE" w:rsidRPr="00695000" w:rsidRDefault="00D133AE" w:rsidP="00360E2C">
            <w:pPr>
              <w:spacing w:after="0" w:line="240" w:lineRule="auto"/>
              <w:contextualSpacing/>
              <w:rPr>
                <w:rFonts w:eastAsia="Times New Roman"/>
                <w:lang w:eastAsia="ru-RU"/>
              </w:rPr>
            </w:pPr>
            <w:r w:rsidRPr="00695000">
              <w:rPr>
                <w:rFonts w:eastAsia="Times New Roman"/>
                <w:lang w:eastAsia="ru-RU"/>
              </w:rPr>
              <w:t>Смерть или отторжение трансплантата / повторная трансплантация</w:t>
            </w:r>
          </w:p>
        </w:tc>
        <w:tc>
          <w:tcPr>
            <w:tcW w:w="1250" w:type="pct"/>
            <w:shd w:val="clear" w:color="auto" w:fill="auto"/>
            <w:tcMar>
              <w:top w:w="30" w:type="dxa"/>
              <w:left w:w="30" w:type="dxa"/>
              <w:bottom w:w="30" w:type="dxa"/>
              <w:right w:w="30" w:type="dxa"/>
            </w:tcMar>
            <w:vAlign w:val="center"/>
            <w:hideMark/>
          </w:tcPr>
          <w:p w14:paraId="64A284ED"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10 (10,9 %)</w:t>
            </w:r>
          </w:p>
        </w:tc>
        <w:tc>
          <w:tcPr>
            <w:tcW w:w="1250" w:type="pct"/>
            <w:shd w:val="clear" w:color="auto" w:fill="auto"/>
            <w:tcMar>
              <w:top w:w="30" w:type="dxa"/>
              <w:left w:w="30" w:type="dxa"/>
              <w:bottom w:w="30" w:type="dxa"/>
              <w:right w:w="30" w:type="dxa"/>
            </w:tcMar>
            <w:vAlign w:val="center"/>
            <w:hideMark/>
          </w:tcPr>
          <w:p w14:paraId="49D273F4"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10 (11,9 %)</w:t>
            </w:r>
          </w:p>
        </w:tc>
        <w:tc>
          <w:tcPr>
            <w:tcW w:w="1250" w:type="pct"/>
            <w:shd w:val="clear" w:color="auto" w:fill="auto"/>
            <w:tcMar>
              <w:top w:w="30" w:type="dxa"/>
              <w:left w:w="30" w:type="dxa"/>
              <w:bottom w:w="30" w:type="dxa"/>
              <w:right w:w="30" w:type="dxa"/>
            </w:tcMar>
            <w:vAlign w:val="center"/>
            <w:hideMark/>
          </w:tcPr>
          <w:p w14:paraId="29B73B26" w14:textId="77777777" w:rsidR="00D133AE" w:rsidRPr="00695000" w:rsidRDefault="00D133AE" w:rsidP="00360E2C">
            <w:pPr>
              <w:spacing w:after="0" w:line="240" w:lineRule="auto"/>
              <w:contextualSpacing/>
              <w:jc w:val="center"/>
              <w:rPr>
                <w:rFonts w:eastAsia="Times New Roman"/>
                <w:lang w:eastAsia="ru-RU"/>
              </w:rPr>
            </w:pPr>
            <w:r w:rsidRPr="00695000">
              <w:rPr>
                <w:rFonts w:eastAsia="Times New Roman"/>
                <w:lang w:eastAsia="ru-RU"/>
              </w:rPr>
              <w:t>-</w:t>
            </w:r>
          </w:p>
        </w:tc>
      </w:tr>
      <w:tr w:rsidR="00AA5270" w:rsidRPr="00695000" w14:paraId="4E454EB6" w14:textId="77777777" w:rsidTr="008A7500">
        <w:tc>
          <w:tcPr>
            <w:tcW w:w="5000" w:type="pct"/>
            <w:gridSpan w:val="4"/>
            <w:shd w:val="clear" w:color="auto" w:fill="auto"/>
            <w:tcMar>
              <w:top w:w="30" w:type="dxa"/>
              <w:left w:w="30" w:type="dxa"/>
              <w:bottom w:w="30" w:type="dxa"/>
              <w:right w:w="30" w:type="dxa"/>
            </w:tcMar>
          </w:tcPr>
          <w:p w14:paraId="2133B24F" w14:textId="77777777" w:rsidR="00AA5270" w:rsidRPr="00695000" w:rsidRDefault="00AA5270" w:rsidP="00AA5270">
            <w:pPr>
              <w:shd w:val="clear" w:color="auto" w:fill="FFFFFF"/>
              <w:spacing w:after="143" w:line="240" w:lineRule="auto"/>
              <w:contextualSpacing/>
              <w:rPr>
                <w:rFonts w:eastAsia="Times New Roman"/>
                <w:b/>
                <w:color w:val="000000"/>
                <w:sz w:val="20"/>
                <w:szCs w:val="20"/>
                <w:lang w:eastAsia="ru-RU"/>
              </w:rPr>
            </w:pPr>
            <w:r w:rsidRPr="00695000">
              <w:rPr>
                <w:rFonts w:eastAsia="Times New Roman"/>
                <w:b/>
                <w:color w:val="000000"/>
                <w:sz w:val="20"/>
                <w:szCs w:val="20"/>
                <w:lang w:eastAsia="ru-RU"/>
              </w:rPr>
              <w:t>Примечание:</w:t>
            </w:r>
          </w:p>
          <w:p w14:paraId="0916E469" w14:textId="574C51FF" w:rsidR="00AA5270" w:rsidRPr="00695000" w:rsidRDefault="00AA5270" w:rsidP="0071249E">
            <w:pPr>
              <w:spacing w:after="0" w:line="240" w:lineRule="auto"/>
              <w:contextualSpacing/>
              <w:rPr>
                <w:rFonts w:eastAsia="Times New Roman"/>
                <w:lang w:eastAsia="ru-RU"/>
              </w:rPr>
            </w:pPr>
            <w:r w:rsidRPr="00695000">
              <w:rPr>
                <w:rFonts w:eastAsia="Times New Roman"/>
                <w:color w:val="000000"/>
                <w:sz w:val="20"/>
                <w:szCs w:val="20"/>
                <w:lang w:eastAsia="ru-RU"/>
              </w:rPr>
              <w:t>* Неэффективность в комбинированной конечной точке оценки эффективности: любое из следующих – острое отторжение степени ≥ 3А, острое отторжение с нарушением гемодинамики, отторжение трансплантата, смерть или утрата контак</w:t>
            </w:r>
            <w:r>
              <w:rPr>
                <w:rFonts w:eastAsia="Times New Roman"/>
                <w:color w:val="000000"/>
                <w:sz w:val="20"/>
                <w:szCs w:val="20"/>
                <w:lang w:eastAsia="ru-RU"/>
              </w:rPr>
              <w:t>та для последующего наблюдения</w:t>
            </w:r>
          </w:p>
        </w:tc>
      </w:tr>
    </w:tbl>
    <w:p w14:paraId="0A244824" w14:textId="77777777" w:rsidR="001C54B1" w:rsidRPr="00695000" w:rsidRDefault="001C54B1" w:rsidP="001C54B1">
      <w:pPr>
        <w:shd w:val="clear" w:color="auto" w:fill="FFFFFF"/>
        <w:spacing w:after="143" w:line="240" w:lineRule="auto"/>
        <w:contextualSpacing/>
        <w:rPr>
          <w:rFonts w:eastAsia="Times New Roman"/>
          <w:color w:val="000000"/>
          <w:lang w:eastAsia="ru-RU"/>
        </w:rPr>
      </w:pPr>
    </w:p>
    <w:p w14:paraId="2CF045A7"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Исследование A2310 представляет собой многоцентровое рандомизированное открытое исследование III фазы, в котором сравнивали две схемы применения циклоспорина в сниженных дозах и микофенолата мофетила (MMF)/циклоспорина в стандартной схеме в течение 24 месяцев. Индукционная терапия проводилась в зависимости от центра (без индукции, базиликсимаб или тимоглобулин). Все пациенты получали кортикостероиды.</w:t>
      </w:r>
    </w:p>
    <w:p w14:paraId="18ACD077" w14:textId="234F517B"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Начальные дозы в группах </w:t>
      </w:r>
      <w:r w:rsidR="00AA5270">
        <w:rPr>
          <w:rFonts w:eastAsia="Times New Roman"/>
          <w:color w:val="000000"/>
          <w:lang w:eastAsia="ru-RU"/>
        </w:rPr>
        <w:t>эверолимуса</w:t>
      </w:r>
      <w:r w:rsidRPr="007E3E4B">
        <w:rPr>
          <w:rFonts w:eastAsia="Times New Roman"/>
          <w:color w:val="000000"/>
          <w:lang w:eastAsia="ru-RU"/>
        </w:rPr>
        <w:t xml:space="preserve"> составляли 1,5 мг/сут и 3 мг/сут и были скорректированы с учетом целевых концентраций эверолимуса в крови 3-8 нг/мл и 6</w:t>
      </w:r>
      <w:r w:rsidRPr="007E3E4B">
        <w:rPr>
          <w:rFonts w:eastAsia="Times New Roman"/>
          <w:color w:val="000000"/>
          <w:lang w:eastAsia="ru-RU"/>
        </w:rPr>
        <w:noBreakHyphen/>
        <w:t xml:space="preserve">12 нг/мл, соответственно. Доза MMF составляла 3 г/сутки. Дозы циклоспорина были направлены на достижение той же концентрации в крови, что и в исследовании A2411. Концентрации эверолимуса и циклоспорина в крови приведены в таблице </w:t>
      </w:r>
      <w:r w:rsidRPr="001C54B1">
        <w:rPr>
          <w:rFonts w:eastAsia="Times New Roman"/>
          <w:color w:val="000000"/>
          <w:lang w:eastAsia="ru-RU"/>
        </w:rPr>
        <w:t>4-11</w:t>
      </w:r>
      <w:r w:rsidRPr="007E3E4B">
        <w:rPr>
          <w:rFonts w:eastAsia="Times New Roman"/>
          <w:color w:val="000000"/>
          <w:lang w:eastAsia="ru-RU"/>
        </w:rPr>
        <w:t>.</w:t>
      </w:r>
    </w:p>
    <w:p w14:paraId="38C632EF" w14:textId="34F59FF2" w:rsidR="001C54B1" w:rsidRPr="007E3E4B" w:rsidRDefault="001C54B1" w:rsidP="001C54B1">
      <w:pPr>
        <w:keepNext/>
        <w:keepLines/>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Набор в экспериментальную группу </w:t>
      </w:r>
      <w:r w:rsidR="00AA5270">
        <w:rPr>
          <w:rFonts w:eastAsia="Times New Roman"/>
          <w:color w:val="000000"/>
          <w:lang w:eastAsia="ru-RU"/>
        </w:rPr>
        <w:t>эверолимуса</w:t>
      </w:r>
      <w:r w:rsidRPr="007E3E4B">
        <w:rPr>
          <w:rFonts w:eastAsia="Times New Roman"/>
          <w:color w:val="000000"/>
          <w:lang w:eastAsia="ru-RU"/>
        </w:rPr>
        <w:t>в более высоких дозах был преждевременно прекращен из-за увеличения частоты летальных исходов в результате инфекций и сердечно-сосудистых заболеваний в течение первых 90 дней после рандомизации [3,11].</w:t>
      </w:r>
    </w:p>
    <w:p w14:paraId="269CBC2A" w14:textId="77777777" w:rsidR="001C54B1" w:rsidRPr="007E3E4B" w:rsidRDefault="001C54B1" w:rsidP="001C54B1">
      <w:pPr>
        <w:keepNext/>
        <w:keepLines/>
        <w:shd w:val="clear" w:color="auto" w:fill="FFFFFF"/>
        <w:spacing w:after="143" w:line="240" w:lineRule="auto"/>
        <w:contextualSpacing/>
        <w:rPr>
          <w:rFonts w:eastAsia="Times New Roman"/>
          <w:color w:val="000000"/>
          <w:lang w:eastAsia="ru-RU"/>
        </w:rPr>
      </w:pPr>
    </w:p>
    <w:p w14:paraId="65EB59B8" w14:textId="77777777" w:rsidR="001C54B1" w:rsidRPr="007E3E4B" w:rsidRDefault="001C54B1" w:rsidP="001C54B1">
      <w:pPr>
        <w:shd w:val="clear" w:color="auto" w:fill="FFFFFF"/>
        <w:spacing w:after="143" w:line="240" w:lineRule="auto"/>
        <w:contextualSpacing/>
        <w:rPr>
          <w:rFonts w:eastAsia="Times New Roman"/>
          <w:color w:val="000000"/>
          <w:lang w:eastAsia="ru-RU"/>
        </w:rPr>
      </w:pPr>
      <w:r w:rsidRPr="007E3E4B">
        <w:rPr>
          <w:rFonts w:eastAsia="Times New Roman"/>
          <w:b/>
          <w:bCs/>
          <w:color w:val="000000"/>
          <w:lang w:eastAsia="ru-RU"/>
        </w:rPr>
        <w:t xml:space="preserve">Таблица 4-11. </w:t>
      </w:r>
      <w:r w:rsidRPr="007E3E4B">
        <w:rPr>
          <w:rFonts w:eastAsia="Times New Roman"/>
          <w:bCs/>
          <w:color w:val="000000"/>
          <w:shd w:val="clear" w:color="auto" w:fill="FFFFFF" w:themeFill="background1"/>
          <w:lang w:eastAsia="ru-RU"/>
        </w:rPr>
        <w:t>Исследование A2310: Измеренные средние концентрации циклоспорина (CsA) и эверолимуса в крови</w:t>
      </w:r>
    </w:p>
    <w:tbl>
      <w:tblPr>
        <w:tblW w:w="5000" w:type="pct"/>
        <w:tblBorders>
          <w:top w:val="outset" w:sz="6" w:space="0" w:color="7B7B7B"/>
          <w:left w:val="outset" w:sz="6" w:space="0" w:color="7B7B7B"/>
          <w:bottom w:val="outset" w:sz="6" w:space="0" w:color="7B7B7B"/>
          <w:right w:val="outset" w:sz="6" w:space="0" w:color="7B7B7B"/>
        </w:tblBorders>
        <w:tblCellMar>
          <w:top w:w="24" w:type="dxa"/>
          <w:left w:w="24" w:type="dxa"/>
          <w:bottom w:w="24" w:type="dxa"/>
          <w:right w:w="24" w:type="dxa"/>
        </w:tblCellMar>
        <w:tblLook w:val="04A0" w:firstRow="1" w:lastRow="0" w:firstColumn="1" w:lastColumn="0" w:noHBand="0" w:noVBand="1"/>
      </w:tblPr>
      <w:tblGrid>
        <w:gridCol w:w="2336"/>
        <w:gridCol w:w="2336"/>
        <w:gridCol w:w="2337"/>
        <w:gridCol w:w="2337"/>
      </w:tblGrid>
      <w:tr w:rsidR="001C54B1" w:rsidRPr="007E3E4B" w14:paraId="18683380" w14:textId="77777777" w:rsidTr="008A7500">
        <w:trPr>
          <w:tblHeader/>
        </w:trPr>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10DDC61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b/>
                <w:bCs/>
                <w:lang w:eastAsia="ru-RU"/>
              </w:rPr>
              <w:t>Интервал между визитами</w:t>
            </w:r>
          </w:p>
        </w:tc>
        <w:tc>
          <w:tcPr>
            <w:tcW w:w="25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2705C09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Сертикан 1,5 мг/CsA в сниженной дозе</w:t>
            </w:r>
          </w:p>
          <w:p w14:paraId="22BB39D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N=279</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03A637F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MMF 3 г/CsA в стандартной дозе</w:t>
            </w:r>
          </w:p>
          <w:p w14:paraId="1ABE7A5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 268</w:t>
            </w:r>
          </w:p>
        </w:tc>
      </w:tr>
      <w:tr w:rsidR="001C54B1" w:rsidRPr="007E3E4B" w14:paraId="65D5CF0B"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08C6B72" w14:textId="77777777" w:rsidR="001C54B1" w:rsidRPr="007E3E4B" w:rsidRDefault="001C54B1" w:rsidP="001C54B1">
            <w:pPr>
              <w:spacing w:after="0" w:line="240" w:lineRule="auto"/>
              <w:contextualSpacing/>
              <w:rPr>
                <w:rFonts w:eastAsia="Times New Roman"/>
                <w:lang w:eastAsia="ru-RU"/>
              </w:rPr>
            </w:pP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602EC3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эверолимус (C</w:t>
            </w:r>
            <w:r w:rsidRPr="007E3E4B">
              <w:rPr>
                <w:rFonts w:eastAsia="Times New Roman"/>
                <w:vertAlign w:val="subscript"/>
                <w:lang w:eastAsia="ru-RU"/>
              </w:rPr>
              <w:t>0 нг</w:t>
            </w:r>
            <w:r w:rsidRPr="007E3E4B">
              <w:rPr>
                <w:rFonts w:eastAsia="Times New Roman"/>
                <w:lang w:eastAsia="ru-RU"/>
              </w:rPr>
              <w:t>/мл)</w:t>
            </w:r>
          </w:p>
        </w:tc>
        <w:tc>
          <w:tcPr>
            <w:tcW w:w="2500" w:type="pct"/>
            <w:gridSpan w:val="2"/>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92D31A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циклоспорин (C</w:t>
            </w:r>
            <w:r w:rsidRPr="007E3E4B">
              <w:rPr>
                <w:rFonts w:eastAsia="Times New Roman"/>
                <w:vertAlign w:val="subscript"/>
                <w:lang w:eastAsia="ru-RU"/>
              </w:rPr>
              <w:t>0 нг</w:t>
            </w:r>
            <w:r w:rsidRPr="007E3E4B">
              <w:rPr>
                <w:rFonts w:eastAsia="Times New Roman"/>
                <w:lang w:eastAsia="ru-RU"/>
              </w:rPr>
              <w:t>/мл)</w:t>
            </w:r>
          </w:p>
        </w:tc>
      </w:tr>
      <w:tr w:rsidR="001C54B1" w:rsidRPr="007E3E4B" w14:paraId="12E41923"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674C5DE"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День 4</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8D7AC9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5,7 (4,6)</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504052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153 (103)</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6457D4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151 (101)</w:t>
            </w:r>
          </w:p>
        </w:tc>
      </w:tr>
      <w:tr w:rsidR="001C54B1" w:rsidRPr="007E3E4B" w14:paraId="390F97EC"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3A50F5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Месяц 1</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E4B065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5,2 (2,4)</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F40756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247 (91)</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6E5CDA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269 (99)</w:t>
            </w:r>
          </w:p>
        </w:tc>
      </w:tr>
      <w:tr w:rsidR="001C54B1" w:rsidRPr="007E3E4B" w14:paraId="6368FF6B"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644162C"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Месяц 3</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D135CD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5,4 (2,6)</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ADE840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209 (86)</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57C7A3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245 (90)</w:t>
            </w:r>
          </w:p>
        </w:tc>
      </w:tr>
      <w:tr w:rsidR="001C54B1" w:rsidRPr="007E3E4B" w14:paraId="772A0545"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E1BA69A"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Месяц 6</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5D3500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5,7 (2,3)</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6B17CC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151 (76)</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20C912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202 (72)</w:t>
            </w:r>
          </w:p>
        </w:tc>
      </w:tr>
      <w:tr w:rsidR="001C54B1" w:rsidRPr="007E3E4B" w14:paraId="377CA387"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219226D"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Месяц 9</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94A7AE7"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5,5 (2,2)</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959B87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117 (77)</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205E707"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176 (64)</w:t>
            </w:r>
          </w:p>
        </w:tc>
      </w:tr>
      <w:tr w:rsidR="001C54B1" w:rsidRPr="007E3E4B" w14:paraId="7856003C" w14:textId="77777777" w:rsidTr="008A7500">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39A3D6C"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Месяц 12</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F333EB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5,4 (2,0)</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BFA9EB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102 (48)</w:t>
            </w:r>
          </w:p>
        </w:tc>
        <w:tc>
          <w:tcPr>
            <w:tcW w:w="1250"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8A7CC5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167 (66)</w:t>
            </w:r>
          </w:p>
        </w:tc>
      </w:tr>
      <w:tr w:rsidR="00AA5270" w:rsidRPr="007E3E4B" w14:paraId="6EBDC9F2" w14:textId="77777777" w:rsidTr="008A7500">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3B19AAE6" w14:textId="77777777" w:rsidR="00AA5270" w:rsidRPr="007E3E4B" w:rsidRDefault="00AA5270" w:rsidP="00AA5270">
            <w:pPr>
              <w:shd w:val="clear" w:color="auto" w:fill="FFFFFF"/>
              <w:spacing w:after="143" w:line="240" w:lineRule="auto"/>
              <w:contextualSpacing/>
              <w:rPr>
                <w:rFonts w:eastAsia="Times New Roman"/>
                <w:b/>
                <w:color w:val="000000"/>
                <w:sz w:val="20"/>
                <w:szCs w:val="20"/>
                <w:lang w:eastAsia="ru-RU"/>
              </w:rPr>
            </w:pPr>
            <w:r w:rsidRPr="007E3E4B">
              <w:rPr>
                <w:rFonts w:eastAsia="Times New Roman"/>
                <w:b/>
                <w:color w:val="000000"/>
                <w:sz w:val="20"/>
                <w:szCs w:val="20"/>
                <w:lang w:eastAsia="ru-RU"/>
              </w:rPr>
              <w:lastRenderedPageBreak/>
              <w:t>Примечание:</w:t>
            </w:r>
          </w:p>
          <w:p w14:paraId="4FB50641" w14:textId="4D7566CB" w:rsidR="00AA5270" w:rsidRPr="0071249E" w:rsidRDefault="00AA5270" w:rsidP="0071249E">
            <w:pPr>
              <w:shd w:val="clear" w:color="auto" w:fill="FFFFFF"/>
              <w:spacing w:after="143" w:line="240" w:lineRule="auto"/>
              <w:contextualSpacing/>
              <w:rPr>
                <w:rFonts w:eastAsia="Times New Roman"/>
                <w:color w:val="000000"/>
                <w:sz w:val="20"/>
                <w:szCs w:val="20"/>
                <w:lang w:eastAsia="ru-RU"/>
              </w:rPr>
            </w:pPr>
            <w:r w:rsidRPr="007E3E4B">
              <w:rPr>
                <w:rFonts w:eastAsia="Times New Roman"/>
                <w:color w:val="000000"/>
                <w:sz w:val="20"/>
                <w:szCs w:val="20"/>
                <w:lang w:eastAsia="ru-RU"/>
              </w:rPr>
              <w:t>Числа представляют собой среднее значение (стандартное отклонение) измеренных значений C</w:t>
            </w:r>
            <w:r w:rsidRPr="007E3E4B">
              <w:rPr>
                <w:rFonts w:eastAsia="Times New Roman"/>
                <w:color w:val="000000"/>
                <w:sz w:val="20"/>
                <w:szCs w:val="20"/>
                <w:vertAlign w:val="subscript"/>
                <w:lang w:eastAsia="ru-RU"/>
              </w:rPr>
              <w:t>0</w:t>
            </w:r>
            <w:r>
              <w:rPr>
                <w:rFonts w:eastAsia="Times New Roman"/>
                <w:color w:val="000000"/>
                <w:sz w:val="20"/>
                <w:szCs w:val="20"/>
                <w:lang w:eastAsia="ru-RU"/>
              </w:rPr>
              <w:t>=минимальная концентрация</w:t>
            </w:r>
          </w:p>
        </w:tc>
      </w:tr>
    </w:tbl>
    <w:p w14:paraId="29143635" w14:textId="77777777" w:rsidR="001C54B1" w:rsidRPr="007E3E4B" w:rsidRDefault="001C54B1" w:rsidP="001C54B1">
      <w:pPr>
        <w:shd w:val="clear" w:color="auto" w:fill="FFFFFF"/>
        <w:spacing w:after="143" w:line="240" w:lineRule="auto"/>
        <w:contextualSpacing/>
        <w:rPr>
          <w:rFonts w:eastAsia="Times New Roman"/>
          <w:color w:val="000000"/>
          <w:lang w:eastAsia="ru-RU"/>
        </w:rPr>
      </w:pPr>
    </w:p>
    <w:p w14:paraId="07704DF9"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Исход со стороны эффективности через 12 месяцев показан в таблице 14-12 [3,11].</w:t>
      </w:r>
    </w:p>
    <w:p w14:paraId="7A6BFE34" w14:textId="77777777" w:rsidR="001C54B1" w:rsidRPr="007E3E4B" w:rsidRDefault="001C54B1" w:rsidP="001C54B1">
      <w:pPr>
        <w:shd w:val="clear" w:color="auto" w:fill="FFFFFF"/>
        <w:spacing w:after="143" w:line="240" w:lineRule="auto"/>
        <w:contextualSpacing/>
        <w:rPr>
          <w:rFonts w:eastAsia="Times New Roman"/>
          <w:color w:val="000000"/>
          <w:lang w:eastAsia="ru-RU"/>
        </w:rPr>
      </w:pPr>
    </w:p>
    <w:p w14:paraId="1C040C4D" w14:textId="77777777" w:rsidR="001C54B1" w:rsidRPr="007E3E4B" w:rsidRDefault="001C54B1" w:rsidP="001C54B1">
      <w:pPr>
        <w:shd w:val="clear" w:color="auto" w:fill="FFFFFF"/>
        <w:spacing w:after="143" w:line="240" w:lineRule="auto"/>
        <w:contextualSpacing/>
        <w:rPr>
          <w:rFonts w:eastAsia="Times New Roman"/>
          <w:color w:val="000000"/>
          <w:lang w:eastAsia="ru-RU"/>
        </w:rPr>
      </w:pPr>
      <w:r w:rsidRPr="007E3E4B">
        <w:rPr>
          <w:rFonts w:eastAsia="Times New Roman"/>
          <w:b/>
          <w:bCs/>
          <w:color w:val="000000"/>
          <w:lang w:eastAsia="ru-RU"/>
        </w:rPr>
        <w:t xml:space="preserve">Таблица 4-12 </w:t>
      </w:r>
      <w:r w:rsidRPr="007E3E4B">
        <w:rPr>
          <w:rFonts w:eastAsia="Times New Roman"/>
          <w:bCs/>
          <w:color w:val="000000"/>
          <w:lang w:eastAsia="ru-RU"/>
        </w:rPr>
        <w:t>Исследование A2310: Частота встречаемости конечных точек оценки эффективности по группам лечения (популяция ITT – анализ на 12</w:t>
      </w:r>
      <w:r w:rsidRPr="007E3E4B">
        <w:rPr>
          <w:rFonts w:eastAsia="Times New Roman"/>
          <w:bCs/>
          <w:color w:val="000000"/>
          <w:lang w:eastAsia="ru-RU"/>
        </w:rPr>
        <w:noBreakHyphen/>
        <w:t>м месяце)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4630"/>
        <w:gridCol w:w="2424"/>
        <w:gridCol w:w="2292"/>
      </w:tblGrid>
      <w:tr w:rsidR="001C54B1" w:rsidRPr="007E3E4B" w14:paraId="2910D681" w14:textId="77777777" w:rsidTr="008A7500">
        <w:trPr>
          <w:tblHeader/>
        </w:trPr>
        <w:tc>
          <w:tcPr>
            <w:tcW w:w="2477" w:type="pct"/>
            <w:shd w:val="clear" w:color="auto" w:fill="D9D9D9" w:themeFill="background1" w:themeFillShade="D9"/>
            <w:tcMar>
              <w:top w:w="30" w:type="dxa"/>
              <w:left w:w="30" w:type="dxa"/>
              <w:bottom w:w="30" w:type="dxa"/>
              <w:right w:w="30" w:type="dxa"/>
            </w:tcMar>
            <w:vAlign w:val="center"/>
            <w:hideMark/>
          </w:tcPr>
          <w:p w14:paraId="62589FBE" w14:textId="563FC95D" w:rsidR="001C54B1" w:rsidRPr="008A7500" w:rsidRDefault="008A7500" w:rsidP="001C54B1">
            <w:pPr>
              <w:spacing w:after="0" w:line="240" w:lineRule="auto"/>
              <w:contextualSpacing/>
              <w:jc w:val="center"/>
              <w:rPr>
                <w:rFonts w:eastAsia="Times New Roman"/>
                <w:b/>
                <w:lang w:eastAsia="ru-RU"/>
              </w:rPr>
            </w:pPr>
            <w:r w:rsidRPr="008A7500">
              <w:rPr>
                <w:rFonts w:eastAsia="Times New Roman"/>
                <w:b/>
                <w:lang w:eastAsia="ru-RU"/>
              </w:rPr>
              <w:t>Параметр</w:t>
            </w:r>
          </w:p>
        </w:tc>
        <w:tc>
          <w:tcPr>
            <w:tcW w:w="1297" w:type="pct"/>
            <w:shd w:val="clear" w:color="auto" w:fill="D9D9D9" w:themeFill="background1" w:themeFillShade="D9"/>
            <w:tcMar>
              <w:top w:w="30" w:type="dxa"/>
              <w:left w:w="30" w:type="dxa"/>
              <w:bottom w:w="30" w:type="dxa"/>
              <w:right w:w="30" w:type="dxa"/>
            </w:tcMar>
            <w:vAlign w:val="center"/>
            <w:hideMark/>
          </w:tcPr>
          <w:p w14:paraId="7CF51795" w14:textId="4A2C2501" w:rsidR="001C54B1" w:rsidRPr="007E3E4B" w:rsidRDefault="00AA5270" w:rsidP="001C54B1">
            <w:pPr>
              <w:spacing w:after="0" w:line="240" w:lineRule="auto"/>
              <w:contextualSpacing/>
              <w:jc w:val="center"/>
              <w:rPr>
                <w:rFonts w:eastAsia="Times New Roman"/>
                <w:lang w:eastAsia="ru-RU"/>
              </w:rPr>
            </w:pPr>
            <w:r w:rsidRPr="0071249E">
              <w:rPr>
                <w:rFonts w:eastAsia="Times New Roman"/>
                <w:b/>
                <w:color w:val="000000"/>
                <w:lang w:eastAsia="ru-RU"/>
              </w:rPr>
              <w:t>Эверолимус</w:t>
            </w:r>
            <w:r w:rsidR="001C54B1" w:rsidRPr="007E3E4B">
              <w:rPr>
                <w:rFonts w:eastAsia="Times New Roman"/>
                <w:b/>
                <w:bCs/>
                <w:lang w:eastAsia="ru-RU"/>
              </w:rPr>
              <w:t>1,5 мг</w:t>
            </w:r>
          </w:p>
          <w:p w14:paraId="6196ADF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N=279</w:t>
            </w:r>
          </w:p>
        </w:tc>
        <w:tc>
          <w:tcPr>
            <w:tcW w:w="1227" w:type="pct"/>
            <w:shd w:val="clear" w:color="auto" w:fill="D9D9D9" w:themeFill="background1" w:themeFillShade="D9"/>
            <w:tcMar>
              <w:top w:w="30" w:type="dxa"/>
              <w:left w:w="30" w:type="dxa"/>
              <w:bottom w:w="30" w:type="dxa"/>
              <w:right w:w="30" w:type="dxa"/>
            </w:tcMar>
            <w:vAlign w:val="center"/>
            <w:hideMark/>
          </w:tcPr>
          <w:p w14:paraId="6C9D63F3"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MMF</w:t>
            </w:r>
          </w:p>
          <w:p w14:paraId="6D106573"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 271</w:t>
            </w:r>
          </w:p>
        </w:tc>
      </w:tr>
      <w:tr w:rsidR="001C54B1" w:rsidRPr="007E3E4B" w14:paraId="5A2EB21E" w14:textId="77777777" w:rsidTr="008A7500">
        <w:tc>
          <w:tcPr>
            <w:tcW w:w="2477" w:type="pct"/>
            <w:shd w:val="clear" w:color="auto" w:fill="auto"/>
            <w:tcMar>
              <w:top w:w="30" w:type="dxa"/>
              <w:left w:w="30" w:type="dxa"/>
              <w:bottom w:w="30" w:type="dxa"/>
              <w:right w:w="30" w:type="dxa"/>
            </w:tcMar>
            <w:hideMark/>
          </w:tcPr>
          <w:p w14:paraId="0601D1B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Конечные точки оценки эффективности</w:t>
            </w:r>
          </w:p>
        </w:tc>
        <w:tc>
          <w:tcPr>
            <w:tcW w:w="1297" w:type="pct"/>
            <w:shd w:val="clear" w:color="auto" w:fill="auto"/>
            <w:tcMar>
              <w:top w:w="30" w:type="dxa"/>
              <w:left w:w="30" w:type="dxa"/>
              <w:bottom w:w="30" w:type="dxa"/>
              <w:right w:w="30" w:type="dxa"/>
            </w:tcMar>
            <w:vAlign w:val="center"/>
            <w:hideMark/>
          </w:tcPr>
          <w:p w14:paraId="0ED7B5A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n (%)</w:t>
            </w:r>
          </w:p>
        </w:tc>
        <w:tc>
          <w:tcPr>
            <w:tcW w:w="1227" w:type="pct"/>
            <w:shd w:val="clear" w:color="auto" w:fill="auto"/>
            <w:tcMar>
              <w:top w:w="30" w:type="dxa"/>
              <w:left w:w="30" w:type="dxa"/>
              <w:bottom w:w="30" w:type="dxa"/>
              <w:right w:w="30" w:type="dxa"/>
            </w:tcMar>
            <w:vAlign w:val="center"/>
            <w:hideMark/>
          </w:tcPr>
          <w:p w14:paraId="045F619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n (%)</w:t>
            </w:r>
          </w:p>
        </w:tc>
      </w:tr>
      <w:tr w:rsidR="001C54B1" w:rsidRPr="007E3E4B" w14:paraId="1018F7DC" w14:textId="77777777" w:rsidTr="008A7500">
        <w:tc>
          <w:tcPr>
            <w:tcW w:w="2477" w:type="pct"/>
            <w:shd w:val="clear" w:color="auto" w:fill="auto"/>
            <w:tcMar>
              <w:top w:w="30" w:type="dxa"/>
              <w:left w:w="30" w:type="dxa"/>
              <w:bottom w:w="30" w:type="dxa"/>
              <w:right w:w="30" w:type="dxa"/>
            </w:tcMar>
            <w:hideMark/>
          </w:tcPr>
          <w:p w14:paraId="4C741CD0"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Первичная: неэффективность в комбинированной конечной точке оценки эффективности</w:t>
            </w:r>
          </w:p>
        </w:tc>
        <w:tc>
          <w:tcPr>
            <w:tcW w:w="1297" w:type="pct"/>
            <w:shd w:val="clear" w:color="auto" w:fill="auto"/>
            <w:tcMar>
              <w:top w:w="30" w:type="dxa"/>
              <w:left w:w="30" w:type="dxa"/>
              <w:bottom w:w="30" w:type="dxa"/>
              <w:right w:w="30" w:type="dxa"/>
            </w:tcMar>
            <w:vAlign w:val="center"/>
            <w:hideMark/>
          </w:tcPr>
          <w:p w14:paraId="1D82315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99 (35,1)</w:t>
            </w:r>
          </w:p>
        </w:tc>
        <w:tc>
          <w:tcPr>
            <w:tcW w:w="1227" w:type="pct"/>
            <w:shd w:val="clear" w:color="auto" w:fill="auto"/>
            <w:tcMar>
              <w:top w:w="30" w:type="dxa"/>
              <w:left w:w="30" w:type="dxa"/>
              <w:bottom w:w="30" w:type="dxa"/>
              <w:right w:w="30" w:type="dxa"/>
            </w:tcMar>
            <w:vAlign w:val="center"/>
            <w:hideMark/>
          </w:tcPr>
          <w:p w14:paraId="26AB2E3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91 (33,6)</w:t>
            </w:r>
          </w:p>
        </w:tc>
      </w:tr>
      <w:tr w:rsidR="001C54B1" w:rsidRPr="007E3E4B" w14:paraId="191BCB27" w14:textId="77777777" w:rsidTr="008A7500">
        <w:tc>
          <w:tcPr>
            <w:tcW w:w="2477" w:type="pct"/>
            <w:shd w:val="clear" w:color="auto" w:fill="auto"/>
            <w:tcMar>
              <w:top w:w="30" w:type="dxa"/>
              <w:left w:w="30" w:type="dxa"/>
              <w:bottom w:w="30" w:type="dxa"/>
              <w:right w:w="30" w:type="dxa"/>
            </w:tcMar>
            <w:hideMark/>
          </w:tcPr>
          <w:p w14:paraId="28E95A69"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 AR, связанное с HDC</w:t>
            </w:r>
          </w:p>
        </w:tc>
        <w:tc>
          <w:tcPr>
            <w:tcW w:w="1297" w:type="pct"/>
            <w:shd w:val="clear" w:color="auto" w:fill="auto"/>
            <w:tcMar>
              <w:top w:w="30" w:type="dxa"/>
              <w:left w:w="30" w:type="dxa"/>
              <w:bottom w:w="30" w:type="dxa"/>
              <w:right w:w="30" w:type="dxa"/>
            </w:tcMar>
            <w:vAlign w:val="center"/>
            <w:hideMark/>
          </w:tcPr>
          <w:p w14:paraId="1B3E3D6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11 (3,9)</w:t>
            </w:r>
          </w:p>
        </w:tc>
        <w:tc>
          <w:tcPr>
            <w:tcW w:w="1227" w:type="pct"/>
            <w:shd w:val="clear" w:color="auto" w:fill="auto"/>
            <w:tcMar>
              <w:top w:w="30" w:type="dxa"/>
              <w:left w:w="30" w:type="dxa"/>
              <w:bottom w:w="30" w:type="dxa"/>
              <w:right w:w="30" w:type="dxa"/>
            </w:tcMar>
            <w:vAlign w:val="center"/>
            <w:hideMark/>
          </w:tcPr>
          <w:p w14:paraId="3DC7127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7 (2,6)</w:t>
            </w:r>
          </w:p>
        </w:tc>
      </w:tr>
      <w:tr w:rsidR="001C54B1" w:rsidRPr="007E3E4B" w14:paraId="5AE2FA13" w14:textId="77777777" w:rsidTr="008A7500">
        <w:tc>
          <w:tcPr>
            <w:tcW w:w="2477" w:type="pct"/>
            <w:shd w:val="clear" w:color="auto" w:fill="auto"/>
            <w:tcMar>
              <w:top w:w="30" w:type="dxa"/>
              <w:left w:w="30" w:type="dxa"/>
              <w:bottom w:w="30" w:type="dxa"/>
              <w:right w:w="30" w:type="dxa"/>
            </w:tcMar>
            <w:hideMark/>
          </w:tcPr>
          <w:p w14:paraId="5A4D56EE"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 BPAR степени ≥ 3A по ISHLT</w:t>
            </w:r>
          </w:p>
        </w:tc>
        <w:tc>
          <w:tcPr>
            <w:tcW w:w="1297" w:type="pct"/>
            <w:shd w:val="clear" w:color="auto" w:fill="auto"/>
            <w:tcMar>
              <w:top w:w="30" w:type="dxa"/>
              <w:left w:w="30" w:type="dxa"/>
              <w:bottom w:w="30" w:type="dxa"/>
              <w:right w:w="30" w:type="dxa"/>
            </w:tcMar>
            <w:vAlign w:val="center"/>
            <w:hideMark/>
          </w:tcPr>
          <w:p w14:paraId="640CD867"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63 (22,3)</w:t>
            </w:r>
          </w:p>
        </w:tc>
        <w:tc>
          <w:tcPr>
            <w:tcW w:w="1227" w:type="pct"/>
            <w:shd w:val="clear" w:color="auto" w:fill="auto"/>
            <w:tcMar>
              <w:top w:w="30" w:type="dxa"/>
              <w:left w:w="30" w:type="dxa"/>
              <w:bottom w:w="30" w:type="dxa"/>
              <w:right w:w="30" w:type="dxa"/>
            </w:tcMar>
            <w:vAlign w:val="center"/>
            <w:hideMark/>
          </w:tcPr>
          <w:p w14:paraId="5BD6CF7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67 (24,7)</w:t>
            </w:r>
          </w:p>
        </w:tc>
      </w:tr>
      <w:tr w:rsidR="001C54B1" w:rsidRPr="007E3E4B" w14:paraId="71DAFF54" w14:textId="77777777" w:rsidTr="008A7500">
        <w:tc>
          <w:tcPr>
            <w:tcW w:w="2477" w:type="pct"/>
            <w:shd w:val="clear" w:color="auto" w:fill="auto"/>
            <w:tcMar>
              <w:top w:w="30" w:type="dxa"/>
              <w:left w:w="30" w:type="dxa"/>
              <w:bottom w:w="30" w:type="dxa"/>
              <w:right w:w="30" w:type="dxa"/>
            </w:tcMar>
            <w:hideMark/>
          </w:tcPr>
          <w:p w14:paraId="50A09AE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 Смерть</w:t>
            </w:r>
          </w:p>
        </w:tc>
        <w:tc>
          <w:tcPr>
            <w:tcW w:w="1297" w:type="pct"/>
            <w:shd w:val="clear" w:color="auto" w:fill="auto"/>
            <w:tcMar>
              <w:top w:w="30" w:type="dxa"/>
              <w:left w:w="30" w:type="dxa"/>
              <w:bottom w:w="30" w:type="dxa"/>
              <w:right w:w="30" w:type="dxa"/>
            </w:tcMar>
            <w:vAlign w:val="center"/>
            <w:hideMark/>
          </w:tcPr>
          <w:p w14:paraId="3C64186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22 (7,8)</w:t>
            </w:r>
          </w:p>
        </w:tc>
        <w:tc>
          <w:tcPr>
            <w:tcW w:w="1227" w:type="pct"/>
            <w:shd w:val="clear" w:color="auto" w:fill="auto"/>
            <w:tcMar>
              <w:top w:w="30" w:type="dxa"/>
              <w:left w:w="30" w:type="dxa"/>
              <w:bottom w:w="30" w:type="dxa"/>
              <w:right w:w="30" w:type="dxa"/>
            </w:tcMar>
            <w:vAlign w:val="center"/>
            <w:hideMark/>
          </w:tcPr>
          <w:p w14:paraId="67097BB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13 (4,8)</w:t>
            </w:r>
          </w:p>
        </w:tc>
      </w:tr>
      <w:tr w:rsidR="001C54B1" w:rsidRPr="007E3E4B" w14:paraId="057AEDFF" w14:textId="77777777" w:rsidTr="008A7500">
        <w:tc>
          <w:tcPr>
            <w:tcW w:w="2477" w:type="pct"/>
            <w:shd w:val="clear" w:color="auto" w:fill="auto"/>
            <w:tcMar>
              <w:top w:w="30" w:type="dxa"/>
              <w:left w:w="30" w:type="dxa"/>
              <w:bottom w:w="30" w:type="dxa"/>
              <w:right w:w="30" w:type="dxa"/>
            </w:tcMar>
            <w:hideMark/>
          </w:tcPr>
          <w:p w14:paraId="79822509"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 Отторжение трансплантата / повторная трансплантация</w:t>
            </w:r>
          </w:p>
        </w:tc>
        <w:tc>
          <w:tcPr>
            <w:tcW w:w="1297" w:type="pct"/>
            <w:shd w:val="clear" w:color="auto" w:fill="auto"/>
            <w:tcMar>
              <w:top w:w="30" w:type="dxa"/>
              <w:left w:w="30" w:type="dxa"/>
              <w:bottom w:w="30" w:type="dxa"/>
              <w:right w:w="30" w:type="dxa"/>
            </w:tcMar>
            <w:vAlign w:val="center"/>
            <w:hideMark/>
          </w:tcPr>
          <w:p w14:paraId="10D3BD4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4 (1,4)</w:t>
            </w:r>
          </w:p>
        </w:tc>
        <w:tc>
          <w:tcPr>
            <w:tcW w:w="1227" w:type="pct"/>
            <w:shd w:val="clear" w:color="auto" w:fill="auto"/>
            <w:tcMar>
              <w:top w:w="30" w:type="dxa"/>
              <w:left w:w="30" w:type="dxa"/>
              <w:bottom w:w="30" w:type="dxa"/>
              <w:right w:w="30" w:type="dxa"/>
            </w:tcMar>
            <w:vAlign w:val="center"/>
            <w:hideMark/>
          </w:tcPr>
          <w:p w14:paraId="26116C7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5 (1,8)</w:t>
            </w:r>
          </w:p>
        </w:tc>
      </w:tr>
      <w:tr w:rsidR="001C54B1" w:rsidRPr="007E3E4B" w14:paraId="2C0345DC" w14:textId="77777777" w:rsidTr="008A7500">
        <w:tc>
          <w:tcPr>
            <w:tcW w:w="2477" w:type="pct"/>
            <w:shd w:val="clear" w:color="auto" w:fill="auto"/>
            <w:tcMar>
              <w:top w:w="30" w:type="dxa"/>
              <w:left w:w="30" w:type="dxa"/>
              <w:bottom w:w="30" w:type="dxa"/>
              <w:right w:w="30" w:type="dxa"/>
            </w:tcMar>
            <w:hideMark/>
          </w:tcPr>
          <w:p w14:paraId="5808FE2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 Потерян контакт для последующего наблюдения</w:t>
            </w:r>
          </w:p>
        </w:tc>
        <w:tc>
          <w:tcPr>
            <w:tcW w:w="1297" w:type="pct"/>
            <w:shd w:val="clear" w:color="auto" w:fill="auto"/>
            <w:tcMar>
              <w:top w:w="30" w:type="dxa"/>
              <w:left w:w="30" w:type="dxa"/>
              <w:bottom w:w="30" w:type="dxa"/>
              <w:right w:w="30" w:type="dxa"/>
            </w:tcMar>
            <w:vAlign w:val="center"/>
            <w:hideMark/>
          </w:tcPr>
          <w:p w14:paraId="6C0B89B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 (3,2)</w:t>
            </w:r>
          </w:p>
        </w:tc>
        <w:tc>
          <w:tcPr>
            <w:tcW w:w="1227" w:type="pct"/>
            <w:shd w:val="clear" w:color="auto" w:fill="auto"/>
            <w:tcMar>
              <w:top w:w="30" w:type="dxa"/>
              <w:left w:w="30" w:type="dxa"/>
              <w:bottom w:w="30" w:type="dxa"/>
              <w:right w:w="30" w:type="dxa"/>
            </w:tcMar>
            <w:vAlign w:val="center"/>
            <w:hideMark/>
          </w:tcPr>
          <w:p w14:paraId="11B01AD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 (3,7)</w:t>
            </w:r>
          </w:p>
        </w:tc>
      </w:tr>
      <w:tr w:rsidR="00AA5270" w:rsidRPr="007E3E4B" w14:paraId="5E0DD9D6" w14:textId="77777777" w:rsidTr="008A7500">
        <w:tc>
          <w:tcPr>
            <w:tcW w:w="5000" w:type="pct"/>
            <w:gridSpan w:val="3"/>
            <w:shd w:val="clear" w:color="auto" w:fill="auto"/>
            <w:tcMar>
              <w:top w:w="30" w:type="dxa"/>
              <w:left w:w="30" w:type="dxa"/>
              <w:bottom w:w="30" w:type="dxa"/>
              <w:right w:w="30" w:type="dxa"/>
            </w:tcMar>
          </w:tcPr>
          <w:p w14:paraId="44B7E7F9" w14:textId="77777777" w:rsidR="00AA5270" w:rsidRPr="007E3E4B" w:rsidRDefault="00AA5270" w:rsidP="00AA5270">
            <w:pPr>
              <w:shd w:val="clear" w:color="auto" w:fill="FFFFFF"/>
              <w:spacing w:after="143" w:line="240" w:lineRule="auto"/>
              <w:contextualSpacing/>
              <w:rPr>
                <w:rFonts w:eastAsia="Times New Roman"/>
                <w:b/>
                <w:color w:val="000000"/>
                <w:sz w:val="20"/>
                <w:szCs w:val="20"/>
                <w:lang w:eastAsia="ru-RU"/>
              </w:rPr>
            </w:pPr>
            <w:r w:rsidRPr="007E3E4B">
              <w:rPr>
                <w:rFonts w:eastAsia="Times New Roman"/>
                <w:b/>
                <w:color w:val="000000"/>
                <w:sz w:val="20"/>
                <w:szCs w:val="20"/>
                <w:lang w:eastAsia="ru-RU"/>
              </w:rPr>
              <w:t>Примечание:</w:t>
            </w:r>
          </w:p>
          <w:p w14:paraId="707BF25D" w14:textId="64936CA0" w:rsidR="00AA5270" w:rsidRPr="0071249E" w:rsidRDefault="00AA5270" w:rsidP="0071249E">
            <w:pPr>
              <w:shd w:val="clear" w:color="auto" w:fill="FFFFFF"/>
              <w:spacing w:after="143" w:line="240" w:lineRule="auto"/>
              <w:contextualSpacing/>
              <w:rPr>
                <w:rFonts w:eastAsia="Times New Roman"/>
                <w:color w:val="000000"/>
                <w:sz w:val="20"/>
                <w:szCs w:val="20"/>
                <w:lang w:eastAsia="ru-RU"/>
              </w:rPr>
            </w:pPr>
            <w:r w:rsidRPr="007E3E4B">
              <w:rPr>
                <w:rFonts w:eastAsia="Times New Roman"/>
                <w:color w:val="000000"/>
                <w:sz w:val="20"/>
                <w:szCs w:val="20"/>
                <w:lang w:eastAsia="ru-RU"/>
              </w:rPr>
              <w:t>Совокупная неэффективность: подтвержденные биопсией эпизоды острого отторжения (BPAR) степени ≥ 3A по ISHLT, острого отторжения (AR), связанного с нарушением гемодинамики (HDC), отторжения трансплантата/повторной трансплантацией, смертью или утратой контак</w:t>
            </w:r>
            <w:r>
              <w:rPr>
                <w:rFonts w:eastAsia="Times New Roman"/>
                <w:color w:val="000000"/>
                <w:sz w:val="20"/>
                <w:szCs w:val="20"/>
                <w:lang w:eastAsia="ru-RU"/>
              </w:rPr>
              <w:t>та для последующего наблюдения.</w:t>
            </w:r>
          </w:p>
        </w:tc>
      </w:tr>
    </w:tbl>
    <w:p w14:paraId="193FAC17" w14:textId="77777777" w:rsidR="001C54B1" w:rsidRPr="00C75392" w:rsidRDefault="001C54B1" w:rsidP="001C54B1">
      <w:pPr>
        <w:shd w:val="clear" w:color="auto" w:fill="FFFFFF"/>
        <w:spacing w:after="143" w:line="240" w:lineRule="auto"/>
        <w:contextualSpacing/>
        <w:rPr>
          <w:rFonts w:eastAsia="Times New Roman"/>
          <w:color w:val="000000"/>
          <w:highlight w:val="green"/>
          <w:lang w:eastAsia="ru-RU"/>
        </w:rPr>
      </w:pPr>
    </w:p>
    <w:p w14:paraId="3AB9A43B" w14:textId="0DD1ECE5"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Более высокий уровень летальности в группе </w:t>
      </w:r>
      <w:r w:rsidR="00AA5270">
        <w:rPr>
          <w:rFonts w:eastAsia="Times New Roman"/>
          <w:color w:val="000000"/>
          <w:lang w:eastAsia="ru-RU"/>
        </w:rPr>
        <w:t>эверолимуса</w:t>
      </w:r>
      <w:r w:rsidRPr="007E3E4B">
        <w:rPr>
          <w:rFonts w:eastAsia="Times New Roman"/>
          <w:color w:val="000000"/>
          <w:lang w:eastAsia="ru-RU"/>
        </w:rPr>
        <w:t xml:space="preserve"> по сравнению с группой MMF был главным образом обусловлен увеличением частоты летальных исходов в результате инфекции в первые три месяца среди пациентов в группе </w:t>
      </w:r>
      <w:r w:rsidR="00AA5270">
        <w:rPr>
          <w:rFonts w:eastAsia="Times New Roman"/>
          <w:color w:val="000000"/>
          <w:lang w:eastAsia="ru-RU"/>
        </w:rPr>
        <w:t>эверолимуса</w:t>
      </w:r>
      <w:r w:rsidRPr="007E3E4B">
        <w:rPr>
          <w:rFonts w:eastAsia="Times New Roman"/>
          <w:color w:val="000000"/>
          <w:lang w:eastAsia="ru-RU"/>
        </w:rPr>
        <w:t xml:space="preserve">, получавших индукционную терапию тимоглобулином. Дисбаланс летальных исходов в подгруппе тимоглобулина был особенно очевиден среди пациентов, госпитализированных до трансплантации и </w:t>
      </w:r>
      <w:r w:rsidR="00F20729">
        <w:rPr>
          <w:rFonts w:eastAsia="Times New Roman"/>
          <w:color w:val="000000"/>
          <w:lang w:eastAsia="ru-RU"/>
        </w:rPr>
        <w:t xml:space="preserve">подключенных к левожелудочковому аппарату вспомогательного кровообращения. </w:t>
      </w:r>
    </w:p>
    <w:p w14:paraId="7EDE35E9"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Функция почек в исследовании A2310, оцененная по расчетной скорости клубочковой фильтрации (СКФ) с использованием формулы MDRD, была на 5,5 мл/мин/1,73 м</w:t>
      </w:r>
      <w:r w:rsidRPr="007E3E4B">
        <w:rPr>
          <w:rFonts w:eastAsia="Times New Roman"/>
          <w:color w:val="000000"/>
          <w:vertAlign w:val="superscript"/>
          <w:lang w:eastAsia="ru-RU"/>
        </w:rPr>
        <w:t>2</w:t>
      </w:r>
      <w:r w:rsidRPr="007E3E4B">
        <w:rPr>
          <w:rFonts w:eastAsia="Times New Roman"/>
          <w:color w:val="000000"/>
          <w:lang w:eastAsia="ru-RU"/>
        </w:rPr>
        <w:t xml:space="preserve"> (97,5 % ДИ -10,9, -0,2) ниже в группе эверолимуса в дозе 1,5 мг на 12</w:t>
      </w:r>
      <w:r w:rsidRPr="007E3E4B">
        <w:rPr>
          <w:rFonts w:eastAsia="Times New Roman"/>
          <w:color w:val="000000"/>
          <w:lang w:eastAsia="ru-RU"/>
        </w:rPr>
        <w:noBreakHyphen/>
        <w:t>м месяце.</w:t>
      </w:r>
    </w:p>
    <w:p w14:paraId="2DC71A9D" w14:textId="2A0CE616"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Это различие в основном наблюдалось в центрах, где средние концентрации циклоспорина были одинаковыми на протяжении всего периода исследования у пациентов, получавших </w:t>
      </w:r>
      <w:r w:rsidR="00AA5270">
        <w:rPr>
          <w:rFonts w:eastAsia="Times New Roman"/>
          <w:color w:val="000000"/>
          <w:lang w:eastAsia="ru-RU"/>
        </w:rPr>
        <w:t>эверолимус</w:t>
      </w:r>
      <w:r w:rsidRPr="007E3E4B">
        <w:rPr>
          <w:rFonts w:eastAsia="Times New Roman"/>
          <w:color w:val="000000"/>
          <w:lang w:eastAsia="ru-RU"/>
        </w:rPr>
        <w:t>, и у пациентов, рандомизированных в контрольную группу. Это наблюдение подчеркивает важность снижения концентрации циклоспорина в сочетании с эверолимусом, как указано в таблице 4-13 [3,11].</w:t>
      </w:r>
    </w:p>
    <w:p w14:paraId="4A54D353" w14:textId="77777777" w:rsidR="001C54B1" w:rsidRPr="007E3E4B" w:rsidRDefault="001C54B1" w:rsidP="001C54B1">
      <w:pPr>
        <w:shd w:val="clear" w:color="auto" w:fill="FFFFFF"/>
        <w:spacing w:after="143" w:line="240" w:lineRule="auto"/>
        <w:contextualSpacing/>
        <w:rPr>
          <w:rFonts w:eastAsia="Times New Roman"/>
          <w:color w:val="000000"/>
          <w:lang w:eastAsia="ru-RU"/>
        </w:rPr>
      </w:pPr>
    </w:p>
    <w:p w14:paraId="333BEC46" w14:textId="77777777" w:rsidR="001C54B1" w:rsidRPr="007E3E4B" w:rsidRDefault="001C54B1" w:rsidP="001C54B1">
      <w:pPr>
        <w:shd w:val="clear" w:color="auto" w:fill="FFFFFF"/>
        <w:spacing w:after="143" w:line="240" w:lineRule="auto"/>
        <w:contextualSpacing/>
        <w:rPr>
          <w:rFonts w:eastAsia="Times New Roman"/>
          <w:color w:val="000000"/>
          <w:lang w:eastAsia="ru-RU"/>
        </w:rPr>
      </w:pPr>
      <w:r w:rsidRPr="007E3E4B">
        <w:rPr>
          <w:rFonts w:eastAsia="Times New Roman"/>
          <w:b/>
          <w:bCs/>
          <w:color w:val="000000"/>
          <w:lang w:eastAsia="ru-RU"/>
        </w:rPr>
        <w:t xml:space="preserve">Таблица 4-13. </w:t>
      </w:r>
      <w:r w:rsidRPr="007E3E4B">
        <w:rPr>
          <w:rFonts w:eastAsia="Times New Roman"/>
          <w:bCs/>
          <w:color w:val="000000"/>
          <w:lang w:eastAsia="ru-RU"/>
        </w:rPr>
        <w:t>Целевые минимальные концентрации циклоспорина по месяцам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336"/>
        <w:gridCol w:w="1402"/>
        <w:gridCol w:w="1402"/>
        <w:gridCol w:w="1402"/>
        <w:gridCol w:w="1402"/>
        <w:gridCol w:w="1402"/>
      </w:tblGrid>
      <w:tr w:rsidR="001C54B1" w:rsidRPr="007E3E4B" w14:paraId="44AA164A" w14:textId="77777777" w:rsidTr="008A7500">
        <w:trPr>
          <w:tblHeader/>
        </w:trPr>
        <w:tc>
          <w:tcPr>
            <w:tcW w:w="1249" w:type="pct"/>
            <w:shd w:val="clear" w:color="auto" w:fill="D9D9D9" w:themeFill="background1" w:themeFillShade="D9"/>
            <w:tcMar>
              <w:top w:w="30" w:type="dxa"/>
              <w:left w:w="30" w:type="dxa"/>
              <w:bottom w:w="30" w:type="dxa"/>
              <w:right w:w="30" w:type="dxa"/>
            </w:tcMar>
            <w:hideMark/>
          </w:tcPr>
          <w:p w14:paraId="1CE3FA18" w14:textId="77777777" w:rsidR="001C54B1" w:rsidRPr="007E3E4B" w:rsidRDefault="001C54B1" w:rsidP="001C54B1">
            <w:pPr>
              <w:spacing w:after="0" w:line="240" w:lineRule="auto"/>
              <w:contextualSpacing/>
              <w:rPr>
                <w:rFonts w:eastAsia="Times New Roman"/>
                <w:b/>
                <w:lang w:eastAsia="ru-RU"/>
              </w:rPr>
            </w:pPr>
            <w:r w:rsidRPr="007E3E4B">
              <w:rPr>
                <w:rFonts w:eastAsia="Times New Roman"/>
                <w:b/>
                <w:bCs/>
                <w:lang w:eastAsia="ru-RU"/>
              </w:rPr>
              <w:t>Заданная C</w:t>
            </w:r>
            <w:r w:rsidRPr="007E3E4B">
              <w:rPr>
                <w:rFonts w:eastAsia="Times New Roman"/>
                <w:b/>
                <w:bCs/>
                <w:vertAlign w:val="subscript"/>
                <w:lang w:eastAsia="ru-RU"/>
              </w:rPr>
              <w:t>0</w:t>
            </w:r>
            <w:r w:rsidRPr="007E3E4B">
              <w:rPr>
                <w:rFonts w:eastAsia="Times New Roman"/>
                <w:b/>
                <w:bCs/>
                <w:lang w:eastAsia="ru-RU"/>
              </w:rPr>
              <w:t xml:space="preserve"> циклоспорина</w:t>
            </w:r>
          </w:p>
        </w:tc>
        <w:tc>
          <w:tcPr>
            <w:tcW w:w="750" w:type="pct"/>
            <w:shd w:val="clear" w:color="auto" w:fill="D9D9D9" w:themeFill="background1" w:themeFillShade="D9"/>
            <w:tcMar>
              <w:top w:w="30" w:type="dxa"/>
              <w:left w:w="30" w:type="dxa"/>
              <w:bottom w:w="30" w:type="dxa"/>
              <w:right w:w="30" w:type="dxa"/>
            </w:tcMar>
            <w:vAlign w:val="center"/>
            <w:hideMark/>
          </w:tcPr>
          <w:p w14:paraId="70FE3B30" w14:textId="77777777" w:rsidR="001C54B1" w:rsidRPr="007E3E4B" w:rsidRDefault="001C54B1" w:rsidP="001C54B1">
            <w:pPr>
              <w:spacing w:after="0" w:line="240" w:lineRule="auto"/>
              <w:contextualSpacing/>
              <w:jc w:val="center"/>
              <w:rPr>
                <w:rFonts w:eastAsia="Times New Roman"/>
                <w:b/>
                <w:lang w:eastAsia="ru-RU"/>
              </w:rPr>
            </w:pPr>
            <w:r w:rsidRPr="007E3E4B">
              <w:rPr>
                <w:rFonts w:eastAsia="Times New Roman"/>
                <w:b/>
                <w:lang w:eastAsia="ru-RU"/>
              </w:rPr>
              <w:t>Мес. 1</w:t>
            </w:r>
          </w:p>
        </w:tc>
        <w:tc>
          <w:tcPr>
            <w:tcW w:w="750" w:type="pct"/>
            <w:shd w:val="clear" w:color="auto" w:fill="D9D9D9" w:themeFill="background1" w:themeFillShade="D9"/>
            <w:tcMar>
              <w:top w:w="30" w:type="dxa"/>
              <w:left w:w="30" w:type="dxa"/>
              <w:bottom w:w="30" w:type="dxa"/>
              <w:right w:w="30" w:type="dxa"/>
            </w:tcMar>
            <w:vAlign w:val="center"/>
            <w:hideMark/>
          </w:tcPr>
          <w:p w14:paraId="6431A3C9" w14:textId="77777777" w:rsidR="001C54B1" w:rsidRPr="007E3E4B" w:rsidRDefault="001C54B1" w:rsidP="001C54B1">
            <w:pPr>
              <w:spacing w:after="0" w:line="240" w:lineRule="auto"/>
              <w:contextualSpacing/>
              <w:jc w:val="center"/>
              <w:rPr>
                <w:rFonts w:eastAsia="Times New Roman"/>
                <w:b/>
                <w:lang w:eastAsia="ru-RU"/>
              </w:rPr>
            </w:pPr>
            <w:r w:rsidRPr="007E3E4B">
              <w:rPr>
                <w:rFonts w:eastAsia="Times New Roman"/>
                <w:b/>
                <w:lang w:eastAsia="ru-RU"/>
              </w:rPr>
              <w:t>Мес. 2</w:t>
            </w:r>
          </w:p>
        </w:tc>
        <w:tc>
          <w:tcPr>
            <w:tcW w:w="750" w:type="pct"/>
            <w:shd w:val="clear" w:color="auto" w:fill="D9D9D9" w:themeFill="background1" w:themeFillShade="D9"/>
            <w:tcMar>
              <w:top w:w="30" w:type="dxa"/>
              <w:left w:w="30" w:type="dxa"/>
              <w:bottom w:w="30" w:type="dxa"/>
              <w:right w:w="30" w:type="dxa"/>
            </w:tcMar>
            <w:vAlign w:val="center"/>
            <w:hideMark/>
          </w:tcPr>
          <w:p w14:paraId="5F653FE4" w14:textId="77777777" w:rsidR="001C54B1" w:rsidRPr="007E3E4B" w:rsidRDefault="001C54B1" w:rsidP="001C54B1">
            <w:pPr>
              <w:spacing w:after="0" w:line="240" w:lineRule="auto"/>
              <w:contextualSpacing/>
              <w:jc w:val="center"/>
              <w:rPr>
                <w:rFonts w:eastAsia="Times New Roman"/>
                <w:b/>
                <w:lang w:eastAsia="ru-RU"/>
              </w:rPr>
            </w:pPr>
            <w:r w:rsidRPr="007E3E4B">
              <w:rPr>
                <w:rFonts w:eastAsia="Times New Roman"/>
                <w:b/>
                <w:lang w:eastAsia="ru-RU"/>
              </w:rPr>
              <w:t>Мес. 3-4</w:t>
            </w:r>
          </w:p>
        </w:tc>
        <w:tc>
          <w:tcPr>
            <w:tcW w:w="750" w:type="pct"/>
            <w:shd w:val="clear" w:color="auto" w:fill="D9D9D9" w:themeFill="background1" w:themeFillShade="D9"/>
            <w:tcMar>
              <w:top w:w="30" w:type="dxa"/>
              <w:left w:w="30" w:type="dxa"/>
              <w:bottom w:w="30" w:type="dxa"/>
              <w:right w:w="30" w:type="dxa"/>
            </w:tcMar>
            <w:vAlign w:val="center"/>
            <w:hideMark/>
          </w:tcPr>
          <w:p w14:paraId="4A5100EB" w14:textId="77777777" w:rsidR="001C54B1" w:rsidRPr="007E3E4B" w:rsidRDefault="001C54B1" w:rsidP="001C54B1">
            <w:pPr>
              <w:spacing w:after="0" w:line="240" w:lineRule="auto"/>
              <w:contextualSpacing/>
              <w:jc w:val="center"/>
              <w:rPr>
                <w:rFonts w:eastAsia="Times New Roman"/>
                <w:b/>
                <w:lang w:eastAsia="ru-RU"/>
              </w:rPr>
            </w:pPr>
            <w:r w:rsidRPr="007E3E4B">
              <w:rPr>
                <w:rFonts w:eastAsia="Times New Roman"/>
                <w:b/>
                <w:lang w:eastAsia="ru-RU"/>
              </w:rPr>
              <w:t>Мес. 5-6</w:t>
            </w:r>
          </w:p>
        </w:tc>
        <w:tc>
          <w:tcPr>
            <w:tcW w:w="750" w:type="pct"/>
            <w:shd w:val="clear" w:color="auto" w:fill="D9D9D9" w:themeFill="background1" w:themeFillShade="D9"/>
            <w:tcMar>
              <w:top w:w="30" w:type="dxa"/>
              <w:left w:w="30" w:type="dxa"/>
              <w:bottom w:w="30" w:type="dxa"/>
              <w:right w:w="30" w:type="dxa"/>
            </w:tcMar>
            <w:vAlign w:val="center"/>
            <w:hideMark/>
          </w:tcPr>
          <w:p w14:paraId="209D1136" w14:textId="77777777" w:rsidR="001C54B1" w:rsidRPr="007E3E4B" w:rsidRDefault="001C54B1" w:rsidP="001C54B1">
            <w:pPr>
              <w:spacing w:after="0" w:line="240" w:lineRule="auto"/>
              <w:contextualSpacing/>
              <w:jc w:val="center"/>
              <w:rPr>
                <w:rFonts w:eastAsia="Times New Roman"/>
                <w:b/>
                <w:lang w:eastAsia="ru-RU"/>
              </w:rPr>
            </w:pPr>
            <w:r w:rsidRPr="007E3E4B">
              <w:rPr>
                <w:rFonts w:eastAsia="Times New Roman"/>
                <w:b/>
                <w:lang w:eastAsia="ru-RU"/>
              </w:rPr>
              <w:t>Мес. 7-12</w:t>
            </w:r>
          </w:p>
        </w:tc>
      </w:tr>
      <w:tr w:rsidR="001C54B1" w:rsidRPr="007E3E4B" w14:paraId="7D1E2762" w14:textId="77777777" w:rsidTr="008A7500">
        <w:tc>
          <w:tcPr>
            <w:tcW w:w="1249" w:type="pct"/>
            <w:shd w:val="clear" w:color="auto" w:fill="auto"/>
            <w:tcMar>
              <w:top w:w="30" w:type="dxa"/>
              <w:left w:w="30" w:type="dxa"/>
              <w:bottom w:w="30" w:type="dxa"/>
              <w:right w:w="30" w:type="dxa"/>
            </w:tcMar>
            <w:hideMark/>
          </w:tcPr>
          <w:p w14:paraId="4C25EE46" w14:textId="4BE3B3AE" w:rsidR="001C54B1" w:rsidRPr="007E3E4B" w:rsidRDefault="001C54B1" w:rsidP="001C54B1">
            <w:pPr>
              <w:spacing w:after="0" w:line="240" w:lineRule="auto"/>
              <w:contextualSpacing/>
              <w:rPr>
                <w:rFonts w:eastAsia="Times New Roman"/>
                <w:lang w:eastAsia="ru-RU"/>
              </w:rPr>
            </w:pPr>
            <w:r w:rsidRPr="007E3E4B">
              <w:rPr>
                <w:rFonts w:eastAsia="Times New Roman"/>
                <w:bCs/>
                <w:lang w:eastAsia="ru-RU"/>
              </w:rPr>
              <w:t xml:space="preserve">Группа </w:t>
            </w:r>
            <w:r w:rsidR="00AA5270">
              <w:rPr>
                <w:rFonts w:eastAsia="Times New Roman"/>
                <w:color w:val="000000"/>
                <w:lang w:eastAsia="ru-RU"/>
              </w:rPr>
              <w:t>эверолимуса</w:t>
            </w:r>
          </w:p>
        </w:tc>
        <w:tc>
          <w:tcPr>
            <w:tcW w:w="750" w:type="pct"/>
            <w:shd w:val="clear" w:color="auto" w:fill="auto"/>
            <w:tcMar>
              <w:top w:w="30" w:type="dxa"/>
              <w:left w:w="30" w:type="dxa"/>
              <w:bottom w:w="30" w:type="dxa"/>
              <w:right w:w="30" w:type="dxa"/>
            </w:tcMar>
            <w:vAlign w:val="center"/>
            <w:hideMark/>
          </w:tcPr>
          <w:p w14:paraId="6632C1A7"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Cs/>
                <w:lang w:eastAsia="ru-RU"/>
              </w:rPr>
              <w:t>200-350</w:t>
            </w:r>
          </w:p>
        </w:tc>
        <w:tc>
          <w:tcPr>
            <w:tcW w:w="750" w:type="pct"/>
            <w:shd w:val="clear" w:color="auto" w:fill="auto"/>
            <w:tcMar>
              <w:top w:w="30" w:type="dxa"/>
              <w:left w:w="30" w:type="dxa"/>
              <w:bottom w:w="30" w:type="dxa"/>
              <w:right w:w="30" w:type="dxa"/>
            </w:tcMar>
            <w:vAlign w:val="center"/>
            <w:hideMark/>
          </w:tcPr>
          <w:p w14:paraId="443C15C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Cs/>
                <w:lang w:eastAsia="ru-RU"/>
              </w:rPr>
              <w:t>150-250</w:t>
            </w:r>
          </w:p>
        </w:tc>
        <w:tc>
          <w:tcPr>
            <w:tcW w:w="750" w:type="pct"/>
            <w:shd w:val="clear" w:color="auto" w:fill="auto"/>
            <w:tcMar>
              <w:top w:w="30" w:type="dxa"/>
              <w:left w:w="30" w:type="dxa"/>
              <w:bottom w:w="30" w:type="dxa"/>
              <w:right w:w="30" w:type="dxa"/>
            </w:tcMar>
            <w:vAlign w:val="center"/>
            <w:hideMark/>
          </w:tcPr>
          <w:p w14:paraId="501C8BF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Cs/>
                <w:lang w:eastAsia="ru-RU"/>
              </w:rPr>
              <w:t>100-200</w:t>
            </w:r>
          </w:p>
        </w:tc>
        <w:tc>
          <w:tcPr>
            <w:tcW w:w="750" w:type="pct"/>
            <w:shd w:val="clear" w:color="auto" w:fill="auto"/>
            <w:tcMar>
              <w:top w:w="30" w:type="dxa"/>
              <w:left w:w="30" w:type="dxa"/>
              <w:bottom w:w="30" w:type="dxa"/>
              <w:right w:w="30" w:type="dxa"/>
            </w:tcMar>
            <w:vAlign w:val="center"/>
            <w:hideMark/>
          </w:tcPr>
          <w:p w14:paraId="7233968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Cs/>
                <w:lang w:eastAsia="ru-RU"/>
              </w:rPr>
              <w:t>75-150</w:t>
            </w:r>
          </w:p>
        </w:tc>
        <w:tc>
          <w:tcPr>
            <w:tcW w:w="750" w:type="pct"/>
            <w:shd w:val="clear" w:color="auto" w:fill="auto"/>
            <w:tcMar>
              <w:top w:w="30" w:type="dxa"/>
              <w:left w:w="30" w:type="dxa"/>
              <w:bottom w:w="30" w:type="dxa"/>
              <w:right w:w="30" w:type="dxa"/>
            </w:tcMar>
            <w:vAlign w:val="center"/>
            <w:hideMark/>
          </w:tcPr>
          <w:p w14:paraId="402240D6"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Cs/>
                <w:lang w:eastAsia="ru-RU"/>
              </w:rPr>
              <w:t>50-100</w:t>
            </w:r>
          </w:p>
        </w:tc>
      </w:tr>
      <w:tr w:rsidR="001C54B1" w:rsidRPr="00C75392" w14:paraId="28EEE803" w14:textId="77777777" w:rsidTr="008A7500">
        <w:tc>
          <w:tcPr>
            <w:tcW w:w="1249" w:type="pct"/>
            <w:shd w:val="clear" w:color="auto" w:fill="auto"/>
            <w:tcMar>
              <w:top w:w="30" w:type="dxa"/>
              <w:left w:w="30" w:type="dxa"/>
              <w:bottom w:w="30" w:type="dxa"/>
              <w:right w:w="30" w:type="dxa"/>
            </w:tcMar>
            <w:hideMark/>
          </w:tcPr>
          <w:p w14:paraId="08D9CC0C" w14:textId="77777777" w:rsidR="001C54B1" w:rsidRPr="007E3E4B" w:rsidRDefault="001C54B1" w:rsidP="001C54B1">
            <w:pPr>
              <w:spacing w:after="0" w:line="240" w:lineRule="auto"/>
              <w:contextualSpacing/>
              <w:rPr>
                <w:rFonts w:eastAsia="Times New Roman"/>
                <w:lang w:eastAsia="ru-RU"/>
              </w:rPr>
            </w:pPr>
            <w:r w:rsidRPr="007E3E4B">
              <w:rPr>
                <w:rFonts w:eastAsia="Times New Roman"/>
                <w:bCs/>
                <w:lang w:eastAsia="ru-RU"/>
              </w:rPr>
              <w:t>Группа MMF</w:t>
            </w:r>
          </w:p>
        </w:tc>
        <w:tc>
          <w:tcPr>
            <w:tcW w:w="750" w:type="pct"/>
            <w:shd w:val="clear" w:color="auto" w:fill="auto"/>
            <w:tcMar>
              <w:top w:w="30" w:type="dxa"/>
              <w:left w:w="30" w:type="dxa"/>
              <w:bottom w:w="30" w:type="dxa"/>
              <w:right w:w="30" w:type="dxa"/>
            </w:tcMar>
            <w:vAlign w:val="center"/>
            <w:hideMark/>
          </w:tcPr>
          <w:p w14:paraId="26759BF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08EDF22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2B6FB9A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200-300</w:t>
            </w:r>
          </w:p>
        </w:tc>
        <w:tc>
          <w:tcPr>
            <w:tcW w:w="750" w:type="pct"/>
            <w:shd w:val="clear" w:color="auto" w:fill="auto"/>
            <w:tcMar>
              <w:top w:w="30" w:type="dxa"/>
              <w:left w:w="30" w:type="dxa"/>
              <w:bottom w:w="30" w:type="dxa"/>
              <w:right w:w="30" w:type="dxa"/>
            </w:tcMar>
            <w:vAlign w:val="center"/>
            <w:hideMark/>
          </w:tcPr>
          <w:p w14:paraId="7833172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150-250</w:t>
            </w:r>
          </w:p>
        </w:tc>
        <w:tc>
          <w:tcPr>
            <w:tcW w:w="750" w:type="pct"/>
            <w:shd w:val="clear" w:color="auto" w:fill="auto"/>
            <w:tcMar>
              <w:top w:w="30" w:type="dxa"/>
              <w:left w:w="30" w:type="dxa"/>
              <w:bottom w:w="30" w:type="dxa"/>
              <w:right w:w="30" w:type="dxa"/>
            </w:tcMar>
            <w:vAlign w:val="center"/>
            <w:hideMark/>
          </w:tcPr>
          <w:p w14:paraId="5B0D512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100-250</w:t>
            </w:r>
          </w:p>
        </w:tc>
      </w:tr>
    </w:tbl>
    <w:p w14:paraId="0212C3B4" w14:textId="77777777" w:rsidR="001C54B1" w:rsidRPr="008A7500" w:rsidRDefault="001C54B1" w:rsidP="008A7500">
      <w:pPr>
        <w:pStyle w:val="4"/>
        <w:spacing w:after="240" w:line="240" w:lineRule="auto"/>
        <w:rPr>
          <w:rFonts w:ascii="Times New Roman" w:hAnsi="Times New Roman"/>
          <w:color w:val="000000" w:themeColor="text1"/>
          <w:sz w:val="24"/>
          <w:szCs w:val="24"/>
        </w:rPr>
      </w:pPr>
      <w:bookmarkStart w:id="310" w:name="_Toc115217975"/>
      <w:bookmarkStart w:id="311" w:name="_Toc118124211"/>
      <w:bookmarkStart w:id="312" w:name="_Toc119313779"/>
      <w:r w:rsidRPr="008A7500">
        <w:rPr>
          <w:rFonts w:ascii="Times New Roman" w:hAnsi="Times New Roman"/>
          <w:color w:val="000000" w:themeColor="text1"/>
          <w:sz w:val="24"/>
          <w:szCs w:val="24"/>
        </w:rPr>
        <w:lastRenderedPageBreak/>
        <w:t xml:space="preserve">4.2.1.3. </w:t>
      </w:r>
      <w:bookmarkEnd w:id="310"/>
      <w:r w:rsidRPr="008A7500">
        <w:rPr>
          <w:rFonts w:ascii="Times New Roman" w:hAnsi="Times New Roman"/>
          <w:color w:val="000000" w:themeColor="text1"/>
          <w:sz w:val="24"/>
          <w:szCs w:val="24"/>
        </w:rPr>
        <w:t>Трансплантация печени</w:t>
      </w:r>
      <w:bookmarkEnd w:id="311"/>
      <w:bookmarkEnd w:id="312"/>
    </w:p>
    <w:p w14:paraId="511FCC5C" w14:textId="09740E03"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В исследовании III фазы по трансплантации печени взрослым (H2304) пациентам вводили такролимус с пониженной экспозицией и </w:t>
      </w:r>
      <w:r w:rsidR="00AA5270">
        <w:rPr>
          <w:rFonts w:eastAsia="Times New Roman"/>
          <w:color w:val="000000"/>
          <w:lang w:eastAsia="ru-RU"/>
        </w:rPr>
        <w:t>эверолимус</w:t>
      </w:r>
      <w:r w:rsidRPr="007E3E4B">
        <w:rPr>
          <w:rFonts w:eastAsia="Times New Roman"/>
          <w:color w:val="000000"/>
          <w:lang w:eastAsia="ru-RU"/>
        </w:rPr>
        <w:t xml:space="preserve">1,0 мг два раза в сутки, первую дозу </w:t>
      </w:r>
      <w:r w:rsidR="00AA5270">
        <w:rPr>
          <w:rFonts w:eastAsia="Times New Roman"/>
          <w:color w:val="000000"/>
          <w:lang w:eastAsia="ru-RU"/>
        </w:rPr>
        <w:t>эверолимуса</w:t>
      </w:r>
      <w:r w:rsidRPr="007E3E4B">
        <w:rPr>
          <w:rFonts w:eastAsia="Times New Roman"/>
          <w:color w:val="000000"/>
          <w:lang w:eastAsia="ru-RU"/>
        </w:rPr>
        <w:t xml:space="preserve">вводили через 4 недели после трансплантации и сравнивали со стандартной экспозицией такролимуса. Доза </w:t>
      </w:r>
      <w:r w:rsidR="00AA5270">
        <w:rPr>
          <w:rFonts w:eastAsia="Times New Roman"/>
          <w:color w:val="000000"/>
          <w:lang w:eastAsia="ru-RU"/>
        </w:rPr>
        <w:t>эверолимуса</w:t>
      </w:r>
      <w:r w:rsidRPr="007E3E4B">
        <w:rPr>
          <w:rFonts w:eastAsia="Times New Roman"/>
          <w:color w:val="000000"/>
          <w:lang w:eastAsia="ru-RU"/>
        </w:rPr>
        <w:t xml:space="preserve"> была скорректирована для поддержания целевых концентраций эверолимуса в крови в пределах 3-8 нг/мл для группы, получавшей </w:t>
      </w:r>
      <w:r w:rsidR="00AA5270">
        <w:rPr>
          <w:rFonts w:eastAsia="Times New Roman"/>
          <w:color w:val="000000"/>
          <w:lang w:eastAsia="ru-RU"/>
        </w:rPr>
        <w:t>эверолимуса</w:t>
      </w:r>
      <w:r w:rsidRPr="007E3E4B">
        <w:rPr>
          <w:rFonts w:eastAsia="Times New Roman"/>
          <w:color w:val="000000"/>
          <w:lang w:eastAsia="ru-RU"/>
        </w:rPr>
        <w:t xml:space="preserve"> + такролимус в сниженной дозе. Впоследствии дозы такролимуса были скорректированы для достижения целевых минимальных концентраций в пределах 3-5 нг/мл в течение 12 месяцев в группе, получавшей такролимус в сниженной дозе + </w:t>
      </w:r>
      <w:r w:rsidR="00411567">
        <w:rPr>
          <w:rFonts w:eastAsia="Times New Roman"/>
          <w:color w:val="000000"/>
          <w:lang w:eastAsia="ru-RU"/>
        </w:rPr>
        <w:t>эверолимус</w:t>
      </w:r>
      <w:r w:rsidRPr="007E3E4B">
        <w:rPr>
          <w:rFonts w:eastAsia="Times New Roman"/>
          <w:color w:val="000000"/>
          <w:lang w:eastAsia="ru-RU"/>
        </w:rPr>
        <w:t>.</w:t>
      </w:r>
    </w:p>
    <w:p w14:paraId="4BEFCD6C"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Лишь 2,6 % участников исследования H2304 были негроидной расы, поэтому данное исследование содержит лишь ограниченные данные об эффективности и безопасности в этой популяции.</w:t>
      </w:r>
    </w:p>
    <w:p w14:paraId="49A88692" w14:textId="7FB3E319"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В целом, в 12-месячном анализе частота достижения комбинированной конечной точки (tBPAR, отторжение трансплантата или смерть) была ниже в группе, получавшей </w:t>
      </w:r>
      <w:r w:rsidR="00411567">
        <w:rPr>
          <w:rFonts w:eastAsia="Times New Roman"/>
          <w:color w:val="000000"/>
          <w:lang w:eastAsia="ru-RU"/>
        </w:rPr>
        <w:t>эверолимус</w:t>
      </w:r>
      <w:r w:rsidRPr="007E3E4B">
        <w:rPr>
          <w:rFonts w:eastAsia="Times New Roman"/>
          <w:color w:val="000000"/>
          <w:lang w:eastAsia="ru-RU"/>
        </w:rPr>
        <w:t xml:space="preserve"> + такролимус в сниженной дозе (6,7 %), чем в контрольной группе, получавшей такролимус (9,7 %), и через 24 месяца результаты были стабильными (см. таблицу 4-14).</w:t>
      </w:r>
    </w:p>
    <w:p w14:paraId="613F5CD0"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Результаты отдельных компонентов комбинированной конечной точки отражены в таблице 4-15 [3,12].</w:t>
      </w:r>
    </w:p>
    <w:p w14:paraId="56D8863B" w14:textId="77777777"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p>
    <w:p w14:paraId="4BA26A23" w14:textId="49E1205E" w:rsidR="001C54B1" w:rsidRPr="007E3E4B" w:rsidRDefault="001C54B1" w:rsidP="001C54B1">
      <w:pPr>
        <w:shd w:val="clear" w:color="auto" w:fill="FFFFFF"/>
        <w:spacing w:after="143" w:line="240" w:lineRule="auto"/>
        <w:contextualSpacing/>
        <w:rPr>
          <w:rFonts w:eastAsia="Times New Roman"/>
          <w:color w:val="000000"/>
          <w:lang w:eastAsia="ru-RU"/>
        </w:rPr>
      </w:pPr>
      <w:r w:rsidRPr="007E3E4B">
        <w:rPr>
          <w:rFonts w:eastAsia="Times New Roman"/>
          <w:b/>
          <w:bCs/>
          <w:color w:val="000000"/>
          <w:lang w:eastAsia="ru-RU"/>
        </w:rPr>
        <w:t>Таблица 4-14.</w:t>
      </w:r>
      <w:r w:rsidR="00D133AE">
        <w:rPr>
          <w:rFonts w:eastAsia="Times New Roman"/>
          <w:b/>
          <w:bCs/>
          <w:color w:val="000000"/>
          <w:lang w:eastAsia="ru-RU"/>
        </w:rPr>
        <w:t xml:space="preserve"> </w:t>
      </w:r>
      <w:r w:rsidRPr="007E3E4B">
        <w:rPr>
          <w:rFonts w:eastAsia="Times New Roman"/>
          <w:bCs/>
          <w:color w:val="000000"/>
          <w:lang w:eastAsia="ru-RU"/>
        </w:rPr>
        <w:t>Исследование H2304: Сравнение частоты встречаемости по методу Каплана-Мейера между группами лечения по первичным конечным точкам оценки эффективности (популяция ITT – анализ на 12</w:t>
      </w:r>
      <w:r w:rsidRPr="007E3E4B">
        <w:rPr>
          <w:rFonts w:eastAsia="Times New Roman"/>
          <w:bCs/>
          <w:color w:val="000000"/>
          <w:lang w:eastAsia="ru-RU"/>
        </w:rPr>
        <w:noBreakHyphen/>
        <w:t>м и 24</w:t>
      </w:r>
      <w:r w:rsidRPr="007E3E4B">
        <w:rPr>
          <w:rFonts w:eastAsia="Times New Roman"/>
          <w:bCs/>
          <w:color w:val="000000"/>
          <w:lang w:eastAsia="ru-RU"/>
        </w:rPr>
        <w:noBreakHyphen/>
        <w:t>м месяце)</w:t>
      </w:r>
      <w:r w:rsidR="008A7500">
        <w:rPr>
          <w:rFonts w:eastAsia="Times New Roman"/>
          <w:bCs/>
          <w:color w:val="000000"/>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738"/>
        <w:gridCol w:w="1402"/>
        <w:gridCol w:w="1402"/>
        <w:gridCol w:w="1402"/>
        <w:gridCol w:w="1402"/>
      </w:tblGrid>
      <w:tr w:rsidR="001C54B1" w:rsidRPr="007E3E4B" w14:paraId="7DA884C5" w14:textId="77777777" w:rsidTr="008A7500">
        <w:trPr>
          <w:tblHeader/>
        </w:trPr>
        <w:tc>
          <w:tcPr>
            <w:tcW w:w="2000" w:type="pct"/>
            <w:vMerge w:val="restart"/>
            <w:shd w:val="clear" w:color="auto" w:fill="D9D9D9" w:themeFill="background1" w:themeFillShade="D9"/>
            <w:tcMar>
              <w:top w:w="30" w:type="dxa"/>
              <w:left w:w="30" w:type="dxa"/>
              <w:bottom w:w="30" w:type="dxa"/>
              <w:right w:w="30" w:type="dxa"/>
            </w:tcMar>
            <w:vAlign w:val="center"/>
            <w:hideMark/>
          </w:tcPr>
          <w:p w14:paraId="30CE9F5A" w14:textId="77777777" w:rsidR="001C54B1" w:rsidRPr="007E3E4B" w:rsidRDefault="001C54B1" w:rsidP="008A7500">
            <w:pPr>
              <w:spacing w:after="0" w:line="240" w:lineRule="auto"/>
              <w:contextualSpacing/>
              <w:jc w:val="center"/>
              <w:rPr>
                <w:rFonts w:eastAsia="Times New Roman"/>
                <w:lang w:eastAsia="ru-RU"/>
              </w:rPr>
            </w:pPr>
            <w:r w:rsidRPr="007E3E4B">
              <w:rPr>
                <w:rFonts w:eastAsia="Times New Roman"/>
                <w:b/>
                <w:bCs/>
                <w:lang w:eastAsia="ru-RU"/>
              </w:rPr>
              <w:t>Статистический показатель</w:t>
            </w:r>
          </w:p>
        </w:tc>
        <w:tc>
          <w:tcPr>
            <w:tcW w:w="1500" w:type="pct"/>
            <w:gridSpan w:val="2"/>
            <w:shd w:val="clear" w:color="auto" w:fill="D9D9D9" w:themeFill="background1" w:themeFillShade="D9"/>
            <w:tcMar>
              <w:top w:w="30" w:type="dxa"/>
              <w:left w:w="30" w:type="dxa"/>
              <w:bottom w:w="30" w:type="dxa"/>
              <w:right w:w="30" w:type="dxa"/>
            </w:tcMar>
            <w:vAlign w:val="center"/>
            <w:hideMark/>
          </w:tcPr>
          <w:p w14:paraId="57B3355E" w14:textId="32727C2A" w:rsidR="001C54B1" w:rsidRPr="007E3E4B" w:rsidRDefault="001C54B1" w:rsidP="008A7500">
            <w:pPr>
              <w:spacing w:after="0" w:line="240" w:lineRule="auto"/>
              <w:contextualSpacing/>
              <w:jc w:val="center"/>
              <w:rPr>
                <w:rFonts w:eastAsia="Times New Roman"/>
                <w:lang w:eastAsia="ru-RU"/>
              </w:rPr>
            </w:pPr>
            <w:r w:rsidRPr="007E3E4B">
              <w:rPr>
                <w:rFonts w:eastAsia="Times New Roman"/>
                <w:b/>
                <w:bCs/>
                <w:lang w:eastAsia="ru-RU"/>
              </w:rPr>
              <w:t>EVR+TAC в сниженной дозе</w:t>
            </w:r>
            <w:r w:rsidR="008A7500">
              <w:rPr>
                <w:rFonts w:eastAsia="Times New Roman"/>
                <w:b/>
                <w:bCs/>
                <w:lang w:eastAsia="ru-RU"/>
              </w:rPr>
              <w:t xml:space="preserve"> </w:t>
            </w:r>
            <w:r w:rsidR="008A7500">
              <w:rPr>
                <w:rFonts w:eastAsia="Times New Roman"/>
                <w:b/>
                <w:bCs/>
                <w:lang w:val="en-US" w:eastAsia="ru-RU"/>
              </w:rPr>
              <w:t>N</w:t>
            </w:r>
            <w:r w:rsidRPr="007E3E4B">
              <w:rPr>
                <w:rFonts w:eastAsia="Times New Roman"/>
                <w:b/>
                <w:bCs/>
                <w:lang w:eastAsia="ru-RU"/>
              </w:rPr>
              <w:t>=245</w:t>
            </w:r>
          </w:p>
        </w:tc>
        <w:tc>
          <w:tcPr>
            <w:tcW w:w="1500" w:type="pct"/>
            <w:gridSpan w:val="2"/>
            <w:shd w:val="clear" w:color="auto" w:fill="D9D9D9" w:themeFill="background1" w:themeFillShade="D9"/>
            <w:tcMar>
              <w:top w:w="30" w:type="dxa"/>
              <w:left w:w="30" w:type="dxa"/>
              <w:bottom w:w="30" w:type="dxa"/>
              <w:right w:w="30" w:type="dxa"/>
            </w:tcMar>
            <w:vAlign w:val="center"/>
            <w:hideMark/>
          </w:tcPr>
          <w:p w14:paraId="11133D5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Контроль TAC</w:t>
            </w:r>
          </w:p>
          <w:p w14:paraId="2A258D3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 243</w:t>
            </w:r>
          </w:p>
        </w:tc>
      </w:tr>
      <w:tr w:rsidR="001C54B1" w:rsidRPr="007E3E4B" w14:paraId="3F138793" w14:textId="77777777" w:rsidTr="008A7500">
        <w:trPr>
          <w:tblHeader/>
        </w:trPr>
        <w:tc>
          <w:tcPr>
            <w:tcW w:w="2000" w:type="pct"/>
            <w:vMerge/>
            <w:shd w:val="clear" w:color="auto" w:fill="D9D9D9" w:themeFill="background1" w:themeFillShade="D9"/>
            <w:vAlign w:val="center"/>
            <w:hideMark/>
          </w:tcPr>
          <w:p w14:paraId="44FA866E" w14:textId="77777777" w:rsidR="001C54B1" w:rsidRPr="007E3E4B" w:rsidRDefault="001C54B1" w:rsidP="001C54B1">
            <w:pPr>
              <w:spacing w:after="0" w:line="240" w:lineRule="auto"/>
              <w:contextualSpacing/>
              <w:rPr>
                <w:rFonts w:eastAsia="Times New Roman"/>
                <w:lang w:eastAsia="ru-RU"/>
              </w:rPr>
            </w:pPr>
          </w:p>
        </w:tc>
        <w:tc>
          <w:tcPr>
            <w:tcW w:w="750" w:type="pct"/>
            <w:shd w:val="clear" w:color="auto" w:fill="D9D9D9" w:themeFill="background1" w:themeFillShade="D9"/>
            <w:tcMar>
              <w:top w:w="30" w:type="dxa"/>
              <w:left w:w="30" w:type="dxa"/>
              <w:bottom w:w="30" w:type="dxa"/>
              <w:right w:w="30" w:type="dxa"/>
            </w:tcMar>
            <w:vAlign w:val="center"/>
            <w:hideMark/>
          </w:tcPr>
          <w:p w14:paraId="5A04166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12 месяцев</w:t>
            </w:r>
          </w:p>
        </w:tc>
        <w:tc>
          <w:tcPr>
            <w:tcW w:w="750" w:type="pct"/>
            <w:shd w:val="clear" w:color="auto" w:fill="D9D9D9" w:themeFill="background1" w:themeFillShade="D9"/>
            <w:tcMar>
              <w:top w:w="30" w:type="dxa"/>
              <w:left w:w="30" w:type="dxa"/>
              <w:bottom w:w="30" w:type="dxa"/>
              <w:right w:w="30" w:type="dxa"/>
            </w:tcMar>
            <w:vAlign w:val="center"/>
            <w:hideMark/>
          </w:tcPr>
          <w:p w14:paraId="69DB811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24 месяца</w:t>
            </w:r>
          </w:p>
        </w:tc>
        <w:tc>
          <w:tcPr>
            <w:tcW w:w="750" w:type="pct"/>
            <w:shd w:val="clear" w:color="auto" w:fill="D9D9D9" w:themeFill="background1" w:themeFillShade="D9"/>
            <w:tcMar>
              <w:top w:w="30" w:type="dxa"/>
              <w:left w:w="30" w:type="dxa"/>
              <w:bottom w:w="30" w:type="dxa"/>
              <w:right w:w="30" w:type="dxa"/>
            </w:tcMar>
            <w:vAlign w:val="center"/>
            <w:hideMark/>
          </w:tcPr>
          <w:p w14:paraId="24F376B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12 месяцев</w:t>
            </w:r>
          </w:p>
        </w:tc>
        <w:tc>
          <w:tcPr>
            <w:tcW w:w="750" w:type="pct"/>
            <w:shd w:val="clear" w:color="auto" w:fill="D9D9D9" w:themeFill="background1" w:themeFillShade="D9"/>
            <w:tcMar>
              <w:top w:w="30" w:type="dxa"/>
              <w:left w:w="30" w:type="dxa"/>
              <w:bottom w:w="30" w:type="dxa"/>
              <w:right w:w="30" w:type="dxa"/>
            </w:tcMar>
            <w:vAlign w:val="center"/>
            <w:hideMark/>
          </w:tcPr>
          <w:p w14:paraId="2B1E28E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24 месяца</w:t>
            </w:r>
          </w:p>
        </w:tc>
      </w:tr>
      <w:tr w:rsidR="001C54B1" w:rsidRPr="007E3E4B" w14:paraId="61A6FAA5" w14:textId="77777777" w:rsidTr="008A7500">
        <w:tc>
          <w:tcPr>
            <w:tcW w:w="2000" w:type="pct"/>
            <w:shd w:val="clear" w:color="auto" w:fill="auto"/>
            <w:tcMar>
              <w:top w:w="30" w:type="dxa"/>
              <w:left w:w="30" w:type="dxa"/>
              <w:bottom w:w="30" w:type="dxa"/>
              <w:right w:w="30" w:type="dxa"/>
            </w:tcMar>
            <w:vAlign w:val="center"/>
            <w:hideMark/>
          </w:tcPr>
          <w:p w14:paraId="6B44D696"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Количество случаев неэффективности в комбинированной конечной точке оценки эффективности (tBPAR, отторжение трансплантата или смерть) с момента рандомизации до 24/12</w:t>
            </w:r>
            <w:r w:rsidRPr="007E3E4B">
              <w:rPr>
                <w:rFonts w:eastAsia="Times New Roman"/>
                <w:lang w:eastAsia="ru-RU"/>
              </w:rPr>
              <w:noBreakHyphen/>
              <w:t xml:space="preserve">го месяца </w:t>
            </w:r>
          </w:p>
        </w:tc>
        <w:tc>
          <w:tcPr>
            <w:tcW w:w="750" w:type="pct"/>
            <w:shd w:val="clear" w:color="auto" w:fill="auto"/>
            <w:tcMar>
              <w:top w:w="30" w:type="dxa"/>
              <w:left w:w="30" w:type="dxa"/>
              <w:bottom w:w="30" w:type="dxa"/>
              <w:right w:w="30" w:type="dxa"/>
            </w:tcMar>
            <w:vAlign w:val="center"/>
            <w:hideMark/>
          </w:tcPr>
          <w:p w14:paraId="4AE91D9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16</w:t>
            </w:r>
          </w:p>
        </w:tc>
        <w:tc>
          <w:tcPr>
            <w:tcW w:w="750" w:type="pct"/>
            <w:shd w:val="clear" w:color="auto" w:fill="auto"/>
            <w:tcMar>
              <w:top w:w="30" w:type="dxa"/>
              <w:left w:w="30" w:type="dxa"/>
              <w:bottom w:w="30" w:type="dxa"/>
              <w:right w:w="30" w:type="dxa"/>
            </w:tcMar>
            <w:vAlign w:val="center"/>
            <w:hideMark/>
          </w:tcPr>
          <w:p w14:paraId="6C20453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w:t>
            </w:r>
          </w:p>
        </w:tc>
        <w:tc>
          <w:tcPr>
            <w:tcW w:w="750" w:type="pct"/>
            <w:shd w:val="clear" w:color="auto" w:fill="auto"/>
            <w:tcMar>
              <w:top w:w="30" w:type="dxa"/>
              <w:left w:w="30" w:type="dxa"/>
              <w:bottom w:w="30" w:type="dxa"/>
              <w:right w:w="30" w:type="dxa"/>
            </w:tcMar>
            <w:vAlign w:val="center"/>
            <w:hideMark/>
          </w:tcPr>
          <w:p w14:paraId="2D0C9E1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23</w:t>
            </w:r>
          </w:p>
        </w:tc>
        <w:tc>
          <w:tcPr>
            <w:tcW w:w="750" w:type="pct"/>
            <w:shd w:val="clear" w:color="auto" w:fill="auto"/>
            <w:tcMar>
              <w:top w:w="30" w:type="dxa"/>
              <w:left w:w="30" w:type="dxa"/>
              <w:bottom w:w="30" w:type="dxa"/>
              <w:right w:w="30" w:type="dxa"/>
            </w:tcMar>
            <w:vAlign w:val="center"/>
            <w:hideMark/>
          </w:tcPr>
          <w:p w14:paraId="5819679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29</w:t>
            </w:r>
          </w:p>
        </w:tc>
      </w:tr>
      <w:tr w:rsidR="001C54B1" w:rsidRPr="007E3E4B" w14:paraId="140C722D" w14:textId="77777777" w:rsidTr="008A7500">
        <w:tc>
          <w:tcPr>
            <w:tcW w:w="2000" w:type="pct"/>
            <w:shd w:val="clear" w:color="auto" w:fill="auto"/>
            <w:tcMar>
              <w:top w:w="30" w:type="dxa"/>
              <w:left w:w="30" w:type="dxa"/>
              <w:bottom w:w="30" w:type="dxa"/>
              <w:right w:w="30" w:type="dxa"/>
            </w:tcMar>
            <w:vAlign w:val="center"/>
            <w:hideMark/>
          </w:tcPr>
          <w:p w14:paraId="5DEA6508"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Оценка частоты случаев неэффективности в комбинированной конечной точке оценки эффективности (tBPAR*, отторжение трансплантата или смерть) на 24/12</w:t>
            </w:r>
            <w:r w:rsidRPr="007E3E4B">
              <w:rPr>
                <w:rFonts w:eastAsia="Times New Roman"/>
                <w:lang w:eastAsia="ru-RU"/>
              </w:rPr>
              <w:noBreakHyphen/>
              <w:t>м месяце</w:t>
            </w:r>
          </w:p>
        </w:tc>
        <w:tc>
          <w:tcPr>
            <w:tcW w:w="750" w:type="pct"/>
            <w:shd w:val="clear" w:color="auto" w:fill="auto"/>
            <w:tcMar>
              <w:top w:w="30" w:type="dxa"/>
              <w:left w:w="30" w:type="dxa"/>
              <w:bottom w:w="30" w:type="dxa"/>
              <w:right w:w="30" w:type="dxa"/>
            </w:tcMar>
            <w:vAlign w:val="center"/>
            <w:hideMark/>
          </w:tcPr>
          <w:p w14:paraId="0432BCA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6,7 %</w:t>
            </w:r>
          </w:p>
        </w:tc>
        <w:tc>
          <w:tcPr>
            <w:tcW w:w="750" w:type="pct"/>
            <w:shd w:val="clear" w:color="auto" w:fill="auto"/>
            <w:tcMar>
              <w:top w:w="30" w:type="dxa"/>
              <w:left w:w="30" w:type="dxa"/>
              <w:bottom w:w="30" w:type="dxa"/>
              <w:right w:w="30" w:type="dxa"/>
            </w:tcMar>
            <w:vAlign w:val="center"/>
            <w:hideMark/>
          </w:tcPr>
          <w:p w14:paraId="297AFC0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10,3 %</w:t>
            </w:r>
          </w:p>
        </w:tc>
        <w:tc>
          <w:tcPr>
            <w:tcW w:w="750" w:type="pct"/>
            <w:shd w:val="clear" w:color="auto" w:fill="auto"/>
            <w:tcMar>
              <w:top w:w="30" w:type="dxa"/>
              <w:left w:w="30" w:type="dxa"/>
              <w:bottom w:w="30" w:type="dxa"/>
              <w:right w:w="30" w:type="dxa"/>
            </w:tcMar>
            <w:vAlign w:val="center"/>
            <w:hideMark/>
          </w:tcPr>
          <w:p w14:paraId="6E22567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9,7 %</w:t>
            </w:r>
          </w:p>
        </w:tc>
        <w:tc>
          <w:tcPr>
            <w:tcW w:w="750" w:type="pct"/>
            <w:shd w:val="clear" w:color="auto" w:fill="auto"/>
            <w:tcMar>
              <w:top w:w="30" w:type="dxa"/>
              <w:left w:w="30" w:type="dxa"/>
              <w:bottom w:w="30" w:type="dxa"/>
              <w:right w:w="30" w:type="dxa"/>
            </w:tcMar>
            <w:vAlign w:val="center"/>
            <w:hideMark/>
          </w:tcPr>
          <w:p w14:paraId="365C754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12,5 %</w:t>
            </w:r>
          </w:p>
        </w:tc>
      </w:tr>
      <w:tr w:rsidR="001C54B1" w:rsidRPr="007E3E4B" w14:paraId="210CD41D" w14:textId="77777777" w:rsidTr="008A7500">
        <w:tc>
          <w:tcPr>
            <w:tcW w:w="2000" w:type="pct"/>
            <w:shd w:val="clear" w:color="auto" w:fill="auto"/>
            <w:tcMar>
              <w:top w:w="30" w:type="dxa"/>
              <w:left w:w="30" w:type="dxa"/>
              <w:bottom w:w="30" w:type="dxa"/>
              <w:right w:w="30" w:type="dxa"/>
            </w:tcMar>
            <w:vAlign w:val="center"/>
            <w:hideMark/>
          </w:tcPr>
          <w:p w14:paraId="3C84D71A"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Различия в оценках по методу КМ (в сравнении с контролем)</w:t>
            </w:r>
          </w:p>
        </w:tc>
        <w:tc>
          <w:tcPr>
            <w:tcW w:w="750" w:type="pct"/>
            <w:shd w:val="clear" w:color="auto" w:fill="auto"/>
            <w:tcMar>
              <w:top w:w="30" w:type="dxa"/>
              <w:left w:w="30" w:type="dxa"/>
              <w:bottom w:w="30" w:type="dxa"/>
              <w:right w:w="30" w:type="dxa"/>
            </w:tcMar>
            <w:vAlign w:val="center"/>
            <w:hideMark/>
          </w:tcPr>
          <w:p w14:paraId="4F3CE77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-3,0 %</w:t>
            </w:r>
          </w:p>
        </w:tc>
        <w:tc>
          <w:tcPr>
            <w:tcW w:w="750" w:type="pct"/>
            <w:shd w:val="clear" w:color="auto" w:fill="auto"/>
            <w:tcMar>
              <w:top w:w="30" w:type="dxa"/>
              <w:left w:w="30" w:type="dxa"/>
              <w:bottom w:w="30" w:type="dxa"/>
              <w:right w:w="30" w:type="dxa"/>
            </w:tcMar>
            <w:vAlign w:val="center"/>
            <w:hideMark/>
          </w:tcPr>
          <w:p w14:paraId="6E88DD6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2,2 %</w:t>
            </w:r>
          </w:p>
        </w:tc>
        <w:tc>
          <w:tcPr>
            <w:tcW w:w="750" w:type="pct"/>
            <w:shd w:val="clear" w:color="auto" w:fill="auto"/>
            <w:tcMar>
              <w:top w:w="30" w:type="dxa"/>
              <w:left w:w="30" w:type="dxa"/>
              <w:bottom w:w="30" w:type="dxa"/>
              <w:right w:w="30" w:type="dxa"/>
            </w:tcMar>
            <w:vAlign w:val="center"/>
            <w:hideMark/>
          </w:tcPr>
          <w:p w14:paraId="13A3A1F3" w14:textId="77777777" w:rsidR="001C54B1" w:rsidRPr="007E3E4B" w:rsidRDefault="001C54B1" w:rsidP="001C54B1">
            <w:pPr>
              <w:spacing w:after="0" w:line="240" w:lineRule="auto"/>
              <w:contextualSpacing/>
              <w:jc w:val="center"/>
              <w:rPr>
                <w:rFonts w:eastAsia="Times New Roman"/>
                <w:lang w:eastAsia="ru-RU"/>
              </w:rPr>
            </w:pPr>
          </w:p>
        </w:tc>
        <w:tc>
          <w:tcPr>
            <w:tcW w:w="750" w:type="pct"/>
            <w:shd w:val="clear" w:color="auto" w:fill="auto"/>
            <w:tcMar>
              <w:top w:w="30" w:type="dxa"/>
              <w:left w:w="30" w:type="dxa"/>
              <w:bottom w:w="30" w:type="dxa"/>
              <w:right w:w="30" w:type="dxa"/>
            </w:tcMar>
            <w:vAlign w:val="center"/>
            <w:hideMark/>
          </w:tcPr>
          <w:p w14:paraId="0788AACB"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2880FBC9" w14:textId="77777777" w:rsidTr="008A7500">
        <w:tc>
          <w:tcPr>
            <w:tcW w:w="2000" w:type="pct"/>
            <w:shd w:val="clear" w:color="auto" w:fill="auto"/>
            <w:tcMar>
              <w:top w:w="30" w:type="dxa"/>
              <w:left w:w="30" w:type="dxa"/>
              <w:bottom w:w="30" w:type="dxa"/>
              <w:right w:w="30" w:type="dxa"/>
            </w:tcMar>
            <w:vAlign w:val="center"/>
            <w:hideMark/>
          </w:tcPr>
          <w:p w14:paraId="04321004"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97,5 % ДИ для различия</w:t>
            </w:r>
          </w:p>
        </w:tc>
        <w:tc>
          <w:tcPr>
            <w:tcW w:w="750" w:type="pct"/>
            <w:shd w:val="clear" w:color="auto" w:fill="auto"/>
            <w:tcMar>
              <w:top w:w="30" w:type="dxa"/>
              <w:left w:w="30" w:type="dxa"/>
              <w:bottom w:w="30" w:type="dxa"/>
              <w:right w:w="30" w:type="dxa"/>
            </w:tcMar>
            <w:vAlign w:val="center"/>
            <w:hideMark/>
          </w:tcPr>
          <w:p w14:paraId="0F9D14C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(-8,7 %, 2,6 %)</w:t>
            </w:r>
          </w:p>
        </w:tc>
        <w:tc>
          <w:tcPr>
            <w:tcW w:w="750" w:type="pct"/>
            <w:shd w:val="clear" w:color="auto" w:fill="auto"/>
            <w:tcMar>
              <w:top w:w="30" w:type="dxa"/>
              <w:left w:w="30" w:type="dxa"/>
              <w:bottom w:w="30" w:type="dxa"/>
              <w:right w:w="30" w:type="dxa"/>
            </w:tcMar>
            <w:vAlign w:val="center"/>
            <w:hideMark/>
          </w:tcPr>
          <w:p w14:paraId="1832563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(-8,8 %, 4,4 %)</w:t>
            </w:r>
          </w:p>
        </w:tc>
        <w:tc>
          <w:tcPr>
            <w:tcW w:w="750" w:type="pct"/>
            <w:shd w:val="clear" w:color="auto" w:fill="auto"/>
            <w:tcMar>
              <w:top w:w="30" w:type="dxa"/>
              <w:left w:w="30" w:type="dxa"/>
              <w:bottom w:w="30" w:type="dxa"/>
              <w:right w:w="30" w:type="dxa"/>
            </w:tcMar>
            <w:vAlign w:val="center"/>
            <w:hideMark/>
          </w:tcPr>
          <w:p w14:paraId="5E22E3A8" w14:textId="77777777" w:rsidR="001C54B1" w:rsidRPr="007E3E4B" w:rsidRDefault="001C54B1" w:rsidP="001C54B1">
            <w:pPr>
              <w:spacing w:after="0" w:line="240" w:lineRule="auto"/>
              <w:contextualSpacing/>
              <w:jc w:val="center"/>
              <w:rPr>
                <w:rFonts w:eastAsia="Times New Roman"/>
                <w:lang w:eastAsia="ru-RU"/>
              </w:rPr>
            </w:pPr>
          </w:p>
        </w:tc>
        <w:tc>
          <w:tcPr>
            <w:tcW w:w="750" w:type="pct"/>
            <w:shd w:val="clear" w:color="auto" w:fill="auto"/>
            <w:tcMar>
              <w:top w:w="30" w:type="dxa"/>
              <w:left w:w="30" w:type="dxa"/>
              <w:bottom w:w="30" w:type="dxa"/>
              <w:right w:w="30" w:type="dxa"/>
            </w:tcMar>
            <w:vAlign w:val="center"/>
            <w:hideMark/>
          </w:tcPr>
          <w:p w14:paraId="7B849625"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7FABEC2A" w14:textId="77777777" w:rsidTr="008A7500">
        <w:tc>
          <w:tcPr>
            <w:tcW w:w="2000" w:type="pct"/>
            <w:shd w:val="clear" w:color="auto" w:fill="auto"/>
            <w:tcMar>
              <w:top w:w="30" w:type="dxa"/>
              <w:left w:w="30" w:type="dxa"/>
              <w:bottom w:w="30" w:type="dxa"/>
              <w:right w:w="30" w:type="dxa"/>
            </w:tcMar>
            <w:vAlign w:val="center"/>
            <w:hideMark/>
          </w:tcPr>
          <w:p w14:paraId="77480889"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Значение p Z-критерия (EVR+TAC в сниженной дозе - Контроль = 0)</w:t>
            </w:r>
          </w:p>
          <w:p w14:paraId="217C6AA7"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(анализ различий не проводили)</w:t>
            </w:r>
          </w:p>
        </w:tc>
        <w:tc>
          <w:tcPr>
            <w:tcW w:w="750" w:type="pct"/>
            <w:shd w:val="clear" w:color="auto" w:fill="auto"/>
            <w:tcMar>
              <w:top w:w="30" w:type="dxa"/>
              <w:left w:w="30" w:type="dxa"/>
              <w:bottom w:w="30" w:type="dxa"/>
              <w:right w:w="30" w:type="dxa"/>
            </w:tcMar>
            <w:vAlign w:val="center"/>
            <w:hideMark/>
          </w:tcPr>
          <w:p w14:paraId="3D145E5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0,230</w:t>
            </w:r>
          </w:p>
        </w:tc>
        <w:tc>
          <w:tcPr>
            <w:tcW w:w="750" w:type="pct"/>
            <w:shd w:val="clear" w:color="auto" w:fill="auto"/>
            <w:tcMar>
              <w:top w:w="30" w:type="dxa"/>
              <w:left w:w="30" w:type="dxa"/>
              <w:bottom w:w="30" w:type="dxa"/>
              <w:right w:w="30" w:type="dxa"/>
            </w:tcMar>
            <w:vAlign w:val="center"/>
            <w:hideMark/>
          </w:tcPr>
          <w:p w14:paraId="5172EE2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0,452</w:t>
            </w:r>
          </w:p>
        </w:tc>
        <w:tc>
          <w:tcPr>
            <w:tcW w:w="750" w:type="pct"/>
            <w:shd w:val="clear" w:color="auto" w:fill="auto"/>
            <w:tcMar>
              <w:top w:w="30" w:type="dxa"/>
              <w:left w:w="30" w:type="dxa"/>
              <w:bottom w:w="30" w:type="dxa"/>
              <w:right w:w="30" w:type="dxa"/>
            </w:tcMar>
            <w:vAlign w:val="center"/>
            <w:hideMark/>
          </w:tcPr>
          <w:p w14:paraId="4126B511" w14:textId="77777777" w:rsidR="001C54B1" w:rsidRPr="007E3E4B" w:rsidRDefault="001C54B1" w:rsidP="001C54B1">
            <w:pPr>
              <w:spacing w:after="0" w:line="240" w:lineRule="auto"/>
              <w:contextualSpacing/>
              <w:jc w:val="center"/>
              <w:rPr>
                <w:rFonts w:eastAsia="Times New Roman"/>
                <w:lang w:eastAsia="ru-RU"/>
              </w:rPr>
            </w:pPr>
          </w:p>
        </w:tc>
        <w:tc>
          <w:tcPr>
            <w:tcW w:w="750" w:type="pct"/>
            <w:shd w:val="clear" w:color="auto" w:fill="auto"/>
            <w:tcMar>
              <w:top w:w="30" w:type="dxa"/>
              <w:left w:w="30" w:type="dxa"/>
              <w:bottom w:w="30" w:type="dxa"/>
              <w:right w:w="30" w:type="dxa"/>
            </w:tcMar>
            <w:vAlign w:val="center"/>
            <w:hideMark/>
          </w:tcPr>
          <w:p w14:paraId="04FD2CCA"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7BE61870" w14:textId="77777777" w:rsidTr="008A7500">
        <w:tc>
          <w:tcPr>
            <w:tcW w:w="2000" w:type="pct"/>
            <w:shd w:val="clear" w:color="auto" w:fill="auto"/>
            <w:tcMar>
              <w:top w:w="30" w:type="dxa"/>
              <w:left w:w="30" w:type="dxa"/>
              <w:bottom w:w="30" w:type="dxa"/>
              <w:right w:w="30" w:type="dxa"/>
            </w:tcMar>
            <w:vAlign w:val="center"/>
            <w:hideMark/>
          </w:tcPr>
          <w:p w14:paraId="018FFC9A"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Значение p* Z-критерия (EVR+TAC в сниженной дозе - Контроль ≥ 0,12)</w:t>
            </w:r>
          </w:p>
          <w:p w14:paraId="0BDA3E4B" w14:textId="77777777" w:rsidR="001C54B1" w:rsidRPr="007E3E4B" w:rsidRDefault="001C54B1" w:rsidP="001C54B1">
            <w:pPr>
              <w:spacing w:after="0" w:line="240" w:lineRule="auto"/>
              <w:contextualSpacing/>
              <w:rPr>
                <w:rFonts w:eastAsia="Times New Roman"/>
                <w:lang w:eastAsia="ru-RU"/>
              </w:rPr>
            </w:pPr>
            <w:r w:rsidRPr="007E3E4B">
              <w:rPr>
                <w:rFonts w:eastAsia="Times New Roman"/>
                <w:lang w:eastAsia="ru-RU"/>
              </w:rPr>
              <w:t>(анализ не меньшей эффективности)</w:t>
            </w:r>
          </w:p>
        </w:tc>
        <w:tc>
          <w:tcPr>
            <w:tcW w:w="750" w:type="pct"/>
            <w:shd w:val="clear" w:color="auto" w:fill="auto"/>
            <w:tcMar>
              <w:top w:w="30" w:type="dxa"/>
              <w:left w:w="30" w:type="dxa"/>
              <w:bottom w:w="30" w:type="dxa"/>
              <w:right w:w="30" w:type="dxa"/>
            </w:tcMar>
            <w:vAlign w:val="center"/>
            <w:hideMark/>
          </w:tcPr>
          <w:p w14:paraId="4E948C6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&lt; 0,001</w:t>
            </w:r>
          </w:p>
        </w:tc>
        <w:tc>
          <w:tcPr>
            <w:tcW w:w="750" w:type="pct"/>
            <w:shd w:val="clear" w:color="auto" w:fill="auto"/>
            <w:tcMar>
              <w:top w:w="30" w:type="dxa"/>
              <w:left w:w="30" w:type="dxa"/>
              <w:bottom w:w="30" w:type="dxa"/>
              <w:right w:w="30" w:type="dxa"/>
            </w:tcMar>
            <w:vAlign w:val="center"/>
            <w:hideMark/>
          </w:tcPr>
          <w:p w14:paraId="33DA2F0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&lt; 0,001</w:t>
            </w:r>
          </w:p>
        </w:tc>
        <w:tc>
          <w:tcPr>
            <w:tcW w:w="750" w:type="pct"/>
            <w:shd w:val="clear" w:color="auto" w:fill="auto"/>
            <w:tcMar>
              <w:top w:w="30" w:type="dxa"/>
              <w:left w:w="30" w:type="dxa"/>
              <w:bottom w:w="30" w:type="dxa"/>
              <w:right w:w="30" w:type="dxa"/>
            </w:tcMar>
            <w:vAlign w:val="center"/>
            <w:hideMark/>
          </w:tcPr>
          <w:p w14:paraId="544A1FB7" w14:textId="77777777" w:rsidR="001C54B1" w:rsidRPr="007E3E4B" w:rsidRDefault="001C54B1" w:rsidP="001C54B1">
            <w:pPr>
              <w:spacing w:after="0" w:line="240" w:lineRule="auto"/>
              <w:contextualSpacing/>
              <w:jc w:val="center"/>
              <w:rPr>
                <w:rFonts w:eastAsia="Times New Roman"/>
                <w:lang w:eastAsia="ru-RU"/>
              </w:rPr>
            </w:pPr>
          </w:p>
        </w:tc>
        <w:tc>
          <w:tcPr>
            <w:tcW w:w="750" w:type="pct"/>
            <w:shd w:val="clear" w:color="auto" w:fill="auto"/>
            <w:tcMar>
              <w:top w:w="30" w:type="dxa"/>
              <w:left w:w="30" w:type="dxa"/>
              <w:bottom w:w="30" w:type="dxa"/>
              <w:right w:w="30" w:type="dxa"/>
            </w:tcMar>
            <w:vAlign w:val="center"/>
            <w:hideMark/>
          </w:tcPr>
          <w:p w14:paraId="3AAF8DF7" w14:textId="77777777" w:rsidR="001C54B1" w:rsidRPr="007E3E4B" w:rsidRDefault="001C54B1" w:rsidP="001C54B1">
            <w:pPr>
              <w:spacing w:after="0" w:line="240" w:lineRule="auto"/>
              <w:contextualSpacing/>
              <w:jc w:val="center"/>
              <w:rPr>
                <w:rFonts w:eastAsia="Times New Roman"/>
                <w:lang w:eastAsia="ru-RU"/>
              </w:rPr>
            </w:pPr>
          </w:p>
        </w:tc>
      </w:tr>
      <w:tr w:rsidR="00AA5270" w:rsidRPr="007E3E4B" w14:paraId="7E4B7BB0" w14:textId="77777777" w:rsidTr="008A7500">
        <w:tc>
          <w:tcPr>
            <w:tcW w:w="5000" w:type="pct"/>
            <w:gridSpan w:val="5"/>
            <w:shd w:val="clear" w:color="auto" w:fill="auto"/>
            <w:tcMar>
              <w:top w:w="30" w:type="dxa"/>
              <w:left w:w="30" w:type="dxa"/>
              <w:bottom w:w="30" w:type="dxa"/>
              <w:right w:w="30" w:type="dxa"/>
            </w:tcMar>
            <w:vAlign w:val="center"/>
          </w:tcPr>
          <w:p w14:paraId="537BC82B" w14:textId="77777777" w:rsidR="00AA5270" w:rsidRPr="007E3E4B" w:rsidRDefault="00AA5270" w:rsidP="00AA5270">
            <w:pPr>
              <w:shd w:val="clear" w:color="auto" w:fill="FFFFFF"/>
              <w:spacing w:after="143" w:line="240" w:lineRule="auto"/>
              <w:contextualSpacing/>
              <w:rPr>
                <w:rFonts w:eastAsia="Times New Roman"/>
                <w:b/>
                <w:color w:val="000000"/>
                <w:sz w:val="20"/>
                <w:szCs w:val="20"/>
                <w:lang w:eastAsia="ru-RU"/>
              </w:rPr>
            </w:pPr>
            <w:r w:rsidRPr="007E3E4B">
              <w:rPr>
                <w:rFonts w:eastAsia="Times New Roman"/>
                <w:b/>
                <w:color w:val="000000"/>
                <w:sz w:val="20"/>
                <w:szCs w:val="20"/>
                <w:lang w:eastAsia="ru-RU"/>
              </w:rPr>
              <w:t>Примечание:</w:t>
            </w:r>
          </w:p>
          <w:p w14:paraId="4FB217E5" w14:textId="32EBBBD1" w:rsidR="00AA5270" w:rsidRPr="0071249E" w:rsidRDefault="00AA5270" w:rsidP="0071249E">
            <w:pPr>
              <w:shd w:val="clear" w:color="auto" w:fill="FFFFFF"/>
              <w:spacing w:after="143" w:line="240" w:lineRule="auto"/>
              <w:contextualSpacing/>
              <w:rPr>
                <w:rFonts w:eastAsia="Times New Roman"/>
                <w:color w:val="000000"/>
                <w:sz w:val="20"/>
                <w:szCs w:val="20"/>
                <w:lang w:eastAsia="ru-RU"/>
              </w:rPr>
            </w:pPr>
            <w:r w:rsidRPr="007E3E4B">
              <w:rPr>
                <w:rFonts w:eastAsia="Times New Roman"/>
                <w:color w:val="000000"/>
                <w:sz w:val="20"/>
                <w:szCs w:val="20"/>
                <w:lang w:eastAsia="ru-RU"/>
              </w:rPr>
              <w:t>*tBPAR = леченое подтвержде</w:t>
            </w:r>
            <w:r>
              <w:rPr>
                <w:rFonts w:eastAsia="Times New Roman"/>
                <w:color w:val="000000"/>
                <w:sz w:val="20"/>
                <w:szCs w:val="20"/>
                <w:lang w:eastAsia="ru-RU"/>
              </w:rPr>
              <w:t>нное биопсией острое отторжение</w:t>
            </w:r>
          </w:p>
        </w:tc>
      </w:tr>
    </w:tbl>
    <w:p w14:paraId="481A7164" w14:textId="77777777" w:rsidR="001C54B1" w:rsidRPr="00C75392" w:rsidRDefault="001C54B1" w:rsidP="001C54B1">
      <w:pPr>
        <w:shd w:val="clear" w:color="auto" w:fill="FFFFFF"/>
        <w:spacing w:after="143" w:line="240" w:lineRule="auto"/>
        <w:contextualSpacing/>
        <w:rPr>
          <w:rFonts w:eastAsia="Times New Roman"/>
          <w:color w:val="000000"/>
          <w:highlight w:val="green"/>
          <w:lang w:eastAsia="ru-RU"/>
        </w:rPr>
      </w:pPr>
    </w:p>
    <w:p w14:paraId="41784BA3" w14:textId="77777777" w:rsidR="008A7500" w:rsidRDefault="008A7500" w:rsidP="001C54B1">
      <w:pPr>
        <w:shd w:val="clear" w:color="auto" w:fill="FFFFFF"/>
        <w:spacing w:after="143" w:line="240" w:lineRule="auto"/>
        <w:contextualSpacing/>
        <w:rPr>
          <w:rFonts w:eastAsia="Times New Roman"/>
          <w:b/>
          <w:bCs/>
          <w:color w:val="000000"/>
          <w:lang w:eastAsia="ru-RU"/>
        </w:rPr>
        <w:sectPr w:rsidR="008A7500" w:rsidSect="00AB01E2">
          <w:pgSz w:w="11906" w:h="16838"/>
          <w:pgMar w:top="1134" w:right="849" w:bottom="1134" w:left="1701" w:header="708" w:footer="709" w:gutter="0"/>
          <w:cols w:space="708"/>
          <w:docGrid w:linePitch="360"/>
        </w:sectPr>
      </w:pPr>
    </w:p>
    <w:p w14:paraId="397CEC02" w14:textId="48C17A29" w:rsidR="001C54B1" w:rsidRPr="007E3E4B" w:rsidRDefault="001C54B1" w:rsidP="001C54B1">
      <w:pPr>
        <w:shd w:val="clear" w:color="auto" w:fill="FFFFFF"/>
        <w:spacing w:after="143" w:line="240" w:lineRule="auto"/>
        <w:contextualSpacing/>
        <w:rPr>
          <w:rFonts w:eastAsia="Times New Roman"/>
          <w:color w:val="000000"/>
          <w:lang w:eastAsia="ru-RU"/>
        </w:rPr>
      </w:pPr>
      <w:r w:rsidRPr="007E3E4B">
        <w:rPr>
          <w:rFonts w:eastAsia="Times New Roman"/>
          <w:b/>
          <w:bCs/>
          <w:color w:val="000000"/>
          <w:lang w:eastAsia="ru-RU"/>
        </w:rPr>
        <w:lastRenderedPageBreak/>
        <w:t>Таблица 4-15</w:t>
      </w:r>
      <w:r w:rsidR="00D133AE">
        <w:rPr>
          <w:rFonts w:eastAsia="Times New Roman"/>
          <w:b/>
          <w:bCs/>
          <w:color w:val="000000"/>
          <w:lang w:eastAsia="ru-RU"/>
        </w:rPr>
        <w:t>.</w:t>
      </w:r>
      <w:r w:rsidRPr="007E3E4B">
        <w:rPr>
          <w:rFonts w:eastAsia="Times New Roman"/>
          <w:b/>
          <w:bCs/>
          <w:color w:val="000000"/>
          <w:lang w:eastAsia="ru-RU"/>
        </w:rPr>
        <w:t xml:space="preserve"> </w:t>
      </w:r>
      <w:r w:rsidRPr="007E3E4B">
        <w:rPr>
          <w:rFonts w:eastAsia="Times New Roman"/>
          <w:bCs/>
          <w:color w:val="000000"/>
          <w:lang w:eastAsia="ru-RU"/>
        </w:rPr>
        <w:t>Исследование H2304: Сравнение частоты встречаемости между группами лечения по вторичным конечным точкам оценки эффективности (популяция ITT – анализ на 12</w:t>
      </w:r>
      <w:r w:rsidRPr="007E3E4B">
        <w:rPr>
          <w:rFonts w:eastAsia="Times New Roman"/>
          <w:bCs/>
          <w:color w:val="000000"/>
          <w:lang w:eastAsia="ru-RU"/>
        </w:rPr>
        <w:noBreakHyphen/>
        <w:t>м и 24</w:t>
      </w:r>
      <w:r w:rsidRPr="007E3E4B">
        <w:rPr>
          <w:rFonts w:eastAsia="Times New Roman"/>
          <w:bCs/>
          <w:color w:val="000000"/>
          <w:lang w:eastAsia="ru-RU"/>
        </w:rPr>
        <w:noBreakHyphen/>
        <w:t>м месяце)</w:t>
      </w:r>
      <w:r w:rsidR="00AA5270">
        <w:rPr>
          <w:rFonts w:eastAsia="Times New Roman"/>
          <w:bCs/>
          <w:color w:val="000000"/>
          <w:lang w:eastAsia="ru-RU"/>
        </w:rPr>
        <w:t>.</w:t>
      </w:r>
    </w:p>
    <w:tbl>
      <w:tblPr>
        <w:tblW w:w="5000" w:type="pct"/>
        <w:tblBorders>
          <w:top w:val="outset" w:sz="6" w:space="0" w:color="7B7B7B"/>
          <w:left w:val="outset" w:sz="6" w:space="0" w:color="7B7B7B"/>
          <w:bottom w:val="outset" w:sz="6" w:space="0" w:color="7B7B7B"/>
          <w:right w:val="outset" w:sz="6" w:space="0" w:color="7B7B7B"/>
        </w:tblBorders>
        <w:tblCellMar>
          <w:top w:w="24" w:type="dxa"/>
          <w:left w:w="24" w:type="dxa"/>
          <w:bottom w:w="24" w:type="dxa"/>
          <w:right w:w="24" w:type="dxa"/>
        </w:tblCellMar>
        <w:tblLook w:val="04A0" w:firstRow="1" w:lastRow="0" w:firstColumn="1" w:lastColumn="0" w:noHBand="0" w:noVBand="1"/>
      </w:tblPr>
      <w:tblGrid>
        <w:gridCol w:w="1972"/>
        <w:gridCol w:w="1845"/>
        <w:gridCol w:w="1845"/>
        <w:gridCol w:w="1843"/>
        <w:gridCol w:w="1841"/>
      </w:tblGrid>
      <w:tr w:rsidR="001C54B1" w:rsidRPr="007E3E4B" w14:paraId="2FFD9F67" w14:textId="77777777" w:rsidTr="008A7500">
        <w:trPr>
          <w:tblHeader/>
        </w:trPr>
        <w:tc>
          <w:tcPr>
            <w:tcW w:w="105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0876EB0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Конечные точки оценки эффективности</w:t>
            </w:r>
          </w:p>
        </w:tc>
        <w:tc>
          <w:tcPr>
            <w:tcW w:w="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552377B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EVR/TAC в сниженной дозе</w:t>
            </w:r>
          </w:p>
          <w:p w14:paraId="4CB53B5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N=245</w:t>
            </w:r>
          </w:p>
          <w:p w14:paraId="5FB3575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w:t>
            </w:r>
          </w:p>
        </w:tc>
        <w:tc>
          <w:tcPr>
            <w:tcW w:w="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7E2AAEC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Контроль TAC</w:t>
            </w:r>
          </w:p>
          <w:p w14:paraId="467FB9A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 243</w:t>
            </w:r>
          </w:p>
          <w:p w14:paraId="2D02C9F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n (%)</w:t>
            </w:r>
          </w:p>
        </w:tc>
        <w:tc>
          <w:tcPr>
            <w:tcW w:w="9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5F09B67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Различие в рисках (95 % ДИ)</w:t>
            </w:r>
          </w:p>
        </w:tc>
        <w:tc>
          <w:tcPr>
            <w:tcW w:w="9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30" w:type="dxa"/>
              <w:left w:w="30" w:type="dxa"/>
              <w:bottom w:w="30" w:type="dxa"/>
              <w:right w:w="30" w:type="dxa"/>
            </w:tcMar>
            <w:vAlign w:val="center"/>
            <w:hideMark/>
          </w:tcPr>
          <w:p w14:paraId="12AA72A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b/>
                <w:bCs/>
                <w:lang w:eastAsia="ru-RU"/>
              </w:rPr>
              <w:t>Значение р*</w:t>
            </w:r>
          </w:p>
        </w:tc>
      </w:tr>
      <w:tr w:rsidR="001C54B1" w:rsidRPr="007E3E4B" w14:paraId="30795DF1" w14:textId="77777777" w:rsidTr="008A7500">
        <w:trPr>
          <w:tblHeader/>
        </w:trPr>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FD8FC6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Отторжение трансплантата</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256AD11" w14:textId="77777777" w:rsidR="001C54B1" w:rsidRPr="007E3E4B" w:rsidRDefault="001C54B1" w:rsidP="001C54B1">
            <w:pPr>
              <w:spacing w:after="0" w:line="240" w:lineRule="auto"/>
              <w:contextualSpacing/>
              <w:jc w:val="center"/>
              <w:rPr>
                <w:rFonts w:eastAsia="Times New Roman"/>
                <w:lang w:eastAsia="ru-RU"/>
              </w:rPr>
            </w:pP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23A35E0"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E319DE7"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083845A"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5F6607A1"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B15B9F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месяцев</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B8B591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6 (2,4)</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BE6DCC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3 (1,2)</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2B12C1E"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(-7,8, 10,2)</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1F6429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0,5038</w:t>
            </w:r>
          </w:p>
        </w:tc>
      </w:tr>
      <w:tr w:rsidR="001C54B1" w:rsidRPr="007E3E4B" w14:paraId="24FB887E"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83F84B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 месяца</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7D3D13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 (3,9)</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40E690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7 (3,2)</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7DEF10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 xml:space="preserve">0,8 % </w:t>
            </w:r>
          </w:p>
          <w:p w14:paraId="3ED26793"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(-3,2, 4,7)</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8DC42C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0,661</w:t>
            </w:r>
          </w:p>
        </w:tc>
      </w:tr>
      <w:tr w:rsidR="001C54B1" w:rsidRPr="007E3E4B" w14:paraId="4AD2742E"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0B0115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Смерть</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D95AF43" w14:textId="77777777" w:rsidR="001C54B1" w:rsidRPr="007E3E4B" w:rsidRDefault="001C54B1" w:rsidP="001C54B1">
            <w:pPr>
              <w:spacing w:after="0" w:line="240" w:lineRule="auto"/>
              <w:contextualSpacing/>
              <w:jc w:val="center"/>
              <w:rPr>
                <w:rFonts w:eastAsia="Times New Roman"/>
                <w:lang w:eastAsia="ru-RU"/>
              </w:rPr>
            </w:pP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2717ED2"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71B2431"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74846D7"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57564EB4"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6BFECE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месяцев</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BEFBB0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9 (3,7)</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6E79B7F"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6 (2,5)</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E450C5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(-7,8, 10,1)</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9F717B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0,6015</w:t>
            </w:r>
          </w:p>
        </w:tc>
      </w:tr>
      <w:tr w:rsidR="001C54B1" w:rsidRPr="007E3E4B" w14:paraId="376FC745"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5162D3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 месяца</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ED0E74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(5,2)</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F44676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 (4,4)</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E3FBC8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 xml:space="preserve">0,8 % </w:t>
            </w:r>
          </w:p>
          <w:p w14:paraId="7E2F4B6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(-3,7, 5,2)</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76D4EA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0,701</w:t>
            </w:r>
          </w:p>
        </w:tc>
      </w:tr>
      <w:tr w:rsidR="001C54B1" w:rsidRPr="007E3E4B" w14:paraId="04836856"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63C711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BPAR</w:t>
            </w:r>
            <w:r w:rsidRPr="007E3E4B">
              <w:rPr>
                <w:rFonts w:eastAsia="Times New Roman"/>
                <w:vertAlign w:val="superscript"/>
                <w:lang w:eastAsia="ru-RU"/>
              </w:rPr>
              <w:t>1</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7CC5793" w14:textId="77777777" w:rsidR="001C54B1" w:rsidRPr="007E3E4B" w:rsidRDefault="001C54B1" w:rsidP="001C54B1">
            <w:pPr>
              <w:spacing w:after="0" w:line="240" w:lineRule="auto"/>
              <w:contextualSpacing/>
              <w:jc w:val="center"/>
              <w:rPr>
                <w:rFonts w:eastAsia="Times New Roman"/>
                <w:lang w:eastAsia="ru-RU"/>
              </w:rPr>
            </w:pP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5488DC7"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73C9EE"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416A9F8"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2C1C22A1"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0466B8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месяцев</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8981466"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10 (4,1)</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D537EA6"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26 (10,7)</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772E67DD"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 xml:space="preserve">-6,6 </w:t>
            </w:r>
          </w:p>
          <w:p w14:paraId="4A53870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(-11,2, -2,0)</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16F765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0,0052</w:t>
            </w:r>
          </w:p>
        </w:tc>
      </w:tr>
      <w:tr w:rsidR="001C54B1" w:rsidRPr="007E3E4B" w14:paraId="3AF5DCD9"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E693C5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 месяца</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63D2113"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14 (6,1)</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22AA60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30 (13,3)</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92F2E83"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 xml:space="preserve">-7,2 % </w:t>
            </w:r>
          </w:p>
          <w:p w14:paraId="4218094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(-13,5, -0,9)</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F285FF4"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0,010</w:t>
            </w:r>
          </w:p>
        </w:tc>
      </w:tr>
      <w:tr w:rsidR="001C54B1" w:rsidRPr="007E3E4B" w14:paraId="67B386F7"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5263612"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tBPAR</w:t>
            </w:r>
            <w:r w:rsidRPr="007E3E4B">
              <w:rPr>
                <w:rFonts w:eastAsia="Times New Roman"/>
                <w:vertAlign w:val="superscript"/>
                <w:lang w:eastAsia="ru-RU"/>
              </w:rPr>
              <w:t>2</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5F4FDB9" w14:textId="77777777" w:rsidR="001C54B1" w:rsidRPr="007E3E4B" w:rsidRDefault="001C54B1" w:rsidP="001C54B1">
            <w:pPr>
              <w:spacing w:after="0" w:line="240" w:lineRule="auto"/>
              <w:contextualSpacing/>
              <w:jc w:val="center"/>
              <w:rPr>
                <w:rFonts w:eastAsia="Times New Roman"/>
                <w:lang w:eastAsia="ru-RU"/>
              </w:rPr>
            </w:pP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2B669FD"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0CE932" w14:textId="77777777" w:rsidR="001C54B1" w:rsidRPr="007E3E4B" w:rsidRDefault="001C54B1" w:rsidP="001C54B1">
            <w:pPr>
              <w:spacing w:after="0" w:line="240" w:lineRule="auto"/>
              <w:contextualSpacing/>
              <w:jc w:val="center"/>
              <w:rPr>
                <w:rFonts w:eastAsia="Times New Roman"/>
                <w:lang w:eastAsia="ru-RU"/>
              </w:rPr>
            </w:pP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95B1EA5" w14:textId="77777777" w:rsidR="001C54B1" w:rsidRPr="007E3E4B" w:rsidRDefault="001C54B1" w:rsidP="001C54B1">
            <w:pPr>
              <w:spacing w:after="0" w:line="240" w:lineRule="auto"/>
              <w:contextualSpacing/>
              <w:jc w:val="center"/>
              <w:rPr>
                <w:rFonts w:eastAsia="Times New Roman"/>
                <w:lang w:eastAsia="ru-RU"/>
              </w:rPr>
            </w:pPr>
          </w:p>
        </w:tc>
      </w:tr>
      <w:tr w:rsidR="001C54B1" w:rsidRPr="007E3E4B" w14:paraId="65C4D83D"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D4DA890"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12 месяцев</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7489FA9"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7 (2,9)</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822004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17 (7,0)</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7123CA"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-4,1 (-8,0, -0,3)</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E76FC95"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0,0345</w:t>
            </w:r>
          </w:p>
        </w:tc>
      </w:tr>
      <w:tr w:rsidR="001C54B1" w:rsidRPr="007E3E4B" w14:paraId="0C489BD7" w14:textId="77777777" w:rsidTr="008A7500">
        <w:tc>
          <w:tcPr>
            <w:tcW w:w="1055"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BA87C98"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24 месяца</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9C0A44B"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11 (4,8)</w:t>
            </w:r>
          </w:p>
        </w:tc>
        <w:tc>
          <w:tcPr>
            <w:tcW w:w="987"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E6B994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18 (7,7)</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0E31B71"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 xml:space="preserve">-2,9 % </w:t>
            </w:r>
          </w:p>
          <w:p w14:paraId="33A0AD2C"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(-7,9, 2,2)</w:t>
            </w:r>
          </w:p>
        </w:tc>
        <w:tc>
          <w:tcPr>
            <w:tcW w:w="986" w:type="pct"/>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62032C6" w14:textId="77777777" w:rsidR="001C54B1" w:rsidRPr="007E3E4B" w:rsidRDefault="001C54B1" w:rsidP="001C54B1">
            <w:pPr>
              <w:spacing w:after="0" w:line="240" w:lineRule="auto"/>
              <w:contextualSpacing/>
              <w:jc w:val="center"/>
              <w:rPr>
                <w:rFonts w:eastAsia="Times New Roman"/>
                <w:lang w:eastAsia="ru-RU"/>
              </w:rPr>
            </w:pPr>
            <w:r w:rsidRPr="007E3E4B">
              <w:rPr>
                <w:rFonts w:eastAsia="Times New Roman"/>
                <w:lang w:eastAsia="ru-RU"/>
              </w:rPr>
              <w:t>0,203</w:t>
            </w:r>
          </w:p>
        </w:tc>
      </w:tr>
      <w:tr w:rsidR="00AA5270" w:rsidRPr="007E3E4B" w14:paraId="54914E38" w14:textId="77777777" w:rsidTr="008A7500">
        <w:tc>
          <w:tcPr>
            <w:tcW w:w="5000" w:type="pct"/>
            <w:gridSpan w:val="5"/>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tcPr>
          <w:p w14:paraId="424CB1F3" w14:textId="77777777" w:rsidR="00AA5270" w:rsidRPr="007E3E4B" w:rsidRDefault="00AA5270" w:rsidP="00AA5270">
            <w:pPr>
              <w:shd w:val="clear" w:color="auto" w:fill="FFFFFF"/>
              <w:spacing w:after="143" w:line="240" w:lineRule="auto"/>
              <w:contextualSpacing/>
              <w:rPr>
                <w:rFonts w:eastAsia="Times New Roman"/>
                <w:b/>
                <w:color w:val="000000"/>
                <w:sz w:val="20"/>
                <w:szCs w:val="20"/>
                <w:lang w:eastAsia="ru-RU"/>
              </w:rPr>
            </w:pPr>
            <w:r w:rsidRPr="007E3E4B">
              <w:rPr>
                <w:rFonts w:eastAsia="Times New Roman"/>
                <w:b/>
                <w:color w:val="000000"/>
                <w:sz w:val="20"/>
                <w:szCs w:val="20"/>
                <w:lang w:eastAsia="ru-RU"/>
              </w:rPr>
              <w:t>Примечание:</w:t>
            </w:r>
          </w:p>
          <w:p w14:paraId="1353879B" w14:textId="77777777" w:rsidR="00AA5270" w:rsidRPr="007E3E4B" w:rsidRDefault="00AA5270" w:rsidP="00AA5270">
            <w:pPr>
              <w:shd w:val="clear" w:color="auto" w:fill="FFFFFF"/>
              <w:spacing w:after="143" w:line="240" w:lineRule="auto"/>
              <w:contextualSpacing/>
              <w:rPr>
                <w:rFonts w:eastAsia="Times New Roman"/>
                <w:color w:val="000000"/>
                <w:sz w:val="20"/>
                <w:szCs w:val="20"/>
                <w:lang w:eastAsia="ru-RU"/>
              </w:rPr>
            </w:pPr>
            <w:r w:rsidRPr="007E3E4B">
              <w:rPr>
                <w:rFonts w:eastAsia="Times New Roman"/>
                <w:color w:val="000000"/>
                <w:sz w:val="20"/>
                <w:szCs w:val="20"/>
                <w:lang w:eastAsia="ru-RU"/>
              </w:rPr>
              <w:t>1. BPAR = подтвержденное биопсией острое отторжение трансплантата;</w:t>
            </w:r>
          </w:p>
          <w:p w14:paraId="0685EE00" w14:textId="77777777" w:rsidR="00AA5270" w:rsidRPr="007E3E4B" w:rsidRDefault="00AA5270" w:rsidP="00AA5270">
            <w:pPr>
              <w:shd w:val="clear" w:color="auto" w:fill="FFFFFF"/>
              <w:spacing w:after="143" w:line="240" w:lineRule="auto"/>
              <w:contextualSpacing/>
              <w:rPr>
                <w:rFonts w:eastAsia="Times New Roman"/>
                <w:color w:val="000000"/>
                <w:sz w:val="20"/>
                <w:szCs w:val="20"/>
                <w:lang w:eastAsia="ru-RU"/>
              </w:rPr>
            </w:pPr>
            <w:r w:rsidRPr="007E3E4B">
              <w:rPr>
                <w:rFonts w:eastAsia="Times New Roman"/>
                <w:color w:val="000000"/>
                <w:sz w:val="20"/>
                <w:szCs w:val="20"/>
                <w:lang w:eastAsia="ru-RU"/>
              </w:rPr>
              <w:t>2. tBPAR = леченое подтвержденное биопсией острое отторжение трансплантата</w:t>
            </w:r>
          </w:p>
          <w:p w14:paraId="2A107626" w14:textId="5B081B50" w:rsidR="00AA5270" w:rsidRPr="007E3E4B" w:rsidRDefault="00AA5270" w:rsidP="00AA5270">
            <w:pPr>
              <w:spacing w:after="0" w:line="240" w:lineRule="auto"/>
              <w:contextualSpacing/>
              <w:jc w:val="center"/>
              <w:rPr>
                <w:rFonts w:eastAsia="Times New Roman"/>
                <w:lang w:eastAsia="ru-RU"/>
              </w:rPr>
            </w:pPr>
            <w:r w:rsidRPr="007E3E4B">
              <w:rPr>
                <w:rFonts w:eastAsia="Times New Roman"/>
                <w:color w:val="000000"/>
                <w:sz w:val="20"/>
                <w:szCs w:val="20"/>
                <w:lang w:eastAsia="ru-RU"/>
              </w:rPr>
              <w:t>*Все значения p приведены для двустороннего анализа и были сопоставлены с уровнем значимости 0,05</w:t>
            </w:r>
          </w:p>
        </w:tc>
      </w:tr>
    </w:tbl>
    <w:p w14:paraId="57859966" w14:textId="5D328CFB" w:rsidR="001C54B1" w:rsidRPr="008A7500" w:rsidRDefault="001C54B1" w:rsidP="008A7500">
      <w:pPr>
        <w:pStyle w:val="4"/>
        <w:spacing w:after="240" w:line="240" w:lineRule="auto"/>
        <w:rPr>
          <w:rFonts w:ascii="Times New Roman" w:hAnsi="Times New Roman"/>
          <w:color w:val="000000" w:themeColor="text1"/>
          <w:sz w:val="24"/>
          <w:szCs w:val="24"/>
        </w:rPr>
      </w:pPr>
      <w:bookmarkStart w:id="313" w:name="_Toc115217976"/>
      <w:bookmarkStart w:id="314" w:name="_Toc118124212"/>
      <w:bookmarkStart w:id="315" w:name="_Toc119313780"/>
      <w:r w:rsidRPr="008A7500">
        <w:rPr>
          <w:rFonts w:ascii="Times New Roman" w:hAnsi="Times New Roman"/>
          <w:color w:val="000000" w:themeColor="text1"/>
          <w:sz w:val="24"/>
          <w:szCs w:val="24"/>
        </w:rPr>
        <w:t>4.2.1.4</w:t>
      </w:r>
      <w:r w:rsidR="00AA5270" w:rsidRPr="008A7500">
        <w:rPr>
          <w:rFonts w:ascii="Times New Roman" w:hAnsi="Times New Roman"/>
          <w:color w:val="000000" w:themeColor="text1"/>
          <w:sz w:val="24"/>
          <w:szCs w:val="24"/>
        </w:rPr>
        <w:t>.</w:t>
      </w:r>
      <w:r w:rsidRPr="008A7500">
        <w:rPr>
          <w:rFonts w:ascii="Times New Roman" w:hAnsi="Times New Roman"/>
          <w:color w:val="000000" w:themeColor="text1"/>
          <w:sz w:val="24"/>
          <w:szCs w:val="24"/>
        </w:rPr>
        <w:t xml:space="preserve"> </w:t>
      </w:r>
      <w:bookmarkEnd w:id="313"/>
      <w:r w:rsidRPr="008A7500">
        <w:rPr>
          <w:rFonts w:ascii="Times New Roman" w:hAnsi="Times New Roman"/>
          <w:color w:val="000000" w:themeColor="text1"/>
          <w:sz w:val="24"/>
          <w:szCs w:val="24"/>
        </w:rPr>
        <w:t>Дети, перенесшие трансплантацию почки или печени</w:t>
      </w:r>
      <w:bookmarkEnd w:id="314"/>
      <w:bookmarkEnd w:id="315"/>
    </w:p>
    <w:p w14:paraId="2205C119" w14:textId="247995A5"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У детей, перенесших трансплантацию почки и печени, </w:t>
      </w:r>
      <w:r w:rsidR="00AA5270">
        <w:rPr>
          <w:rFonts w:eastAsia="Times New Roman"/>
          <w:color w:val="000000"/>
          <w:lang w:eastAsia="ru-RU"/>
        </w:rPr>
        <w:t>эверолимус</w:t>
      </w:r>
      <w:r w:rsidR="00AA5270" w:rsidRPr="007E3E4B">
        <w:rPr>
          <w:rFonts w:eastAsia="Times New Roman"/>
          <w:color w:val="000000"/>
          <w:lang w:eastAsia="ru-RU"/>
        </w:rPr>
        <w:t xml:space="preserve"> </w:t>
      </w:r>
      <w:r w:rsidRPr="007E3E4B">
        <w:rPr>
          <w:rFonts w:eastAsia="Times New Roman"/>
          <w:color w:val="000000"/>
          <w:lang w:eastAsia="ru-RU"/>
        </w:rPr>
        <w:t>применять не следует. Европейское агентство лекарственных средств отменило обязательство о предоставлении результатов исследований с участием детей с трансплантацией сердца.</w:t>
      </w:r>
    </w:p>
    <w:p w14:paraId="51CDA968" w14:textId="4FD3A239"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У детей, получивших аллотрансплантат почки (возраст 1-18 лет; n=106), </w:t>
      </w:r>
      <w:r w:rsidR="00AA5270">
        <w:rPr>
          <w:rFonts w:eastAsia="Times New Roman"/>
          <w:color w:val="000000"/>
          <w:lang w:eastAsia="ru-RU"/>
        </w:rPr>
        <w:t>эффективность и безопасность эверолимуса</w:t>
      </w:r>
      <w:r w:rsidR="00AA5270" w:rsidRPr="007E3E4B">
        <w:rPr>
          <w:rFonts w:eastAsia="Times New Roman"/>
          <w:color w:val="000000"/>
          <w:lang w:eastAsia="ru-RU"/>
        </w:rPr>
        <w:t xml:space="preserve"> </w:t>
      </w:r>
      <w:r w:rsidRPr="007E3E4B">
        <w:rPr>
          <w:rFonts w:eastAsia="Times New Roman"/>
          <w:color w:val="000000"/>
          <w:lang w:eastAsia="ru-RU"/>
        </w:rPr>
        <w:t xml:space="preserve">оценивали в ходе 12-месячного исследования с дополнительным периодом последующего наблюдения в течение 24 месяцев. В этом многоцентровом рандомизированном открытом исследовании с двумя параллельными группами (1:1) оценивали применение </w:t>
      </w:r>
      <w:r w:rsidR="00EB0C40">
        <w:rPr>
          <w:rFonts w:eastAsia="Times New Roman"/>
          <w:color w:val="000000"/>
          <w:lang w:eastAsia="ru-RU"/>
        </w:rPr>
        <w:t>эверолимуса</w:t>
      </w:r>
      <w:r w:rsidRPr="007E3E4B">
        <w:rPr>
          <w:rFonts w:eastAsia="Times New Roman"/>
          <w:color w:val="000000"/>
          <w:lang w:eastAsia="ru-RU"/>
        </w:rPr>
        <w:t xml:space="preserve"> в комбинации с такролимусом в сниженной дозе и отменой кортикостероидов через 6 месяцев после трансплантации по сравнению с микофенолата мофетилом в сочетании с такролимусом в стандартной дозе. Через 12 месяцев эффективность </w:t>
      </w:r>
      <w:r w:rsidR="00EB0C40">
        <w:rPr>
          <w:rFonts w:eastAsia="Times New Roman"/>
          <w:color w:val="000000"/>
          <w:lang w:eastAsia="ru-RU"/>
        </w:rPr>
        <w:t>эверолимуса</w:t>
      </w:r>
      <w:r w:rsidR="001749A3">
        <w:rPr>
          <w:rFonts w:eastAsia="Times New Roman"/>
          <w:color w:val="000000"/>
          <w:lang w:eastAsia="ru-RU"/>
        </w:rPr>
        <w:t xml:space="preserve"> </w:t>
      </w:r>
      <w:r w:rsidRPr="007E3E4B">
        <w:rPr>
          <w:rFonts w:eastAsia="Times New Roman"/>
          <w:color w:val="000000"/>
          <w:lang w:eastAsia="ru-RU"/>
        </w:rPr>
        <w:t xml:space="preserve">при сниженной дозе такролимуса и отмене стероидов была сопоставима с таковой микофенолата мофетила при применении такролимуса в стандартной дозе [9,6 % (5/52) в сравнении с 5,6 % (3/54)] при оценке первичной комбинированной конечной точки неэффективности (CEF) BPAR, отторжения трансплантата и смерти. Все события были BPAR; случаи отторжения трансплантата и смерти отсутствовали. Через 36 месяцев наблюдения конечная точка CEF была одинаковой в обеих группах лечения, в то время как леченный BPAR наблюдалось у пяти пациентов в каждой группе. Отторжение </w:t>
      </w:r>
      <w:r w:rsidRPr="007E3E4B">
        <w:rPr>
          <w:rFonts w:eastAsia="Times New Roman"/>
          <w:color w:val="000000"/>
          <w:lang w:eastAsia="ru-RU"/>
        </w:rPr>
        <w:lastRenderedPageBreak/>
        <w:t xml:space="preserve">трансплантата было зарегистрировано у одного пациента (2,1 %) в группе, получавшей </w:t>
      </w:r>
      <w:r w:rsidR="00EB0C40">
        <w:rPr>
          <w:rFonts w:eastAsia="Times New Roman"/>
          <w:color w:val="000000"/>
          <w:lang w:eastAsia="ru-RU"/>
        </w:rPr>
        <w:t>эверолимус</w:t>
      </w:r>
      <w:r w:rsidR="001749A3">
        <w:rPr>
          <w:rFonts w:eastAsia="Times New Roman"/>
          <w:color w:val="000000"/>
          <w:lang w:eastAsia="ru-RU"/>
        </w:rPr>
        <w:t xml:space="preserve"> </w:t>
      </w:r>
      <w:r w:rsidRPr="007E3E4B">
        <w:rPr>
          <w:rFonts w:eastAsia="Times New Roman"/>
          <w:color w:val="000000"/>
          <w:lang w:eastAsia="ru-RU"/>
        </w:rPr>
        <w:t xml:space="preserve">с такролимусом в сниженной дозе, по сравнению с двумя пациентами (3,8 %) в группе, получавшей микофенолата мофетил с такролимусом в стандартной дозе. В течение периода исследования случаев смерти не зарегистрировано. Экстраполяция данных по трансплантации почки у взрослых пациентов на данные педиатрического исследования </w:t>
      </w:r>
      <w:r w:rsidR="00EB0C40">
        <w:rPr>
          <w:rFonts w:eastAsia="Times New Roman"/>
          <w:color w:val="000000"/>
          <w:lang w:eastAsia="ru-RU"/>
        </w:rPr>
        <w:t>эверолимуса</w:t>
      </w:r>
      <w:r w:rsidRPr="007E3E4B">
        <w:rPr>
          <w:rFonts w:eastAsia="Times New Roman"/>
          <w:color w:val="000000"/>
          <w:lang w:eastAsia="ru-RU"/>
        </w:rPr>
        <w:t>и литературу показала, что комбинированная конечная точка оценки эффективности была ниже, чем у взрослых. Функция почек, рассчитанная по расчетной скорости клубочковой фильтрации (рСКФ), была сопоставима в обеих исследуемых группах.</w:t>
      </w:r>
    </w:p>
    <w:p w14:paraId="59E8E601" w14:textId="77DBDD1A"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В общей сложности у 35 % (18/52) пациентов в группе </w:t>
      </w:r>
      <w:r w:rsidR="00EB0C40">
        <w:rPr>
          <w:rFonts w:eastAsia="Times New Roman"/>
          <w:color w:val="000000"/>
          <w:lang w:eastAsia="ru-RU"/>
        </w:rPr>
        <w:t>эверолимуса</w:t>
      </w:r>
      <w:r w:rsidR="001749A3">
        <w:rPr>
          <w:rFonts w:eastAsia="Times New Roman"/>
          <w:color w:val="000000"/>
          <w:lang w:eastAsia="ru-RU"/>
        </w:rPr>
        <w:t xml:space="preserve"> </w:t>
      </w:r>
      <w:r w:rsidRPr="007E3E4B">
        <w:rPr>
          <w:rFonts w:eastAsia="Times New Roman"/>
          <w:color w:val="000000"/>
          <w:lang w:eastAsia="ru-RU"/>
        </w:rPr>
        <w:t xml:space="preserve">и 17 % (9/54) в контрольной группе исследуемая терапия была отменена из-за развития НЯ/инфекций. Большинство НЯ/инфекций, приводящих к досрочному прекращению приема исследуемого препарата, были единичными случаями и регистрировались не более, чем у одного пациента. В группе, получавшей </w:t>
      </w:r>
      <w:r w:rsidR="00411567">
        <w:rPr>
          <w:rFonts w:eastAsia="Times New Roman"/>
          <w:color w:val="000000"/>
          <w:lang w:eastAsia="ru-RU"/>
        </w:rPr>
        <w:t>эверолимус</w:t>
      </w:r>
      <w:r w:rsidRPr="007E3E4B">
        <w:rPr>
          <w:rFonts w:eastAsia="Times New Roman"/>
          <w:color w:val="000000"/>
          <w:lang w:eastAsia="ru-RU"/>
        </w:rPr>
        <w:t xml:space="preserve"> с пониженной дозой такролимуса, у двух пациентов было зарегистрировано посттрансплантационное лимфопролиферативное заболевание, у одного пациента - печеночно-клеточный рак.</w:t>
      </w:r>
    </w:p>
    <w:p w14:paraId="56CC8B6E" w14:textId="29A6BD56" w:rsidR="001C54B1" w:rsidRPr="007E3E4B" w:rsidRDefault="001C54B1" w:rsidP="001C54B1">
      <w:pPr>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 xml:space="preserve">У детей-реципиентов трансплантата печени (возраст от 1 месяца до 18 лет; n=56), получавших полноразмерный аллотрансплантат печени либо технически модифицированный аллотрансплантат печени от умершего или живого донора, в 24-месячном многоцентровом исследовании с одной группой оценивали </w:t>
      </w:r>
      <w:r w:rsidR="00EB0C40">
        <w:rPr>
          <w:rFonts w:eastAsia="Times New Roman"/>
          <w:color w:val="000000"/>
          <w:lang w:eastAsia="ru-RU"/>
        </w:rPr>
        <w:t>эверолимус</w:t>
      </w:r>
      <w:r w:rsidRPr="007E3E4B">
        <w:rPr>
          <w:rFonts w:eastAsia="Times New Roman"/>
          <w:color w:val="000000"/>
          <w:lang w:eastAsia="ru-RU"/>
        </w:rPr>
        <w:t>со сниженной дозой такролимуса или циклоспорина. Неэффективность определялась как комбинированная конечная точка (tBPAR, отторжение трансплантата или смерть через 12 месяцев).</w:t>
      </w:r>
      <w:r w:rsidR="001749A3">
        <w:rPr>
          <w:rFonts w:eastAsia="Times New Roman"/>
          <w:color w:val="000000"/>
          <w:lang w:eastAsia="ru-RU"/>
        </w:rPr>
        <w:t xml:space="preserve"> </w:t>
      </w:r>
      <w:r w:rsidRPr="007E3E4B">
        <w:rPr>
          <w:rFonts w:eastAsia="Times New Roman"/>
          <w:color w:val="000000"/>
          <w:lang w:eastAsia="ru-RU"/>
        </w:rPr>
        <w:t>Из 56 пациентов два пациента достигли первичной комбинированной конечной точки неэффективности или любого из ее компонентов. За 24 месяца лечения не было зарегистрировано случаев смерти или отторжения трансплантата. Улучшение функции почек, измеряемое по увеличению средней расчетной скорости клубочковой фильтрации (рСКФ) с момента рандомизации до 12 месяцев, составило 6,3 мл/мин/1,73 м</w:t>
      </w:r>
      <w:r w:rsidRPr="007E3E4B">
        <w:rPr>
          <w:rFonts w:eastAsia="Times New Roman"/>
          <w:color w:val="000000"/>
          <w:vertAlign w:val="superscript"/>
          <w:lang w:eastAsia="ru-RU"/>
        </w:rPr>
        <w:t>2</w:t>
      </w:r>
      <w:r w:rsidRPr="007E3E4B">
        <w:rPr>
          <w:rFonts w:eastAsia="Times New Roman"/>
          <w:color w:val="000000"/>
          <w:lang w:eastAsia="ru-RU"/>
        </w:rPr>
        <w:t>. Улучшение функции почек также наблюдалось через 24 месяца с увеличением средней рСКФ относительно исходного уровня в 4,5 мл/мин/1,73 м</w:t>
      </w:r>
      <w:r w:rsidRPr="007E3E4B">
        <w:rPr>
          <w:rFonts w:eastAsia="Times New Roman"/>
          <w:color w:val="000000"/>
          <w:vertAlign w:val="superscript"/>
          <w:lang w:eastAsia="ru-RU"/>
        </w:rPr>
        <w:t>2</w:t>
      </w:r>
      <w:r w:rsidRPr="007E3E4B">
        <w:rPr>
          <w:rFonts w:eastAsia="Times New Roman"/>
          <w:color w:val="000000"/>
          <w:lang w:eastAsia="ru-RU"/>
        </w:rPr>
        <w:t>.</w:t>
      </w:r>
    </w:p>
    <w:p w14:paraId="6FC9A606" w14:textId="21698466" w:rsidR="001C54B1" w:rsidRPr="008A7500" w:rsidRDefault="001C54B1" w:rsidP="008A7500">
      <w:pPr>
        <w:keepNext/>
        <w:keepLines/>
        <w:shd w:val="clear" w:color="auto" w:fill="FFFFFF"/>
        <w:spacing w:after="143" w:line="240" w:lineRule="auto"/>
        <w:ind w:firstLine="709"/>
        <w:contextualSpacing/>
        <w:rPr>
          <w:rFonts w:eastAsia="Times New Roman"/>
          <w:color w:val="000000"/>
          <w:lang w:eastAsia="ru-RU"/>
        </w:rPr>
      </w:pPr>
      <w:r w:rsidRPr="007E3E4B">
        <w:rPr>
          <w:rFonts w:eastAsia="Times New Roman"/>
          <w:color w:val="000000"/>
          <w:lang w:eastAsia="ru-RU"/>
        </w:rPr>
        <w:t>У детей, получавших трансплантат печени, отрицательного влияния на рост или половое созревание не наблюдалось. Однако в результате анализа безопасности у детей-реципиентов трансплантата печени по сравнению со взрослыми и опубликованной литературы были выявлены три основные проблемы безопасности: высокие показатели досрочного прекращения применения исследуемого препарата, серьезные инфекции, приводящие к госпитализации, и PTLD. Показатели заболеваемости PTLD в возрастной группе от 2 до &lt; 18 лет и особенно у детей в возрасте до 2 лет с отсутствием EBV, были выше по сравнению со взрослыми и опубликованной литературой. Исходя из данных по безопасности, соотношение «польза-риск» не свидетельствует в пользу применения препарата [3].</w:t>
      </w:r>
    </w:p>
    <w:p w14:paraId="2DB442E2" w14:textId="77777777" w:rsidR="008A7500" w:rsidRDefault="008A7500" w:rsidP="008A7500">
      <w:pPr>
        <w:spacing w:before="240" w:after="240" w:line="240" w:lineRule="auto"/>
        <w:outlineLvl w:val="2"/>
        <w:rPr>
          <w:rFonts w:eastAsia="Times New Roman"/>
          <w:b/>
          <w:bCs/>
          <w:iCs/>
          <w:lang w:eastAsia="en-US"/>
        </w:rPr>
        <w:sectPr w:rsidR="008A7500" w:rsidSect="00AB01E2">
          <w:pgSz w:w="11906" w:h="16838"/>
          <w:pgMar w:top="1134" w:right="849" w:bottom="1134" w:left="1701" w:header="708" w:footer="709" w:gutter="0"/>
          <w:cols w:space="708"/>
          <w:docGrid w:linePitch="360"/>
        </w:sectPr>
      </w:pPr>
      <w:bookmarkStart w:id="316" w:name="_Toc52190594"/>
      <w:bookmarkStart w:id="317" w:name="_Toc115217977"/>
      <w:bookmarkStart w:id="318" w:name="_Toc118124213"/>
      <w:bookmarkStart w:id="319" w:name="_Hlk521885199"/>
    </w:p>
    <w:p w14:paraId="78E040A9" w14:textId="4F23DBCE" w:rsidR="00040F40" w:rsidRDefault="00040F40" w:rsidP="008A7500">
      <w:pPr>
        <w:spacing w:before="240" w:after="240" w:line="240" w:lineRule="auto"/>
        <w:outlineLvl w:val="2"/>
        <w:rPr>
          <w:rFonts w:eastAsia="Times New Roman"/>
          <w:b/>
          <w:bCs/>
          <w:iCs/>
          <w:lang w:eastAsia="en-US"/>
        </w:rPr>
      </w:pPr>
      <w:bookmarkStart w:id="320" w:name="_Toc119313781"/>
      <w:r w:rsidRPr="00711874">
        <w:rPr>
          <w:rFonts w:eastAsia="Times New Roman"/>
          <w:b/>
          <w:bCs/>
          <w:iCs/>
          <w:lang w:eastAsia="en-US"/>
        </w:rPr>
        <w:lastRenderedPageBreak/>
        <w:t>4.</w:t>
      </w:r>
      <w:r w:rsidR="007B35E5" w:rsidRPr="00711874">
        <w:rPr>
          <w:rFonts w:eastAsia="Times New Roman"/>
          <w:b/>
          <w:bCs/>
          <w:iCs/>
          <w:lang w:eastAsia="en-US"/>
        </w:rPr>
        <w:t>2</w:t>
      </w:r>
      <w:r w:rsidR="00B30F15" w:rsidRPr="00711874">
        <w:rPr>
          <w:rFonts w:eastAsia="Times New Roman"/>
          <w:b/>
          <w:bCs/>
          <w:iCs/>
          <w:lang w:eastAsia="en-US"/>
        </w:rPr>
        <w:t>.2</w:t>
      </w:r>
      <w:bookmarkStart w:id="321" w:name="_Hlk113016834"/>
      <w:r w:rsidR="00B30F15" w:rsidRPr="00711874">
        <w:rPr>
          <w:rFonts w:eastAsia="Times New Roman"/>
          <w:b/>
          <w:bCs/>
          <w:iCs/>
          <w:lang w:eastAsia="en-US"/>
        </w:rPr>
        <w:t>.</w:t>
      </w:r>
      <w:bookmarkEnd w:id="316"/>
      <w:r w:rsidR="007D3F37" w:rsidRPr="00711874">
        <w:rPr>
          <w:rFonts w:eastAsia="Times New Roman"/>
          <w:b/>
          <w:bCs/>
          <w:iCs/>
          <w:lang w:eastAsia="en-US"/>
        </w:rPr>
        <w:t xml:space="preserve"> </w:t>
      </w:r>
      <w:r w:rsidR="00B30F15" w:rsidRPr="00711874">
        <w:rPr>
          <w:rFonts w:eastAsia="Times New Roman"/>
          <w:b/>
          <w:bCs/>
          <w:iCs/>
          <w:lang w:eastAsia="en-US"/>
        </w:rPr>
        <w:t>Клиническая безопасность</w:t>
      </w:r>
      <w:bookmarkEnd w:id="317"/>
      <w:bookmarkEnd w:id="318"/>
      <w:bookmarkEnd w:id="320"/>
    </w:p>
    <w:p w14:paraId="45AF4D97" w14:textId="6719E6BA" w:rsidR="00711874" w:rsidRPr="008A7500" w:rsidRDefault="00771365" w:rsidP="008A7500">
      <w:pPr>
        <w:pStyle w:val="4"/>
        <w:spacing w:after="240" w:line="240" w:lineRule="auto"/>
        <w:rPr>
          <w:rFonts w:ascii="Times New Roman" w:hAnsi="Times New Roman"/>
          <w:color w:val="000000" w:themeColor="text1"/>
          <w:sz w:val="24"/>
          <w:szCs w:val="24"/>
        </w:rPr>
      </w:pPr>
      <w:bookmarkStart w:id="322" w:name="_Toc112226897"/>
      <w:bookmarkStart w:id="323" w:name="_Toc118124214"/>
      <w:bookmarkStart w:id="324" w:name="_Toc119313782"/>
      <w:r w:rsidRPr="008A7500">
        <w:rPr>
          <w:rFonts w:ascii="Times New Roman" w:hAnsi="Times New Roman"/>
          <w:color w:val="000000" w:themeColor="text1"/>
          <w:sz w:val="24"/>
          <w:szCs w:val="24"/>
        </w:rPr>
        <w:t>4.2</w:t>
      </w:r>
      <w:r w:rsidR="00711874" w:rsidRPr="008A7500">
        <w:rPr>
          <w:rFonts w:ascii="Times New Roman" w:hAnsi="Times New Roman"/>
          <w:color w:val="000000" w:themeColor="text1"/>
          <w:sz w:val="24"/>
          <w:szCs w:val="24"/>
        </w:rPr>
        <w:t>.2.1. Группоспецифические эффекты</w:t>
      </w:r>
      <w:bookmarkEnd w:id="322"/>
      <w:bookmarkEnd w:id="323"/>
      <w:bookmarkEnd w:id="324"/>
    </w:p>
    <w:p w14:paraId="7140744B" w14:textId="33DA6807" w:rsidR="00711874" w:rsidRPr="00042DAA" w:rsidRDefault="00711874" w:rsidP="008A7500">
      <w:pPr>
        <w:spacing w:after="0" w:line="240" w:lineRule="auto"/>
        <w:ind w:firstLine="709"/>
      </w:pPr>
      <w:bookmarkStart w:id="325" w:name="_Toc112226898"/>
      <w:r w:rsidRPr="00042DAA">
        <w:t xml:space="preserve">Киназа </w:t>
      </w:r>
      <w:r w:rsidRPr="00042DAA">
        <w:rPr>
          <w:lang w:val="en-US"/>
        </w:rPr>
        <w:t>mTOR</w:t>
      </w:r>
      <w:r w:rsidRPr="00042DAA">
        <w:t xml:space="preserve"> (механистическая мишень рапамицина, </w:t>
      </w:r>
      <w:r>
        <w:t>так же</w:t>
      </w:r>
      <w:r w:rsidRPr="00042DAA">
        <w:t xml:space="preserve"> известная</w:t>
      </w:r>
      <w:r>
        <w:t>,</w:t>
      </w:r>
      <w:r w:rsidRPr="00042DAA">
        <w:t xml:space="preserve"> как мишень рапамицина у млекопитающих) играет центральную роль в регуляции клеточного роста и метаболизма в ответ на внутри- и внеклеточные стимулы и факторы роста. Важность </w:t>
      </w:r>
      <w:r w:rsidRPr="00042DAA">
        <w:rPr>
          <w:lang w:val="en-US"/>
        </w:rPr>
        <w:t>mTOR</w:t>
      </w:r>
      <w:r w:rsidRPr="00042DAA">
        <w:t xml:space="preserve"> способствовала разработке молекул, которые ингибируют передачу сигналов </w:t>
      </w:r>
      <w:r w:rsidRPr="00042DAA">
        <w:rPr>
          <w:lang w:val="en-US"/>
        </w:rPr>
        <w:t>mTOR</w:t>
      </w:r>
      <w:r>
        <w:t xml:space="preserve"> -</w:t>
      </w:r>
      <w:r w:rsidRPr="00042DAA">
        <w:t xml:space="preserve"> рапалоги </w:t>
      </w:r>
      <w:r>
        <w:t xml:space="preserve">1го поколения </w:t>
      </w:r>
      <w:r w:rsidRPr="00042DAA">
        <w:t xml:space="preserve">(сиролимус, темсиролимус, эверолимус и дефоролимус), которые образуют комплекс с </w:t>
      </w:r>
      <w:r w:rsidRPr="00042DAA">
        <w:rPr>
          <w:lang w:val="en-US"/>
        </w:rPr>
        <w:t>FK</w:t>
      </w:r>
      <w:r w:rsidRPr="00042DAA">
        <w:t>506-связывающим белком 12 (</w:t>
      </w:r>
      <w:r w:rsidRPr="00042DAA">
        <w:rPr>
          <w:lang w:val="en-US"/>
        </w:rPr>
        <w:t>FK</w:t>
      </w:r>
      <w:r w:rsidRPr="00042DAA">
        <w:t>-</w:t>
      </w:r>
      <w:r w:rsidRPr="00042DAA">
        <w:rPr>
          <w:lang w:val="en-US"/>
        </w:rPr>
        <w:t>BP</w:t>
      </w:r>
      <w:r w:rsidRPr="00042DAA">
        <w:t xml:space="preserve">12) для ингибирования комплекса </w:t>
      </w:r>
      <w:r w:rsidRPr="00042DAA">
        <w:rPr>
          <w:lang w:val="en-US"/>
        </w:rPr>
        <w:t>mTOR</w:t>
      </w:r>
      <w:r>
        <w:t xml:space="preserve">. </w:t>
      </w:r>
      <w:r w:rsidRPr="00042DAA">
        <w:t xml:space="preserve">Несмотря на фармакологические усилия по разработке препаратов с улучшенным профилем безопасности, эти побочные эффекты </w:t>
      </w:r>
      <w:r w:rsidR="00425EFC">
        <w:t>в значительном количестве случаев</w:t>
      </w:r>
      <w:r w:rsidR="00425EFC" w:rsidRPr="00042DAA">
        <w:t xml:space="preserve"> </w:t>
      </w:r>
      <w:r w:rsidRPr="00042DAA">
        <w:t xml:space="preserve">непредсказуемы и </w:t>
      </w:r>
      <w:r w:rsidR="00425EFC">
        <w:t>за</w:t>
      </w:r>
      <w:r w:rsidR="00425EFC" w:rsidRPr="00042DAA">
        <w:t>част</w:t>
      </w:r>
      <w:r w:rsidR="00425EFC">
        <w:t>ую</w:t>
      </w:r>
      <w:r w:rsidR="00425EFC" w:rsidRPr="00042DAA">
        <w:t xml:space="preserve"> </w:t>
      </w:r>
      <w:r w:rsidRPr="00042DAA">
        <w:t xml:space="preserve">могут препятствовать эффективности </w:t>
      </w:r>
      <w:r>
        <w:t>терапии</w:t>
      </w:r>
      <w:r w:rsidRPr="00042DAA">
        <w:t>.</w:t>
      </w:r>
    </w:p>
    <w:p w14:paraId="50BA444D" w14:textId="77777777" w:rsidR="00711874" w:rsidRPr="00042DAA" w:rsidRDefault="00711874" w:rsidP="00711874">
      <w:pPr>
        <w:spacing w:line="240" w:lineRule="auto"/>
        <w:ind w:firstLine="709"/>
        <w:contextualSpacing/>
      </w:pPr>
      <w:r>
        <w:t xml:space="preserve">Сиролимус применяется </w:t>
      </w:r>
      <w:r w:rsidRPr="00042DAA">
        <w:t>уже более д</w:t>
      </w:r>
      <w:r>
        <w:t>вадцати</w:t>
      </w:r>
      <w:r w:rsidRPr="00042DAA">
        <w:t xml:space="preserve"> лет, </w:t>
      </w:r>
      <w:r>
        <w:t xml:space="preserve">и </w:t>
      </w:r>
      <w:r w:rsidRPr="00042DAA">
        <w:t xml:space="preserve">большинство </w:t>
      </w:r>
      <w:r>
        <w:t>опубликованных данных</w:t>
      </w:r>
      <w:r w:rsidRPr="00042DAA">
        <w:t xml:space="preserve"> о б</w:t>
      </w:r>
      <w:r>
        <w:t>езопасности и побочных эффектах</w:t>
      </w:r>
      <w:r w:rsidRPr="00042DAA">
        <w:t>, связаны с применением этого препарат</w:t>
      </w:r>
      <w:r>
        <w:t>а. Э</w:t>
      </w:r>
      <w:r w:rsidRPr="00042DAA">
        <w:t xml:space="preserve">веролимус и темсиролимус, обладают рядом специфических </w:t>
      </w:r>
      <w:r>
        <w:t>побочных эффектов</w:t>
      </w:r>
      <w:r w:rsidRPr="00042DAA">
        <w:t xml:space="preserve"> си</w:t>
      </w:r>
      <w:r>
        <w:t>ролимуса – группоспецифические эффекты. Они</w:t>
      </w:r>
      <w:r w:rsidRPr="00042DAA">
        <w:t xml:space="preserve"> включают различные метаболические, гематологические, респираторные, почечные и дерматологические </w:t>
      </w:r>
      <w:r>
        <w:t>НЯ</w:t>
      </w:r>
      <w:r w:rsidRPr="00042DAA">
        <w:t xml:space="preserve">. </w:t>
      </w:r>
      <w:r>
        <w:t>В совокупности, изучение токсичности в этой группе препаратов показало</w:t>
      </w:r>
      <w:r w:rsidRPr="00042DAA">
        <w:t xml:space="preserve">, что побочные эффекты, связанные с </w:t>
      </w:r>
      <w:r>
        <w:t>рапалогами</w:t>
      </w:r>
      <w:r w:rsidRPr="00042DAA">
        <w:t xml:space="preserve">, не обязательно </w:t>
      </w:r>
      <w:r>
        <w:t>вызваны</w:t>
      </w:r>
      <w:r w:rsidRPr="00042DAA">
        <w:t xml:space="preserve"> ингибированием </w:t>
      </w:r>
      <w:r w:rsidRPr="00042DAA">
        <w:rPr>
          <w:lang w:val="en-US"/>
        </w:rPr>
        <w:t>mTOR</w:t>
      </w:r>
      <w:r>
        <w:t>. Существуют н</w:t>
      </w:r>
      <w:r w:rsidRPr="00042DAA">
        <w:t xml:space="preserve">еспецифические </w:t>
      </w:r>
      <w:r>
        <w:t>НЯ</w:t>
      </w:r>
      <w:r w:rsidRPr="00042DAA">
        <w:t xml:space="preserve"> </w:t>
      </w:r>
      <w:r>
        <w:t>связанные</w:t>
      </w:r>
      <w:r w:rsidRPr="00042DAA">
        <w:t xml:space="preserve"> с иммуносупрессие</w:t>
      </w:r>
      <w:r>
        <w:t>й, например, инфекции.</w:t>
      </w:r>
    </w:p>
    <w:p w14:paraId="14DB1CC3" w14:textId="77777777" w:rsidR="00711874" w:rsidRDefault="00711874" w:rsidP="00711874">
      <w:pPr>
        <w:spacing w:line="240" w:lineRule="auto"/>
        <w:ind w:firstLine="709"/>
        <w:contextualSpacing/>
      </w:pPr>
      <w:r w:rsidRPr="00042DAA">
        <w:t xml:space="preserve">Подавляющее большинство почечных </w:t>
      </w:r>
      <w:r>
        <w:t>НЯ</w:t>
      </w:r>
      <w:r w:rsidRPr="00042DAA">
        <w:t xml:space="preserve">, связанных с </w:t>
      </w:r>
      <w:r>
        <w:t xml:space="preserve">ингибиторами </w:t>
      </w:r>
      <w:r>
        <w:rPr>
          <w:lang w:val="en-US"/>
        </w:rPr>
        <w:t>mTOR</w:t>
      </w:r>
      <w:r w:rsidRPr="00042DAA">
        <w:t xml:space="preserve">, описаны </w:t>
      </w:r>
      <w:r>
        <w:t>исследованиях</w:t>
      </w:r>
      <w:r w:rsidRPr="00042DAA">
        <w:t xml:space="preserve"> трансплантации паренхиматозных органов</w:t>
      </w:r>
      <w:r>
        <w:t xml:space="preserve"> с применением </w:t>
      </w:r>
      <w:r w:rsidRPr="00042DAA">
        <w:t>сиролимус</w:t>
      </w:r>
      <w:r>
        <w:t>а</w:t>
      </w:r>
      <w:r w:rsidRPr="00042DAA">
        <w:t xml:space="preserve"> и эверолимус</w:t>
      </w:r>
      <w:r>
        <w:t>а</w:t>
      </w:r>
      <w:r w:rsidRPr="00042DAA">
        <w:t xml:space="preserve">. В то время как доклинические исследования не продемонстрировали каких-либо нефротоксических </w:t>
      </w:r>
      <w:r>
        <w:t>НЯ,</w:t>
      </w:r>
      <w:r w:rsidRPr="00042DAA">
        <w:t xml:space="preserve"> </w:t>
      </w:r>
      <w:r>
        <w:t>в клинических исследованиях</w:t>
      </w:r>
      <w:r w:rsidRPr="00042DAA">
        <w:t xml:space="preserve"> </w:t>
      </w:r>
      <w:r>
        <w:t>данные НЯ выступали лимитирующим фактором</w:t>
      </w:r>
      <w:r w:rsidRPr="00042DAA">
        <w:t xml:space="preserve">. </w:t>
      </w:r>
      <w:r>
        <w:t xml:space="preserve">Сиролимус оказывал значительной влияние на функцию почек, что могло привести к отторжению трансплантата, </w:t>
      </w:r>
      <w:r w:rsidRPr="00042DAA">
        <w:t xml:space="preserve">эверолимус не влиял на </w:t>
      </w:r>
      <w:r>
        <w:t>риск отторжения трансплантата</w:t>
      </w:r>
      <w:r w:rsidRPr="00042DAA">
        <w:t xml:space="preserve">. Причины </w:t>
      </w:r>
      <w:r>
        <w:t>этой разницы</w:t>
      </w:r>
      <w:r w:rsidRPr="00042DAA">
        <w:t xml:space="preserve"> между сиролимусом и эверолимусом не известны, </w:t>
      </w:r>
      <w:r>
        <w:t>вероятно</w:t>
      </w:r>
      <w:r w:rsidRPr="00042DAA">
        <w:t xml:space="preserve"> </w:t>
      </w:r>
      <w:r>
        <w:t xml:space="preserve">влияние оказывает разница </w:t>
      </w:r>
      <w:r w:rsidRPr="00042DAA">
        <w:t xml:space="preserve">в дозировках препаратов. </w:t>
      </w:r>
    </w:p>
    <w:p w14:paraId="34EB0FB3" w14:textId="77777777" w:rsidR="00711874" w:rsidRDefault="00711874" w:rsidP="00711874">
      <w:pPr>
        <w:spacing w:line="240" w:lineRule="auto"/>
        <w:ind w:firstLine="709"/>
        <w:contextualSpacing/>
      </w:pPr>
      <w:r w:rsidRPr="00042DAA">
        <w:t xml:space="preserve">Сиролимус, эверолимус и темсиролимус могут вызыват протеинурию </w:t>
      </w:r>
      <w:r w:rsidRPr="0071249E">
        <w:rPr>
          <w:i/>
          <w:lang w:val="en-US"/>
        </w:rPr>
        <w:t>de</w:t>
      </w:r>
      <w:r w:rsidRPr="0071249E">
        <w:rPr>
          <w:i/>
        </w:rPr>
        <w:t xml:space="preserve"> </w:t>
      </w:r>
      <w:r w:rsidRPr="0071249E">
        <w:rPr>
          <w:i/>
          <w:lang w:val="en-US"/>
        </w:rPr>
        <w:t>novo</w:t>
      </w:r>
      <w:r w:rsidRPr="00042DAA">
        <w:t xml:space="preserve"> или усугубить ра</w:t>
      </w:r>
      <w:r>
        <w:t>нее существовавшую протеинурию</w:t>
      </w:r>
      <w:r w:rsidRPr="00042DAA">
        <w:t xml:space="preserve">. </w:t>
      </w:r>
    </w:p>
    <w:p w14:paraId="38C61BF9" w14:textId="77777777" w:rsidR="00711874" w:rsidRDefault="00711874" w:rsidP="00711874">
      <w:pPr>
        <w:spacing w:line="240" w:lineRule="auto"/>
        <w:ind w:firstLine="709"/>
        <w:contextualSpacing/>
      </w:pPr>
      <w:r w:rsidRPr="00042DAA">
        <w:t>Механизм, с помощью которого</w:t>
      </w:r>
      <w:r>
        <w:t xml:space="preserve"> ингибиторы</w:t>
      </w:r>
      <w:r w:rsidRPr="00042DAA">
        <w:t xml:space="preserve"> </w:t>
      </w:r>
      <w:r>
        <w:rPr>
          <w:lang w:val="en-US"/>
        </w:rPr>
        <w:t>mTOR</w:t>
      </w:r>
      <w:r w:rsidRPr="00042DAA">
        <w:t xml:space="preserve"> </w:t>
      </w:r>
      <w:r>
        <w:t>могут</w:t>
      </w:r>
      <w:r w:rsidRPr="00042DAA">
        <w:t xml:space="preserve"> повлиять на проницае</w:t>
      </w:r>
      <w:r>
        <w:t>мость клубочков, неизвестен</w:t>
      </w:r>
      <w:r w:rsidRPr="00042DAA">
        <w:t xml:space="preserve">, но экспериментальные данные показали, что делеция </w:t>
      </w:r>
      <w:r w:rsidRPr="00042DAA">
        <w:rPr>
          <w:lang w:val="en-US"/>
        </w:rPr>
        <w:t>mTORC</w:t>
      </w:r>
      <w:r w:rsidRPr="00042DAA">
        <w:t xml:space="preserve">1 </w:t>
      </w:r>
      <w:r>
        <w:t>у мышей</w:t>
      </w:r>
      <w:r w:rsidRPr="00042DAA">
        <w:t xml:space="preserve"> вызывал</w:t>
      </w:r>
      <w:r>
        <w:t>а</w:t>
      </w:r>
      <w:r w:rsidRPr="00042DAA">
        <w:t xml:space="preserve"> протеинурию и п</w:t>
      </w:r>
      <w:r>
        <w:t>рогрессирующий гломерулосклероз; д</w:t>
      </w:r>
      <w:r w:rsidRPr="00042DAA">
        <w:t xml:space="preserve">ругой потенциальный механизм может связаны с ингибированием </w:t>
      </w:r>
      <w:r>
        <w:t>сигнального пути</w:t>
      </w:r>
      <w:r w:rsidRPr="00042DAA">
        <w:t xml:space="preserve"> </w:t>
      </w:r>
      <w:r>
        <w:rPr>
          <w:lang w:val="en-US"/>
        </w:rPr>
        <w:t>VEGF</w:t>
      </w:r>
      <w:r w:rsidRPr="00042DAA">
        <w:t>.</w:t>
      </w:r>
    </w:p>
    <w:p w14:paraId="232BE00C" w14:textId="77777777" w:rsidR="00711874" w:rsidRDefault="00711874" w:rsidP="00711874">
      <w:pPr>
        <w:spacing w:line="240" w:lineRule="auto"/>
        <w:ind w:firstLine="709"/>
        <w:contextualSpacing/>
      </w:pPr>
      <w:r w:rsidRPr="00042DAA">
        <w:t xml:space="preserve">Терапия </w:t>
      </w:r>
      <w:r>
        <w:t xml:space="preserve">ингибиторами </w:t>
      </w:r>
      <w:r>
        <w:rPr>
          <w:lang w:val="en-US"/>
        </w:rPr>
        <w:t>mTOR</w:t>
      </w:r>
      <w:r w:rsidRPr="00042DAA">
        <w:t xml:space="preserve"> может способствовать </w:t>
      </w:r>
      <w:r>
        <w:t>миелосупрессии</w:t>
      </w:r>
      <w:r w:rsidRPr="00042DAA">
        <w:t xml:space="preserve"> дозозависимым образом</w:t>
      </w:r>
      <w:r>
        <w:t xml:space="preserve">. </w:t>
      </w:r>
      <w:r w:rsidRPr="00042DAA">
        <w:t xml:space="preserve">Большинство связанных с </w:t>
      </w:r>
      <w:r>
        <w:t>этими препаратами</w:t>
      </w:r>
      <w:r w:rsidRPr="00042DAA">
        <w:t xml:space="preserve"> </w:t>
      </w:r>
      <w:r>
        <w:t>гематологических</w:t>
      </w:r>
      <w:r w:rsidRPr="00042DAA">
        <w:t xml:space="preserve"> </w:t>
      </w:r>
      <w:r>
        <w:t>НЯ были умеренной степени тяжести</w:t>
      </w:r>
      <w:r w:rsidRPr="00042DAA">
        <w:t xml:space="preserve">. Высокая скорость размножения кроветворных </w:t>
      </w:r>
      <w:r>
        <w:t>клеток</w:t>
      </w:r>
      <w:r w:rsidRPr="00042DAA">
        <w:t xml:space="preserve"> делает костный мозг исключительно чувствительная мишень</w:t>
      </w:r>
      <w:r>
        <w:t>ю</w:t>
      </w:r>
      <w:r w:rsidRPr="00042DAA">
        <w:t xml:space="preserve"> </w:t>
      </w:r>
      <w:r>
        <w:t xml:space="preserve">для </w:t>
      </w:r>
      <w:r w:rsidRPr="00042DAA">
        <w:t xml:space="preserve">антипролиферативных свойств </w:t>
      </w:r>
      <w:r>
        <w:t xml:space="preserve">ингибиторов </w:t>
      </w:r>
      <w:r>
        <w:rPr>
          <w:lang w:val="en-US"/>
        </w:rPr>
        <w:t>mTOR</w:t>
      </w:r>
      <w:r>
        <w:t>.</w:t>
      </w:r>
      <w:r w:rsidRPr="00042DAA">
        <w:t xml:space="preserve"> Ней</w:t>
      </w:r>
      <w:r>
        <w:t>тропения,</w:t>
      </w:r>
      <w:r w:rsidRPr="00042DAA">
        <w:t xml:space="preserve"> тромбоцитопения</w:t>
      </w:r>
      <w:r>
        <w:t xml:space="preserve"> и </w:t>
      </w:r>
      <w:r w:rsidRPr="00042DAA">
        <w:t>ане</w:t>
      </w:r>
      <w:r>
        <w:t xml:space="preserve">мия часто наблюдались у пациентов, получающих терапию ингибиторами </w:t>
      </w:r>
      <w:r>
        <w:rPr>
          <w:lang w:val="en-US"/>
        </w:rPr>
        <w:t>mTOR</w:t>
      </w:r>
      <w:r>
        <w:t>.</w:t>
      </w:r>
      <w:r w:rsidRPr="00042DAA">
        <w:t xml:space="preserve"> </w:t>
      </w:r>
    </w:p>
    <w:p w14:paraId="653EF5DD" w14:textId="77777777" w:rsidR="00711874" w:rsidRDefault="00711874" w:rsidP="00711874">
      <w:pPr>
        <w:spacing w:line="240" w:lineRule="auto"/>
        <w:ind w:firstLine="709"/>
        <w:contextualSpacing/>
      </w:pPr>
      <w:r w:rsidRPr="00042DAA">
        <w:lastRenderedPageBreak/>
        <w:t xml:space="preserve">Анемия, вызванная сиролимусом, связана с </w:t>
      </w:r>
      <w:r>
        <w:t>системным</w:t>
      </w:r>
      <w:r w:rsidRPr="00042DAA">
        <w:t xml:space="preserve"> воспалител</w:t>
      </w:r>
      <w:r>
        <w:t>ьным</w:t>
      </w:r>
      <w:r w:rsidRPr="00042DAA">
        <w:t xml:space="preserve"> синдром</w:t>
      </w:r>
      <w:r>
        <w:t>ом, характеризующимся</w:t>
      </w:r>
      <w:r w:rsidRPr="00042DAA">
        <w:t xml:space="preserve"> повышение</w:t>
      </w:r>
      <w:r>
        <w:t>м</w:t>
      </w:r>
      <w:r w:rsidRPr="00042DAA">
        <w:t xml:space="preserve"> уровня фибриногена и СРБ в ответ на повышение уровня </w:t>
      </w:r>
      <w:r w:rsidRPr="00042DAA">
        <w:rPr>
          <w:lang w:val="en-US"/>
        </w:rPr>
        <w:t>IL</w:t>
      </w:r>
      <w:r w:rsidRPr="00042DAA">
        <w:t xml:space="preserve">-6 и </w:t>
      </w:r>
      <w:r w:rsidRPr="00042DAA">
        <w:rPr>
          <w:lang w:val="en-US"/>
        </w:rPr>
        <w:t>TNF</w:t>
      </w:r>
      <w:r w:rsidRPr="00042DAA">
        <w:t>-</w:t>
      </w:r>
      <w:r w:rsidRPr="00042DAA">
        <w:rPr>
          <w:lang w:val="en-US"/>
        </w:rPr>
        <w:t>a</w:t>
      </w:r>
      <w:r w:rsidRPr="00042DAA">
        <w:t xml:space="preserve">, тогда как уровни </w:t>
      </w:r>
      <w:r w:rsidRPr="00042DAA">
        <w:rPr>
          <w:lang w:val="en-US"/>
        </w:rPr>
        <w:t>IL</w:t>
      </w:r>
      <w:r w:rsidRPr="00042DAA">
        <w:t xml:space="preserve">-10 в сыворотке крови </w:t>
      </w:r>
      <w:r>
        <w:t>остается неизменным</w:t>
      </w:r>
      <w:r w:rsidRPr="00042DAA">
        <w:t xml:space="preserve">. Это свидетельствует о нарушении </w:t>
      </w:r>
      <w:r w:rsidRPr="00042DAA">
        <w:rPr>
          <w:lang w:val="en-US"/>
        </w:rPr>
        <w:t>IL</w:t>
      </w:r>
      <w:r w:rsidRPr="00042DAA">
        <w:t xml:space="preserve">-10 </w:t>
      </w:r>
      <w:r>
        <w:t>-зависимой</w:t>
      </w:r>
      <w:r w:rsidRPr="00042DAA">
        <w:t xml:space="preserve"> воспалительн</w:t>
      </w:r>
      <w:r>
        <w:t>ой ауторегуляции.</w:t>
      </w:r>
    </w:p>
    <w:p w14:paraId="3B6B0065" w14:textId="77777777" w:rsidR="00711874" w:rsidRDefault="00711874" w:rsidP="00711874">
      <w:pPr>
        <w:spacing w:line="240" w:lineRule="auto"/>
        <w:ind w:firstLine="709"/>
        <w:contextualSpacing/>
      </w:pPr>
      <w:r w:rsidRPr="00042DAA">
        <w:t xml:space="preserve">Среди </w:t>
      </w:r>
      <w:r>
        <w:t>дерматологических НЯ</w:t>
      </w:r>
      <w:r w:rsidRPr="00042DAA">
        <w:t xml:space="preserve">, связанных с применением </w:t>
      </w:r>
      <w:r>
        <w:t xml:space="preserve">ингибиторов </w:t>
      </w:r>
      <w:r>
        <w:rPr>
          <w:lang w:val="en-US"/>
        </w:rPr>
        <w:t>mTOR</w:t>
      </w:r>
      <w:r w:rsidRPr="00042DAA">
        <w:t xml:space="preserve">, можно </w:t>
      </w:r>
      <w:r>
        <w:t>выделить</w:t>
      </w:r>
      <w:r w:rsidRPr="00042DAA">
        <w:t xml:space="preserve"> </w:t>
      </w:r>
      <w:r>
        <w:t xml:space="preserve">акнеподобные высыпания, </w:t>
      </w:r>
      <w:r w:rsidRPr="00042DAA">
        <w:t>фолликулит</w:t>
      </w:r>
      <w:r>
        <w:t>, эритродермию, стоматит. Э</w:t>
      </w:r>
      <w:r w:rsidRPr="00042DAA">
        <w:t xml:space="preserve">ти </w:t>
      </w:r>
      <w:r>
        <w:t>НЯ</w:t>
      </w:r>
      <w:r w:rsidRPr="00042DAA">
        <w:t xml:space="preserve"> </w:t>
      </w:r>
      <w:r>
        <w:t>могут</w:t>
      </w:r>
      <w:r w:rsidRPr="00042DAA">
        <w:t xml:space="preserve"> вызвать серьезные социальн</w:t>
      </w:r>
      <w:r>
        <w:t>ые или личностные нарушения, что</w:t>
      </w:r>
      <w:r w:rsidRPr="00042DAA">
        <w:t xml:space="preserve"> может привести к прекращению терапии </w:t>
      </w:r>
      <w:r>
        <w:t xml:space="preserve">ингибиторами </w:t>
      </w:r>
      <w:r>
        <w:rPr>
          <w:lang w:val="en-US"/>
        </w:rPr>
        <w:t>mTOR</w:t>
      </w:r>
      <w:r w:rsidRPr="00042DAA">
        <w:t>.</w:t>
      </w:r>
      <w:r>
        <w:t xml:space="preserve"> Не всегда прослеживается связь тяжести дерматологических НЯ с дозой ингибиторов </w:t>
      </w:r>
      <w:r>
        <w:rPr>
          <w:lang w:val="en-US"/>
        </w:rPr>
        <w:t>mTOR</w:t>
      </w:r>
      <w:r>
        <w:t xml:space="preserve">. Стоматит является проявлением прямого токсического действия препаратов группы ингибиторов </w:t>
      </w:r>
      <w:r>
        <w:rPr>
          <w:lang w:val="en-US"/>
        </w:rPr>
        <w:t>mTOR</w:t>
      </w:r>
      <w:r>
        <w:t xml:space="preserve"> на слизистую оболочку полоти рта и обычно разрешается после отмены препарата. </w:t>
      </w:r>
    </w:p>
    <w:p w14:paraId="12FAE5C1" w14:textId="77777777" w:rsidR="00711874" w:rsidRPr="00042DAA" w:rsidRDefault="00711874" w:rsidP="00711874">
      <w:pPr>
        <w:spacing w:line="240" w:lineRule="auto"/>
        <w:ind w:firstLine="709"/>
        <w:contextualSpacing/>
      </w:pPr>
      <w:r>
        <w:t xml:space="preserve">Ингибиторы </w:t>
      </w:r>
      <w:r>
        <w:rPr>
          <w:lang w:val="en-US"/>
        </w:rPr>
        <w:t>mTOR</w:t>
      </w:r>
      <w:r>
        <w:t xml:space="preserve"> могут вызывать генерализованные</w:t>
      </w:r>
      <w:r w:rsidRPr="00042DAA">
        <w:t xml:space="preserve"> отек</w:t>
      </w:r>
      <w:r>
        <w:t>и</w:t>
      </w:r>
      <w:r w:rsidRPr="00042DAA">
        <w:t xml:space="preserve">, </w:t>
      </w:r>
      <w:r>
        <w:t>связанные, в большинстве случаев,</w:t>
      </w:r>
      <w:r w:rsidRPr="00042DAA">
        <w:t xml:space="preserve"> с протеинурией</w:t>
      </w:r>
      <w:r>
        <w:t>, но также могут</w:t>
      </w:r>
      <w:r w:rsidRPr="00042DAA">
        <w:t xml:space="preserve"> быть </w:t>
      </w:r>
      <w:r>
        <w:t>проявлениями пря</w:t>
      </w:r>
      <w:r w:rsidRPr="00042DAA">
        <w:t>м</w:t>
      </w:r>
      <w:r>
        <w:t xml:space="preserve">ого токсического действия </w:t>
      </w:r>
      <w:r w:rsidRPr="00042DAA">
        <w:t xml:space="preserve">ингибирования </w:t>
      </w:r>
      <w:r w:rsidRPr="00042DAA">
        <w:rPr>
          <w:lang w:val="en-US"/>
        </w:rPr>
        <w:t>mTOR</w:t>
      </w:r>
      <w:r w:rsidRPr="00042DAA">
        <w:t>. Их механизм неизвестен.</w:t>
      </w:r>
    </w:p>
    <w:p w14:paraId="3E4CE665" w14:textId="77777777" w:rsidR="00711874" w:rsidRPr="00E50556" w:rsidRDefault="00711874" w:rsidP="00711874">
      <w:pPr>
        <w:spacing w:line="240" w:lineRule="auto"/>
        <w:ind w:firstLine="709"/>
        <w:contextualSpacing/>
      </w:pPr>
      <w:r w:rsidRPr="00042DAA">
        <w:t xml:space="preserve">Интерстициальный пневмонит является </w:t>
      </w:r>
      <w:r>
        <w:t>групповым побочным</w:t>
      </w:r>
      <w:r w:rsidRPr="00042DAA">
        <w:t xml:space="preserve"> эффектом рапалогов, хотя наибольшее число случаев было описа</w:t>
      </w:r>
      <w:r>
        <w:t>но при применении сиролимуса,</w:t>
      </w:r>
      <w:r w:rsidRPr="00042DAA">
        <w:t xml:space="preserve"> их </w:t>
      </w:r>
      <w:r>
        <w:t xml:space="preserve">так же </w:t>
      </w:r>
      <w:r w:rsidRPr="00042DAA">
        <w:t xml:space="preserve">можно наблюдать </w:t>
      </w:r>
      <w:r>
        <w:t xml:space="preserve">и </w:t>
      </w:r>
      <w:r w:rsidRPr="00042DAA">
        <w:t>пр</w:t>
      </w:r>
      <w:r>
        <w:t>и применении эверолимуса</w:t>
      </w:r>
      <w:r w:rsidRPr="00042DAA">
        <w:t xml:space="preserve">. Тяжесть пневмонита, по-видимому, зависит от дозы и обычно </w:t>
      </w:r>
      <w:r>
        <w:t>регрессирует</w:t>
      </w:r>
      <w:r w:rsidRPr="00042DAA">
        <w:t xml:space="preserve"> после прекращения </w:t>
      </w:r>
      <w:r>
        <w:t>терапии ингибиторами</w:t>
      </w:r>
      <w:r w:rsidRPr="00042DAA">
        <w:t xml:space="preserve"> mTOR, что необходимо сделать, как </w:t>
      </w:r>
      <w:r>
        <w:t>только подозревается диагноз. Интерстициальный</w:t>
      </w:r>
      <w:r w:rsidRPr="00042DAA">
        <w:t xml:space="preserve"> пневмонит может не иметь каких-либо клинических проявлений</w:t>
      </w:r>
      <w:r>
        <w:t>. Риски развития интерстициального</w:t>
      </w:r>
      <w:r w:rsidRPr="00042DAA">
        <w:t xml:space="preserve"> пневмонита, связанного с</w:t>
      </w:r>
      <w:r>
        <w:t xml:space="preserve"> терапией ингибиторами mTOR</w:t>
      </w:r>
      <w:r w:rsidRPr="00042DAA">
        <w:t>, включают позднее переключение н</w:t>
      </w:r>
      <w:r>
        <w:t>а ингибиторы mTOR</w:t>
      </w:r>
      <w:r w:rsidRPr="00042DAA">
        <w:t>, возраст, основное заболевание, почечную недостаточность,</w:t>
      </w:r>
      <w:r>
        <w:t xml:space="preserve"> </w:t>
      </w:r>
      <w:r w:rsidRPr="00042DAA">
        <w:t xml:space="preserve">сопутствующее иммуносупрессивное лечение и уровни </w:t>
      </w:r>
      <w:r>
        <w:t>ингибиторов mTOR</w:t>
      </w:r>
      <w:r w:rsidRPr="00042DAA">
        <w:t xml:space="preserve"> в сыворотке</w:t>
      </w:r>
      <w:r>
        <w:t>.</w:t>
      </w:r>
      <w:r w:rsidRPr="00042DAA">
        <w:t xml:space="preserve"> </w:t>
      </w:r>
      <w:r>
        <w:t>Патофизиология mTOR</w:t>
      </w:r>
      <w:r w:rsidRPr="00042DAA">
        <w:t>-индуцированного пневмонита неизвестна, но он</w:t>
      </w:r>
      <w:r>
        <w:t>а</w:t>
      </w:r>
      <w:r w:rsidRPr="00042DAA">
        <w:t xml:space="preserve"> может быть связан</w:t>
      </w:r>
      <w:r>
        <w:t>а</w:t>
      </w:r>
      <w:r w:rsidRPr="00042DAA">
        <w:t xml:space="preserve"> с реакцией гиперчувствительности, </w:t>
      </w:r>
      <w:r>
        <w:t>но</w:t>
      </w:r>
      <w:r w:rsidRPr="00042DAA">
        <w:t xml:space="preserve"> факт, что симптомы регрессируют при снижении дозы, свидетельствует о</w:t>
      </w:r>
      <w:r>
        <w:t xml:space="preserve"> прямом токсическом эффекте</w:t>
      </w:r>
      <w:r w:rsidRPr="00042DAA">
        <w:t>.</w:t>
      </w:r>
    </w:p>
    <w:p w14:paraId="272F7CE5" w14:textId="5A403A90" w:rsidR="00711874" w:rsidRPr="00042DAA" w:rsidRDefault="00711874" w:rsidP="00711874">
      <w:pPr>
        <w:spacing w:line="240" w:lineRule="auto"/>
        <w:ind w:firstLine="709"/>
        <w:contextualSpacing/>
      </w:pPr>
      <w:r w:rsidRPr="00042DAA">
        <w:t>Гипергликемия и дислипидемия часто встречаются у пациентов, получающих</w:t>
      </w:r>
      <w:r>
        <w:t xml:space="preserve"> ингибиторы</w:t>
      </w:r>
      <w:r w:rsidRPr="00042DAA">
        <w:t xml:space="preserve"> </w:t>
      </w:r>
      <w:r w:rsidRPr="00042DAA">
        <w:rPr>
          <w:lang w:val="en-US"/>
        </w:rPr>
        <w:t>mTOR</w:t>
      </w:r>
      <w:r w:rsidRPr="00042DAA">
        <w:t xml:space="preserve">. Рапалоги повышают уровень </w:t>
      </w:r>
      <w:r>
        <w:t>ЛПВП</w:t>
      </w:r>
      <w:r w:rsidRPr="00042DAA">
        <w:t xml:space="preserve">, </w:t>
      </w:r>
      <w:r>
        <w:t>ЛПНП</w:t>
      </w:r>
      <w:r w:rsidRPr="00042DAA">
        <w:t>, холестерина и триглицеридов примерно у 40-75% па</w:t>
      </w:r>
      <w:r>
        <w:t>циентов</w:t>
      </w:r>
      <w:r w:rsidRPr="00042DAA">
        <w:t xml:space="preserve">. Дислипидемия, вызванная </w:t>
      </w:r>
      <w:r>
        <w:t xml:space="preserve">ингибиторами </w:t>
      </w:r>
      <w:r>
        <w:rPr>
          <w:lang w:val="en-US"/>
        </w:rPr>
        <w:t>mTOR</w:t>
      </w:r>
      <w:r w:rsidRPr="00042DAA">
        <w:t>, представляет собой критическую клиническую проблему, поскольку ежегодный риск сердечно-сосудистых событий почти в 50 раз выше для пациентов с трансплантацией почки, чем для населения в целом, и на эти события приходится более одной трети всех смертей. Сиролимус заметно ин</w:t>
      </w:r>
      <w:r>
        <w:t>дуцирует гипертриглицеридемию, а</w:t>
      </w:r>
      <w:r w:rsidRPr="00042DAA">
        <w:t xml:space="preserve"> его одновременное применение в сочетании с ингиби</w:t>
      </w:r>
      <w:r>
        <w:t xml:space="preserve">тором кальциневрина увеличивает </w:t>
      </w:r>
      <w:r w:rsidRPr="00042DAA">
        <w:t xml:space="preserve">гиперхолестеринемию. Большинство </w:t>
      </w:r>
      <w:r>
        <w:t>лабораторных отклонений липидограммы являются легкими</w:t>
      </w:r>
      <w:r w:rsidRPr="00042DAA">
        <w:t xml:space="preserve">. Эти нарушения являются следствием ингибирования </w:t>
      </w:r>
      <w:r w:rsidRPr="00042DAA">
        <w:rPr>
          <w:lang w:val="en-US"/>
        </w:rPr>
        <w:t>mTOR</w:t>
      </w:r>
      <w:r w:rsidRPr="00042DAA">
        <w:t>, снижающего катаболизм циркулирующих липопротеинов за счет ингибирования активности липаз.</w:t>
      </w:r>
    </w:p>
    <w:p w14:paraId="63D72C9D" w14:textId="77777777" w:rsidR="00711874" w:rsidRDefault="00711874" w:rsidP="00711874">
      <w:pPr>
        <w:spacing w:line="240" w:lineRule="auto"/>
        <w:ind w:firstLine="709"/>
        <w:contextualSpacing/>
      </w:pPr>
      <w:r w:rsidRPr="00042DAA">
        <w:t xml:space="preserve">Рапалоги вызывают гипергликемию у 50% пациентов, а у пациентов с исходно повышенным уровнем глюкозы частота гипергликемии выше. Лечение включает модификацию диеты, физические упражнения, пероральные препараты и инсулин. Патофизиология </w:t>
      </w:r>
      <w:r w:rsidRPr="00042DAA">
        <w:rPr>
          <w:lang w:val="en-US"/>
        </w:rPr>
        <w:t>mTOR</w:t>
      </w:r>
      <w:r w:rsidRPr="00042DAA">
        <w:t xml:space="preserve">-индуцированного диабета сложна и до </w:t>
      </w:r>
      <w:r w:rsidRPr="00042DAA">
        <w:lastRenderedPageBreak/>
        <w:t>кон</w:t>
      </w:r>
      <w:r>
        <w:t xml:space="preserve">ца не изучена. </w:t>
      </w:r>
      <w:r w:rsidRPr="00042DAA">
        <w:rPr>
          <w:lang w:val="en-US"/>
        </w:rPr>
        <w:t>mTOR</w:t>
      </w:r>
      <w:r w:rsidRPr="00042DAA">
        <w:t xml:space="preserve"> участвуе</w:t>
      </w:r>
      <w:r>
        <w:t xml:space="preserve">т в передаче сигналов инсулина через ингибирование пути </w:t>
      </w:r>
      <w:r w:rsidRPr="00042DAA">
        <w:rPr>
          <w:lang w:val="en-US"/>
        </w:rPr>
        <w:t>PI</w:t>
      </w:r>
      <w:r w:rsidRPr="00042DAA">
        <w:t>3</w:t>
      </w:r>
      <w:r w:rsidRPr="00042DAA">
        <w:rPr>
          <w:lang w:val="en-US"/>
        </w:rPr>
        <w:t>K</w:t>
      </w:r>
      <w:r w:rsidRPr="00042DAA">
        <w:t>/</w:t>
      </w:r>
      <w:r w:rsidRPr="00042DAA">
        <w:rPr>
          <w:lang w:val="en-US"/>
        </w:rPr>
        <w:t>AKT</w:t>
      </w:r>
      <w:r>
        <w:t>.</w:t>
      </w:r>
    </w:p>
    <w:p w14:paraId="50D7718E" w14:textId="77777777" w:rsidR="00711874" w:rsidRPr="00F8772A" w:rsidRDefault="00711874" w:rsidP="00711874">
      <w:pPr>
        <w:spacing w:line="240" w:lineRule="auto"/>
        <w:ind w:firstLine="709"/>
        <w:contextualSpacing/>
      </w:pPr>
      <w:r>
        <w:t>У</w:t>
      </w:r>
      <w:r w:rsidRPr="00042DAA">
        <w:t xml:space="preserve">ровни фосфатов часто снижаются во время терапии </w:t>
      </w:r>
      <w:r>
        <w:t xml:space="preserve">ингибиторами </w:t>
      </w:r>
      <w:r>
        <w:rPr>
          <w:lang w:val="en-US"/>
        </w:rPr>
        <w:t>mTOR</w:t>
      </w:r>
      <w:r>
        <w:t>. С</w:t>
      </w:r>
      <w:r w:rsidRPr="00042DAA">
        <w:t>имптомы гипофосфатемии</w:t>
      </w:r>
      <w:r>
        <w:t xml:space="preserve"> -</w:t>
      </w:r>
      <w:r w:rsidRPr="00042DAA">
        <w:t xml:space="preserve"> утомляемость и мышечную слабость, неспецифичны и редко бывают тяже</w:t>
      </w:r>
      <w:r>
        <w:t xml:space="preserve">лыми. </w:t>
      </w:r>
      <w:r w:rsidRPr="00042DAA">
        <w:t xml:space="preserve">Точный механизм </w:t>
      </w:r>
      <w:r>
        <w:t>развития этого НЯ неизвестен. Н</w:t>
      </w:r>
      <w:r w:rsidRPr="00042DAA">
        <w:t>еобходимо регулярно измерять уровень фосфатов у пациентов, получающих</w:t>
      </w:r>
      <w:r>
        <w:t xml:space="preserve"> ингибиоры</w:t>
      </w:r>
      <w:r w:rsidRPr="00042DAA">
        <w:t xml:space="preserve"> </w:t>
      </w:r>
      <w:r>
        <w:rPr>
          <w:lang w:val="en-US"/>
        </w:rPr>
        <w:t>mTOR</w:t>
      </w:r>
      <w:r w:rsidRPr="00042DAA">
        <w:t>.</w:t>
      </w:r>
    </w:p>
    <w:p w14:paraId="742C2B5A" w14:textId="77777777" w:rsidR="00711874" w:rsidRPr="00F8772A" w:rsidRDefault="00711874" w:rsidP="00711874">
      <w:pPr>
        <w:spacing w:line="240" w:lineRule="auto"/>
        <w:ind w:firstLine="709"/>
        <w:contextualSpacing/>
      </w:pPr>
      <w:r w:rsidRPr="00042DAA">
        <w:t xml:space="preserve">Тестикулярная недостаточность, связанная с ингибированием </w:t>
      </w:r>
      <w:r w:rsidRPr="00042DAA">
        <w:rPr>
          <w:lang w:val="en-US"/>
        </w:rPr>
        <w:t>mTOR</w:t>
      </w:r>
      <w:r w:rsidRPr="00042DAA">
        <w:t xml:space="preserve">, </w:t>
      </w:r>
      <w:r>
        <w:t>опосредована</w:t>
      </w:r>
      <w:r w:rsidRPr="00042DAA">
        <w:t xml:space="preserve"> прекращением пролиферации сперматогониальных клеток путем блокирования пути </w:t>
      </w:r>
      <w:r w:rsidRPr="00042DAA">
        <w:rPr>
          <w:lang w:val="en-US"/>
        </w:rPr>
        <w:t>PI</w:t>
      </w:r>
      <w:r w:rsidRPr="00042DAA">
        <w:t>3</w:t>
      </w:r>
      <w:r w:rsidRPr="00042DAA">
        <w:rPr>
          <w:lang w:val="en-US"/>
        </w:rPr>
        <w:t>K</w:t>
      </w:r>
      <w:r w:rsidRPr="00042DAA">
        <w:t>/</w:t>
      </w:r>
      <w:r w:rsidRPr="00042DAA">
        <w:rPr>
          <w:lang w:val="en-US"/>
        </w:rPr>
        <w:t>AKT</w:t>
      </w:r>
      <w:r w:rsidRPr="00042DAA">
        <w:t xml:space="preserve">. Полное восстановление сперматогенеза может занять </w:t>
      </w:r>
      <w:r>
        <w:t>длительное время</w:t>
      </w:r>
      <w:r w:rsidRPr="00042DAA">
        <w:t xml:space="preserve">. Таким образом, пациенты мужского пола должны быть проинформированы </w:t>
      </w:r>
      <w:r>
        <w:t xml:space="preserve">о возможности криоконсервации спермы </w:t>
      </w:r>
      <w:r w:rsidRPr="00042DAA">
        <w:t xml:space="preserve">перед </w:t>
      </w:r>
      <w:r>
        <w:t>началом терапии ингибиторами</w:t>
      </w:r>
      <w:r w:rsidRPr="00042DAA">
        <w:t xml:space="preserve"> </w:t>
      </w:r>
      <w:r>
        <w:rPr>
          <w:lang w:val="en-US"/>
        </w:rPr>
        <w:t>mTOR</w:t>
      </w:r>
      <w:r w:rsidRPr="00042DAA">
        <w:t>.</w:t>
      </w:r>
    </w:p>
    <w:p w14:paraId="68CE85FA" w14:textId="31E11D77" w:rsidR="00711874" w:rsidRPr="005B519C" w:rsidRDefault="00711874" w:rsidP="008A7500">
      <w:pPr>
        <w:spacing w:line="240" w:lineRule="auto"/>
        <w:ind w:firstLine="709"/>
        <w:contextualSpacing/>
      </w:pPr>
      <w:r w:rsidRPr="00042DAA">
        <w:t>Раневые осложнения и лимфоцеле обычно появляются в течение первых нескольки</w:t>
      </w:r>
      <w:r>
        <w:t xml:space="preserve">х месяцев после трансплантации. Литературные данные </w:t>
      </w:r>
      <w:r w:rsidRPr="00042DAA">
        <w:t>показали, что пациенты с трансплантацией почек, сердца и печени, получавшие</w:t>
      </w:r>
      <w:r>
        <w:t xml:space="preserve"> ингибиторы</w:t>
      </w:r>
      <w:r w:rsidRPr="00042DAA">
        <w:t xml:space="preserve"> </w:t>
      </w:r>
      <w:r>
        <w:rPr>
          <w:lang w:val="en-US"/>
        </w:rPr>
        <w:t>mTOR</w:t>
      </w:r>
      <w:r w:rsidRPr="00042DAA">
        <w:t>, сообщали о большем количестве раневых осложнений и большем количестве лимфоцеле</w:t>
      </w:r>
      <w:r>
        <w:t>.</w:t>
      </w:r>
      <w:r w:rsidRPr="00042DAA">
        <w:t xml:space="preserve"> Замедленное заживление послеоперационной раны с повышенной частотой бактериальных инфекций и грыж связывают с ингибированием роста фибробластов и других цитокинов, связанных с ингибированием </w:t>
      </w:r>
      <w:r w:rsidRPr="00042DAA">
        <w:rPr>
          <w:lang w:val="en-US"/>
        </w:rPr>
        <w:t>mTOR</w:t>
      </w:r>
      <w:r w:rsidRPr="00042DAA">
        <w:t xml:space="preserve">. Лимфоцеле являются следствием утечки жидкости из поврежденных сосудистых эндотелиальных барьеров, но механизм, с помощью которого </w:t>
      </w:r>
      <w:r>
        <w:t xml:space="preserve">ингибиторы </w:t>
      </w:r>
      <w:r>
        <w:rPr>
          <w:lang w:val="en-US"/>
        </w:rPr>
        <w:t>mTOR</w:t>
      </w:r>
      <w:r w:rsidRPr="00042DAA">
        <w:t xml:space="preserve"> способству</w:t>
      </w:r>
      <w:r>
        <w:t xml:space="preserve">ет этому состоянию, неизвестен </w:t>
      </w:r>
      <w:r w:rsidRPr="00F00B04">
        <w:t>[13].</w:t>
      </w:r>
    </w:p>
    <w:p w14:paraId="45D78403" w14:textId="004050AD" w:rsidR="00711874" w:rsidRDefault="00711874" w:rsidP="008A7500">
      <w:pPr>
        <w:pStyle w:val="4"/>
        <w:spacing w:after="240" w:line="240" w:lineRule="auto"/>
        <w:rPr>
          <w:b w:val="0"/>
          <w:bCs w:val="0"/>
        </w:rPr>
      </w:pPr>
      <w:bookmarkStart w:id="326" w:name="_Toc118124215"/>
      <w:bookmarkStart w:id="327" w:name="_Toc119313783"/>
      <w:r w:rsidRPr="008A7500">
        <w:rPr>
          <w:rFonts w:ascii="Times New Roman" w:hAnsi="Times New Roman"/>
          <w:color w:val="000000" w:themeColor="text1"/>
          <w:sz w:val="24"/>
          <w:szCs w:val="24"/>
        </w:rPr>
        <w:t>4</w:t>
      </w:r>
      <w:r w:rsidR="00771365" w:rsidRPr="008A7500">
        <w:rPr>
          <w:rFonts w:ascii="Times New Roman" w:hAnsi="Times New Roman"/>
          <w:color w:val="000000" w:themeColor="text1"/>
          <w:sz w:val="24"/>
          <w:szCs w:val="24"/>
        </w:rPr>
        <w:t>.2</w:t>
      </w:r>
      <w:r w:rsidRPr="008A7500">
        <w:rPr>
          <w:rFonts w:ascii="Times New Roman" w:hAnsi="Times New Roman"/>
          <w:color w:val="000000" w:themeColor="text1"/>
          <w:sz w:val="24"/>
          <w:szCs w:val="24"/>
        </w:rPr>
        <w:t>.2.2. Препарат-специфичные эффекты</w:t>
      </w:r>
      <w:bookmarkEnd w:id="325"/>
      <w:bookmarkEnd w:id="326"/>
      <w:bookmarkEnd w:id="327"/>
    </w:p>
    <w:p w14:paraId="41329E8E" w14:textId="2FE8A09C" w:rsidR="00D133AE" w:rsidRDefault="00711874" w:rsidP="00D133AE">
      <w:pPr>
        <w:spacing w:line="240" w:lineRule="auto"/>
        <w:ind w:firstLine="709"/>
        <w:contextualSpacing/>
      </w:pPr>
      <w:r>
        <w:t>Оценка профиля безопасности и переносимости эверолимуса основана на данных, полученных у здоровых добровольцев, пациентов с доброкачественными опухолями (</w:t>
      </w:r>
      <w:r>
        <w:rPr>
          <w:bCs/>
        </w:rPr>
        <w:t>субэп</w:t>
      </w:r>
      <w:r w:rsidR="00103438">
        <w:rPr>
          <w:bCs/>
        </w:rPr>
        <w:t>е</w:t>
      </w:r>
      <w:r>
        <w:rPr>
          <w:bCs/>
        </w:rPr>
        <w:t>ндимальная гигантоклеточная астроцитома (СЭГА) и ангиолипома почки)</w:t>
      </w:r>
      <w:r>
        <w:t>, у пациентов с злокачественными опухолями (почечно-клеточный рак, нейроэндокринные опухоли, рак молочной железы) и у реципиентов трансплантатов почки, сердца и печени, участвовавших в клинических исследованиях по оценке эффективности/безо</w:t>
      </w:r>
      <w:r w:rsidR="00D133AE">
        <w:t>пасности эверолимуса.</w:t>
      </w:r>
    </w:p>
    <w:p w14:paraId="47FF9DFB" w14:textId="77777777" w:rsidR="00D133AE" w:rsidRDefault="00711874" w:rsidP="00D133AE">
      <w:pPr>
        <w:spacing w:line="240" w:lineRule="auto"/>
        <w:ind w:firstLine="709"/>
        <w:contextualSpacing/>
        <w:rPr>
          <w:bCs/>
        </w:rPr>
      </w:pPr>
      <w:r w:rsidRPr="00E03613">
        <w:rPr>
          <w:bCs/>
        </w:rPr>
        <w:t xml:space="preserve">Частота нежелательных реакций, перечисленных ниже, получена на основе анализа случаев развития </w:t>
      </w:r>
      <w:r>
        <w:rPr>
          <w:bCs/>
        </w:rPr>
        <w:t>нежелательных явлений</w:t>
      </w:r>
      <w:r w:rsidRPr="00E03613">
        <w:rPr>
          <w:bCs/>
        </w:rPr>
        <w:t xml:space="preserve"> в течение 12 месяцев, о которых сообщалось в многоцентровых рандомизированных контролируемых исследованиях </w:t>
      </w:r>
      <w:r>
        <w:rPr>
          <w:bCs/>
        </w:rPr>
        <w:t>эверолимус</w:t>
      </w:r>
      <w:r w:rsidRPr="00E03613">
        <w:rPr>
          <w:bCs/>
        </w:rPr>
        <w:t xml:space="preserve">а в комбинации с ингибиторами кальциневрина (ИКН) и кортикостероидами у взрослых реципиентов трансплантата. Все испытания, кроме двух (с трансплантацией почки), включали группы стандартной терапии, не содержащие </w:t>
      </w:r>
      <w:r>
        <w:rPr>
          <w:bCs/>
        </w:rPr>
        <w:t>эверолимус</w:t>
      </w:r>
      <w:r w:rsidRPr="00E03613">
        <w:rPr>
          <w:bCs/>
        </w:rPr>
        <w:t xml:space="preserve">, на основе ингибиторов кальциневрина. </w:t>
      </w:r>
      <w:r>
        <w:rPr>
          <w:bCs/>
        </w:rPr>
        <w:t>Эверолимус</w:t>
      </w:r>
      <w:r w:rsidRPr="00E03613">
        <w:rPr>
          <w:bCs/>
        </w:rPr>
        <w:t xml:space="preserve"> в комбинации с циклоспорином изучался в пяти исследованиях у реципиентов почечного трансплантата с общим числом пациентов 2497 (включая два исследования без контрольной группы, не получавшей </w:t>
      </w:r>
      <w:r>
        <w:rPr>
          <w:bCs/>
        </w:rPr>
        <w:t>эверолимус</w:t>
      </w:r>
      <w:r w:rsidRPr="00E03613">
        <w:rPr>
          <w:bCs/>
        </w:rPr>
        <w:t>), и в трех исследованиях с участием реципиентов трансплантированного сердц</w:t>
      </w:r>
      <w:r>
        <w:rPr>
          <w:bCs/>
        </w:rPr>
        <w:t>а с общим числом пациентов 1531. Эверолимус</w:t>
      </w:r>
      <w:r w:rsidRPr="00E03613">
        <w:rPr>
          <w:bCs/>
        </w:rPr>
        <w:t xml:space="preserve"> в комбинации с такролимусом изучали в одном исследовании, вк</w:t>
      </w:r>
      <w:r>
        <w:rPr>
          <w:bCs/>
        </w:rPr>
        <w:t>лючавшем 719 реципиентов печени</w:t>
      </w:r>
      <w:r w:rsidRPr="005B519C">
        <w:rPr>
          <w:bCs/>
        </w:rPr>
        <w:t xml:space="preserve"> </w:t>
      </w:r>
      <w:r w:rsidRPr="00F00B04">
        <w:rPr>
          <w:bCs/>
        </w:rPr>
        <w:t>[3, 5, 6, 7, 8, 9, 10, 11, 12].</w:t>
      </w:r>
    </w:p>
    <w:p w14:paraId="4B75AE17" w14:textId="714E9403" w:rsidR="00D133AE" w:rsidRDefault="00711874" w:rsidP="00D133AE">
      <w:pPr>
        <w:spacing w:line="240" w:lineRule="auto"/>
        <w:ind w:firstLine="709"/>
        <w:contextualSpacing/>
        <w:rPr>
          <w:bCs/>
        </w:rPr>
      </w:pPr>
      <w:r w:rsidRPr="00E03613">
        <w:rPr>
          <w:bCs/>
        </w:rPr>
        <w:lastRenderedPageBreak/>
        <w:t xml:space="preserve">Наиболее частыми </w:t>
      </w:r>
      <w:r>
        <w:rPr>
          <w:bCs/>
        </w:rPr>
        <w:t>НЯ</w:t>
      </w:r>
      <w:r w:rsidRPr="00E03613">
        <w:rPr>
          <w:bCs/>
        </w:rPr>
        <w:t xml:space="preserve"> являются: инфекции, анемия, гиперлипиде</w:t>
      </w:r>
      <w:r>
        <w:rPr>
          <w:bCs/>
        </w:rPr>
        <w:t>мия, вновь выявленный сахарный диабет</w:t>
      </w:r>
      <w:r w:rsidRPr="00E03613">
        <w:rPr>
          <w:bCs/>
        </w:rPr>
        <w:t xml:space="preserve">, бессонница, головная боль, артериальная гипертензия, кашель, запор, тошнота, периферические отеки, нарушение </w:t>
      </w:r>
      <w:r w:rsidR="00425EFC">
        <w:rPr>
          <w:bCs/>
        </w:rPr>
        <w:t>восстановления тканей</w:t>
      </w:r>
      <w:r w:rsidRPr="00E03613">
        <w:rPr>
          <w:bCs/>
        </w:rPr>
        <w:t xml:space="preserve"> (включая плевральный и перикардиальный выпот).</w:t>
      </w:r>
    </w:p>
    <w:p w14:paraId="0F00B3AB" w14:textId="77777777" w:rsidR="00D133AE" w:rsidRDefault="00711874" w:rsidP="00D133AE">
      <w:pPr>
        <w:spacing w:line="240" w:lineRule="auto"/>
        <w:ind w:firstLine="709"/>
        <w:contextualSpacing/>
        <w:rPr>
          <w:bCs/>
        </w:rPr>
      </w:pPr>
      <w:r w:rsidRPr="00E03613">
        <w:rPr>
          <w:bCs/>
        </w:rPr>
        <w:t xml:space="preserve">Возникновение нежелательных явлений может зависеть </w:t>
      </w:r>
      <w:r>
        <w:rPr>
          <w:bCs/>
        </w:rPr>
        <w:t>от режима иммуносупрессии (</w:t>
      </w:r>
      <w:r w:rsidRPr="00E03613">
        <w:rPr>
          <w:bCs/>
        </w:rPr>
        <w:t>степени и продолжительности</w:t>
      </w:r>
      <w:r>
        <w:rPr>
          <w:bCs/>
        </w:rPr>
        <w:t xml:space="preserve"> воздействия иммуносупрессантов</w:t>
      </w:r>
      <w:r w:rsidRPr="00E03613">
        <w:rPr>
          <w:bCs/>
        </w:rPr>
        <w:t>). В исследованиях</w:t>
      </w:r>
      <w:r>
        <w:rPr>
          <w:bCs/>
        </w:rPr>
        <w:t xml:space="preserve"> комбинации</w:t>
      </w:r>
      <w:r w:rsidRPr="00E03613">
        <w:rPr>
          <w:bCs/>
        </w:rPr>
        <w:t xml:space="preserve"> </w:t>
      </w:r>
      <w:r>
        <w:rPr>
          <w:bCs/>
        </w:rPr>
        <w:t>эверолимуса</w:t>
      </w:r>
      <w:r w:rsidRPr="00E03613">
        <w:rPr>
          <w:bCs/>
        </w:rPr>
        <w:t xml:space="preserve"> с циклоспорином, повышенный уровень креатинина в сыворотке чаще наблюдался у пациентов, получавших </w:t>
      </w:r>
      <w:r>
        <w:rPr>
          <w:bCs/>
        </w:rPr>
        <w:t>эверолимус</w:t>
      </w:r>
      <w:r w:rsidRPr="00E03613">
        <w:rPr>
          <w:bCs/>
        </w:rPr>
        <w:t xml:space="preserve"> в комбинации с полной дозой циклоспорина в виде микроэмульсии, чем у пациентов контрольной группы. Общая частота нежелательных явлений была ниже при применении уменьшенных доз ци</w:t>
      </w:r>
      <w:r>
        <w:rPr>
          <w:bCs/>
        </w:rPr>
        <w:t>клоспорина в виде микроэмульсии.</w:t>
      </w:r>
    </w:p>
    <w:p w14:paraId="336548A0" w14:textId="021B057D" w:rsidR="00711874" w:rsidRDefault="00711874" w:rsidP="00D133AE">
      <w:pPr>
        <w:spacing w:line="240" w:lineRule="auto"/>
        <w:ind w:firstLine="709"/>
        <w:contextualSpacing/>
        <w:rPr>
          <w:bCs/>
        </w:rPr>
      </w:pPr>
      <w:r w:rsidRPr="00E03613">
        <w:rPr>
          <w:bCs/>
        </w:rPr>
        <w:t xml:space="preserve">Профиль безопасности </w:t>
      </w:r>
      <w:r>
        <w:rPr>
          <w:bCs/>
        </w:rPr>
        <w:t>эверолимус</w:t>
      </w:r>
      <w:r w:rsidRPr="00E03613">
        <w:rPr>
          <w:bCs/>
        </w:rPr>
        <w:t xml:space="preserve">а, назначаемого с циклоспорином в уменьшенной дозе, был аналогичен профилю, описанному в 3 опорных исследованиях, в которых назначали циклоспорин в полной дозе, за исключением того, что повышение уровня креатинина в сыворотке наблюдалось реже, а средние и медианные значения креатинина в сыворотке были ниже, чем в исследования фазы </w:t>
      </w:r>
      <w:r w:rsidRPr="00E03613">
        <w:rPr>
          <w:bCs/>
          <w:lang w:val="en-US"/>
        </w:rPr>
        <w:t>III</w:t>
      </w:r>
      <w:r>
        <w:rPr>
          <w:bCs/>
        </w:rPr>
        <w:t xml:space="preserve"> </w:t>
      </w:r>
      <w:r w:rsidRPr="00F00B04">
        <w:rPr>
          <w:bCs/>
        </w:rPr>
        <w:t>[3].</w:t>
      </w:r>
    </w:p>
    <w:p w14:paraId="61AE480D" w14:textId="77777777" w:rsidR="00D133AE" w:rsidRPr="00D133AE" w:rsidRDefault="00D133AE" w:rsidP="00D133AE">
      <w:pPr>
        <w:spacing w:line="240" w:lineRule="auto"/>
        <w:ind w:firstLine="709"/>
        <w:contextualSpacing/>
      </w:pPr>
    </w:p>
    <w:p w14:paraId="3D2DD4E9" w14:textId="77777777" w:rsidR="008A7500" w:rsidRDefault="008A7500" w:rsidP="00711874">
      <w:pPr>
        <w:spacing w:before="120" w:after="120" w:line="240" w:lineRule="auto"/>
        <w:contextualSpacing/>
        <w:outlineLvl w:val="2"/>
        <w:rPr>
          <w:b/>
          <w:bCs/>
        </w:rPr>
        <w:sectPr w:rsidR="008A7500" w:rsidSect="00AB01E2">
          <w:pgSz w:w="11906" w:h="16838"/>
          <w:pgMar w:top="1134" w:right="849" w:bottom="1134" w:left="1701" w:header="708" w:footer="709" w:gutter="0"/>
          <w:cols w:space="708"/>
          <w:docGrid w:linePitch="360"/>
        </w:sectPr>
      </w:pPr>
      <w:bookmarkStart w:id="328" w:name="_Toc118124216"/>
    </w:p>
    <w:p w14:paraId="4686B06E" w14:textId="77777777" w:rsidR="00711874" w:rsidRPr="008A7500" w:rsidRDefault="00711874" w:rsidP="008A7500">
      <w:pPr>
        <w:spacing w:after="0" w:line="240" w:lineRule="auto"/>
        <w:rPr>
          <w:b/>
          <w:bCs/>
        </w:rPr>
      </w:pPr>
      <w:bookmarkStart w:id="329" w:name="_Toc118124217"/>
      <w:bookmarkEnd w:id="328"/>
      <w:r w:rsidRPr="008A7500">
        <w:rPr>
          <w:b/>
          <w:bCs/>
        </w:rPr>
        <w:lastRenderedPageBreak/>
        <w:t>Трансплантация почки</w:t>
      </w:r>
      <w:bookmarkEnd w:id="329"/>
    </w:p>
    <w:p w14:paraId="3680BF2D" w14:textId="77777777" w:rsidR="008A7500" w:rsidRDefault="008A7500" w:rsidP="00711874">
      <w:pPr>
        <w:shd w:val="clear" w:color="auto" w:fill="FFFFFF"/>
        <w:spacing w:after="143" w:line="240" w:lineRule="auto"/>
        <w:ind w:firstLine="709"/>
        <w:contextualSpacing/>
        <w:rPr>
          <w:rFonts w:eastAsia="Times New Roman"/>
          <w:color w:val="000000"/>
          <w:lang w:eastAsia="ru-RU"/>
        </w:rPr>
      </w:pPr>
    </w:p>
    <w:p w14:paraId="382B44FA" w14:textId="4CB77E9A" w:rsidR="00711874" w:rsidRPr="00F7306C" w:rsidRDefault="00711874" w:rsidP="00711874">
      <w:pPr>
        <w:shd w:val="clear" w:color="auto" w:fill="FFFFFF"/>
        <w:spacing w:after="143" w:line="240" w:lineRule="auto"/>
        <w:ind w:firstLine="709"/>
        <w:contextualSpacing/>
        <w:rPr>
          <w:rFonts w:eastAsia="Times New Roman"/>
          <w:color w:val="000000"/>
          <w:lang w:eastAsia="ru-RU"/>
        </w:rPr>
      </w:pPr>
      <w:r w:rsidRPr="00F7306C">
        <w:rPr>
          <w:rFonts w:eastAsia="Times New Roman"/>
          <w:color w:val="000000"/>
          <w:lang w:eastAsia="ru-RU"/>
        </w:rPr>
        <w:t xml:space="preserve">Изменения функции почек в исследовании А2309, рассчитанные по скорости клубочковой фильтрации (СКФ) по формуле MDRD, приведены в </w:t>
      </w:r>
      <w:r w:rsidRPr="00711874">
        <w:rPr>
          <w:rFonts w:eastAsia="Times New Roman"/>
          <w:color w:val="000000"/>
          <w:lang w:eastAsia="ru-RU"/>
        </w:rPr>
        <w:t>таблице 4-16.</w:t>
      </w:r>
    </w:p>
    <w:p w14:paraId="6F01FC91" w14:textId="0666CD89" w:rsidR="00711874" w:rsidRPr="00F7306C" w:rsidRDefault="00711874" w:rsidP="00711874">
      <w:pPr>
        <w:shd w:val="clear" w:color="auto" w:fill="FFFFFF"/>
        <w:spacing w:after="143" w:line="240" w:lineRule="auto"/>
        <w:ind w:firstLine="709"/>
        <w:contextualSpacing/>
        <w:rPr>
          <w:rFonts w:eastAsia="Times New Roman"/>
          <w:color w:val="000000"/>
          <w:lang w:eastAsia="ru-RU"/>
        </w:rPr>
      </w:pPr>
      <w:r w:rsidRPr="00F7306C">
        <w:rPr>
          <w:rFonts w:eastAsia="Times New Roman"/>
          <w:color w:val="000000"/>
          <w:lang w:eastAsia="ru-RU"/>
        </w:rPr>
        <w:t>Протеинурию оценивали на плановых визитах с помощью точечного анализа соотношения белок/креатинин в моче (</w:t>
      </w:r>
      <w:r w:rsidRPr="00711874">
        <w:rPr>
          <w:rFonts w:eastAsia="Times New Roman"/>
          <w:color w:val="000000"/>
          <w:lang w:eastAsia="ru-RU"/>
        </w:rPr>
        <w:t>см. таблицу </w:t>
      </w:r>
      <w:r>
        <w:rPr>
          <w:rFonts w:eastAsia="Times New Roman"/>
          <w:color w:val="000000"/>
          <w:lang w:eastAsia="ru-RU"/>
        </w:rPr>
        <w:t>4-17</w:t>
      </w:r>
      <w:r w:rsidRPr="00F7306C">
        <w:rPr>
          <w:rFonts w:eastAsia="Times New Roman"/>
          <w:color w:val="000000"/>
          <w:lang w:eastAsia="ru-RU"/>
        </w:rPr>
        <w:t>). Было показано влияние концентрации, связывающее уровни протеинурии с минимальными концентрациями эверолимуса, особенно при значениях C</w:t>
      </w:r>
      <w:r w:rsidRPr="00F7306C">
        <w:rPr>
          <w:rFonts w:eastAsia="Times New Roman"/>
          <w:color w:val="000000"/>
          <w:vertAlign w:val="subscript"/>
          <w:lang w:eastAsia="ru-RU"/>
        </w:rPr>
        <w:t xml:space="preserve">min </w:t>
      </w:r>
      <w:r w:rsidRPr="00F7306C">
        <w:rPr>
          <w:rFonts w:eastAsia="Times New Roman"/>
          <w:color w:val="000000"/>
          <w:lang w:eastAsia="ru-RU"/>
        </w:rPr>
        <w:t>выше 8 нг/мл.</w:t>
      </w:r>
    </w:p>
    <w:p w14:paraId="3A432709" w14:textId="77777777" w:rsidR="00711874" w:rsidRPr="00F00B04" w:rsidRDefault="00711874" w:rsidP="00711874">
      <w:pPr>
        <w:shd w:val="clear" w:color="auto" w:fill="FFFFFF"/>
        <w:spacing w:after="143" w:line="240" w:lineRule="auto"/>
        <w:ind w:firstLine="709"/>
        <w:contextualSpacing/>
        <w:rPr>
          <w:rFonts w:eastAsia="Times New Roman"/>
          <w:color w:val="000000"/>
          <w:lang w:eastAsia="ru-RU"/>
        </w:rPr>
      </w:pPr>
      <w:r w:rsidRPr="00F7306C">
        <w:rPr>
          <w:rFonts w:eastAsia="Times New Roman"/>
          <w:color w:val="000000"/>
          <w:lang w:eastAsia="ru-RU"/>
        </w:rPr>
        <w:t>Нежелательные явления, о которых сообщалось чаще при рекомендуемой схеме с более низкой дозой эверолимуса, чем в контрольной группе MPA, были включены в таблицу 4. Сообщалось о более низкой частоте вирусных инфекций у пациентов, получавших эверолимус, что было обусловлено, главным образом, более низкой частотой развития инфекции ЦМВ (0,7 % и 5,95 %) и вирус</w:t>
      </w:r>
      <w:r>
        <w:rPr>
          <w:rFonts w:eastAsia="Times New Roman"/>
          <w:color w:val="000000"/>
          <w:lang w:eastAsia="ru-RU"/>
        </w:rPr>
        <w:t xml:space="preserve">ной инфекции ВК (1,5 % и 4,8 %) </w:t>
      </w:r>
      <w:r w:rsidRPr="00F00B04">
        <w:rPr>
          <w:bCs/>
        </w:rPr>
        <w:t>[3].</w:t>
      </w:r>
    </w:p>
    <w:p w14:paraId="3D3D4E60" w14:textId="77777777" w:rsidR="00711874" w:rsidRPr="00F7306C" w:rsidRDefault="00711874" w:rsidP="00711874">
      <w:pPr>
        <w:shd w:val="clear" w:color="auto" w:fill="FFFFFF"/>
        <w:spacing w:after="143" w:line="240" w:lineRule="auto"/>
        <w:contextualSpacing/>
        <w:rPr>
          <w:rFonts w:eastAsia="Times New Roman"/>
          <w:color w:val="000000"/>
          <w:lang w:eastAsia="ru-RU"/>
        </w:rPr>
      </w:pPr>
    </w:p>
    <w:p w14:paraId="73F48500" w14:textId="54BFD7B1" w:rsidR="00711874" w:rsidRPr="00F7306C" w:rsidRDefault="00711874" w:rsidP="00711874">
      <w:pPr>
        <w:shd w:val="clear" w:color="auto" w:fill="FFFFFF"/>
        <w:spacing w:after="143" w:line="240" w:lineRule="auto"/>
        <w:contextualSpacing/>
        <w:rPr>
          <w:rFonts w:eastAsia="Times New Roman"/>
          <w:color w:val="000000"/>
          <w:lang w:eastAsia="ru-RU"/>
        </w:rPr>
      </w:pPr>
      <w:r w:rsidRPr="00711874">
        <w:rPr>
          <w:rFonts w:eastAsia="Times New Roman"/>
          <w:b/>
          <w:bCs/>
          <w:color w:val="000000"/>
          <w:lang w:eastAsia="ru-RU"/>
        </w:rPr>
        <w:t>Таблица 4-16.</w:t>
      </w:r>
      <w:r w:rsidRPr="00F7306C">
        <w:rPr>
          <w:rFonts w:eastAsia="Times New Roman"/>
          <w:b/>
          <w:bCs/>
          <w:color w:val="000000"/>
          <w:lang w:eastAsia="ru-RU"/>
        </w:rPr>
        <w:t xml:space="preserve"> </w:t>
      </w:r>
      <w:r w:rsidRPr="00F7306C">
        <w:rPr>
          <w:rFonts w:eastAsia="Times New Roman"/>
          <w:bCs/>
          <w:color w:val="000000"/>
          <w:lang w:eastAsia="ru-RU"/>
        </w:rPr>
        <w:t>Исследование A2309: Функция почек (MDRD-рассчитанная СКФ) через 12 месяцев (популяция ITT)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307"/>
        <w:gridCol w:w="2424"/>
        <w:gridCol w:w="2308"/>
        <w:gridCol w:w="2307"/>
      </w:tblGrid>
      <w:tr w:rsidR="00711874" w:rsidRPr="00F7306C" w14:paraId="71F0ECAA" w14:textId="77777777" w:rsidTr="0071249E">
        <w:tc>
          <w:tcPr>
            <w:tcW w:w="1234" w:type="pct"/>
            <w:shd w:val="clear" w:color="auto" w:fill="D9D9D9" w:themeFill="background1" w:themeFillShade="D9"/>
            <w:tcMar>
              <w:top w:w="30" w:type="dxa"/>
              <w:left w:w="30" w:type="dxa"/>
              <w:bottom w:w="30" w:type="dxa"/>
              <w:right w:w="30" w:type="dxa"/>
            </w:tcMar>
            <w:hideMark/>
          </w:tcPr>
          <w:p w14:paraId="069F3FD3" w14:textId="77777777" w:rsidR="00711874" w:rsidRPr="00F7306C" w:rsidRDefault="00711874" w:rsidP="00711874">
            <w:pPr>
              <w:spacing w:line="240" w:lineRule="auto"/>
              <w:contextualSpacing/>
              <w:rPr>
                <w:rFonts w:eastAsia="Times New Roman"/>
                <w:lang w:eastAsia="ru-RU"/>
              </w:rPr>
            </w:pPr>
          </w:p>
        </w:tc>
        <w:tc>
          <w:tcPr>
            <w:tcW w:w="1297" w:type="pct"/>
            <w:shd w:val="clear" w:color="auto" w:fill="D9D9D9" w:themeFill="background1" w:themeFillShade="D9"/>
            <w:tcMar>
              <w:top w:w="30" w:type="dxa"/>
              <w:left w:w="30" w:type="dxa"/>
              <w:bottom w:w="30" w:type="dxa"/>
              <w:right w:w="30" w:type="dxa"/>
            </w:tcMar>
            <w:hideMark/>
          </w:tcPr>
          <w:p w14:paraId="266027A5" w14:textId="0CCF51A8" w:rsidR="00711874" w:rsidRPr="00F7306C" w:rsidRDefault="002608A1" w:rsidP="0071249E">
            <w:pPr>
              <w:spacing w:line="240" w:lineRule="auto"/>
              <w:contextualSpacing/>
              <w:jc w:val="center"/>
              <w:rPr>
                <w:rFonts w:eastAsia="Times New Roman"/>
                <w:lang w:eastAsia="ru-RU"/>
              </w:rPr>
            </w:pPr>
            <w:r w:rsidRPr="0071249E">
              <w:rPr>
                <w:rFonts w:eastAsia="Times New Roman"/>
                <w:b/>
                <w:color w:val="000000"/>
                <w:lang w:eastAsia="ru-RU"/>
              </w:rPr>
              <w:t>Эверолимус</w:t>
            </w:r>
            <w:r w:rsidR="00711874" w:rsidRPr="00F7306C">
              <w:rPr>
                <w:rFonts w:eastAsia="Times New Roman"/>
                <w:b/>
                <w:bCs/>
                <w:lang w:eastAsia="ru-RU"/>
              </w:rPr>
              <w:t>1,5 мг</w:t>
            </w:r>
          </w:p>
          <w:p w14:paraId="51DD9BF0"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b/>
                <w:bCs/>
                <w:lang w:eastAsia="ru-RU"/>
              </w:rPr>
              <w:t>N = 277</w:t>
            </w:r>
          </w:p>
        </w:tc>
        <w:tc>
          <w:tcPr>
            <w:tcW w:w="1235" w:type="pct"/>
            <w:shd w:val="clear" w:color="auto" w:fill="D9D9D9" w:themeFill="background1" w:themeFillShade="D9"/>
            <w:tcMar>
              <w:top w:w="30" w:type="dxa"/>
              <w:left w:w="30" w:type="dxa"/>
              <w:bottom w:w="30" w:type="dxa"/>
              <w:right w:w="30" w:type="dxa"/>
            </w:tcMar>
            <w:hideMark/>
          </w:tcPr>
          <w:p w14:paraId="3DB42C77" w14:textId="087C54C7" w:rsidR="00711874" w:rsidRPr="00F7306C" w:rsidRDefault="002608A1" w:rsidP="0071249E">
            <w:pPr>
              <w:spacing w:line="240" w:lineRule="auto"/>
              <w:contextualSpacing/>
              <w:jc w:val="center"/>
              <w:rPr>
                <w:rFonts w:eastAsia="Times New Roman"/>
                <w:lang w:eastAsia="ru-RU"/>
              </w:rPr>
            </w:pPr>
            <w:r>
              <w:rPr>
                <w:rFonts w:eastAsia="Times New Roman"/>
                <w:b/>
                <w:bCs/>
                <w:lang w:eastAsia="ru-RU"/>
              </w:rPr>
              <w:t>Эверолимус</w:t>
            </w:r>
            <w:r w:rsidRPr="00F7306C">
              <w:rPr>
                <w:rFonts w:eastAsia="Times New Roman"/>
                <w:b/>
                <w:bCs/>
                <w:lang w:eastAsia="ru-RU"/>
              </w:rPr>
              <w:t xml:space="preserve"> </w:t>
            </w:r>
            <w:r w:rsidR="00711874" w:rsidRPr="00F7306C">
              <w:rPr>
                <w:rFonts w:eastAsia="Times New Roman"/>
                <w:b/>
                <w:bCs/>
                <w:lang w:eastAsia="ru-RU"/>
              </w:rPr>
              <w:t>3,0 мг</w:t>
            </w:r>
          </w:p>
          <w:p w14:paraId="441AA8BF"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b/>
                <w:bCs/>
                <w:lang w:eastAsia="ru-RU"/>
              </w:rPr>
              <w:t>N=279</w:t>
            </w:r>
          </w:p>
        </w:tc>
        <w:tc>
          <w:tcPr>
            <w:tcW w:w="1235" w:type="pct"/>
            <w:shd w:val="clear" w:color="auto" w:fill="D9D9D9" w:themeFill="background1" w:themeFillShade="D9"/>
            <w:tcMar>
              <w:top w:w="30" w:type="dxa"/>
              <w:left w:w="30" w:type="dxa"/>
              <w:bottom w:w="30" w:type="dxa"/>
              <w:right w:w="30" w:type="dxa"/>
            </w:tcMar>
            <w:hideMark/>
          </w:tcPr>
          <w:p w14:paraId="4DC88738"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b/>
                <w:bCs/>
                <w:lang w:eastAsia="ru-RU"/>
              </w:rPr>
              <w:t>MPA 1,44 г</w:t>
            </w:r>
          </w:p>
          <w:p w14:paraId="20F85566"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b/>
                <w:bCs/>
                <w:lang w:eastAsia="ru-RU"/>
              </w:rPr>
              <w:t>N = 277</w:t>
            </w:r>
          </w:p>
        </w:tc>
      </w:tr>
      <w:tr w:rsidR="00711874" w:rsidRPr="00F7306C" w14:paraId="7729B702" w14:textId="77777777" w:rsidTr="0071249E">
        <w:tc>
          <w:tcPr>
            <w:tcW w:w="1234" w:type="pct"/>
            <w:shd w:val="clear" w:color="auto" w:fill="auto"/>
            <w:tcMar>
              <w:top w:w="30" w:type="dxa"/>
              <w:left w:w="30" w:type="dxa"/>
              <w:bottom w:w="30" w:type="dxa"/>
              <w:right w:w="30" w:type="dxa"/>
            </w:tcMar>
            <w:hideMark/>
          </w:tcPr>
          <w:p w14:paraId="42B421F4" w14:textId="77777777" w:rsidR="00711874" w:rsidRPr="00F7306C" w:rsidRDefault="00711874" w:rsidP="00711874">
            <w:pPr>
              <w:spacing w:line="240" w:lineRule="auto"/>
              <w:contextualSpacing/>
              <w:rPr>
                <w:rFonts w:eastAsia="Times New Roman"/>
                <w:lang w:eastAsia="ru-RU"/>
              </w:rPr>
            </w:pPr>
            <w:r w:rsidRPr="00F7306C">
              <w:rPr>
                <w:rFonts w:eastAsia="Times New Roman"/>
                <w:lang w:eastAsia="ru-RU"/>
              </w:rPr>
              <w:t>Средняя СКФ за 12 месяцев (мл/мин/1,73 м</w:t>
            </w:r>
            <w:r w:rsidRPr="00F7306C">
              <w:rPr>
                <w:rFonts w:eastAsia="Times New Roman"/>
                <w:vertAlign w:val="superscript"/>
                <w:lang w:eastAsia="ru-RU"/>
              </w:rPr>
              <w:t>2</w:t>
            </w:r>
            <w:r w:rsidRPr="00F7306C">
              <w:rPr>
                <w:rFonts w:eastAsia="Times New Roman"/>
                <w:lang w:eastAsia="ru-RU"/>
              </w:rPr>
              <w:t xml:space="preserve">) </w:t>
            </w:r>
          </w:p>
        </w:tc>
        <w:tc>
          <w:tcPr>
            <w:tcW w:w="1297" w:type="pct"/>
            <w:shd w:val="clear" w:color="auto" w:fill="auto"/>
            <w:tcMar>
              <w:top w:w="30" w:type="dxa"/>
              <w:left w:w="30" w:type="dxa"/>
              <w:bottom w:w="30" w:type="dxa"/>
              <w:right w:w="30" w:type="dxa"/>
            </w:tcMar>
            <w:vAlign w:val="center"/>
            <w:hideMark/>
          </w:tcPr>
          <w:p w14:paraId="13877292"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54,6</w:t>
            </w:r>
          </w:p>
        </w:tc>
        <w:tc>
          <w:tcPr>
            <w:tcW w:w="1235" w:type="pct"/>
            <w:shd w:val="clear" w:color="auto" w:fill="auto"/>
            <w:tcMar>
              <w:top w:w="30" w:type="dxa"/>
              <w:left w:w="30" w:type="dxa"/>
              <w:bottom w:w="30" w:type="dxa"/>
              <w:right w:w="30" w:type="dxa"/>
            </w:tcMar>
            <w:vAlign w:val="center"/>
            <w:hideMark/>
          </w:tcPr>
          <w:p w14:paraId="4E431837"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51,3</w:t>
            </w:r>
          </w:p>
        </w:tc>
        <w:tc>
          <w:tcPr>
            <w:tcW w:w="1235" w:type="pct"/>
            <w:shd w:val="clear" w:color="auto" w:fill="auto"/>
            <w:tcMar>
              <w:top w:w="30" w:type="dxa"/>
              <w:left w:w="30" w:type="dxa"/>
              <w:bottom w:w="30" w:type="dxa"/>
              <w:right w:w="30" w:type="dxa"/>
            </w:tcMar>
            <w:vAlign w:val="center"/>
            <w:hideMark/>
          </w:tcPr>
          <w:p w14:paraId="7F04D343"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52,2</w:t>
            </w:r>
          </w:p>
        </w:tc>
      </w:tr>
      <w:tr w:rsidR="00711874" w:rsidRPr="00F7306C" w14:paraId="47EFD272" w14:textId="77777777" w:rsidTr="0071249E">
        <w:tc>
          <w:tcPr>
            <w:tcW w:w="1234" w:type="pct"/>
            <w:shd w:val="clear" w:color="auto" w:fill="auto"/>
            <w:tcMar>
              <w:top w:w="30" w:type="dxa"/>
              <w:left w:w="30" w:type="dxa"/>
              <w:bottom w:w="30" w:type="dxa"/>
              <w:right w:w="30" w:type="dxa"/>
            </w:tcMar>
            <w:hideMark/>
          </w:tcPr>
          <w:p w14:paraId="165EC9BB" w14:textId="77777777" w:rsidR="00711874" w:rsidRPr="00F7306C" w:rsidRDefault="00711874" w:rsidP="00711874">
            <w:pPr>
              <w:spacing w:line="240" w:lineRule="auto"/>
              <w:contextualSpacing/>
              <w:rPr>
                <w:rFonts w:eastAsia="Times New Roman"/>
                <w:lang w:eastAsia="ru-RU"/>
              </w:rPr>
            </w:pPr>
            <w:r w:rsidRPr="00F7306C">
              <w:rPr>
                <w:rFonts w:eastAsia="Times New Roman"/>
                <w:lang w:eastAsia="ru-RU"/>
              </w:rPr>
              <w:t xml:space="preserve">Разница в среднем значении (эверолимус - </w:t>
            </w:r>
            <w:r w:rsidRPr="00F7306C">
              <w:rPr>
                <w:rFonts w:eastAsia="Times New Roman"/>
                <w:color w:val="000000"/>
                <w:lang w:eastAsia="ru-RU"/>
              </w:rPr>
              <w:t>MPA</w:t>
            </w:r>
            <w:r w:rsidRPr="00F7306C">
              <w:rPr>
                <w:rFonts w:eastAsia="Times New Roman"/>
                <w:lang w:eastAsia="ru-RU"/>
              </w:rPr>
              <w:t>)</w:t>
            </w:r>
          </w:p>
          <w:p w14:paraId="4D6DC41A" w14:textId="77777777" w:rsidR="00711874" w:rsidRPr="00F7306C" w:rsidRDefault="00711874" w:rsidP="00711874">
            <w:pPr>
              <w:spacing w:line="240" w:lineRule="auto"/>
              <w:contextualSpacing/>
              <w:rPr>
                <w:rFonts w:eastAsia="Times New Roman"/>
                <w:lang w:eastAsia="ru-RU"/>
              </w:rPr>
            </w:pPr>
            <w:r w:rsidRPr="00F7306C">
              <w:rPr>
                <w:rFonts w:eastAsia="Times New Roman"/>
                <w:lang w:eastAsia="ru-RU"/>
              </w:rPr>
              <w:t>95 % ДИ</w:t>
            </w:r>
          </w:p>
        </w:tc>
        <w:tc>
          <w:tcPr>
            <w:tcW w:w="1297" w:type="pct"/>
            <w:shd w:val="clear" w:color="auto" w:fill="auto"/>
            <w:tcMar>
              <w:top w:w="30" w:type="dxa"/>
              <w:left w:w="30" w:type="dxa"/>
              <w:bottom w:w="30" w:type="dxa"/>
              <w:right w:w="30" w:type="dxa"/>
            </w:tcMar>
            <w:vAlign w:val="center"/>
            <w:hideMark/>
          </w:tcPr>
          <w:p w14:paraId="070909FE"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2,37</w:t>
            </w:r>
          </w:p>
          <w:p w14:paraId="00D10203"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(-1,7, 6,4)</w:t>
            </w:r>
          </w:p>
        </w:tc>
        <w:tc>
          <w:tcPr>
            <w:tcW w:w="1235" w:type="pct"/>
            <w:shd w:val="clear" w:color="auto" w:fill="auto"/>
            <w:tcMar>
              <w:top w:w="30" w:type="dxa"/>
              <w:left w:w="30" w:type="dxa"/>
              <w:bottom w:w="30" w:type="dxa"/>
              <w:right w:w="30" w:type="dxa"/>
            </w:tcMar>
            <w:vAlign w:val="center"/>
            <w:hideMark/>
          </w:tcPr>
          <w:p w14:paraId="6D46CB0F"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-0,89</w:t>
            </w:r>
          </w:p>
          <w:p w14:paraId="4FE8F177"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(-5,0, 3,2)</w:t>
            </w:r>
          </w:p>
        </w:tc>
        <w:tc>
          <w:tcPr>
            <w:tcW w:w="1235" w:type="pct"/>
            <w:shd w:val="clear" w:color="auto" w:fill="auto"/>
            <w:tcMar>
              <w:top w:w="30" w:type="dxa"/>
              <w:left w:w="30" w:type="dxa"/>
              <w:bottom w:w="30" w:type="dxa"/>
              <w:right w:w="30" w:type="dxa"/>
            </w:tcMar>
            <w:vAlign w:val="center"/>
            <w:hideMark/>
          </w:tcPr>
          <w:p w14:paraId="36844091"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w:t>
            </w:r>
          </w:p>
          <w:p w14:paraId="0AADC874" w14:textId="77777777" w:rsidR="00711874" w:rsidRPr="00F7306C" w:rsidRDefault="00711874" w:rsidP="0071249E">
            <w:pPr>
              <w:spacing w:line="240" w:lineRule="auto"/>
              <w:contextualSpacing/>
              <w:jc w:val="center"/>
              <w:rPr>
                <w:rFonts w:eastAsia="Times New Roman"/>
                <w:lang w:eastAsia="ru-RU"/>
              </w:rPr>
            </w:pPr>
            <w:r w:rsidRPr="00F7306C">
              <w:rPr>
                <w:rFonts w:eastAsia="Times New Roman"/>
                <w:lang w:eastAsia="ru-RU"/>
              </w:rPr>
              <w:t>-</w:t>
            </w:r>
          </w:p>
        </w:tc>
      </w:tr>
      <w:tr w:rsidR="002608A1" w:rsidRPr="00F7306C" w14:paraId="52462103" w14:textId="77777777" w:rsidTr="0071249E">
        <w:tc>
          <w:tcPr>
            <w:tcW w:w="5000" w:type="pct"/>
            <w:gridSpan w:val="4"/>
            <w:shd w:val="clear" w:color="auto" w:fill="auto"/>
            <w:tcMar>
              <w:top w:w="30" w:type="dxa"/>
              <w:left w:w="30" w:type="dxa"/>
              <w:bottom w:w="30" w:type="dxa"/>
              <w:right w:w="30" w:type="dxa"/>
            </w:tcMar>
          </w:tcPr>
          <w:p w14:paraId="3C328E3F" w14:textId="77777777" w:rsidR="002608A1" w:rsidRPr="00F7306C" w:rsidRDefault="002608A1" w:rsidP="002608A1">
            <w:pPr>
              <w:shd w:val="clear" w:color="auto" w:fill="FFFFFF"/>
              <w:spacing w:after="143" w:line="240" w:lineRule="auto"/>
              <w:contextualSpacing/>
              <w:rPr>
                <w:rFonts w:eastAsia="Times New Roman"/>
                <w:b/>
                <w:color w:val="000000"/>
                <w:sz w:val="20"/>
                <w:szCs w:val="20"/>
                <w:lang w:eastAsia="ru-RU"/>
              </w:rPr>
            </w:pPr>
            <w:r w:rsidRPr="00F7306C">
              <w:rPr>
                <w:rFonts w:eastAsia="Times New Roman"/>
                <w:b/>
                <w:color w:val="000000"/>
                <w:sz w:val="20"/>
                <w:szCs w:val="20"/>
                <w:lang w:eastAsia="ru-RU"/>
              </w:rPr>
              <w:t>Примечание:</w:t>
            </w:r>
          </w:p>
          <w:p w14:paraId="7A87DB1A" w14:textId="77777777" w:rsidR="002608A1" w:rsidRPr="00F7306C" w:rsidRDefault="002608A1" w:rsidP="002608A1">
            <w:pPr>
              <w:shd w:val="clear" w:color="auto" w:fill="FFFFFF"/>
              <w:spacing w:after="143" w:line="240" w:lineRule="auto"/>
              <w:contextualSpacing/>
              <w:rPr>
                <w:rFonts w:eastAsia="Times New Roman"/>
                <w:color w:val="000000"/>
                <w:sz w:val="20"/>
                <w:szCs w:val="20"/>
                <w:lang w:eastAsia="ru-RU"/>
              </w:rPr>
            </w:pPr>
            <w:r w:rsidRPr="00F7306C">
              <w:rPr>
                <w:rFonts w:eastAsia="Times New Roman"/>
                <w:color w:val="000000"/>
                <w:sz w:val="20"/>
                <w:szCs w:val="20"/>
                <w:lang w:eastAsia="ru-RU"/>
              </w:rPr>
              <w:t>Подстановка отсутствующего значения СКФ за 12 месяцев: отторжение трансплантата = 0; смерть или потеря контакта для последующего наблюдения за функцией почек = LOCF1 (перенос данных последнего наблюдения вперед, подход 1: окончание лечения (до 12</w:t>
            </w:r>
            <w:r w:rsidRPr="00F7306C">
              <w:rPr>
                <w:rFonts w:eastAsia="Times New Roman"/>
                <w:color w:val="000000"/>
                <w:sz w:val="20"/>
                <w:szCs w:val="20"/>
                <w:lang w:eastAsia="ru-RU"/>
              </w:rPr>
              <w:noBreakHyphen/>
              <w:t>го месяца)).</w:t>
            </w:r>
          </w:p>
          <w:p w14:paraId="77C817CE" w14:textId="722F7595" w:rsidR="002608A1" w:rsidRPr="0071249E" w:rsidRDefault="002608A1" w:rsidP="0071249E">
            <w:pPr>
              <w:shd w:val="clear" w:color="auto" w:fill="FFFFFF"/>
              <w:spacing w:after="143" w:line="240" w:lineRule="auto"/>
              <w:contextualSpacing/>
              <w:rPr>
                <w:rFonts w:eastAsia="Times New Roman"/>
                <w:color w:val="000000"/>
                <w:sz w:val="20"/>
                <w:szCs w:val="20"/>
                <w:lang w:eastAsia="ru-RU"/>
              </w:rPr>
            </w:pPr>
            <w:r w:rsidRPr="00F7306C">
              <w:rPr>
                <w:rFonts w:eastAsia="Times New Roman"/>
                <w:color w:val="000000"/>
                <w:sz w:val="20"/>
                <w:szCs w:val="20"/>
                <w:lang w:eastAsia="ru-RU"/>
              </w:rPr>
              <w:t>MDRD: модификация диеты при болезни почек</w:t>
            </w:r>
          </w:p>
        </w:tc>
      </w:tr>
    </w:tbl>
    <w:p w14:paraId="55C28F45" w14:textId="77777777" w:rsidR="00711874" w:rsidRDefault="00711874" w:rsidP="00711874">
      <w:pPr>
        <w:shd w:val="clear" w:color="auto" w:fill="FFFFFF"/>
        <w:spacing w:after="143" w:line="240" w:lineRule="auto"/>
        <w:contextualSpacing/>
        <w:rPr>
          <w:rFonts w:eastAsia="Times New Roman"/>
          <w:color w:val="000000"/>
          <w:sz w:val="20"/>
          <w:szCs w:val="20"/>
          <w:lang w:eastAsia="ru-RU"/>
        </w:rPr>
      </w:pPr>
    </w:p>
    <w:p w14:paraId="23FF3045" w14:textId="7D112CE5" w:rsidR="00711874" w:rsidRDefault="00711874" w:rsidP="00711874">
      <w:pPr>
        <w:shd w:val="clear" w:color="auto" w:fill="FFFFFF"/>
        <w:spacing w:after="143" w:line="240" w:lineRule="auto"/>
        <w:contextualSpacing/>
        <w:rPr>
          <w:rFonts w:eastAsia="Times New Roman"/>
          <w:bCs/>
          <w:color w:val="000000"/>
          <w:lang w:eastAsia="ru-RU"/>
        </w:rPr>
      </w:pPr>
      <w:r w:rsidRPr="00711874">
        <w:rPr>
          <w:rFonts w:eastAsia="Times New Roman"/>
          <w:b/>
          <w:bCs/>
          <w:color w:val="000000"/>
          <w:lang w:eastAsia="ru-RU"/>
        </w:rPr>
        <w:t xml:space="preserve">Таблица </w:t>
      </w:r>
      <w:r>
        <w:rPr>
          <w:rFonts w:eastAsia="Times New Roman"/>
          <w:b/>
          <w:bCs/>
          <w:color w:val="000000"/>
          <w:lang w:eastAsia="ru-RU"/>
        </w:rPr>
        <w:t>4-17.</w:t>
      </w:r>
      <w:r w:rsidRPr="00F7306C">
        <w:rPr>
          <w:rFonts w:eastAsia="Times New Roman"/>
          <w:b/>
          <w:bCs/>
          <w:color w:val="000000"/>
          <w:lang w:eastAsia="ru-RU"/>
        </w:rPr>
        <w:t xml:space="preserve"> </w:t>
      </w:r>
      <w:r w:rsidRPr="00F7306C">
        <w:rPr>
          <w:rFonts w:eastAsia="Times New Roman"/>
          <w:bCs/>
          <w:color w:val="000000"/>
          <w:lang w:eastAsia="ru-RU"/>
        </w:rPr>
        <w:t>Исследование A2309: Соотношение белка/креатинина в моче</w:t>
      </w:r>
      <w:r w:rsidR="002608A1">
        <w:rPr>
          <w:rFonts w:eastAsia="Times New Roman"/>
          <w:bCs/>
          <w:color w:val="000000"/>
          <w:lang w:eastAsia="ru-RU"/>
        </w:rPr>
        <w:t>.</w:t>
      </w:r>
    </w:p>
    <w:tbl>
      <w:tblPr>
        <w:tblW w:w="5000" w:type="pct"/>
        <w:tblBorders>
          <w:top w:val="outset" w:sz="6" w:space="0" w:color="7B7B7B"/>
          <w:left w:val="outset" w:sz="6" w:space="0" w:color="7B7B7B"/>
          <w:bottom w:val="outset" w:sz="6" w:space="0" w:color="7B7B7B"/>
          <w:right w:val="outset" w:sz="6" w:space="0" w:color="7B7B7B"/>
        </w:tblBorders>
        <w:tblCellMar>
          <w:top w:w="24" w:type="dxa"/>
          <w:left w:w="24" w:type="dxa"/>
          <w:bottom w:w="24" w:type="dxa"/>
          <w:right w:w="24" w:type="dxa"/>
        </w:tblCellMar>
        <w:tblLook w:val="04A0" w:firstRow="1" w:lastRow="0" w:firstColumn="1" w:lastColumn="0" w:noHBand="0" w:noVBand="1"/>
      </w:tblPr>
      <w:tblGrid>
        <w:gridCol w:w="1042"/>
        <w:gridCol w:w="1306"/>
        <w:gridCol w:w="1418"/>
        <w:gridCol w:w="1461"/>
        <w:gridCol w:w="2124"/>
        <w:gridCol w:w="1989"/>
      </w:tblGrid>
      <w:tr w:rsidR="008A7500" w:rsidRPr="00F7306C" w14:paraId="21BDC6FE" w14:textId="77777777" w:rsidTr="008A7500">
        <w:tc>
          <w:tcPr>
            <w:tcW w:w="558" w:type="pct"/>
            <w:vMerge w:val="restart"/>
            <w:tcBorders>
              <w:top w:val="outset" w:sz="6" w:space="0" w:color="7B7B7B"/>
              <w:left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0FEB979E" w14:textId="571F489F" w:rsidR="008A7500" w:rsidRPr="008A7500" w:rsidRDefault="008A7500" w:rsidP="00711874">
            <w:pPr>
              <w:contextualSpacing/>
              <w:jc w:val="center"/>
              <w:rPr>
                <w:rFonts w:eastAsia="Times New Roman"/>
                <w:b/>
                <w:lang w:eastAsia="ru-RU"/>
              </w:rPr>
            </w:pPr>
            <w:r w:rsidRPr="008A7500">
              <w:rPr>
                <w:rFonts w:eastAsia="Times New Roman"/>
                <w:b/>
                <w:lang w:eastAsia="ru-RU"/>
              </w:rPr>
              <w:t>Период</w:t>
            </w:r>
          </w:p>
        </w:tc>
        <w:tc>
          <w:tcPr>
            <w:tcW w:w="699" w:type="pct"/>
            <w:vMerge w:val="restart"/>
            <w:tcBorders>
              <w:top w:val="outset" w:sz="6" w:space="0" w:color="7B7B7B"/>
              <w:left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5C2445FD" w14:textId="628A6801" w:rsidR="008A7500" w:rsidRPr="008A7500" w:rsidRDefault="008A7500" w:rsidP="00711874">
            <w:pPr>
              <w:contextualSpacing/>
              <w:jc w:val="center"/>
              <w:rPr>
                <w:rFonts w:eastAsia="Times New Roman"/>
                <w:b/>
                <w:lang w:eastAsia="ru-RU"/>
              </w:rPr>
            </w:pPr>
            <w:r w:rsidRPr="008A7500">
              <w:rPr>
                <w:rFonts w:eastAsia="Times New Roman"/>
                <w:b/>
                <w:bCs/>
                <w:lang w:eastAsia="ru-RU"/>
              </w:rPr>
              <w:t>Терапия</w:t>
            </w:r>
          </w:p>
        </w:tc>
        <w:tc>
          <w:tcPr>
            <w:tcW w:w="3743" w:type="pct"/>
            <w:gridSpan w:val="4"/>
            <w:tcBorders>
              <w:top w:val="outset" w:sz="6" w:space="0" w:color="7B7B7B"/>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769DE096" w14:textId="77777777" w:rsidR="008A7500" w:rsidRPr="00F7306C" w:rsidRDefault="008A7500" w:rsidP="00711874">
            <w:pPr>
              <w:contextualSpacing/>
              <w:jc w:val="center"/>
              <w:rPr>
                <w:rFonts w:eastAsia="Times New Roman"/>
                <w:lang w:eastAsia="ru-RU"/>
              </w:rPr>
            </w:pPr>
            <w:r w:rsidRPr="00F7306C">
              <w:rPr>
                <w:rFonts w:eastAsia="Times New Roman"/>
                <w:b/>
                <w:bCs/>
                <w:lang w:eastAsia="ru-RU"/>
              </w:rPr>
              <w:t>Категория протеинурии (мг/ммоль)</w:t>
            </w:r>
          </w:p>
        </w:tc>
      </w:tr>
      <w:tr w:rsidR="008A7500" w:rsidRPr="00F7306C" w14:paraId="2D9F3AA3" w14:textId="77777777" w:rsidTr="008A7500">
        <w:tc>
          <w:tcPr>
            <w:tcW w:w="558" w:type="pct"/>
            <w:vMerge/>
            <w:tcBorders>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0887B25A" w14:textId="77777777" w:rsidR="008A7500" w:rsidRPr="00F7306C" w:rsidRDefault="008A7500" w:rsidP="00711874">
            <w:pPr>
              <w:contextualSpacing/>
              <w:jc w:val="center"/>
              <w:rPr>
                <w:rFonts w:eastAsia="Times New Roman"/>
                <w:lang w:eastAsia="ru-RU"/>
              </w:rPr>
            </w:pPr>
          </w:p>
        </w:tc>
        <w:tc>
          <w:tcPr>
            <w:tcW w:w="699" w:type="pct"/>
            <w:vMerge/>
            <w:tcBorders>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58D1E363" w14:textId="403C1CA3" w:rsidR="008A7500" w:rsidRPr="0071249E" w:rsidRDefault="008A7500" w:rsidP="00711874">
            <w:pPr>
              <w:contextualSpacing/>
              <w:jc w:val="center"/>
              <w:rPr>
                <w:rFonts w:eastAsia="Times New Roman"/>
                <w:b/>
                <w:lang w:eastAsia="ru-RU"/>
              </w:rPr>
            </w:pPr>
          </w:p>
        </w:tc>
        <w:tc>
          <w:tcPr>
            <w:tcW w:w="759" w:type="pct"/>
            <w:tcBorders>
              <w:top w:val="outset" w:sz="6" w:space="0" w:color="7B7B7B"/>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070D2BC1" w14:textId="77777777" w:rsidR="008A7500" w:rsidRPr="0071249E" w:rsidRDefault="008A7500" w:rsidP="00711874">
            <w:pPr>
              <w:contextualSpacing/>
              <w:jc w:val="center"/>
              <w:rPr>
                <w:rFonts w:eastAsia="Times New Roman"/>
                <w:b/>
                <w:lang w:eastAsia="ru-RU"/>
              </w:rPr>
            </w:pPr>
            <w:r w:rsidRPr="002608A1">
              <w:rPr>
                <w:rFonts w:eastAsia="Times New Roman"/>
                <w:b/>
                <w:bCs/>
                <w:lang w:eastAsia="ru-RU"/>
              </w:rPr>
              <w:t>норма, %</w:t>
            </w:r>
            <w:r w:rsidRPr="0071249E">
              <w:rPr>
                <w:rFonts w:eastAsia="Times New Roman"/>
                <w:b/>
                <w:lang w:eastAsia="ru-RU"/>
              </w:rPr>
              <w:t>(n)</w:t>
            </w:r>
          </w:p>
          <w:p w14:paraId="1F5435F9" w14:textId="77777777" w:rsidR="008A7500" w:rsidRPr="0071249E" w:rsidRDefault="008A7500" w:rsidP="00711874">
            <w:pPr>
              <w:contextualSpacing/>
              <w:jc w:val="center"/>
              <w:rPr>
                <w:rFonts w:eastAsia="Times New Roman"/>
                <w:b/>
                <w:lang w:eastAsia="ru-RU"/>
              </w:rPr>
            </w:pPr>
            <w:r w:rsidRPr="0071249E">
              <w:rPr>
                <w:rFonts w:eastAsia="Times New Roman"/>
                <w:b/>
                <w:lang w:eastAsia="ru-RU"/>
              </w:rPr>
              <w:t>(&lt; 3,39)</w:t>
            </w:r>
          </w:p>
        </w:tc>
        <w:tc>
          <w:tcPr>
            <w:tcW w:w="782" w:type="pct"/>
            <w:tcBorders>
              <w:top w:val="outset" w:sz="6" w:space="0" w:color="7B7B7B"/>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7CA76765" w14:textId="77777777" w:rsidR="008A7500" w:rsidRPr="0071249E" w:rsidRDefault="008A7500" w:rsidP="00711874">
            <w:pPr>
              <w:contextualSpacing/>
              <w:jc w:val="center"/>
              <w:rPr>
                <w:rFonts w:eastAsia="Times New Roman"/>
                <w:b/>
                <w:lang w:eastAsia="ru-RU"/>
              </w:rPr>
            </w:pPr>
            <w:r w:rsidRPr="002608A1">
              <w:rPr>
                <w:rFonts w:eastAsia="Times New Roman"/>
                <w:b/>
                <w:bCs/>
                <w:lang w:eastAsia="ru-RU"/>
              </w:rPr>
              <w:t>легкая, %</w:t>
            </w:r>
            <w:r w:rsidRPr="0071249E">
              <w:rPr>
                <w:rFonts w:eastAsia="Times New Roman"/>
                <w:b/>
                <w:lang w:eastAsia="ru-RU"/>
              </w:rPr>
              <w:t>(n)</w:t>
            </w:r>
          </w:p>
          <w:p w14:paraId="3D369B02" w14:textId="77777777" w:rsidR="008A7500" w:rsidRPr="0071249E" w:rsidRDefault="008A7500" w:rsidP="00711874">
            <w:pPr>
              <w:contextualSpacing/>
              <w:jc w:val="center"/>
              <w:rPr>
                <w:rFonts w:eastAsia="Times New Roman"/>
                <w:b/>
                <w:lang w:eastAsia="ru-RU"/>
              </w:rPr>
            </w:pPr>
            <w:r w:rsidRPr="0071249E">
              <w:rPr>
                <w:rFonts w:eastAsia="Times New Roman"/>
                <w:b/>
                <w:lang w:eastAsia="ru-RU"/>
              </w:rPr>
              <w:t>(3,39-&lt; 33,9)</w:t>
            </w:r>
          </w:p>
        </w:tc>
        <w:tc>
          <w:tcPr>
            <w:tcW w:w="1137" w:type="pct"/>
            <w:tcBorders>
              <w:top w:val="outset" w:sz="6" w:space="0" w:color="7B7B7B"/>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72E5653A" w14:textId="77777777" w:rsidR="008A7500" w:rsidRPr="0071249E" w:rsidRDefault="008A7500" w:rsidP="00711874">
            <w:pPr>
              <w:contextualSpacing/>
              <w:jc w:val="center"/>
              <w:rPr>
                <w:rFonts w:eastAsia="Times New Roman"/>
                <w:b/>
                <w:lang w:eastAsia="ru-RU"/>
              </w:rPr>
            </w:pPr>
            <w:r w:rsidRPr="002608A1">
              <w:rPr>
                <w:rFonts w:eastAsia="Times New Roman"/>
                <w:b/>
                <w:bCs/>
                <w:lang w:eastAsia="ru-RU"/>
              </w:rPr>
              <w:t>субнефротическая, %</w:t>
            </w:r>
            <w:r w:rsidRPr="0071249E">
              <w:rPr>
                <w:rFonts w:eastAsia="Times New Roman"/>
                <w:b/>
                <w:lang w:eastAsia="ru-RU"/>
              </w:rPr>
              <w:t>(n)</w:t>
            </w:r>
          </w:p>
          <w:p w14:paraId="6569698A" w14:textId="77777777" w:rsidR="008A7500" w:rsidRPr="0071249E" w:rsidRDefault="008A7500" w:rsidP="00711874">
            <w:pPr>
              <w:contextualSpacing/>
              <w:jc w:val="center"/>
              <w:rPr>
                <w:rFonts w:eastAsia="Times New Roman"/>
                <w:b/>
                <w:lang w:eastAsia="ru-RU"/>
              </w:rPr>
            </w:pPr>
            <w:r w:rsidRPr="0071249E">
              <w:rPr>
                <w:rFonts w:eastAsia="Times New Roman"/>
                <w:b/>
                <w:lang w:eastAsia="ru-RU"/>
              </w:rPr>
              <w:t>(33,9-&lt; 339)</w:t>
            </w:r>
          </w:p>
        </w:tc>
        <w:tc>
          <w:tcPr>
            <w:tcW w:w="1064" w:type="pct"/>
            <w:tcBorders>
              <w:top w:val="outset" w:sz="6" w:space="0" w:color="7B7B7B"/>
              <w:left w:val="outset" w:sz="6" w:space="0" w:color="7B7B7B"/>
              <w:bottom w:val="outset" w:sz="6" w:space="0" w:color="7B7B7B"/>
              <w:right w:val="outset" w:sz="6" w:space="0" w:color="7B7B7B"/>
            </w:tcBorders>
            <w:shd w:val="clear" w:color="auto" w:fill="D9D9D9" w:themeFill="background1" w:themeFillShade="D9"/>
            <w:tcMar>
              <w:top w:w="30" w:type="dxa"/>
              <w:left w:w="30" w:type="dxa"/>
              <w:bottom w:w="30" w:type="dxa"/>
              <w:right w:w="30" w:type="dxa"/>
            </w:tcMar>
            <w:vAlign w:val="center"/>
            <w:hideMark/>
          </w:tcPr>
          <w:p w14:paraId="1802BC8F" w14:textId="77777777" w:rsidR="008A7500" w:rsidRPr="0071249E" w:rsidRDefault="008A7500" w:rsidP="00711874">
            <w:pPr>
              <w:contextualSpacing/>
              <w:jc w:val="center"/>
              <w:rPr>
                <w:rFonts w:eastAsia="Times New Roman"/>
                <w:b/>
                <w:lang w:eastAsia="ru-RU"/>
              </w:rPr>
            </w:pPr>
            <w:r w:rsidRPr="002608A1">
              <w:rPr>
                <w:rFonts w:eastAsia="Times New Roman"/>
                <w:b/>
                <w:bCs/>
                <w:lang w:eastAsia="ru-RU"/>
              </w:rPr>
              <w:t>нефротическая, %</w:t>
            </w:r>
            <w:r w:rsidRPr="0071249E">
              <w:rPr>
                <w:rFonts w:eastAsia="Times New Roman"/>
                <w:b/>
                <w:lang w:eastAsia="ru-RU"/>
              </w:rPr>
              <w:t>(n)</w:t>
            </w:r>
          </w:p>
          <w:p w14:paraId="3C08833B" w14:textId="77777777" w:rsidR="008A7500" w:rsidRPr="0071249E" w:rsidRDefault="008A7500" w:rsidP="00711874">
            <w:pPr>
              <w:contextualSpacing/>
              <w:jc w:val="center"/>
              <w:rPr>
                <w:rFonts w:eastAsia="Times New Roman"/>
                <w:b/>
                <w:lang w:eastAsia="ru-RU"/>
              </w:rPr>
            </w:pPr>
            <w:r w:rsidRPr="0071249E">
              <w:rPr>
                <w:rFonts w:eastAsia="Times New Roman"/>
                <w:b/>
                <w:lang w:eastAsia="ru-RU"/>
              </w:rPr>
              <w:t>(&gt; 339)</w:t>
            </w:r>
          </w:p>
        </w:tc>
      </w:tr>
      <w:tr w:rsidR="00711874" w:rsidRPr="00F7306C" w14:paraId="4C7FC91D" w14:textId="77777777" w:rsidTr="008A7500">
        <w:tc>
          <w:tcPr>
            <w:tcW w:w="558" w:type="pct"/>
            <w:vMerge w:val="restar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50994EA3" w14:textId="77777777" w:rsidR="00711874" w:rsidRPr="00F7306C" w:rsidRDefault="00711874" w:rsidP="00711874">
            <w:pPr>
              <w:contextualSpacing/>
              <w:rPr>
                <w:rFonts w:eastAsia="Times New Roman"/>
                <w:lang w:eastAsia="ru-RU"/>
              </w:rPr>
            </w:pPr>
            <w:r w:rsidRPr="00F7306C">
              <w:rPr>
                <w:rFonts w:eastAsia="Times New Roman"/>
                <w:b/>
                <w:bCs/>
                <w:lang w:eastAsia="ru-RU"/>
              </w:rPr>
              <w:t>Месяц 12</w:t>
            </w:r>
          </w:p>
          <w:p w14:paraId="246AB1BC" w14:textId="77777777" w:rsidR="00711874" w:rsidRPr="00F7306C" w:rsidRDefault="00711874" w:rsidP="00711874">
            <w:pPr>
              <w:contextualSpacing/>
              <w:rPr>
                <w:rFonts w:eastAsia="Times New Roman"/>
                <w:lang w:eastAsia="ru-RU"/>
              </w:rPr>
            </w:pPr>
            <w:r w:rsidRPr="00F7306C">
              <w:rPr>
                <w:rFonts w:eastAsia="Times New Roman"/>
                <w:b/>
                <w:bCs/>
                <w:lang w:eastAsia="ru-RU"/>
              </w:rPr>
              <w:t>(TED)</w:t>
            </w:r>
          </w:p>
        </w:tc>
        <w:tc>
          <w:tcPr>
            <w:tcW w:w="69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2C315011" w14:textId="20796827" w:rsidR="00711874" w:rsidRPr="00F7306C" w:rsidRDefault="002608A1" w:rsidP="00711874">
            <w:pPr>
              <w:contextualSpacing/>
              <w:rPr>
                <w:rFonts w:eastAsia="Times New Roman"/>
                <w:lang w:eastAsia="ru-RU"/>
              </w:rPr>
            </w:pPr>
            <w:r>
              <w:rPr>
                <w:rFonts w:eastAsia="Times New Roman"/>
                <w:lang w:eastAsia="ru-RU"/>
              </w:rPr>
              <w:t>Эверолимус</w:t>
            </w:r>
            <w:r w:rsidRPr="00F7306C">
              <w:rPr>
                <w:rFonts w:eastAsia="Times New Roman"/>
                <w:lang w:eastAsia="ru-RU"/>
              </w:rPr>
              <w:t xml:space="preserve"> </w:t>
            </w:r>
            <w:r w:rsidR="00711874" w:rsidRPr="00F7306C">
              <w:rPr>
                <w:rFonts w:eastAsia="Times New Roman"/>
                <w:lang w:eastAsia="ru-RU"/>
              </w:rPr>
              <w:t>1,5 мг</w:t>
            </w:r>
          </w:p>
        </w:tc>
        <w:tc>
          <w:tcPr>
            <w:tcW w:w="75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7AD95CB0"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0,4</w:t>
            </w:r>
            <w:r w:rsidRPr="00F7306C">
              <w:rPr>
                <w:rFonts w:eastAsia="Times New Roman"/>
                <w:lang w:eastAsia="ru-RU"/>
              </w:rPr>
              <w:t> (1)</w:t>
            </w:r>
          </w:p>
        </w:tc>
        <w:tc>
          <w:tcPr>
            <w:tcW w:w="782"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7FC5B4D5"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64,2</w:t>
            </w:r>
            <w:r w:rsidRPr="00F7306C">
              <w:rPr>
                <w:rFonts w:eastAsia="Times New Roman"/>
                <w:lang w:eastAsia="ru-RU"/>
              </w:rPr>
              <w:t> (174)</w:t>
            </w:r>
          </w:p>
        </w:tc>
        <w:tc>
          <w:tcPr>
            <w:tcW w:w="1137"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5EB75AF8"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32,5</w:t>
            </w:r>
            <w:r w:rsidRPr="00F7306C">
              <w:rPr>
                <w:rFonts w:eastAsia="Times New Roman"/>
                <w:lang w:eastAsia="ru-RU"/>
              </w:rPr>
              <w:t> (88)</w:t>
            </w:r>
          </w:p>
        </w:tc>
        <w:tc>
          <w:tcPr>
            <w:tcW w:w="1064"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3B29C538"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3,0</w:t>
            </w:r>
            <w:r w:rsidRPr="00F7306C">
              <w:rPr>
                <w:rFonts w:eastAsia="Times New Roman"/>
                <w:lang w:eastAsia="ru-RU"/>
              </w:rPr>
              <w:t> (8)</w:t>
            </w:r>
          </w:p>
        </w:tc>
      </w:tr>
      <w:tr w:rsidR="00711874" w:rsidRPr="00F7306C" w14:paraId="6FE5F67D" w14:textId="77777777" w:rsidTr="008A7500">
        <w:tc>
          <w:tcPr>
            <w:tcW w:w="558" w:type="pct"/>
            <w:vMerge/>
            <w:tcBorders>
              <w:top w:val="outset" w:sz="6" w:space="0" w:color="7B7B7B"/>
              <w:left w:val="outset" w:sz="6" w:space="0" w:color="7B7B7B"/>
              <w:bottom w:val="outset" w:sz="6" w:space="0" w:color="7B7B7B"/>
              <w:right w:val="outset" w:sz="6" w:space="0" w:color="7B7B7B"/>
            </w:tcBorders>
            <w:shd w:val="clear" w:color="auto" w:fill="auto"/>
            <w:vAlign w:val="center"/>
            <w:hideMark/>
          </w:tcPr>
          <w:p w14:paraId="5D533A38" w14:textId="77777777" w:rsidR="00711874" w:rsidRPr="00F7306C" w:rsidRDefault="00711874" w:rsidP="00711874">
            <w:pPr>
              <w:contextualSpacing/>
              <w:rPr>
                <w:rFonts w:eastAsia="Times New Roman"/>
                <w:lang w:eastAsia="ru-RU"/>
              </w:rPr>
            </w:pPr>
          </w:p>
        </w:tc>
        <w:tc>
          <w:tcPr>
            <w:tcW w:w="69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5CED6AA2" w14:textId="6C9D72D0" w:rsidR="00711874" w:rsidRPr="00F7306C" w:rsidRDefault="002608A1" w:rsidP="00711874">
            <w:pPr>
              <w:contextualSpacing/>
              <w:rPr>
                <w:rFonts w:eastAsia="Times New Roman"/>
                <w:lang w:eastAsia="ru-RU"/>
              </w:rPr>
            </w:pPr>
            <w:r>
              <w:rPr>
                <w:rFonts w:eastAsia="Times New Roman"/>
                <w:lang w:eastAsia="ru-RU"/>
              </w:rPr>
              <w:t>Эверолимус</w:t>
            </w:r>
            <w:r w:rsidRPr="00F7306C">
              <w:rPr>
                <w:rFonts w:eastAsia="Times New Roman"/>
                <w:lang w:eastAsia="ru-RU"/>
              </w:rPr>
              <w:t xml:space="preserve"> </w:t>
            </w:r>
            <w:r w:rsidR="00711874" w:rsidRPr="00F7306C">
              <w:rPr>
                <w:rFonts w:eastAsia="Times New Roman"/>
                <w:lang w:eastAsia="ru-RU"/>
              </w:rPr>
              <w:t>3 мг</w:t>
            </w:r>
          </w:p>
        </w:tc>
        <w:tc>
          <w:tcPr>
            <w:tcW w:w="75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1B209F19"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0,7</w:t>
            </w:r>
            <w:r w:rsidRPr="00F7306C">
              <w:rPr>
                <w:rFonts w:eastAsia="Times New Roman"/>
                <w:lang w:eastAsia="ru-RU"/>
              </w:rPr>
              <w:t> (2)</w:t>
            </w:r>
          </w:p>
        </w:tc>
        <w:tc>
          <w:tcPr>
            <w:tcW w:w="782"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4D84382E"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59,2</w:t>
            </w:r>
            <w:r w:rsidRPr="00F7306C">
              <w:rPr>
                <w:rFonts w:eastAsia="Times New Roman"/>
                <w:lang w:eastAsia="ru-RU"/>
              </w:rPr>
              <w:t> (164)</w:t>
            </w:r>
          </w:p>
        </w:tc>
        <w:tc>
          <w:tcPr>
            <w:tcW w:w="1137"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646C1C18"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33,9</w:t>
            </w:r>
            <w:r w:rsidRPr="00F7306C">
              <w:rPr>
                <w:rFonts w:eastAsia="Times New Roman"/>
                <w:lang w:eastAsia="ru-RU"/>
              </w:rPr>
              <w:t> (94)</w:t>
            </w:r>
          </w:p>
        </w:tc>
        <w:tc>
          <w:tcPr>
            <w:tcW w:w="1064"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227EA754"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5,8</w:t>
            </w:r>
            <w:r w:rsidRPr="00F7306C">
              <w:rPr>
                <w:rFonts w:eastAsia="Times New Roman"/>
                <w:lang w:eastAsia="ru-RU"/>
              </w:rPr>
              <w:t> (16)</w:t>
            </w:r>
          </w:p>
        </w:tc>
      </w:tr>
      <w:tr w:rsidR="00711874" w:rsidRPr="00F7306C" w14:paraId="08A12AC8" w14:textId="77777777" w:rsidTr="008A7500">
        <w:tc>
          <w:tcPr>
            <w:tcW w:w="558" w:type="pct"/>
            <w:vMerge/>
            <w:tcBorders>
              <w:top w:val="outset" w:sz="6" w:space="0" w:color="7B7B7B"/>
              <w:left w:val="outset" w:sz="6" w:space="0" w:color="7B7B7B"/>
              <w:bottom w:val="outset" w:sz="6" w:space="0" w:color="7B7B7B"/>
              <w:right w:val="outset" w:sz="6" w:space="0" w:color="7B7B7B"/>
            </w:tcBorders>
            <w:shd w:val="clear" w:color="auto" w:fill="auto"/>
            <w:vAlign w:val="center"/>
            <w:hideMark/>
          </w:tcPr>
          <w:p w14:paraId="642E035B" w14:textId="77777777" w:rsidR="00711874" w:rsidRPr="00F7306C" w:rsidRDefault="00711874" w:rsidP="00711874">
            <w:pPr>
              <w:contextualSpacing/>
              <w:rPr>
                <w:rFonts w:eastAsia="Times New Roman"/>
                <w:lang w:eastAsia="ru-RU"/>
              </w:rPr>
            </w:pPr>
          </w:p>
        </w:tc>
        <w:tc>
          <w:tcPr>
            <w:tcW w:w="69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5443B41E" w14:textId="77777777" w:rsidR="00711874" w:rsidRPr="00F7306C" w:rsidRDefault="00711874" w:rsidP="00711874">
            <w:pPr>
              <w:contextualSpacing/>
              <w:rPr>
                <w:rFonts w:eastAsia="Times New Roman"/>
                <w:lang w:eastAsia="ru-RU"/>
              </w:rPr>
            </w:pPr>
            <w:r w:rsidRPr="00F7306C">
              <w:rPr>
                <w:rFonts w:eastAsia="Times New Roman"/>
                <w:lang w:eastAsia="ru-RU"/>
              </w:rPr>
              <w:t>MPA 1,44 г</w:t>
            </w:r>
          </w:p>
        </w:tc>
        <w:tc>
          <w:tcPr>
            <w:tcW w:w="759"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4461B89E"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1,8</w:t>
            </w:r>
            <w:r w:rsidRPr="00F7306C">
              <w:rPr>
                <w:rFonts w:eastAsia="Times New Roman"/>
                <w:lang w:eastAsia="ru-RU"/>
              </w:rPr>
              <w:t> (5)</w:t>
            </w:r>
          </w:p>
        </w:tc>
        <w:tc>
          <w:tcPr>
            <w:tcW w:w="782"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73F45771"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73,1 </w:t>
            </w:r>
            <w:r w:rsidRPr="00F7306C">
              <w:rPr>
                <w:rFonts w:eastAsia="Times New Roman"/>
                <w:lang w:eastAsia="ru-RU"/>
              </w:rPr>
              <w:t>(198)</w:t>
            </w:r>
          </w:p>
        </w:tc>
        <w:tc>
          <w:tcPr>
            <w:tcW w:w="1137"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7FCB8647"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20,7</w:t>
            </w:r>
            <w:r w:rsidRPr="00F7306C">
              <w:rPr>
                <w:rFonts w:eastAsia="Times New Roman"/>
                <w:lang w:eastAsia="ru-RU"/>
              </w:rPr>
              <w:t> (56)</w:t>
            </w:r>
          </w:p>
        </w:tc>
        <w:tc>
          <w:tcPr>
            <w:tcW w:w="1064" w:type="pct"/>
            <w:tcBorders>
              <w:top w:val="outset" w:sz="6" w:space="0" w:color="7B7B7B"/>
              <w:left w:val="outset" w:sz="6" w:space="0" w:color="7B7B7B"/>
              <w:bottom w:val="outset" w:sz="6" w:space="0" w:color="7B7B7B"/>
              <w:right w:val="outset" w:sz="6" w:space="0" w:color="7B7B7B"/>
            </w:tcBorders>
            <w:shd w:val="clear" w:color="auto" w:fill="auto"/>
            <w:tcMar>
              <w:top w:w="30" w:type="dxa"/>
              <w:left w:w="30" w:type="dxa"/>
              <w:bottom w:w="30" w:type="dxa"/>
              <w:right w:w="30" w:type="dxa"/>
            </w:tcMar>
            <w:vAlign w:val="center"/>
            <w:hideMark/>
          </w:tcPr>
          <w:p w14:paraId="3DEB5824" w14:textId="77777777" w:rsidR="00711874" w:rsidRPr="00F7306C" w:rsidRDefault="00711874" w:rsidP="00711874">
            <w:pPr>
              <w:contextualSpacing/>
              <w:jc w:val="center"/>
              <w:rPr>
                <w:rFonts w:eastAsia="Times New Roman"/>
                <w:lang w:eastAsia="ru-RU"/>
              </w:rPr>
            </w:pPr>
            <w:r w:rsidRPr="00F7306C">
              <w:rPr>
                <w:rFonts w:eastAsia="Times New Roman"/>
                <w:b/>
                <w:bCs/>
                <w:lang w:eastAsia="ru-RU"/>
              </w:rPr>
              <w:t>4,1</w:t>
            </w:r>
            <w:r w:rsidRPr="00F7306C">
              <w:rPr>
                <w:rFonts w:eastAsia="Times New Roman"/>
                <w:lang w:eastAsia="ru-RU"/>
              </w:rPr>
              <w:t> (11)</w:t>
            </w:r>
          </w:p>
        </w:tc>
      </w:tr>
      <w:tr w:rsidR="002608A1" w:rsidRPr="00F7306C" w14:paraId="40C32FA1" w14:textId="77777777" w:rsidTr="002608A1">
        <w:tc>
          <w:tcPr>
            <w:tcW w:w="5000" w:type="pct"/>
            <w:gridSpan w:val="6"/>
            <w:tcBorders>
              <w:top w:val="outset" w:sz="6" w:space="0" w:color="7B7B7B"/>
              <w:left w:val="outset" w:sz="6" w:space="0" w:color="7B7B7B"/>
              <w:bottom w:val="outset" w:sz="6" w:space="0" w:color="7B7B7B"/>
              <w:right w:val="outset" w:sz="6" w:space="0" w:color="7B7B7B"/>
            </w:tcBorders>
            <w:shd w:val="clear" w:color="auto" w:fill="auto"/>
            <w:vAlign w:val="center"/>
          </w:tcPr>
          <w:p w14:paraId="1620F56A" w14:textId="77777777" w:rsidR="002608A1" w:rsidRPr="00F7306C" w:rsidRDefault="002608A1" w:rsidP="002608A1">
            <w:pPr>
              <w:shd w:val="clear" w:color="auto" w:fill="FFFFFF"/>
              <w:spacing w:after="143"/>
              <w:contextualSpacing/>
              <w:rPr>
                <w:rFonts w:eastAsia="Times New Roman"/>
                <w:b/>
                <w:color w:val="000000"/>
                <w:sz w:val="20"/>
                <w:szCs w:val="20"/>
                <w:lang w:eastAsia="ru-RU"/>
              </w:rPr>
            </w:pPr>
            <w:r w:rsidRPr="00F7306C">
              <w:rPr>
                <w:rFonts w:eastAsia="Times New Roman"/>
                <w:b/>
                <w:color w:val="000000"/>
                <w:sz w:val="20"/>
                <w:szCs w:val="20"/>
                <w:lang w:eastAsia="ru-RU"/>
              </w:rPr>
              <w:t>Примечание:</w:t>
            </w:r>
          </w:p>
          <w:p w14:paraId="0973A287" w14:textId="77777777" w:rsidR="002608A1" w:rsidRPr="00F7306C" w:rsidRDefault="002608A1" w:rsidP="002608A1">
            <w:pPr>
              <w:shd w:val="clear" w:color="auto" w:fill="FFFFFF"/>
              <w:spacing w:after="143"/>
              <w:contextualSpacing/>
              <w:rPr>
                <w:rFonts w:eastAsia="Times New Roman"/>
                <w:color w:val="000000"/>
                <w:sz w:val="20"/>
                <w:szCs w:val="20"/>
                <w:lang w:eastAsia="ru-RU"/>
              </w:rPr>
            </w:pPr>
            <w:r w:rsidRPr="00F7306C">
              <w:rPr>
                <w:rFonts w:eastAsia="Times New Roman"/>
                <w:color w:val="000000"/>
                <w:sz w:val="20"/>
                <w:szCs w:val="20"/>
                <w:lang w:eastAsia="ru-RU"/>
              </w:rPr>
              <w:t>1 мг/ммоль = 8,84 мг/г</w:t>
            </w:r>
          </w:p>
          <w:p w14:paraId="7BB097F9" w14:textId="44BEEE87" w:rsidR="002608A1" w:rsidRPr="0071249E" w:rsidRDefault="002608A1" w:rsidP="0071249E">
            <w:pPr>
              <w:shd w:val="clear" w:color="auto" w:fill="FFFFFF"/>
              <w:spacing w:after="143" w:line="240" w:lineRule="auto"/>
              <w:contextualSpacing/>
              <w:rPr>
                <w:rFonts w:eastAsia="Times New Roman"/>
                <w:color w:val="000000"/>
                <w:sz w:val="20"/>
                <w:szCs w:val="20"/>
                <w:lang w:eastAsia="ru-RU"/>
              </w:rPr>
            </w:pPr>
            <w:r w:rsidRPr="00F7306C">
              <w:rPr>
                <w:rFonts w:eastAsia="Times New Roman"/>
                <w:color w:val="000000"/>
                <w:sz w:val="20"/>
                <w:szCs w:val="20"/>
                <w:lang w:eastAsia="ru-RU"/>
              </w:rPr>
              <w:t>TED: Конечная точка лечения (значение на 12</w:t>
            </w:r>
            <w:r w:rsidRPr="00F7306C">
              <w:rPr>
                <w:rFonts w:eastAsia="Times New Roman"/>
                <w:color w:val="000000"/>
                <w:sz w:val="20"/>
                <w:szCs w:val="20"/>
                <w:lang w:eastAsia="ru-RU"/>
              </w:rPr>
              <w:noBreakHyphen/>
              <w:t>м месяце или последнее н</w:t>
            </w:r>
            <w:r>
              <w:rPr>
                <w:rFonts w:eastAsia="Times New Roman"/>
                <w:color w:val="000000"/>
                <w:sz w:val="20"/>
                <w:szCs w:val="20"/>
                <w:lang w:eastAsia="ru-RU"/>
              </w:rPr>
              <w:t>аблюдение, перенесенное вперед)</w:t>
            </w:r>
          </w:p>
        </w:tc>
      </w:tr>
    </w:tbl>
    <w:p w14:paraId="322267C7" w14:textId="77777777" w:rsidR="00711874" w:rsidRPr="00F7306C" w:rsidRDefault="00711874" w:rsidP="00711874">
      <w:pPr>
        <w:shd w:val="clear" w:color="auto" w:fill="FFFFFF"/>
        <w:spacing w:after="143" w:line="240" w:lineRule="auto"/>
        <w:contextualSpacing/>
        <w:rPr>
          <w:rFonts w:eastAsia="Times New Roman"/>
          <w:color w:val="000000"/>
          <w:sz w:val="20"/>
          <w:szCs w:val="20"/>
          <w:lang w:eastAsia="ru-RU"/>
        </w:rPr>
      </w:pPr>
    </w:p>
    <w:p w14:paraId="6CF409B8" w14:textId="77777777" w:rsidR="00711874" w:rsidRPr="008A7500" w:rsidRDefault="00711874" w:rsidP="008A7500">
      <w:pPr>
        <w:spacing w:after="0" w:line="240" w:lineRule="auto"/>
        <w:rPr>
          <w:b/>
          <w:bCs/>
        </w:rPr>
      </w:pPr>
      <w:r w:rsidRPr="008A7500">
        <w:rPr>
          <w:b/>
          <w:bCs/>
        </w:rPr>
        <w:t>Трансплантация сердца</w:t>
      </w:r>
    </w:p>
    <w:p w14:paraId="6B6636A0" w14:textId="77777777" w:rsidR="008A7500" w:rsidRDefault="008A7500" w:rsidP="00711874">
      <w:pPr>
        <w:shd w:val="clear" w:color="auto" w:fill="FFFFFF"/>
        <w:spacing w:after="143" w:line="240" w:lineRule="auto"/>
        <w:ind w:firstLine="709"/>
        <w:contextualSpacing/>
        <w:rPr>
          <w:rFonts w:eastAsia="Times New Roman"/>
          <w:color w:val="000000"/>
          <w:lang w:eastAsia="ru-RU"/>
        </w:rPr>
      </w:pPr>
    </w:p>
    <w:p w14:paraId="6925BC2C" w14:textId="530113EC" w:rsidR="00711874" w:rsidRPr="00F7306C" w:rsidRDefault="00711874" w:rsidP="008A7500">
      <w:pPr>
        <w:shd w:val="clear" w:color="auto" w:fill="FFFFFF"/>
        <w:spacing w:after="0" w:line="240" w:lineRule="auto"/>
        <w:ind w:firstLine="709"/>
        <w:rPr>
          <w:rFonts w:eastAsia="Times New Roman"/>
          <w:color w:val="000000"/>
          <w:highlight w:val="green"/>
          <w:lang w:eastAsia="ru-RU"/>
        </w:rPr>
      </w:pPr>
      <w:r w:rsidRPr="00F00B04">
        <w:rPr>
          <w:rFonts w:eastAsia="Times New Roman"/>
          <w:color w:val="000000"/>
          <w:lang w:eastAsia="ru-RU"/>
        </w:rPr>
        <w:t>Изменения в функции почек по данным исследов</w:t>
      </w:r>
      <w:r>
        <w:rPr>
          <w:rFonts w:eastAsia="Times New Roman"/>
          <w:color w:val="000000"/>
          <w:lang w:eastAsia="ru-RU"/>
        </w:rPr>
        <w:t>ания А2411 показаны в таблице 4-18.</w:t>
      </w:r>
    </w:p>
    <w:p w14:paraId="67B0C637" w14:textId="77777777" w:rsidR="00711874" w:rsidRPr="00F7306C" w:rsidRDefault="00711874" w:rsidP="008A7500">
      <w:pPr>
        <w:shd w:val="clear" w:color="auto" w:fill="FFFFFF"/>
        <w:spacing w:after="0" w:line="240" w:lineRule="auto"/>
        <w:ind w:firstLine="709"/>
        <w:rPr>
          <w:rFonts w:eastAsia="Times New Roman"/>
          <w:color w:val="000000"/>
          <w:highlight w:val="green"/>
          <w:lang w:eastAsia="ru-RU"/>
        </w:rPr>
      </w:pPr>
    </w:p>
    <w:p w14:paraId="03B10AD8" w14:textId="0DA9A790" w:rsidR="00711874" w:rsidRPr="00F7306C" w:rsidRDefault="00711874" w:rsidP="008A7500">
      <w:pPr>
        <w:shd w:val="clear" w:color="auto" w:fill="FFFFFF"/>
        <w:spacing w:after="0" w:line="240" w:lineRule="auto"/>
        <w:rPr>
          <w:rFonts w:eastAsia="Times New Roman"/>
          <w:color w:val="000000"/>
          <w:highlight w:val="green"/>
          <w:lang w:eastAsia="ru-RU"/>
        </w:rPr>
      </w:pPr>
      <w:r w:rsidRPr="00711874">
        <w:rPr>
          <w:rFonts w:eastAsia="Times New Roman"/>
          <w:b/>
          <w:bCs/>
          <w:color w:val="000000"/>
          <w:lang w:eastAsia="ru-RU"/>
        </w:rPr>
        <w:t xml:space="preserve">Таблица </w:t>
      </w:r>
      <w:r>
        <w:rPr>
          <w:rFonts w:eastAsia="Times New Roman"/>
          <w:b/>
          <w:bCs/>
          <w:color w:val="000000"/>
          <w:lang w:eastAsia="ru-RU"/>
        </w:rPr>
        <w:t xml:space="preserve">4-18. </w:t>
      </w:r>
      <w:r w:rsidRPr="00F00B04">
        <w:rPr>
          <w:rFonts w:eastAsia="Times New Roman"/>
          <w:bCs/>
          <w:color w:val="000000"/>
          <w:lang w:eastAsia="ru-RU"/>
        </w:rPr>
        <w:t>Исследование A2411: Изменения клиренса креатинина во время исследования (пациенты с парными значениями)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1870"/>
        <w:gridCol w:w="1869"/>
        <w:gridCol w:w="1869"/>
        <w:gridCol w:w="1869"/>
        <w:gridCol w:w="1869"/>
      </w:tblGrid>
      <w:tr w:rsidR="008A7500" w:rsidRPr="00F7306C" w14:paraId="02041328" w14:textId="77777777" w:rsidTr="008A7500">
        <w:trPr>
          <w:tblHeader/>
        </w:trPr>
        <w:tc>
          <w:tcPr>
            <w:tcW w:w="1000" w:type="pct"/>
            <w:vMerge w:val="restart"/>
            <w:shd w:val="clear" w:color="auto" w:fill="D9D9D9" w:themeFill="background1" w:themeFillShade="D9"/>
            <w:tcMar>
              <w:top w:w="30" w:type="dxa"/>
              <w:left w:w="30" w:type="dxa"/>
              <w:bottom w:w="30" w:type="dxa"/>
              <w:right w:w="30" w:type="dxa"/>
            </w:tcMar>
            <w:vAlign w:val="center"/>
            <w:hideMark/>
          </w:tcPr>
          <w:p w14:paraId="39F9B24C" w14:textId="3FCDC089" w:rsidR="008A7500" w:rsidRPr="00F7306C" w:rsidRDefault="008A7500" w:rsidP="008A7500">
            <w:pPr>
              <w:spacing w:after="0" w:line="240" w:lineRule="auto"/>
              <w:jc w:val="center"/>
              <w:rPr>
                <w:rFonts w:eastAsia="Times New Roman"/>
                <w:highlight w:val="green"/>
                <w:lang w:eastAsia="ru-RU"/>
              </w:rPr>
            </w:pPr>
            <w:r w:rsidRPr="008A7500">
              <w:rPr>
                <w:rFonts w:eastAsia="Times New Roman"/>
                <w:b/>
                <w:lang w:eastAsia="ru-RU"/>
              </w:rPr>
              <w:lastRenderedPageBreak/>
              <w:t>Период</w:t>
            </w:r>
          </w:p>
        </w:tc>
        <w:tc>
          <w:tcPr>
            <w:tcW w:w="1000" w:type="pct"/>
            <w:vMerge w:val="restart"/>
            <w:shd w:val="clear" w:color="auto" w:fill="D9D9D9" w:themeFill="background1" w:themeFillShade="D9"/>
            <w:tcMar>
              <w:top w:w="30" w:type="dxa"/>
              <w:left w:w="30" w:type="dxa"/>
              <w:bottom w:w="30" w:type="dxa"/>
              <w:right w:w="30" w:type="dxa"/>
            </w:tcMar>
            <w:vAlign w:val="center"/>
            <w:hideMark/>
          </w:tcPr>
          <w:p w14:paraId="3B39DF6F" w14:textId="53601385" w:rsidR="008A7500" w:rsidRPr="00F7306C" w:rsidRDefault="008A7500" w:rsidP="008A7500">
            <w:pPr>
              <w:spacing w:after="0" w:line="240" w:lineRule="auto"/>
              <w:jc w:val="center"/>
              <w:rPr>
                <w:rFonts w:eastAsia="Times New Roman"/>
                <w:highlight w:val="green"/>
                <w:lang w:eastAsia="ru-RU"/>
              </w:rPr>
            </w:pPr>
            <w:r w:rsidRPr="008A7500">
              <w:rPr>
                <w:rFonts w:eastAsia="Times New Roman"/>
                <w:b/>
                <w:bCs/>
                <w:lang w:eastAsia="ru-RU"/>
              </w:rPr>
              <w:t>Терапия</w:t>
            </w:r>
          </w:p>
        </w:tc>
        <w:tc>
          <w:tcPr>
            <w:tcW w:w="3000" w:type="pct"/>
            <w:gridSpan w:val="3"/>
            <w:shd w:val="clear" w:color="auto" w:fill="D9D9D9" w:themeFill="background1" w:themeFillShade="D9"/>
            <w:tcMar>
              <w:top w:w="30" w:type="dxa"/>
              <w:left w:w="30" w:type="dxa"/>
              <w:bottom w:w="30" w:type="dxa"/>
              <w:right w:w="30" w:type="dxa"/>
            </w:tcMar>
            <w:hideMark/>
          </w:tcPr>
          <w:p w14:paraId="6C89EADD" w14:textId="35C9DFC4" w:rsidR="008A7500" w:rsidRPr="00F7306C" w:rsidRDefault="008A7500" w:rsidP="008A7500">
            <w:pPr>
              <w:spacing w:after="0" w:line="240" w:lineRule="auto"/>
              <w:jc w:val="center"/>
              <w:rPr>
                <w:rFonts w:eastAsia="Times New Roman"/>
                <w:highlight w:val="green"/>
                <w:lang w:eastAsia="ru-RU"/>
              </w:rPr>
            </w:pPr>
            <w:r w:rsidRPr="00F00B04">
              <w:rPr>
                <w:rFonts w:eastAsia="Times New Roman"/>
                <w:b/>
                <w:bCs/>
                <w:lang w:eastAsia="ru-RU"/>
              </w:rPr>
              <w:t>Расчетный клиренс креатинина (формула Кокрофта-Голта)*</w:t>
            </w:r>
            <w:r>
              <w:rPr>
                <w:rFonts w:eastAsia="Times New Roman"/>
                <w:b/>
                <w:bCs/>
                <w:lang w:eastAsia="ru-RU"/>
              </w:rPr>
              <w:t xml:space="preserve">, </w:t>
            </w:r>
            <w:r w:rsidRPr="00F00B04">
              <w:rPr>
                <w:rFonts w:eastAsia="Times New Roman"/>
                <w:b/>
                <w:bCs/>
                <w:lang w:eastAsia="ru-RU"/>
              </w:rPr>
              <w:t>мл/мин</w:t>
            </w:r>
          </w:p>
        </w:tc>
      </w:tr>
      <w:tr w:rsidR="008A7500" w:rsidRPr="00F00B04" w14:paraId="565CA11C" w14:textId="77777777" w:rsidTr="008A7500">
        <w:trPr>
          <w:tblHeader/>
        </w:trPr>
        <w:tc>
          <w:tcPr>
            <w:tcW w:w="1000" w:type="pct"/>
            <w:vMerge/>
            <w:shd w:val="clear" w:color="auto" w:fill="D9D9D9" w:themeFill="background1" w:themeFillShade="D9"/>
            <w:tcMar>
              <w:top w:w="30" w:type="dxa"/>
              <w:left w:w="30" w:type="dxa"/>
              <w:bottom w:w="30" w:type="dxa"/>
              <w:right w:w="30" w:type="dxa"/>
            </w:tcMar>
            <w:hideMark/>
          </w:tcPr>
          <w:p w14:paraId="715F842D" w14:textId="77777777" w:rsidR="008A7500" w:rsidRPr="00F00B04" w:rsidRDefault="008A7500" w:rsidP="008A7500">
            <w:pPr>
              <w:spacing w:after="0" w:line="240" w:lineRule="auto"/>
              <w:rPr>
                <w:rFonts w:eastAsia="Times New Roman"/>
                <w:lang w:eastAsia="ru-RU"/>
              </w:rPr>
            </w:pPr>
          </w:p>
        </w:tc>
        <w:tc>
          <w:tcPr>
            <w:tcW w:w="1000" w:type="pct"/>
            <w:vMerge/>
            <w:shd w:val="clear" w:color="auto" w:fill="D9D9D9" w:themeFill="background1" w:themeFillShade="D9"/>
            <w:tcMar>
              <w:top w:w="30" w:type="dxa"/>
              <w:left w:w="30" w:type="dxa"/>
              <w:bottom w:w="30" w:type="dxa"/>
              <w:right w:w="30" w:type="dxa"/>
            </w:tcMar>
            <w:hideMark/>
          </w:tcPr>
          <w:p w14:paraId="785E975A" w14:textId="77777777" w:rsidR="008A7500" w:rsidRPr="00F00B04" w:rsidRDefault="008A7500" w:rsidP="008A7500">
            <w:pPr>
              <w:spacing w:after="0" w:line="240" w:lineRule="auto"/>
              <w:rPr>
                <w:rFonts w:eastAsia="Times New Roman"/>
                <w:lang w:eastAsia="ru-RU"/>
              </w:rPr>
            </w:pPr>
          </w:p>
        </w:tc>
        <w:tc>
          <w:tcPr>
            <w:tcW w:w="1000" w:type="pct"/>
            <w:shd w:val="clear" w:color="auto" w:fill="D9D9D9" w:themeFill="background1" w:themeFillShade="D9"/>
            <w:tcMar>
              <w:top w:w="30" w:type="dxa"/>
              <w:left w:w="30" w:type="dxa"/>
              <w:bottom w:w="30" w:type="dxa"/>
              <w:right w:w="30" w:type="dxa"/>
            </w:tcMar>
            <w:vAlign w:val="center"/>
            <w:hideMark/>
          </w:tcPr>
          <w:p w14:paraId="5FE142C4"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Исходный показатель</w:t>
            </w:r>
          </w:p>
          <w:p w14:paraId="5FCB48C5"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Среднее (± SD)</w:t>
            </w:r>
          </w:p>
        </w:tc>
        <w:tc>
          <w:tcPr>
            <w:tcW w:w="1000" w:type="pct"/>
            <w:shd w:val="clear" w:color="auto" w:fill="D9D9D9" w:themeFill="background1" w:themeFillShade="D9"/>
            <w:tcMar>
              <w:top w:w="30" w:type="dxa"/>
              <w:left w:w="30" w:type="dxa"/>
              <w:bottom w:w="30" w:type="dxa"/>
              <w:right w:w="30" w:type="dxa"/>
            </w:tcMar>
            <w:vAlign w:val="center"/>
            <w:hideMark/>
          </w:tcPr>
          <w:p w14:paraId="14B3992B"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Значение во временной точке</w:t>
            </w:r>
          </w:p>
          <w:p w14:paraId="4907B3CD"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Среднее (± SD)</w:t>
            </w:r>
          </w:p>
        </w:tc>
        <w:tc>
          <w:tcPr>
            <w:tcW w:w="1000" w:type="pct"/>
            <w:shd w:val="clear" w:color="auto" w:fill="D9D9D9" w:themeFill="background1" w:themeFillShade="D9"/>
            <w:tcMar>
              <w:top w:w="30" w:type="dxa"/>
              <w:left w:w="30" w:type="dxa"/>
              <w:bottom w:w="30" w:type="dxa"/>
              <w:right w:w="30" w:type="dxa"/>
            </w:tcMar>
            <w:vAlign w:val="center"/>
            <w:hideMark/>
          </w:tcPr>
          <w:p w14:paraId="4789AD9E"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Различие между группами</w:t>
            </w:r>
          </w:p>
          <w:p w14:paraId="07D660B1" w14:textId="2EB07EE4" w:rsidR="008A7500" w:rsidRPr="00F00B04" w:rsidRDefault="008A7500" w:rsidP="008A7500">
            <w:pPr>
              <w:spacing w:after="0" w:line="240" w:lineRule="auto"/>
              <w:jc w:val="center"/>
              <w:rPr>
                <w:rFonts w:eastAsia="Times New Roman"/>
                <w:b/>
                <w:bCs/>
                <w:lang w:eastAsia="ru-RU"/>
              </w:rPr>
            </w:pPr>
            <w:r w:rsidRPr="00F00B04">
              <w:rPr>
                <w:rFonts w:eastAsia="Times New Roman"/>
                <w:b/>
                <w:bCs/>
                <w:lang w:eastAsia="ru-RU"/>
              </w:rPr>
              <w:t>Среднее значение</w:t>
            </w:r>
          </w:p>
          <w:p w14:paraId="4648150E" w14:textId="77777777" w:rsidR="008A7500" w:rsidRPr="00F00B04" w:rsidRDefault="008A7500" w:rsidP="008A7500">
            <w:pPr>
              <w:spacing w:after="0" w:line="240" w:lineRule="auto"/>
              <w:jc w:val="center"/>
              <w:rPr>
                <w:rFonts w:eastAsia="Times New Roman"/>
                <w:lang w:eastAsia="ru-RU"/>
              </w:rPr>
            </w:pPr>
            <w:r w:rsidRPr="00F00B04">
              <w:rPr>
                <w:rFonts w:eastAsia="Times New Roman"/>
                <w:b/>
                <w:bCs/>
                <w:lang w:eastAsia="ru-RU"/>
              </w:rPr>
              <w:t>(95 % ДИ)</w:t>
            </w:r>
          </w:p>
        </w:tc>
      </w:tr>
      <w:tr w:rsidR="00711874" w:rsidRPr="00F00B04" w14:paraId="07755551" w14:textId="77777777" w:rsidTr="002608A1">
        <w:tc>
          <w:tcPr>
            <w:tcW w:w="1000" w:type="pct"/>
            <w:vMerge w:val="restart"/>
            <w:shd w:val="clear" w:color="auto" w:fill="auto"/>
            <w:tcMar>
              <w:top w:w="30" w:type="dxa"/>
              <w:left w:w="30" w:type="dxa"/>
              <w:bottom w:w="30" w:type="dxa"/>
              <w:right w:w="30" w:type="dxa"/>
            </w:tcMar>
            <w:vAlign w:val="center"/>
            <w:hideMark/>
          </w:tcPr>
          <w:p w14:paraId="3A9DA602"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Месяц 1</w:t>
            </w:r>
          </w:p>
        </w:tc>
        <w:tc>
          <w:tcPr>
            <w:tcW w:w="1000" w:type="pct"/>
            <w:shd w:val="clear" w:color="auto" w:fill="auto"/>
            <w:tcMar>
              <w:top w:w="30" w:type="dxa"/>
              <w:left w:w="30" w:type="dxa"/>
              <w:bottom w:w="30" w:type="dxa"/>
              <w:right w:w="30" w:type="dxa"/>
            </w:tcMar>
            <w:vAlign w:val="center"/>
            <w:hideMark/>
          </w:tcPr>
          <w:p w14:paraId="4CF677B6"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Сертикан (n = 87)</w:t>
            </w:r>
          </w:p>
        </w:tc>
        <w:tc>
          <w:tcPr>
            <w:tcW w:w="1000" w:type="pct"/>
            <w:shd w:val="clear" w:color="auto" w:fill="auto"/>
            <w:tcMar>
              <w:top w:w="30" w:type="dxa"/>
              <w:left w:w="30" w:type="dxa"/>
              <w:bottom w:w="30" w:type="dxa"/>
              <w:right w:w="30" w:type="dxa"/>
            </w:tcMar>
            <w:vAlign w:val="center"/>
            <w:hideMark/>
          </w:tcPr>
          <w:p w14:paraId="265B6AEB"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73,8 (± 27,8)</w:t>
            </w:r>
          </w:p>
        </w:tc>
        <w:tc>
          <w:tcPr>
            <w:tcW w:w="1000" w:type="pct"/>
            <w:shd w:val="clear" w:color="auto" w:fill="auto"/>
            <w:tcMar>
              <w:top w:w="30" w:type="dxa"/>
              <w:left w:w="30" w:type="dxa"/>
              <w:bottom w:w="30" w:type="dxa"/>
              <w:right w:w="30" w:type="dxa"/>
            </w:tcMar>
            <w:vAlign w:val="center"/>
            <w:hideMark/>
          </w:tcPr>
          <w:p w14:paraId="1C217F22"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68,5 (± 31,5)</w:t>
            </w:r>
          </w:p>
        </w:tc>
        <w:tc>
          <w:tcPr>
            <w:tcW w:w="1000" w:type="pct"/>
            <w:vMerge w:val="restart"/>
            <w:shd w:val="clear" w:color="auto" w:fill="auto"/>
            <w:tcMar>
              <w:top w:w="30" w:type="dxa"/>
              <w:left w:w="30" w:type="dxa"/>
              <w:bottom w:w="30" w:type="dxa"/>
              <w:right w:w="30" w:type="dxa"/>
            </w:tcMar>
            <w:vAlign w:val="center"/>
            <w:hideMark/>
          </w:tcPr>
          <w:p w14:paraId="4C16F2F3"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-7,3</w:t>
            </w:r>
          </w:p>
          <w:p w14:paraId="27732594"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(-18,1, 3,4)</w:t>
            </w:r>
          </w:p>
        </w:tc>
      </w:tr>
      <w:tr w:rsidR="00711874" w:rsidRPr="00F00B04" w14:paraId="11A336A3" w14:textId="77777777" w:rsidTr="002608A1">
        <w:tc>
          <w:tcPr>
            <w:tcW w:w="1000" w:type="pct"/>
            <w:vMerge/>
            <w:shd w:val="clear" w:color="auto" w:fill="auto"/>
            <w:vAlign w:val="center"/>
            <w:hideMark/>
          </w:tcPr>
          <w:p w14:paraId="3B56C0E5" w14:textId="77777777" w:rsidR="00711874" w:rsidRPr="00F00B04" w:rsidRDefault="00711874" w:rsidP="008A7500">
            <w:pPr>
              <w:spacing w:after="0" w:line="240" w:lineRule="auto"/>
              <w:jc w:val="center"/>
              <w:rPr>
                <w:rFonts w:eastAsia="Times New Roman"/>
                <w:lang w:eastAsia="ru-RU"/>
              </w:rPr>
            </w:pPr>
          </w:p>
        </w:tc>
        <w:tc>
          <w:tcPr>
            <w:tcW w:w="1000" w:type="pct"/>
            <w:shd w:val="clear" w:color="auto" w:fill="auto"/>
            <w:tcMar>
              <w:top w:w="30" w:type="dxa"/>
              <w:left w:w="30" w:type="dxa"/>
              <w:bottom w:w="30" w:type="dxa"/>
              <w:right w:w="30" w:type="dxa"/>
            </w:tcMar>
            <w:vAlign w:val="center"/>
            <w:hideMark/>
          </w:tcPr>
          <w:p w14:paraId="0A32DB13"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MMF (n=78)</w:t>
            </w:r>
          </w:p>
        </w:tc>
        <w:tc>
          <w:tcPr>
            <w:tcW w:w="1000" w:type="pct"/>
            <w:shd w:val="clear" w:color="auto" w:fill="auto"/>
            <w:tcMar>
              <w:top w:w="30" w:type="dxa"/>
              <w:left w:w="30" w:type="dxa"/>
              <w:bottom w:w="30" w:type="dxa"/>
              <w:right w:w="30" w:type="dxa"/>
            </w:tcMar>
            <w:vAlign w:val="center"/>
            <w:hideMark/>
          </w:tcPr>
          <w:p w14:paraId="5C0B1F20"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77,4 (± 32,6)</w:t>
            </w:r>
          </w:p>
        </w:tc>
        <w:tc>
          <w:tcPr>
            <w:tcW w:w="1000" w:type="pct"/>
            <w:shd w:val="clear" w:color="auto" w:fill="auto"/>
            <w:tcMar>
              <w:top w:w="30" w:type="dxa"/>
              <w:left w:w="30" w:type="dxa"/>
              <w:bottom w:w="30" w:type="dxa"/>
              <w:right w:w="30" w:type="dxa"/>
            </w:tcMar>
            <w:vAlign w:val="center"/>
            <w:hideMark/>
          </w:tcPr>
          <w:p w14:paraId="31B5E372"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79,4 (± 36,0)</w:t>
            </w:r>
          </w:p>
        </w:tc>
        <w:tc>
          <w:tcPr>
            <w:tcW w:w="1000" w:type="pct"/>
            <w:vMerge/>
            <w:shd w:val="clear" w:color="auto" w:fill="auto"/>
            <w:vAlign w:val="center"/>
            <w:hideMark/>
          </w:tcPr>
          <w:p w14:paraId="29E35792" w14:textId="77777777" w:rsidR="00711874" w:rsidRPr="00F00B04" w:rsidRDefault="00711874" w:rsidP="008A7500">
            <w:pPr>
              <w:spacing w:after="0" w:line="240" w:lineRule="auto"/>
              <w:jc w:val="center"/>
              <w:rPr>
                <w:rFonts w:eastAsia="Times New Roman"/>
                <w:lang w:eastAsia="ru-RU"/>
              </w:rPr>
            </w:pPr>
          </w:p>
        </w:tc>
      </w:tr>
      <w:tr w:rsidR="00711874" w:rsidRPr="00F00B04" w14:paraId="68CDFAED" w14:textId="77777777" w:rsidTr="002608A1">
        <w:tc>
          <w:tcPr>
            <w:tcW w:w="1000" w:type="pct"/>
            <w:vMerge w:val="restart"/>
            <w:shd w:val="clear" w:color="auto" w:fill="auto"/>
            <w:tcMar>
              <w:top w:w="30" w:type="dxa"/>
              <w:left w:w="30" w:type="dxa"/>
              <w:bottom w:w="30" w:type="dxa"/>
              <w:right w:w="30" w:type="dxa"/>
            </w:tcMar>
            <w:vAlign w:val="center"/>
            <w:hideMark/>
          </w:tcPr>
          <w:p w14:paraId="3D73C057"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Месяц 6</w:t>
            </w:r>
          </w:p>
        </w:tc>
        <w:tc>
          <w:tcPr>
            <w:tcW w:w="1000" w:type="pct"/>
            <w:shd w:val="clear" w:color="auto" w:fill="auto"/>
            <w:tcMar>
              <w:top w:w="30" w:type="dxa"/>
              <w:left w:w="30" w:type="dxa"/>
              <w:bottom w:w="30" w:type="dxa"/>
              <w:right w:w="30" w:type="dxa"/>
            </w:tcMar>
            <w:vAlign w:val="center"/>
            <w:hideMark/>
          </w:tcPr>
          <w:p w14:paraId="1CA69B21"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Сертикан (n = 83)</w:t>
            </w:r>
          </w:p>
        </w:tc>
        <w:tc>
          <w:tcPr>
            <w:tcW w:w="1000" w:type="pct"/>
            <w:shd w:val="clear" w:color="auto" w:fill="auto"/>
            <w:tcMar>
              <w:top w:w="30" w:type="dxa"/>
              <w:left w:w="30" w:type="dxa"/>
              <w:bottom w:w="30" w:type="dxa"/>
              <w:right w:w="30" w:type="dxa"/>
            </w:tcMar>
            <w:vAlign w:val="center"/>
            <w:hideMark/>
          </w:tcPr>
          <w:p w14:paraId="3E9A0C71"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74,4 (± 28,2)</w:t>
            </w:r>
          </w:p>
        </w:tc>
        <w:tc>
          <w:tcPr>
            <w:tcW w:w="1000" w:type="pct"/>
            <w:shd w:val="clear" w:color="auto" w:fill="auto"/>
            <w:tcMar>
              <w:top w:w="30" w:type="dxa"/>
              <w:left w:w="30" w:type="dxa"/>
              <w:bottom w:w="30" w:type="dxa"/>
              <w:right w:w="30" w:type="dxa"/>
            </w:tcMar>
            <w:vAlign w:val="center"/>
            <w:hideMark/>
          </w:tcPr>
          <w:p w14:paraId="36DC2185"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65,4 (± 24,7)</w:t>
            </w:r>
          </w:p>
        </w:tc>
        <w:tc>
          <w:tcPr>
            <w:tcW w:w="1000" w:type="pct"/>
            <w:vMerge w:val="restart"/>
            <w:shd w:val="clear" w:color="auto" w:fill="auto"/>
            <w:tcMar>
              <w:top w:w="30" w:type="dxa"/>
              <w:left w:w="30" w:type="dxa"/>
              <w:bottom w:w="30" w:type="dxa"/>
              <w:right w:w="30" w:type="dxa"/>
            </w:tcMar>
            <w:vAlign w:val="center"/>
            <w:hideMark/>
          </w:tcPr>
          <w:p w14:paraId="35FEB652"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-5,0</w:t>
            </w:r>
          </w:p>
          <w:p w14:paraId="07A53AD0"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(-13,6, 2,9)</w:t>
            </w:r>
          </w:p>
        </w:tc>
      </w:tr>
      <w:tr w:rsidR="00711874" w:rsidRPr="00F00B04" w14:paraId="64ACC69C" w14:textId="77777777" w:rsidTr="002608A1">
        <w:tc>
          <w:tcPr>
            <w:tcW w:w="1000" w:type="pct"/>
            <w:vMerge/>
            <w:shd w:val="clear" w:color="auto" w:fill="auto"/>
            <w:vAlign w:val="center"/>
            <w:hideMark/>
          </w:tcPr>
          <w:p w14:paraId="41204D3C" w14:textId="77777777" w:rsidR="00711874" w:rsidRPr="00F00B04" w:rsidRDefault="00711874" w:rsidP="008A7500">
            <w:pPr>
              <w:spacing w:after="0" w:line="240" w:lineRule="auto"/>
              <w:jc w:val="center"/>
              <w:rPr>
                <w:rFonts w:eastAsia="Times New Roman"/>
                <w:lang w:eastAsia="ru-RU"/>
              </w:rPr>
            </w:pPr>
          </w:p>
        </w:tc>
        <w:tc>
          <w:tcPr>
            <w:tcW w:w="1000" w:type="pct"/>
            <w:shd w:val="clear" w:color="auto" w:fill="auto"/>
            <w:tcMar>
              <w:top w:w="30" w:type="dxa"/>
              <w:left w:w="30" w:type="dxa"/>
              <w:bottom w:w="30" w:type="dxa"/>
              <w:right w:w="30" w:type="dxa"/>
            </w:tcMar>
            <w:vAlign w:val="center"/>
            <w:hideMark/>
          </w:tcPr>
          <w:p w14:paraId="0F3FC94C"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MMF (n=72)</w:t>
            </w:r>
          </w:p>
        </w:tc>
        <w:tc>
          <w:tcPr>
            <w:tcW w:w="1000" w:type="pct"/>
            <w:shd w:val="clear" w:color="auto" w:fill="auto"/>
            <w:tcMar>
              <w:top w:w="30" w:type="dxa"/>
              <w:left w:w="30" w:type="dxa"/>
              <w:bottom w:w="30" w:type="dxa"/>
              <w:right w:w="30" w:type="dxa"/>
            </w:tcMar>
            <w:vAlign w:val="center"/>
            <w:hideMark/>
          </w:tcPr>
          <w:p w14:paraId="1D1A1B90"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76,0 (± 31,8)</w:t>
            </w:r>
          </w:p>
        </w:tc>
        <w:tc>
          <w:tcPr>
            <w:tcW w:w="1000" w:type="pct"/>
            <w:shd w:val="clear" w:color="auto" w:fill="auto"/>
            <w:tcMar>
              <w:top w:w="30" w:type="dxa"/>
              <w:left w:w="30" w:type="dxa"/>
              <w:bottom w:w="30" w:type="dxa"/>
              <w:right w:w="30" w:type="dxa"/>
            </w:tcMar>
            <w:vAlign w:val="center"/>
            <w:hideMark/>
          </w:tcPr>
          <w:p w14:paraId="0DA02A93"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72,4 (± 26,4)</w:t>
            </w:r>
          </w:p>
        </w:tc>
        <w:tc>
          <w:tcPr>
            <w:tcW w:w="1000" w:type="pct"/>
            <w:vMerge/>
            <w:shd w:val="clear" w:color="auto" w:fill="auto"/>
            <w:vAlign w:val="center"/>
            <w:hideMark/>
          </w:tcPr>
          <w:p w14:paraId="548DF2E9" w14:textId="77777777" w:rsidR="00711874" w:rsidRPr="00F00B04" w:rsidRDefault="00711874" w:rsidP="008A7500">
            <w:pPr>
              <w:spacing w:after="0" w:line="240" w:lineRule="auto"/>
              <w:jc w:val="center"/>
              <w:rPr>
                <w:rFonts w:eastAsia="Times New Roman"/>
                <w:lang w:eastAsia="ru-RU"/>
              </w:rPr>
            </w:pPr>
          </w:p>
        </w:tc>
      </w:tr>
      <w:tr w:rsidR="00711874" w:rsidRPr="00F00B04" w14:paraId="57F0ACB5" w14:textId="77777777" w:rsidTr="002608A1">
        <w:tc>
          <w:tcPr>
            <w:tcW w:w="1000" w:type="pct"/>
            <w:vMerge w:val="restart"/>
            <w:shd w:val="clear" w:color="auto" w:fill="auto"/>
            <w:tcMar>
              <w:top w:w="30" w:type="dxa"/>
              <w:left w:w="30" w:type="dxa"/>
              <w:bottom w:w="30" w:type="dxa"/>
              <w:right w:w="30" w:type="dxa"/>
            </w:tcMar>
            <w:vAlign w:val="center"/>
            <w:hideMark/>
          </w:tcPr>
          <w:p w14:paraId="534C3313"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Месяц 12</w:t>
            </w:r>
          </w:p>
        </w:tc>
        <w:tc>
          <w:tcPr>
            <w:tcW w:w="1000" w:type="pct"/>
            <w:shd w:val="clear" w:color="auto" w:fill="auto"/>
            <w:tcMar>
              <w:top w:w="30" w:type="dxa"/>
              <w:left w:w="30" w:type="dxa"/>
              <w:bottom w:w="30" w:type="dxa"/>
              <w:right w:w="30" w:type="dxa"/>
            </w:tcMar>
            <w:vAlign w:val="center"/>
            <w:hideMark/>
          </w:tcPr>
          <w:p w14:paraId="2D504907"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Сертикан (n = 71)</w:t>
            </w:r>
          </w:p>
        </w:tc>
        <w:tc>
          <w:tcPr>
            <w:tcW w:w="1000" w:type="pct"/>
            <w:shd w:val="clear" w:color="auto" w:fill="auto"/>
            <w:tcMar>
              <w:top w:w="30" w:type="dxa"/>
              <w:left w:w="30" w:type="dxa"/>
              <w:bottom w:w="30" w:type="dxa"/>
              <w:right w:w="30" w:type="dxa"/>
            </w:tcMar>
            <w:vAlign w:val="center"/>
            <w:hideMark/>
          </w:tcPr>
          <w:p w14:paraId="7C0E654F"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74,8 (± 28,3)</w:t>
            </w:r>
          </w:p>
        </w:tc>
        <w:tc>
          <w:tcPr>
            <w:tcW w:w="1000" w:type="pct"/>
            <w:shd w:val="clear" w:color="auto" w:fill="auto"/>
            <w:tcMar>
              <w:top w:w="30" w:type="dxa"/>
              <w:left w:w="30" w:type="dxa"/>
              <w:bottom w:w="30" w:type="dxa"/>
              <w:right w:w="30" w:type="dxa"/>
            </w:tcMar>
            <w:vAlign w:val="center"/>
            <w:hideMark/>
          </w:tcPr>
          <w:p w14:paraId="4F518AC0"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68,7 (± 27,7)</w:t>
            </w:r>
          </w:p>
        </w:tc>
        <w:tc>
          <w:tcPr>
            <w:tcW w:w="1000" w:type="pct"/>
            <w:vMerge w:val="restart"/>
            <w:shd w:val="clear" w:color="auto" w:fill="auto"/>
            <w:tcMar>
              <w:top w:w="30" w:type="dxa"/>
              <w:left w:w="30" w:type="dxa"/>
              <w:bottom w:w="30" w:type="dxa"/>
              <w:right w:w="30" w:type="dxa"/>
            </w:tcMar>
            <w:vAlign w:val="center"/>
            <w:hideMark/>
          </w:tcPr>
          <w:p w14:paraId="0644B5C1"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-1,8</w:t>
            </w:r>
          </w:p>
          <w:p w14:paraId="14FD63F7"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(-11,2, 7,5)</w:t>
            </w:r>
          </w:p>
        </w:tc>
      </w:tr>
      <w:tr w:rsidR="00711874" w:rsidRPr="00F00B04" w14:paraId="6FC91854" w14:textId="77777777" w:rsidTr="002608A1">
        <w:tc>
          <w:tcPr>
            <w:tcW w:w="1000" w:type="pct"/>
            <w:vMerge/>
            <w:shd w:val="clear" w:color="auto" w:fill="auto"/>
            <w:vAlign w:val="center"/>
            <w:hideMark/>
          </w:tcPr>
          <w:p w14:paraId="471E7B83" w14:textId="77777777" w:rsidR="00711874" w:rsidRPr="00F00B04" w:rsidRDefault="00711874" w:rsidP="008A7500">
            <w:pPr>
              <w:spacing w:after="0" w:line="240" w:lineRule="auto"/>
              <w:rPr>
                <w:rFonts w:eastAsia="Times New Roman"/>
                <w:lang w:eastAsia="ru-RU"/>
              </w:rPr>
            </w:pPr>
          </w:p>
        </w:tc>
        <w:tc>
          <w:tcPr>
            <w:tcW w:w="1000" w:type="pct"/>
            <w:shd w:val="clear" w:color="auto" w:fill="auto"/>
            <w:tcMar>
              <w:top w:w="30" w:type="dxa"/>
              <w:left w:w="30" w:type="dxa"/>
              <w:bottom w:w="30" w:type="dxa"/>
              <w:right w:w="30" w:type="dxa"/>
            </w:tcMar>
            <w:hideMark/>
          </w:tcPr>
          <w:p w14:paraId="77752FAC"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MMF (n=71)</w:t>
            </w:r>
          </w:p>
        </w:tc>
        <w:tc>
          <w:tcPr>
            <w:tcW w:w="1000" w:type="pct"/>
            <w:shd w:val="clear" w:color="auto" w:fill="auto"/>
            <w:tcMar>
              <w:top w:w="30" w:type="dxa"/>
              <w:left w:w="30" w:type="dxa"/>
              <w:bottom w:w="30" w:type="dxa"/>
              <w:right w:w="30" w:type="dxa"/>
            </w:tcMar>
            <w:hideMark/>
          </w:tcPr>
          <w:p w14:paraId="65B2C694"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76,2 (± 32,1)</w:t>
            </w:r>
          </w:p>
        </w:tc>
        <w:tc>
          <w:tcPr>
            <w:tcW w:w="1000" w:type="pct"/>
            <w:shd w:val="clear" w:color="auto" w:fill="auto"/>
            <w:tcMar>
              <w:top w:w="30" w:type="dxa"/>
              <w:left w:w="30" w:type="dxa"/>
              <w:bottom w:w="30" w:type="dxa"/>
              <w:right w:w="30" w:type="dxa"/>
            </w:tcMar>
            <w:hideMark/>
          </w:tcPr>
          <w:p w14:paraId="16790797" w14:textId="77777777" w:rsidR="00711874" w:rsidRPr="00F00B04" w:rsidRDefault="00711874" w:rsidP="008A7500">
            <w:pPr>
              <w:spacing w:after="0" w:line="240" w:lineRule="auto"/>
              <w:jc w:val="center"/>
              <w:rPr>
                <w:rFonts w:eastAsia="Times New Roman"/>
                <w:lang w:eastAsia="ru-RU"/>
              </w:rPr>
            </w:pPr>
            <w:r w:rsidRPr="00F00B04">
              <w:rPr>
                <w:rFonts w:eastAsia="Times New Roman"/>
                <w:lang w:eastAsia="ru-RU"/>
              </w:rPr>
              <w:t>71,9 (± 30,0)</w:t>
            </w:r>
          </w:p>
        </w:tc>
        <w:tc>
          <w:tcPr>
            <w:tcW w:w="1000" w:type="pct"/>
            <w:vMerge/>
            <w:shd w:val="clear" w:color="auto" w:fill="auto"/>
            <w:hideMark/>
          </w:tcPr>
          <w:p w14:paraId="3C24EDF1" w14:textId="77777777" w:rsidR="00711874" w:rsidRPr="00F00B04" w:rsidRDefault="00711874" w:rsidP="008A7500">
            <w:pPr>
              <w:spacing w:after="0" w:line="240" w:lineRule="auto"/>
              <w:rPr>
                <w:rFonts w:eastAsia="Times New Roman"/>
                <w:lang w:eastAsia="ru-RU"/>
              </w:rPr>
            </w:pPr>
          </w:p>
        </w:tc>
      </w:tr>
      <w:tr w:rsidR="002608A1" w:rsidRPr="00F00B04" w14:paraId="199B961D" w14:textId="77777777" w:rsidTr="002608A1">
        <w:tc>
          <w:tcPr>
            <w:tcW w:w="5000" w:type="pct"/>
            <w:gridSpan w:val="5"/>
            <w:shd w:val="clear" w:color="auto" w:fill="auto"/>
            <w:vAlign w:val="center"/>
          </w:tcPr>
          <w:p w14:paraId="4FF43EB1" w14:textId="77777777" w:rsidR="002608A1" w:rsidRPr="00F00B04" w:rsidRDefault="002608A1" w:rsidP="008A7500">
            <w:pPr>
              <w:shd w:val="clear" w:color="auto" w:fill="FFFFFF"/>
              <w:spacing w:after="0" w:line="240" w:lineRule="auto"/>
              <w:rPr>
                <w:rFonts w:eastAsia="Times New Roman"/>
                <w:b/>
                <w:color w:val="000000"/>
                <w:sz w:val="20"/>
                <w:szCs w:val="20"/>
                <w:lang w:eastAsia="ru-RU"/>
              </w:rPr>
            </w:pPr>
            <w:r w:rsidRPr="00F00B04">
              <w:rPr>
                <w:rFonts w:eastAsia="Times New Roman"/>
                <w:b/>
                <w:color w:val="000000"/>
                <w:sz w:val="20"/>
                <w:szCs w:val="20"/>
                <w:lang w:eastAsia="ru-RU"/>
              </w:rPr>
              <w:t>Примечание:</w:t>
            </w:r>
          </w:p>
          <w:p w14:paraId="6576CCCC" w14:textId="07649EC5" w:rsidR="002608A1" w:rsidRPr="0071249E" w:rsidRDefault="002608A1" w:rsidP="008A7500">
            <w:pPr>
              <w:shd w:val="clear" w:color="auto" w:fill="FFFFFF"/>
              <w:spacing w:after="0" w:line="240" w:lineRule="auto"/>
              <w:rPr>
                <w:rFonts w:eastAsia="Times New Roman"/>
                <w:color w:val="000000"/>
                <w:sz w:val="20"/>
                <w:szCs w:val="20"/>
                <w:lang w:eastAsia="ru-RU"/>
              </w:rPr>
            </w:pPr>
            <w:r w:rsidRPr="00F00B04">
              <w:rPr>
                <w:rFonts w:eastAsia="Times New Roman"/>
                <w:color w:val="000000"/>
                <w:sz w:val="20"/>
                <w:szCs w:val="20"/>
                <w:lang w:eastAsia="ru-RU"/>
              </w:rPr>
              <w:t>* включая пациентов со значени</w:t>
            </w:r>
            <w:r>
              <w:rPr>
                <w:rFonts w:eastAsia="Times New Roman"/>
                <w:color w:val="000000"/>
                <w:sz w:val="20"/>
                <w:szCs w:val="20"/>
                <w:lang w:eastAsia="ru-RU"/>
              </w:rPr>
              <w:t>ем как исходно, так и на визите</w:t>
            </w:r>
          </w:p>
        </w:tc>
      </w:tr>
    </w:tbl>
    <w:p w14:paraId="29EDE30C" w14:textId="77777777" w:rsidR="00711874" w:rsidRPr="00F7306C" w:rsidRDefault="00711874" w:rsidP="00711874">
      <w:pPr>
        <w:shd w:val="clear" w:color="auto" w:fill="FFFFFF"/>
        <w:spacing w:after="143" w:line="240" w:lineRule="auto"/>
        <w:contextualSpacing/>
        <w:rPr>
          <w:rFonts w:eastAsia="Times New Roman"/>
          <w:color w:val="000000"/>
          <w:highlight w:val="green"/>
          <w:lang w:eastAsia="ru-RU"/>
        </w:rPr>
      </w:pPr>
    </w:p>
    <w:p w14:paraId="262C1974" w14:textId="77777777" w:rsidR="00711874" w:rsidRPr="00F00B04" w:rsidRDefault="00711874" w:rsidP="00711874">
      <w:pPr>
        <w:shd w:val="clear" w:color="auto" w:fill="FFFFFF"/>
        <w:spacing w:after="143" w:line="240" w:lineRule="auto"/>
        <w:ind w:firstLine="709"/>
        <w:contextualSpacing/>
        <w:rPr>
          <w:rFonts w:eastAsia="Times New Roman"/>
          <w:color w:val="000000"/>
          <w:lang w:eastAsia="ru-RU"/>
        </w:rPr>
      </w:pPr>
      <w:r w:rsidRPr="00F00B04">
        <w:rPr>
          <w:rFonts w:eastAsia="Times New Roman"/>
          <w:color w:val="000000"/>
          <w:lang w:eastAsia="ru-RU"/>
        </w:rPr>
        <w:t>Функция почек в исследовании A2310, оцененная по расчетной скорости клубочковой фильтрации (СКФ) с использованием формулы MDRD, была на 5,5 мл/мин/1,73 м</w:t>
      </w:r>
      <w:r w:rsidRPr="00F00B04">
        <w:rPr>
          <w:rFonts w:eastAsia="Times New Roman"/>
          <w:color w:val="000000"/>
          <w:vertAlign w:val="superscript"/>
          <w:lang w:eastAsia="ru-RU"/>
        </w:rPr>
        <w:t>2</w:t>
      </w:r>
      <w:r w:rsidRPr="00F00B04">
        <w:rPr>
          <w:rFonts w:eastAsia="Times New Roman"/>
          <w:color w:val="000000"/>
          <w:lang w:eastAsia="ru-RU"/>
        </w:rPr>
        <w:t xml:space="preserve"> (97,5 % ДИ -10,9, -0,2) ниже в группе эверолимуса в дозе 1,5 мг на 12</w:t>
      </w:r>
      <w:r w:rsidRPr="00F00B04">
        <w:rPr>
          <w:rFonts w:eastAsia="Times New Roman"/>
          <w:color w:val="000000"/>
          <w:lang w:eastAsia="ru-RU"/>
        </w:rPr>
        <w:noBreakHyphen/>
        <w:t>м месяце.</w:t>
      </w:r>
    </w:p>
    <w:p w14:paraId="04D945AB" w14:textId="0048EBFA" w:rsidR="00711874" w:rsidRPr="00F00B04" w:rsidRDefault="00711874" w:rsidP="00711874">
      <w:pPr>
        <w:shd w:val="clear" w:color="auto" w:fill="FFFFFF"/>
        <w:spacing w:after="143" w:line="240" w:lineRule="auto"/>
        <w:ind w:firstLine="709"/>
        <w:contextualSpacing/>
        <w:rPr>
          <w:rFonts w:eastAsia="Times New Roman"/>
          <w:color w:val="000000"/>
          <w:highlight w:val="green"/>
          <w:lang w:eastAsia="ru-RU"/>
        </w:rPr>
      </w:pPr>
      <w:r w:rsidRPr="00F00B04">
        <w:rPr>
          <w:rFonts w:eastAsia="Times New Roman"/>
          <w:color w:val="000000"/>
          <w:lang w:eastAsia="ru-RU"/>
        </w:rPr>
        <w:t xml:space="preserve">Это различие в основном наблюдалось в центрах, где средние концентрации циклоспорина были одинаковыми на протяжении всего периода исследования у пациентов, получавших Сертикан, и у пациентов, рандомизированных в контрольную группу. Это наблюдение подчеркивает важность снижения концентрации циклоспорина в сочетании с эверолимусом, как указано в </w:t>
      </w:r>
      <w:r w:rsidRPr="00711874">
        <w:rPr>
          <w:rFonts w:eastAsia="Times New Roman"/>
          <w:color w:val="000000"/>
          <w:lang w:eastAsia="ru-RU"/>
        </w:rPr>
        <w:t xml:space="preserve">таблице 4-19 </w:t>
      </w:r>
      <w:r w:rsidRPr="00F00B04">
        <w:rPr>
          <w:rFonts w:eastAsia="Times New Roman"/>
          <w:color w:val="000000"/>
          <w:lang w:eastAsia="ru-RU"/>
        </w:rPr>
        <w:t>[3].</w:t>
      </w:r>
    </w:p>
    <w:p w14:paraId="1E527263" w14:textId="77777777" w:rsidR="00711874" w:rsidRPr="00F7306C" w:rsidRDefault="00711874" w:rsidP="00711874">
      <w:pPr>
        <w:shd w:val="clear" w:color="auto" w:fill="FFFFFF"/>
        <w:spacing w:after="143" w:line="240" w:lineRule="auto"/>
        <w:contextualSpacing/>
        <w:rPr>
          <w:rFonts w:eastAsia="Times New Roman"/>
          <w:color w:val="000000"/>
          <w:highlight w:val="yellow"/>
          <w:lang w:eastAsia="ru-RU"/>
        </w:rPr>
      </w:pPr>
    </w:p>
    <w:p w14:paraId="5BFAFB75" w14:textId="72057A56" w:rsidR="00711874" w:rsidRPr="00F00B04" w:rsidRDefault="00711874" w:rsidP="00711874">
      <w:pPr>
        <w:shd w:val="clear" w:color="auto" w:fill="FFFFFF"/>
        <w:spacing w:after="143" w:line="240" w:lineRule="auto"/>
        <w:contextualSpacing/>
        <w:rPr>
          <w:rFonts w:eastAsia="Times New Roman"/>
          <w:color w:val="000000"/>
          <w:lang w:eastAsia="ru-RU"/>
        </w:rPr>
      </w:pPr>
      <w:r w:rsidRPr="00711874">
        <w:rPr>
          <w:rFonts w:eastAsia="Times New Roman"/>
          <w:b/>
          <w:bCs/>
          <w:color w:val="000000"/>
          <w:lang w:eastAsia="ru-RU"/>
        </w:rPr>
        <w:t xml:space="preserve">Таблица 4-19. </w:t>
      </w:r>
      <w:r w:rsidRPr="00F00B04">
        <w:rPr>
          <w:rFonts w:eastAsia="Times New Roman"/>
          <w:bCs/>
          <w:color w:val="000000"/>
          <w:lang w:eastAsia="ru-RU"/>
        </w:rPr>
        <w:t>Целевые минимальные концентрации циклоспорина по месяцам</w:t>
      </w:r>
      <w:r w:rsidR="008A7500">
        <w:rPr>
          <w:rFonts w:eastAsia="Times New Roman"/>
          <w:bCs/>
          <w:color w:val="000000"/>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2336"/>
        <w:gridCol w:w="1402"/>
        <w:gridCol w:w="1402"/>
        <w:gridCol w:w="1402"/>
        <w:gridCol w:w="1402"/>
        <w:gridCol w:w="1402"/>
      </w:tblGrid>
      <w:tr w:rsidR="00711874" w:rsidRPr="00F00B04" w14:paraId="0B25C3BF" w14:textId="77777777" w:rsidTr="008A7500">
        <w:tc>
          <w:tcPr>
            <w:tcW w:w="1249" w:type="pct"/>
            <w:shd w:val="clear" w:color="auto" w:fill="D9D9D9" w:themeFill="background1" w:themeFillShade="D9"/>
            <w:tcMar>
              <w:top w:w="30" w:type="dxa"/>
              <w:left w:w="30" w:type="dxa"/>
              <w:bottom w:w="30" w:type="dxa"/>
              <w:right w:w="30" w:type="dxa"/>
            </w:tcMar>
            <w:hideMark/>
          </w:tcPr>
          <w:p w14:paraId="468D99E2" w14:textId="77777777" w:rsidR="00711874" w:rsidRPr="00F00B04" w:rsidRDefault="00711874" w:rsidP="008A7500">
            <w:pPr>
              <w:contextualSpacing/>
              <w:jc w:val="center"/>
              <w:rPr>
                <w:rFonts w:eastAsia="Times New Roman"/>
                <w:b/>
                <w:lang w:eastAsia="ru-RU"/>
              </w:rPr>
            </w:pPr>
            <w:r w:rsidRPr="00F00B04">
              <w:rPr>
                <w:rFonts w:eastAsia="Times New Roman"/>
                <w:b/>
                <w:bCs/>
                <w:lang w:eastAsia="ru-RU"/>
              </w:rPr>
              <w:t>Заданная C</w:t>
            </w:r>
            <w:r w:rsidRPr="00F00B04">
              <w:rPr>
                <w:rFonts w:eastAsia="Times New Roman"/>
                <w:b/>
                <w:bCs/>
                <w:vertAlign w:val="subscript"/>
                <w:lang w:eastAsia="ru-RU"/>
              </w:rPr>
              <w:t>0</w:t>
            </w:r>
            <w:r w:rsidRPr="00F00B04">
              <w:rPr>
                <w:rFonts w:eastAsia="Times New Roman"/>
                <w:b/>
                <w:bCs/>
                <w:lang w:eastAsia="ru-RU"/>
              </w:rPr>
              <w:t xml:space="preserve"> циклоспорина</w:t>
            </w:r>
          </w:p>
        </w:tc>
        <w:tc>
          <w:tcPr>
            <w:tcW w:w="750" w:type="pct"/>
            <w:shd w:val="clear" w:color="auto" w:fill="D9D9D9" w:themeFill="background1" w:themeFillShade="D9"/>
            <w:tcMar>
              <w:top w:w="30" w:type="dxa"/>
              <w:left w:w="30" w:type="dxa"/>
              <w:bottom w:w="30" w:type="dxa"/>
              <w:right w:w="30" w:type="dxa"/>
            </w:tcMar>
            <w:vAlign w:val="center"/>
            <w:hideMark/>
          </w:tcPr>
          <w:p w14:paraId="41555FE6" w14:textId="77777777" w:rsidR="00711874" w:rsidRPr="00F00B04" w:rsidRDefault="00711874" w:rsidP="0071249E">
            <w:pPr>
              <w:contextualSpacing/>
              <w:jc w:val="center"/>
              <w:rPr>
                <w:rFonts w:eastAsia="Times New Roman"/>
                <w:b/>
                <w:lang w:eastAsia="ru-RU"/>
              </w:rPr>
            </w:pPr>
            <w:r w:rsidRPr="00F00B04">
              <w:rPr>
                <w:rFonts w:eastAsia="Times New Roman"/>
                <w:b/>
                <w:lang w:eastAsia="ru-RU"/>
              </w:rPr>
              <w:t>Мес. 1</w:t>
            </w:r>
          </w:p>
        </w:tc>
        <w:tc>
          <w:tcPr>
            <w:tcW w:w="750" w:type="pct"/>
            <w:shd w:val="clear" w:color="auto" w:fill="D9D9D9" w:themeFill="background1" w:themeFillShade="D9"/>
            <w:tcMar>
              <w:top w:w="30" w:type="dxa"/>
              <w:left w:w="30" w:type="dxa"/>
              <w:bottom w:w="30" w:type="dxa"/>
              <w:right w:w="30" w:type="dxa"/>
            </w:tcMar>
            <w:vAlign w:val="center"/>
            <w:hideMark/>
          </w:tcPr>
          <w:p w14:paraId="034CCA82" w14:textId="77777777" w:rsidR="00711874" w:rsidRPr="00F00B04" w:rsidRDefault="00711874" w:rsidP="0071249E">
            <w:pPr>
              <w:contextualSpacing/>
              <w:jc w:val="center"/>
              <w:rPr>
                <w:rFonts w:eastAsia="Times New Roman"/>
                <w:b/>
                <w:lang w:eastAsia="ru-RU"/>
              </w:rPr>
            </w:pPr>
            <w:r w:rsidRPr="00F00B04">
              <w:rPr>
                <w:rFonts w:eastAsia="Times New Roman"/>
                <w:b/>
                <w:lang w:eastAsia="ru-RU"/>
              </w:rPr>
              <w:t>Мес. 2</w:t>
            </w:r>
          </w:p>
        </w:tc>
        <w:tc>
          <w:tcPr>
            <w:tcW w:w="750" w:type="pct"/>
            <w:shd w:val="clear" w:color="auto" w:fill="D9D9D9" w:themeFill="background1" w:themeFillShade="D9"/>
            <w:tcMar>
              <w:top w:w="30" w:type="dxa"/>
              <w:left w:w="30" w:type="dxa"/>
              <w:bottom w:w="30" w:type="dxa"/>
              <w:right w:w="30" w:type="dxa"/>
            </w:tcMar>
            <w:vAlign w:val="center"/>
            <w:hideMark/>
          </w:tcPr>
          <w:p w14:paraId="3401896F" w14:textId="77777777" w:rsidR="00711874" w:rsidRPr="00F00B04" w:rsidRDefault="00711874" w:rsidP="0071249E">
            <w:pPr>
              <w:contextualSpacing/>
              <w:jc w:val="center"/>
              <w:rPr>
                <w:rFonts w:eastAsia="Times New Roman"/>
                <w:b/>
                <w:lang w:eastAsia="ru-RU"/>
              </w:rPr>
            </w:pPr>
            <w:r w:rsidRPr="00F00B04">
              <w:rPr>
                <w:rFonts w:eastAsia="Times New Roman"/>
                <w:b/>
                <w:lang w:eastAsia="ru-RU"/>
              </w:rPr>
              <w:t>Мес. 3-4</w:t>
            </w:r>
          </w:p>
        </w:tc>
        <w:tc>
          <w:tcPr>
            <w:tcW w:w="750" w:type="pct"/>
            <w:shd w:val="clear" w:color="auto" w:fill="D9D9D9" w:themeFill="background1" w:themeFillShade="D9"/>
            <w:tcMar>
              <w:top w:w="30" w:type="dxa"/>
              <w:left w:w="30" w:type="dxa"/>
              <w:bottom w:w="30" w:type="dxa"/>
              <w:right w:w="30" w:type="dxa"/>
            </w:tcMar>
            <w:vAlign w:val="center"/>
            <w:hideMark/>
          </w:tcPr>
          <w:p w14:paraId="3A02479C" w14:textId="77777777" w:rsidR="00711874" w:rsidRPr="00F00B04" w:rsidRDefault="00711874" w:rsidP="0071249E">
            <w:pPr>
              <w:contextualSpacing/>
              <w:jc w:val="center"/>
              <w:rPr>
                <w:rFonts w:eastAsia="Times New Roman"/>
                <w:b/>
                <w:lang w:eastAsia="ru-RU"/>
              </w:rPr>
            </w:pPr>
            <w:r w:rsidRPr="00F00B04">
              <w:rPr>
                <w:rFonts w:eastAsia="Times New Roman"/>
                <w:b/>
                <w:lang w:eastAsia="ru-RU"/>
              </w:rPr>
              <w:t>Мес. 5-6</w:t>
            </w:r>
          </w:p>
        </w:tc>
        <w:tc>
          <w:tcPr>
            <w:tcW w:w="750" w:type="pct"/>
            <w:shd w:val="clear" w:color="auto" w:fill="D9D9D9" w:themeFill="background1" w:themeFillShade="D9"/>
            <w:tcMar>
              <w:top w:w="30" w:type="dxa"/>
              <w:left w:w="30" w:type="dxa"/>
              <w:bottom w:w="30" w:type="dxa"/>
              <w:right w:w="30" w:type="dxa"/>
            </w:tcMar>
            <w:vAlign w:val="center"/>
            <w:hideMark/>
          </w:tcPr>
          <w:p w14:paraId="048205D1" w14:textId="77777777" w:rsidR="00711874" w:rsidRPr="00F00B04" w:rsidRDefault="00711874" w:rsidP="0071249E">
            <w:pPr>
              <w:contextualSpacing/>
              <w:jc w:val="center"/>
              <w:rPr>
                <w:rFonts w:eastAsia="Times New Roman"/>
                <w:b/>
                <w:lang w:eastAsia="ru-RU"/>
              </w:rPr>
            </w:pPr>
            <w:r w:rsidRPr="00F00B04">
              <w:rPr>
                <w:rFonts w:eastAsia="Times New Roman"/>
                <w:b/>
                <w:lang w:eastAsia="ru-RU"/>
              </w:rPr>
              <w:t>Мес. 7-12</w:t>
            </w:r>
          </w:p>
        </w:tc>
      </w:tr>
      <w:tr w:rsidR="00711874" w:rsidRPr="00F00B04" w14:paraId="21755B01" w14:textId="77777777" w:rsidTr="008A7500">
        <w:tc>
          <w:tcPr>
            <w:tcW w:w="1249" w:type="pct"/>
            <w:shd w:val="clear" w:color="auto" w:fill="auto"/>
            <w:tcMar>
              <w:top w:w="30" w:type="dxa"/>
              <w:left w:w="30" w:type="dxa"/>
              <w:bottom w:w="30" w:type="dxa"/>
              <w:right w:w="30" w:type="dxa"/>
            </w:tcMar>
            <w:hideMark/>
          </w:tcPr>
          <w:p w14:paraId="42D33F4B" w14:textId="20113202" w:rsidR="00711874" w:rsidRPr="00F00B04" w:rsidRDefault="00711874" w:rsidP="002608A1">
            <w:pPr>
              <w:contextualSpacing/>
              <w:rPr>
                <w:rFonts w:eastAsia="Times New Roman"/>
                <w:lang w:eastAsia="ru-RU"/>
              </w:rPr>
            </w:pPr>
            <w:r w:rsidRPr="00F00B04">
              <w:rPr>
                <w:rFonts w:eastAsia="Times New Roman"/>
                <w:bCs/>
                <w:lang w:eastAsia="ru-RU"/>
              </w:rPr>
              <w:t xml:space="preserve">Группа </w:t>
            </w:r>
            <w:r w:rsidR="002608A1">
              <w:rPr>
                <w:rFonts w:eastAsia="Times New Roman"/>
                <w:bCs/>
                <w:lang w:eastAsia="ru-RU"/>
              </w:rPr>
              <w:t>эверолимуса</w:t>
            </w:r>
          </w:p>
        </w:tc>
        <w:tc>
          <w:tcPr>
            <w:tcW w:w="750" w:type="pct"/>
            <w:shd w:val="clear" w:color="auto" w:fill="auto"/>
            <w:tcMar>
              <w:top w:w="30" w:type="dxa"/>
              <w:left w:w="30" w:type="dxa"/>
              <w:bottom w:w="30" w:type="dxa"/>
              <w:right w:w="30" w:type="dxa"/>
            </w:tcMar>
            <w:vAlign w:val="center"/>
            <w:hideMark/>
          </w:tcPr>
          <w:p w14:paraId="3D2FEFF8" w14:textId="77777777" w:rsidR="00711874" w:rsidRPr="00F00B04" w:rsidRDefault="00711874" w:rsidP="0071249E">
            <w:pPr>
              <w:contextualSpacing/>
              <w:jc w:val="center"/>
              <w:rPr>
                <w:rFonts w:eastAsia="Times New Roman"/>
                <w:lang w:eastAsia="ru-RU"/>
              </w:rPr>
            </w:pPr>
            <w:r w:rsidRPr="00F00B04">
              <w:rPr>
                <w:rFonts w:eastAsia="Times New Roman"/>
                <w:bCs/>
                <w:lang w:eastAsia="ru-RU"/>
              </w:rPr>
              <w:t>200-350</w:t>
            </w:r>
          </w:p>
        </w:tc>
        <w:tc>
          <w:tcPr>
            <w:tcW w:w="750" w:type="pct"/>
            <w:shd w:val="clear" w:color="auto" w:fill="auto"/>
            <w:tcMar>
              <w:top w:w="30" w:type="dxa"/>
              <w:left w:w="30" w:type="dxa"/>
              <w:bottom w:w="30" w:type="dxa"/>
              <w:right w:w="30" w:type="dxa"/>
            </w:tcMar>
            <w:vAlign w:val="center"/>
            <w:hideMark/>
          </w:tcPr>
          <w:p w14:paraId="7315E11F" w14:textId="77777777" w:rsidR="00711874" w:rsidRPr="00F00B04" w:rsidRDefault="00711874" w:rsidP="0071249E">
            <w:pPr>
              <w:contextualSpacing/>
              <w:jc w:val="center"/>
              <w:rPr>
                <w:rFonts w:eastAsia="Times New Roman"/>
                <w:lang w:eastAsia="ru-RU"/>
              </w:rPr>
            </w:pPr>
            <w:r w:rsidRPr="00F00B04">
              <w:rPr>
                <w:rFonts w:eastAsia="Times New Roman"/>
                <w:bCs/>
                <w:lang w:eastAsia="ru-RU"/>
              </w:rPr>
              <w:t>150-250</w:t>
            </w:r>
          </w:p>
        </w:tc>
        <w:tc>
          <w:tcPr>
            <w:tcW w:w="750" w:type="pct"/>
            <w:shd w:val="clear" w:color="auto" w:fill="auto"/>
            <w:tcMar>
              <w:top w:w="30" w:type="dxa"/>
              <w:left w:w="30" w:type="dxa"/>
              <w:bottom w:w="30" w:type="dxa"/>
              <w:right w:w="30" w:type="dxa"/>
            </w:tcMar>
            <w:vAlign w:val="center"/>
            <w:hideMark/>
          </w:tcPr>
          <w:p w14:paraId="296A4EE9" w14:textId="77777777" w:rsidR="00711874" w:rsidRPr="00F00B04" w:rsidRDefault="00711874" w:rsidP="0071249E">
            <w:pPr>
              <w:contextualSpacing/>
              <w:jc w:val="center"/>
              <w:rPr>
                <w:rFonts w:eastAsia="Times New Roman"/>
                <w:lang w:eastAsia="ru-RU"/>
              </w:rPr>
            </w:pPr>
            <w:r w:rsidRPr="00F00B04">
              <w:rPr>
                <w:rFonts w:eastAsia="Times New Roman"/>
                <w:bCs/>
                <w:lang w:eastAsia="ru-RU"/>
              </w:rPr>
              <w:t>100-200</w:t>
            </w:r>
          </w:p>
        </w:tc>
        <w:tc>
          <w:tcPr>
            <w:tcW w:w="750" w:type="pct"/>
            <w:shd w:val="clear" w:color="auto" w:fill="auto"/>
            <w:tcMar>
              <w:top w:w="30" w:type="dxa"/>
              <w:left w:w="30" w:type="dxa"/>
              <w:bottom w:w="30" w:type="dxa"/>
              <w:right w:w="30" w:type="dxa"/>
            </w:tcMar>
            <w:vAlign w:val="center"/>
            <w:hideMark/>
          </w:tcPr>
          <w:p w14:paraId="6E6202A7" w14:textId="77777777" w:rsidR="00711874" w:rsidRPr="00F00B04" w:rsidRDefault="00711874" w:rsidP="0071249E">
            <w:pPr>
              <w:contextualSpacing/>
              <w:jc w:val="center"/>
              <w:rPr>
                <w:rFonts w:eastAsia="Times New Roman"/>
                <w:lang w:eastAsia="ru-RU"/>
              </w:rPr>
            </w:pPr>
            <w:r w:rsidRPr="00F00B04">
              <w:rPr>
                <w:rFonts w:eastAsia="Times New Roman"/>
                <w:bCs/>
                <w:lang w:eastAsia="ru-RU"/>
              </w:rPr>
              <w:t>75-150</w:t>
            </w:r>
          </w:p>
        </w:tc>
        <w:tc>
          <w:tcPr>
            <w:tcW w:w="750" w:type="pct"/>
            <w:shd w:val="clear" w:color="auto" w:fill="auto"/>
            <w:tcMar>
              <w:top w:w="30" w:type="dxa"/>
              <w:left w:w="30" w:type="dxa"/>
              <w:bottom w:w="30" w:type="dxa"/>
              <w:right w:w="30" w:type="dxa"/>
            </w:tcMar>
            <w:vAlign w:val="center"/>
            <w:hideMark/>
          </w:tcPr>
          <w:p w14:paraId="410CC1D8" w14:textId="77777777" w:rsidR="00711874" w:rsidRPr="00F00B04" w:rsidRDefault="00711874" w:rsidP="0071249E">
            <w:pPr>
              <w:contextualSpacing/>
              <w:jc w:val="center"/>
              <w:rPr>
                <w:rFonts w:eastAsia="Times New Roman"/>
                <w:lang w:eastAsia="ru-RU"/>
              </w:rPr>
            </w:pPr>
            <w:r w:rsidRPr="00F00B04">
              <w:rPr>
                <w:rFonts w:eastAsia="Times New Roman"/>
                <w:bCs/>
                <w:lang w:eastAsia="ru-RU"/>
              </w:rPr>
              <w:t>50-100</w:t>
            </w:r>
          </w:p>
        </w:tc>
      </w:tr>
      <w:tr w:rsidR="00711874" w:rsidRPr="00F00B04" w14:paraId="650AE40A" w14:textId="77777777" w:rsidTr="008A7500">
        <w:tc>
          <w:tcPr>
            <w:tcW w:w="1249" w:type="pct"/>
            <w:shd w:val="clear" w:color="auto" w:fill="auto"/>
            <w:tcMar>
              <w:top w:w="30" w:type="dxa"/>
              <w:left w:w="30" w:type="dxa"/>
              <w:bottom w:w="30" w:type="dxa"/>
              <w:right w:w="30" w:type="dxa"/>
            </w:tcMar>
            <w:hideMark/>
          </w:tcPr>
          <w:p w14:paraId="2E30FF8B" w14:textId="77777777" w:rsidR="00711874" w:rsidRPr="00F00B04" w:rsidRDefault="00711874" w:rsidP="00711874">
            <w:pPr>
              <w:spacing w:line="240" w:lineRule="auto"/>
              <w:contextualSpacing/>
              <w:rPr>
                <w:rFonts w:eastAsia="Times New Roman"/>
                <w:lang w:eastAsia="ru-RU"/>
              </w:rPr>
            </w:pPr>
            <w:r w:rsidRPr="00F00B04">
              <w:rPr>
                <w:rFonts w:eastAsia="Times New Roman"/>
                <w:bCs/>
                <w:lang w:eastAsia="ru-RU"/>
              </w:rPr>
              <w:t>Группа MMF</w:t>
            </w:r>
          </w:p>
        </w:tc>
        <w:tc>
          <w:tcPr>
            <w:tcW w:w="750" w:type="pct"/>
            <w:shd w:val="clear" w:color="auto" w:fill="auto"/>
            <w:tcMar>
              <w:top w:w="30" w:type="dxa"/>
              <w:left w:w="30" w:type="dxa"/>
              <w:bottom w:w="30" w:type="dxa"/>
              <w:right w:w="30" w:type="dxa"/>
            </w:tcMar>
            <w:vAlign w:val="center"/>
            <w:hideMark/>
          </w:tcPr>
          <w:p w14:paraId="28C84A98" w14:textId="77777777" w:rsidR="00711874" w:rsidRPr="00F00B04" w:rsidRDefault="00711874" w:rsidP="0071249E">
            <w:pPr>
              <w:spacing w:line="240" w:lineRule="auto"/>
              <w:contextualSpacing/>
              <w:jc w:val="center"/>
              <w:rPr>
                <w:rFonts w:eastAsia="Times New Roman"/>
                <w:lang w:eastAsia="ru-RU"/>
              </w:rPr>
            </w:pPr>
            <w:r w:rsidRPr="00F00B04">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26E26D8E" w14:textId="77777777" w:rsidR="00711874" w:rsidRPr="00F00B04" w:rsidRDefault="00711874" w:rsidP="0071249E">
            <w:pPr>
              <w:spacing w:line="240" w:lineRule="auto"/>
              <w:contextualSpacing/>
              <w:jc w:val="center"/>
              <w:rPr>
                <w:rFonts w:eastAsia="Times New Roman"/>
                <w:lang w:eastAsia="ru-RU"/>
              </w:rPr>
            </w:pPr>
            <w:r w:rsidRPr="00F00B04">
              <w:rPr>
                <w:rFonts w:eastAsia="Times New Roman"/>
                <w:lang w:eastAsia="ru-RU"/>
              </w:rPr>
              <w:t>200-350</w:t>
            </w:r>
          </w:p>
        </w:tc>
        <w:tc>
          <w:tcPr>
            <w:tcW w:w="750" w:type="pct"/>
            <w:shd w:val="clear" w:color="auto" w:fill="auto"/>
            <w:tcMar>
              <w:top w:w="30" w:type="dxa"/>
              <w:left w:w="30" w:type="dxa"/>
              <w:bottom w:w="30" w:type="dxa"/>
              <w:right w:w="30" w:type="dxa"/>
            </w:tcMar>
            <w:vAlign w:val="center"/>
            <w:hideMark/>
          </w:tcPr>
          <w:p w14:paraId="5791AD3D" w14:textId="77777777" w:rsidR="00711874" w:rsidRPr="00F00B04" w:rsidRDefault="00711874" w:rsidP="0071249E">
            <w:pPr>
              <w:spacing w:line="240" w:lineRule="auto"/>
              <w:contextualSpacing/>
              <w:jc w:val="center"/>
              <w:rPr>
                <w:rFonts w:eastAsia="Times New Roman"/>
                <w:lang w:eastAsia="ru-RU"/>
              </w:rPr>
            </w:pPr>
            <w:r w:rsidRPr="00F00B04">
              <w:rPr>
                <w:rFonts w:eastAsia="Times New Roman"/>
                <w:lang w:eastAsia="ru-RU"/>
              </w:rPr>
              <w:t>200-300</w:t>
            </w:r>
          </w:p>
        </w:tc>
        <w:tc>
          <w:tcPr>
            <w:tcW w:w="750" w:type="pct"/>
            <w:shd w:val="clear" w:color="auto" w:fill="auto"/>
            <w:tcMar>
              <w:top w:w="30" w:type="dxa"/>
              <w:left w:w="30" w:type="dxa"/>
              <w:bottom w:w="30" w:type="dxa"/>
              <w:right w:w="30" w:type="dxa"/>
            </w:tcMar>
            <w:vAlign w:val="center"/>
            <w:hideMark/>
          </w:tcPr>
          <w:p w14:paraId="0AAFD009" w14:textId="77777777" w:rsidR="00711874" w:rsidRPr="00F00B04" w:rsidRDefault="00711874" w:rsidP="0071249E">
            <w:pPr>
              <w:spacing w:line="240" w:lineRule="auto"/>
              <w:contextualSpacing/>
              <w:jc w:val="center"/>
              <w:rPr>
                <w:rFonts w:eastAsia="Times New Roman"/>
                <w:lang w:eastAsia="ru-RU"/>
              </w:rPr>
            </w:pPr>
            <w:r w:rsidRPr="00F00B04">
              <w:rPr>
                <w:rFonts w:eastAsia="Times New Roman"/>
                <w:lang w:eastAsia="ru-RU"/>
              </w:rPr>
              <w:t>150-250</w:t>
            </w:r>
          </w:p>
        </w:tc>
        <w:tc>
          <w:tcPr>
            <w:tcW w:w="750" w:type="pct"/>
            <w:shd w:val="clear" w:color="auto" w:fill="auto"/>
            <w:tcMar>
              <w:top w:w="30" w:type="dxa"/>
              <w:left w:w="30" w:type="dxa"/>
              <w:bottom w:w="30" w:type="dxa"/>
              <w:right w:w="30" w:type="dxa"/>
            </w:tcMar>
            <w:vAlign w:val="center"/>
            <w:hideMark/>
          </w:tcPr>
          <w:p w14:paraId="15CC98B4" w14:textId="77777777" w:rsidR="00711874" w:rsidRPr="00F00B04" w:rsidRDefault="00711874" w:rsidP="0071249E">
            <w:pPr>
              <w:spacing w:line="240" w:lineRule="auto"/>
              <w:contextualSpacing/>
              <w:jc w:val="center"/>
              <w:rPr>
                <w:rFonts w:eastAsia="Times New Roman"/>
                <w:lang w:eastAsia="ru-RU"/>
              </w:rPr>
            </w:pPr>
            <w:r w:rsidRPr="00F00B04">
              <w:rPr>
                <w:rFonts w:eastAsia="Times New Roman"/>
                <w:lang w:eastAsia="ru-RU"/>
              </w:rPr>
              <w:t>100-250</w:t>
            </w:r>
          </w:p>
        </w:tc>
      </w:tr>
    </w:tbl>
    <w:p w14:paraId="6DDB4BBE" w14:textId="77777777" w:rsidR="00711874" w:rsidRPr="00F00B04" w:rsidRDefault="00711874" w:rsidP="00711874">
      <w:pPr>
        <w:shd w:val="clear" w:color="auto" w:fill="FFFFFF"/>
        <w:spacing w:after="143" w:line="240" w:lineRule="auto"/>
        <w:contextualSpacing/>
        <w:rPr>
          <w:rFonts w:eastAsia="Times New Roman"/>
          <w:color w:val="000000"/>
          <w:lang w:eastAsia="ru-RU"/>
        </w:rPr>
      </w:pPr>
    </w:p>
    <w:p w14:paraId="10F59862" w14:textId="77777777" w:rsidR="00711874" w:rsidRPr="00F00B04" w:rsidRDefault="00711874" w:rsidP="00711874">
      <w:pPr>
        <w:shd w:val="clear" w:color="auto" w:fill="FFFFFF"/>
        <w:spacing w:after="143" w:line="240" w:lineRule="auto"/>
        <w:ind w:firstLine="709"/>
        <w:contextualSpacing/>
        <w:rPr>
          <w:rFonts w:eastAsia="Times New Roman"/>
          <w:color w:val="000000"/>
          <w:lang w:eastAsia="ru-RU"/>
        </w:rPr>
      </w:pPr>
      <w:r w:rsidRPr="00F00B04">
        <w:rPr>
          <w:rFonts w:eastAsia="Times New Roman"/>
          <w:color w:val="000000"/>
          <w:lang w:eastAsia="ru-RU"/>
        </w:rPr>
        <w:t>Кроме того, разница была в основном обусловлена различием, возникшим в течение первого месяца после трансплантации, когда пациенты все еще имели нестабильную гемодинамику, что может затруднять анализ функции почек. Впоследствии снижение средней СКФ с 1</w:t>
      </w:r>
      <w:r w:rsidRPr="00F00B04">
        <w:rPr>
          <w:rFonts w:eastAsia="Times New Roman"/>
          <w:color w:val="000000"/>
          <w:lang w:eastAsia="ru-RU"/>
        </w:rPr>
        <w:noBreakHyphen/>
        <w:t>го по 12</w:t>
      </w:r>
      <w:r w:rsidRPr="00F00B04">
        <w:rPr>
          <w:rFonts w:eastAsia="Times New Roman"/>
          <w:color w:val="000000"/>
          <w:lang w:eastAsia="ru-RU"/>
        </w:rPr>
        <w:noBreakHyphen/>
        <w:t>й месяц было значительно меньше в группе эверолимуса, чем в контрольной группе (-6,4 против -13,7 мл/мин, р=0,002).</w:t>
      </w:r>
    </w:p>
    <w:p w14:paraId="38E3B1B5" w14:textId="0B1DD438" w:rsidR="00711874" w:rsidRPr="00F00B04" w:rsidRDefault="00711874" w:rsidP="00711874">
      <w:pPr>
        <w:shd w:val="clear" w:color="auto" w:fill="FFFFFF"/>
        <w:spacing w:after="143" w:line="240" w:lineRule="auto"/>
        <w:ind w:firstLine="709"/>
        <w:contextualSpacing/>
        <w:rPr>
          <w:rFonts w:eastAsia="Times New Roman"/>
          <w:color w:val="000000"/>
          <w:lang w:eastAsia="ru-RU"/>
        </w:rPr>
      </w:pPr>
      <w:r w:rsidRPr="00F00B04">
        <w:rPr>
          <w:rFonts w:eastAsia="Times New Roman"/>
          <w:color w:val="000000"/>
          <w:lang w:eastAsia="ru-RU"/>
        </w:rPr>
        <w:t xml:space="preserve">Протеинурия, определяемая по белку в моче: уровень креатинина, измеренный в разовых порциях мочи, как правило, был выше у пациентов, получавших </w:t>
      </w:r>
      <w:r w:rsidR="002608A1">
        <w:rPr>
          <w:rFonts w:eastAsia="Times New Roman"/>
          <w:color w:val="000000"/>
          <w:lang w:eastAsia="ru-RU"/>
        </w:rPr>
        <w:t>эверолимус</w:t>
      </w:r>
      <w:r w:rsidRPr="00F00B04">
        <w:rPr>
          <w:rFonts w:eastAsia="Times New Roman"/>
          <w:color w:val="000000"/>
          <w:lang w:eastAsia="ru-RU"/>
        </w:rPr>
        <w:t xml:space="preserve">. Субнефротические показатели наблюдались у 22 % пациентов, получавших </w:t>
      </w:r>
      <w:r w:rsidR="002608A1">
        <w:rPr>
          <w:rFonts w:eastAsia="Times New Roman"/>
          <w:color w:val="000000"/>
          <w:lang w:eastAsia="ru-RU"/>
        </w:rPr>
        <w:t>эверолимус</w:t>
      </w:r>
      <w:r w:rsidRPr="00F00B04">
        <w:rPr>
          <w:rFonts w:eastAsia="Times New Roman"/>
          <w:color w:val="000000"/>
          <w:lang w:eastAsia="ru-RU"/>
        </w:rPr>
        <w:t>, по сравнению с 8,6 % пациентов в группе MMF. Также сообщалось о нефротических уровнях (0,8 %), которые наблюдались у 2 пациентов в каждой группе лечения.</w:t>
      </w:r>
    </w:p>
    <w:p w14:paraId="122538E2" w14:textId="12632AF5" w:rsidR="00711874" w:rsidRPr="00F00B04" w:rsidRDefault="00711874" w:rsidP="00711874">
      <w:pPr>
        <w:shd w:val="clear" w:color="auto" w:fill="FFFFFF"/>
        <w:spacing w:after="143" w:line="240" w:lineRule="auto"/>
        <w:ind w:firstLine="709"/>
        <w:contextualSpacing/>
        <w:rPr>
          <w:bCs/>
        </w:rPr>
      </w:pPr>
      <w:r w:rsidRPr="00F00B04">
        <w:rPr>
          <w:rFonts w:eastAsia="Times New Roman"/>
          <w:color w:val="000000"/>
          <w:lang w:eastAsia="ru-RU"/>
        </w:rPr>
        <w:t xml:space="preserve">Нежелательные реакции в группе эверолимуса 1,5 мг в исследовании А2310 согласуются с нежелательными реакциями, представленными </w:t>
      </w:r>
      <w:r w:rsidRPr="00711874">
        <w:rPr>
          <w:rFonts w:eastAsia="Times New Roman"/>
          <w:color w:val="000000"/>
          <w:lang w:eastAsia="ru-RU"/>
        </w:rPr>
        <w:t>в таблице 4-21 (раздел 4.3.2.3). Сообщалось</w:t>
      </w:r>
      <w:r w:rsidRPr="00F00B04">
        <w:rPr>
          <w:rFonts w:eastAsia="Times New Roman"/>
          <w:color w:val="000000"/>
          <w:lang w:eastAsia="ru-RU"/>
        </w:rPr>
        <w:t xml:space="preserve"> о более низкой частоте вирусных инфекций у пациентов, получавших </w:t>
      </w:r>
      <w:r w:rsidR="002608A1">
        <w:rPr>
          <w:rFonts w:eastAsia="Times New Roman"/>
          <w:color w:val="000000"/>
          <w:lang w:eastAsia="ru-RU"/>
        </w:rPr>
        <w:t>эверолимус</w:t>
      </w:r>
      <w:r w:rsidRPr="00F00B04">
        <w:rPr>
          <w:rFonts w:eastAsia="Times New Roman"/>
          <w:color w:val="000000"/>
          <w:lang w:eastAsia="ru-RU"/>
        </w:rPr>
        <w:t>, что главным образом было обусловлено более низкой частотой случаев инфекции ЦМВ по сравнению с группой M</w:t>
      </w:r>
      <w:r>
        <w:rPr>
          <w:rFonts w:eastAsia="Times New Roman"/>
          <w:color w:val="000000"/>
          <w:lang w:eastAsia="ru-RU"/>
        </w:rPr>
        <w:t>MF (7,2 % в сравнении с 19,4 %)</w:t>
      </w:r>
      <w:r w:rsidRPr="00F00B04">
        <w:rPr>
          <w:rFonts w:eastAsia="Times New Roman"/>
          <w:color w:val="000000"/>
          <w:lang w:eastAsia="ru-RU"/>
        </w:rPr>
        <w:t xml:space="preserve"> [3].</w:t>
      </w:r>
    </w:p>
    <w:p w14:paraId="3903FE8F" w14:textId="77777777" w:rsidR="00711874" w:rsidRDefault="00711874" w:rsidP="00711874">
      <w:pPr>
        <w:shd w:val="clear" w:color="auto" w:fill="FFFFFF"/>
        <w:spacing w:after="143" w:line="240" w:lineRule="auto"/>
        <w:ind w:firstLine="709"/>
        <w:contextualSpacing/>
        <w:rPr>
          <w:bCs/>
        </w:rPr>
      </w:pPr>
    </w:p>
    <w:p w14:paraId="69498039" w14:textId="77777777" w:rsidR="00711874" w:rsidRPr="008A7500" w:rsidRDefault="00711874" w:rsidP="008A7500">
      <w:pPr>
        <w:spacing w:after="0" w:line="240" w:lineRule="auto"/>
        <w:rPr>
          <w:b/>
          <w:bCs/>
        </w:rPr>
      </w:pPr>
      <w:r w:rsidRPr="008A7500">
        <w:rPr>
          <w:b/>
          <w:bCs/>
        </w:rPr>
        <w:t>Трансплантация печени</w:t>
      </w:r>
    </w:p>
    <w:p w14:paraId="6E460776" w14:textId="77777777" w:rsidR="008A7500" w:rsidRDefault="008A7500" w:rsidP="00711874">
      <w:pPr>
        <w:shd w:val="clear" w:color="auto" w:fill="FFFFFF"/>
        <w:spacing w:after="143" w:line="240" w:lineRule="auto"/>
        <w:ind w:firstLine="709"/>
        <w:contextualSpacing/>
        <w:rPr>
          <w:rFonts w:eastAsia="Times New Roman"/>
          <w:color w:val="000000"/>
          <w:lang w:eastAsia="ru-RU"/>
        </w:rPr>
      </w:pPr>
    </w:p>
    <w:p w14:paraId="43C90776" w14:textId="694A9BC0" w:rsidR="00711874" w:rsidRPr="00F00B04" w:rsidRDefault="00711874" w:rsidP="00711874">
      <w:pPr>
        <w:shd w:val="clear" w:color="auto" w:fill="FFFFFF"/>
        <w:spacing w:after="143" w:line="240" w:lineRule="auto"/>
        <w:ind w:firstLine="709"/>
        <w:contextualSpacing/>
        <w:rPr>
          <w:rFonts w:eastAsia="Times New Roman"/>
          <w:color w:val="000000"/>
          <w:highlight w:val="green"/>
          <w:lang w:eastAsia="ru-RU"/>
        </w:rPr>
      </w:pPr>
      <w:r w:rsidRPr="00F00B04">
        <w:rPr>
          <w:rFonts w:eastAsia="Times New Roman"/>
          <w:color w:val="000000"/>
          <w:lang w:eastAsia="ru-RU"/>
        </w:rPr>
        <w:t xml:space="preserve">Сравнение между группами лечения в исследовании </w:t>
      </w:r>
      <w:r w:rsidRPr="00F00B04">
        <w:rPr>
          <w:rFonts w:eastAsia="Times New Roman"/>
          <w:color w:val="000000"/>
          <w:lang w:val="en-US" w:eastAsia="ru-RU"/>
        </w:rPr>
        <w:t>H</w:t>
      </w:r>
      <w:r w:rsidRPr="00F00B04">
        <w:rPr>
          <w:rFonts w:eastAsia="Times New Roman"/>
          <w:color w:val="000000"/>
          <w:lang w:eastAsia="ru-RU"/>
        </w:rPr>
        <w:t>2304 с точки зрения изменения рСКФ (MDRD4) [мл/мин/1,73 м</w:t>
      </w:r>
      <w:r w:rsidRPr="00F00B04">
        <w:rPr>
          <w:rFonts w:eastAsia="Times New Roman"/>
          <w:color w:val="000000"/>
          <w:vertAlign w:val="superscript"/>
          <w:lang w:eastAsia="ru-RU"/>
        </w:rPr>
        <w:t>2</w:t>
      </w:r>
      <w:r w:rsidRPr="00F00B04">
        <w:rPr>
          <w:rFonts w:eastAsia="Times New Roman"/>
          <w:color w:val="000000"/>
          <w:lang w:eastAsia="ru-RU"/>
        </w:rPr>
        <w:t>] с момента рандомизации (30</w:t>
      </w:r>
      <w:r w:rsidRPr="00F00B04">
        <w:rPr>
          <w:rFonts w:eastAsia="Times New Roman"/>
          <w:color w:val="000000"/>
          <w:lang w:eastAsia="ru-RU"/>
        </w:rPr>
        <w:noBreakHyphen/>
        <w:t>й день) до 12</w:t>
      </w:r>
      <w:r w:rsidRPr="00F00B04">
        <w:rPr>
          <w:rFonts w:eastAsia="Times New Roman"/>
          <w:color w:val="000000"/>
          <w:lang w:eastAsia="ru-RU"/>
        </w:rPr>
        <w:noBreakHyphen/>
        <w:t>го и 24</w:t>
      </w:r>
      <w:r w:rsidRPr="00F00B04">
        <w:rPr>
          <w:rFonts w:eastAsia="Times New Roman"/>
          <w:color w:val="000000"/>
          <w:lang w:eastAsia="ru-RU"/>
        </w:rPr>
        <w:noBreakHyphen/>
        <w:t xml:space="preserve">го месяцев показало более высокую функцию почек в группе </w:t>
      </w:r>
      <w:r w:rsidR="002608A1">
        <w:rPr>
          <w:rFonts w:eastAsia="Times New Roman"/>
          <w:color w:val="000000"/>
          <w:lang w:eastAsia="ru-RU"/>
        </w:rPr>
        <w:t>эверолимуса</w:t>
      </w:r>
      <w:r w:rsidR="002608A1" w:rsidRPr="00F00B04" w:rsidDel="002608A1">
        <w:rPr>
          <w:rFonts w:eastAsia="Times New Roman"/>
          <w:color w:val="000000"/>
          <w:lang w:eastAsia="ru-RU"/>
        </w:rPr>
        <w:t xml:space="preserve"> </w:t>
      </w:r>
      <w:r w:rsidRPr="00F00B04">
        <w:rPr>
          <w:rFonts w:eastAsia="Times New Roman"/>
          <w:color w:val="000000"/>
          <w:lang w:eastAsia="ru-RU"/>
        </w:rPr>
        <w:t xml:space="preserve">+ такролимус в сниженной дозе </w:t>
      </w:r>
      <w:r w:rsidRPr="00711874">
        <w:rPr>
          <w:rFonts w:eastAsia="Times New Roman"/>
          <w:color w:val="000000"/>
          <w:lang w:eastAsia="ru-RU"/>
        </w:rPr>
        <w:t>(см. таблицу </w:t>
      </w:r>
      <w:r>
        <w:rPr>
          <w:rFonts w:eastAsia="Times New Roman"/>
          <w:color w:val="000000"/>
          <w:lang w:eastAsia="ru-RU"/>
        </w:rPr>
        <w:t>4-20</w:t>
      </w:r>
      <w:r w:rsidRPr="00F00B04">
        <w:rPr>
          <w:rFonts w:eastAsia="Times New Roman"/>
          <w:color w:val="000000"/>
          <w:lang w:eastAsia="ru-RU"/>
        </w:rPr>
        <w:t>) [3].</w:t>
      </w:r>
    </w:p>
    <w:p w14:paraId="12302445" w14:textId="77777777" w:rsidR="00711874" w:rsidRPr="00711874" w:rsidRDefault="00711874" w:rsidP="00711874">
      <w:pPr>
        <w:shd w:val="clear" w:color="auto" w:fill="FFFFFF"/>
        <w:spacing w:after="143" w:line="240" w:lineRule="auto"/>
        <w:contextualSpacing/>
        <w:rPr>
          <w:rFonts w:eastAsia="Times New Roman"/>
          <w:color w:val="000000"/>
          <w:lang w:eastAsia="ru-RU"/>
        </w:rPr>
      </w:pPr>
    </w:p>
    <w:p w14:paraId="5BEC1BD8" w14:textId="35F4231D" w:rsidR="00711874" w:rsidRPr="00F60525" w:rsidRDefault="00711874" w:rsidP="00711874">
      <w:pPr>
        <w:shd w:val="clear" w:color="auto" w:fill="FFFFFF"/>
        <w:spacing w:after="143" w:line="240" w:lineRule="auto"/>
        <w:contextualSpacing/>
        <w:rPr>
          <w:rFonts w:eastAsia="Times New Roman"/>
          <w:color w:val="000000"/>
          <w:highlight w:val="green"/>
          <w:lang w:eastAsia="ru-RU"/>
        </w:rPr>
      </w:pPr>
      <w:r w:rsidRPr="00711874">
        <w:rPr>
          <w:rFonts w:eastAsia="Times New Roman"/>
          <w:b/>
          <w:bCs/>
          <w:color w:val="000000"/>
          <w:lang w:eastAsia="ru-RU"/>
        </w:rPr>
        <w:t xml:space="preserve">Таблица 4-20. </w:t>
      </w:r>
      <w:r w:rsidRPr="00F00B04">
        <w:rPr>
          <w:rFonts w:eastAsia="Times New Roman"/>
          <w:bCs/>
          <w:color w:val="000000"/>
          <w:lang w:eastAsia="ru-RU"/>
        </w:rPr>
        <w:t>Исследование H2304: Сравнение рСКФ (MDRD 4) на 12</w:t>
      </w:r>
      <w:r w:rsidRPr="00F00B04">
        <w:rPr>
          <w:rFonts w:eastAsia="Times New Roman"/>
          <w:bCs/>
          <w:color w:val="000000"/>
          <w:lang w:eastAsia="ru-RU"/>
        </w:rPr>
        <w:noBreakHyphen/>
        <w:t>м месяце между группами лечения (популяция ITT – анализ на 12</w:t>
      </w:r>
      <w:r w:rsidRPr="00F00B04">
        <w:rPr>
          <w:rFonts w:eastAsia="Times New Roman"/>
          <w:bCs/>
          <w:color w:val="000000"/>
          <w:lang w:eastAsia="ru-RU"/>
        </w:rPr>
        <w:noBreakHyphen/>
        <w:t>м и 24</w:t>
      </w:r>
      <w:r w:rsidRPr="00F00B04">
        <w:rPr>
          <w:rFonts w:eastAsia="Times New Roman"/>
          <w:bCs/>
          <w:color w:val="000000"/>
          <w:lang w:eastAsia="ru-RU"/>
        </w:rPr>
        <w:noBreakHyphen/>
        <w:t>м месяце)</w:t>
      </w:r>
      <w:r w:rsidR="008A7500">
        <w:rPr>
          <w:rFonts w:eastAsia="Times New Roman"/>
          <w:bCs/>
          <w:color w:val="000000"/>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1369"/>
        <w:gridCol w:w="1180"/>
        <w:gridCol w:w="1628"/>
        <w:gridCol w:w="1628"/>
        <w:gridCol w:w="1181"/>
        <w:gridCol w:w="1181"/>
        <w:gridCol w:w="1179"/>
      </w:tblGrid>
      <w:tr w:rsidR="00711874" w:rsidRPr="00F00B04" w14:paraId="539342F2" w14:textId="77777777" w:rsidTr="008A7500">
        <w:tc>
          <w:tcPr>
            <w:tcW w:w="5000" w:type="pct"/>
            <w:gridSpan w:val="7"/>
            <w:shd w:val="clear" w:color="auto" w:fill="D9D9D9" w:themeFill="background1" w:themeFillShade="D9"/>
            <w:tcMar>
              <w:top w:w="30" w:type="dxa"/>
              <w:left w:w="30" w:type="dxa"/>
              <w:bottom w:w="30" w:type="dxa"/>
              <w:right w:w="30" w:type="dxa"/>
            </w:tcMar>
            <w:vAlign w:val="center"/>
            <w:hideMark/>
          </w:tcPr>
          <w:p w14:paraId="0BF510D4" w14:textId="77777777" w:rsidR="00711874" w:rsidRPr="00F00B04" w:rsidRDefault="00711874" w:rsidP="008A7500">
            <w:pPr>
              <w:spacing w:after="0" w:line="240" w:lineRule="auto"/>
              <w:jc w:val="center"/>
              <w:rPr>
                <w:rFonts w:eastAsia="Times New Roman"/>
                <w:b/>
                <w:lang w:eastAsia="ru-RU"/>
              </w:rPr>
            </w:pPr>
            <w:r w:rsidRPr="00F00B04">
              <w:rPr>
                <w:rFonts w:eastAsia="Times New Roman"/>
                <w:b/>
                <w:lang w:eastAsia="ru-RU"/>
              </w:rPr>
              <w:t>Отличие от контроля</w:t>
            </w:r>
          </w:p>
        </w:tc>
      </w:tr>
      <w:tr w:rsidR="00711874" w:rsidRPr="00F00B04" w14:paraId="2DC93EA1" w14:textId="77777777" w:rsidTr="008A7500">
        <w:tc>
          <w:tcPr>
            <w:tcW w:w="732" w:type="pct"/>
            <w:shd w:val="clear" w:color="auto" w:fill="D9D9D9" w:themeFill="background1" w:themeFillShade="D9"/>
            <w:tcMar>
              <w:top w:w="30" w:type="dxa"/>
              <w:left w:w="30" w:type="dxa"/>
              <w:bottom w:w="30" w:type="dxa"/>
              <w:right w:w="30" w:type="dxa"/>
            </w:tcMar>
            <w:vAlign w:val="center"/>
            <w:hideMark/>
          </w:tcPr>
          <w:p w14:paraId="537C2504"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Лечение</w:t>
            </w:r>
          </w:p>
        </w:tc>
        <w:tc>
          <w:tcPr>
            <w:tcW w:w="631" w:type="pct"/>
            <w:shd w:val="clear" w:color="auto" w:fill="D9D9D9" w:themeFill="background1" w:themeFillShade="D9"/>
            <w:tcMar>
              <w:top w:w="30" w:type="dxa"/>
              <w:left w:w="30" w:type="dxa"/>
              <w:bottom w:w="30" w:type="dxa"/>
              <w:right w:w="30" w:type="dxa"/>
            </w:tcMar>
            <w:vAlign w:val="center"/>
            <w:hideMark/>
          </w:tcPr>
          <w:p w14:paraId="5CA4E1E5"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N</w:t>
            </w:r>
          </w:p>
        </w:tc>
        <w:tc>
          <w:tcPr>
            <w:tcW w:w="871" w:type="pct"/>
            <w:shd w:val="clear" w:color="auto" w:fill="D9D9D9" w:themeFill="background1" w:themeFillShade="D9"/>
            <w:tcMar>
              <w:top w:w="30" w:type="dxa"/>
              <w:left w:w="30" w:type="dxa"/>
              <w:bottom w:w="30" w:type="dxa"/>
              <w:right w:w="30" w:type="dxa"/>
            </w:tcMar>
            <w:vAlign w:val="center"/>
            <w:hideMark/>
          </w:tcPr>
          <w:p w14:paraId="3C7AE70F"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Среднее значение, рассчитанное методом наименьших квадратов (SE)</w:t>
            </w:r>
          </w:p>
        </w:tc>
        <w:tc>
          <w:tcPr>
            <w:tcW w:w="871" w:type="pct"/>
            <w:shd w:val="clear" w:color="auto" w:fill="D9D9D9" w:themeFill="background1" w:themeFillShade="D9"/>
            <w:tcMar>
              <w:top w:w="30" w:type="dxa"/>
              <w:left w:w="30" w:type="dxa"/>
              <w:bottom w:w="30" w:type="dxa"/>
              <w:right w:w="30" w:type="dxa"/>
            </w:tcMar>
            <w:vAlign w:val="center"/>
            <w:hideMark/>
          </w:tcPr>
          <w:p w14:paraId="51FEEE42"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Среднее значение, рассчитанное методом наименьших квадратов (SE)</w:t>
            </w:r>
          </w:p>
        </w:tc>
        <w:tc>
          <w:tcPr>
            <w:tcW w:w="632" w:type="pct"/>
            <w:shd w:val="clear" w:color="auto" w:fill="D9D9D9" w:themeFill="background1" w:themeFillShade="D9"/>
            <w:tcMar>
              <w:top w:w="30" w:type="dxa"/>
              <w:left w:w="30" w:type="dxa"/>
              <w:bottom w:w="30" w:type="dxa"/>
              <w:right w:w="30" w:type="dxa"/>
            </w:tcMar>
            <w:vAlign w:val="center"/>
            <w:hideMark/>
          </w:tcPr>
          <w:p w14:paraId="3C074294"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97,5 % ДИ</w:t>
            </w:r>
          </w:p>
        </w:tc>
        <w:tc>
          <w:tcPr>
            <w:tcW w:w="632" w:type="pct"/>
            <w:shd w:val="clear" w:color="auto" w:fill="D9D9D9" w:themeFill="background1" w:themeFillShade="D9"/>
            <w:tcMar>
              <w:top w:w="30" w:type="dxa"/>
              <w:left w:w="30" w:type="dxa"/>
              <w:bottom w:w="30" w:type="dxa"/>
              <w:right w:w="30" w:type="dxa"/>
            </w:tcMar>
            <w:vAlign w:val="center"/>
            <w:hideMark/>
          </w:tcPr>
          <w:p w14:paraId="7D91F11E"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Значение p (1)</w:t>
            </w:r>
          </w:p>
        </w:tc>
        <w:tc>
          <w:tcPr>
            <w:tcW w:w="632" w:type="pct"/>
            <w:shd w:val="clear" w:color="auto" w:fill="D9D9D9" w:themeFill="background1" w:themeFillShade="D9"/>
            <w:tcMar>
              <w:top w:w="30" w:type="dxa"/>
              <w:left w:w="30" w:type="dxa"/>
              <w:bottom w:w="30" w:type="dxa"/>
              <w:right w:w="30" w:type="dxa"/>
            </w:tcMar>
            <w:vAlign w:val="center"/>
            <w:hideMark/>
          </w:tcPr>
          <w:p w14:paraId="62DC056E" w14:textId="77777777" w:rsidR="00711874" w:rsidRPr="00F00B04" w:rsidRDefault="00711874" w:rsidP="008A7500">
            <w:pPr>
              <w:spacing w:after="0" w:line="240" w:lineRule="auto"/>
              <w:rPr>
                <w:rFonts w:eastAsia="Times New Roman"/>
                <w:b/>
                <w:lang w:eastAsia="ru-RU"/>
              </w:rPr>
            </w:pPr>
            <w:r w:rsidRPr="00F00B04">
              <w:rPr>
                <w:rFonts w:eastAsia="Times New Roman"/>
                <w:b/>
                <w:lang w:eastAsia="ru-RU"/>
              </w:rPr>
              <w:t>Значение p (2)</w:t>
            </w:r>
          </w:p>
        </w:tc>
      </w:tr>
      <w:tr w:rsidR="00711874" w:rsidRPr="00F00B04" w14:paraId="05F39710" w14:textId="77777777" w:rsidTr="008A7500">
        <w:tc>
          <w:tcPr>
            <w:tcW w:w="732" w:type="pct"/>
            <w:shd w:val="clear" w:color="auto" w:fill="auto"/>
            <w:tcMar>
              <w:top w:w="30" w:type="dxa"/>
              <w:left w:w="30" w:type="dxa"/>
              <w:bottom w:w="30" w:type="dxa"/>
              <w:right w:w="30" w:type="dxa"/>
            </w:tcMar>
            <w:hideMark/>
          </w:tcPr>
          <w:p w14:paraId="1C746F05"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EVR+TAC в сниженной дозе</w:t>
            </w:r>
          </w:p>
        </w:tc>
        <w:tc>
          <w:tcPr>
            <w:tcW w:w="631" w:type="pct"/>
            <w:shd w:val="clear" w:color="auto" w:fill="auto"/>
            <w:tcMar>
              <w:top w:w="30" w:type="dxa"/>
              <w:left w:w="30" w:type="dxa"/>
              <w:bottom w:w="30" w:type="dxa"/>
              <w:right w:w="30" w:type="dxa"/>
            </w:tcMar>
            <w:hideMark/>
          </w:tcPr>
          <w:p w14:paraId="39D3E610" w14:textId="77777777" w:rsidR="00711874" w:rsidRPr="00F00B04" w:rsidRDefault="00711874" w:rsidP="008A7500">
            <w:pPr>
              <w:spacing w:after="0" w:line="240" w:lineRule="auto"/>
              <w:rPr>
                <w:rFonts w:eastAsia="Times New Roman"/>
                <w:lang w:eastAsia="ru-RU"/>
              </w:rPr>
            </w:pPr>
          </w:p>
        </w:tc>
        <w:tc>
          <w:tcPr>
            <w:tcW w:w="871" w:type="pct"/>
            <w:shd w:val="clear" w:color="auto" w:fill="auto"/>
            <w:tcMar>
              <w:top w:w="30" w:type="dxa"/>
              <w:left w:w="30" w:type="dxa"/>
              <w:bottom w:w="30" w:type="dxa"/>
              <w:right w:w="30" w:type="dxa"/>
            </w:tcMar>
            <w:hideMark/>
          </w:tcPr>
          <w:p w14:paraId="112DC616" w14:textId="77777777" w:rsidR="00711874" w:rsidRPr="00F00B04" w:rsidRDefault="00711874" w:rsidP="008A7500">
            <w:pPr>
              <w:spacing w:after="0" w:line="240" w:lineRule="auto"/>
              <w:rPr>
                <w:rFonts w:eastAsia="Times New Roman"/>
                <w:lang w:eastAsia="ru-RU"/>
              </w:rPr>
            </w:pPr>
          </w:p>
        </w:tc>
        <w:tc>
          <w:tcPr>
            <w:tcW w:w="871" w:type="pct"/>
            <w:shd w:val="clear" w:color="auto" w:fill="auto"/>
            <w:tcMar>
              <w:top w:w="30" w:type="dxa"/>
              <w:left w:w="30" w:type="dxa"/>
              <w:bottom w:w="30" w:type="dxa"/>
              <w:right w:w="30" w:type="dxa"/>
            </w:tcMar>
            <w:hideMark/>
          </w:tcPr>
          <w:p w14:paraId="2414FE67" w14:textId="77777777" w:rsidR="00711874" w:rsidRPr="00F00B04" w:rsidRDefault="00711874" w:rsidP="008A7500">
            <w:pPr>
              <w:spacing w:after="0" w:line="240" w:lineRule="auto"/>
              <w:rPr>
                <w:rFonts w:eastAsia="Times New Roman"/>
                <w:lang w:eastAsia="ru-RU"/>
              </w:rPr>
            </w:pPr>
          </w:p>
        </w:tc>
        <w:tc>
          <w:tcPr>
            <w:tcW w:w="632" w:type="pct"/>
            <w:shd w:val="clear" w:color="auto" w:fill="auto"/>
            <w:tcMar>
              <w:top w:w="30" w:type="dxa"/>
              <w:left w:w="30" w:type="dxa"/>
              <w:bottom w:w="30" w:type="dxa"/>
              <w:right w:w="30" w:type="dxa"/>
            </w:tcMar>
            <w:hideMark/>
          </w:tcPr>
          <w:p w14:paraId="54708909" w14:textId="77777777" w:rsidR="00711874" w:rsidRPr="00F00B04" w:rsidRDefault="00711874" w:rsidP="008A7500">
            <w:pPr>
              <w:spacing w:after="0" w:line="240" w:lineRule="auto"/>
              <w:rPr>
                <w:rFonts w:eastAsia="Times New Roman"/>
                <w:lang w:eastAsia="ru-RU"/>
              </w:rPr>
            </w:pPr>
          </w:p>
        </w:tc>
        <w:tc>
          <w:tcPr>
            <w:tcW w:w="632" w:type="pct"/>
            <w:shd w:val="clear" w:color="auto" w:fill="auto"/>
            <w:tcMar>
              <w:top w:w="30" w:type="dxa"/>
              <w:left w:w="30" w:type="dxa"/>
              <w:bottom w:w="30" w:type="dxa"/>
              <w:right w:w="30" w:type="dxa"/>
            </w:tcMar>
            <w:hideMark/>
          </w:tcPr>
          <w:p w14:paraId="7C461361" w14:textId="77777777" w:rsidR="00711874" w:rsidRPr="00F00B04" w:rsidRDefault="00711874" w:rsidP="008A7500">
            <w:pPr>
              <w:spacing w:after="0" w:line="240" w:lineRule="auto"/>
              <w:rPr>
                <w:rFonts w:eastAsia="Times New Roman"/>
                <w:lang w:eastAsia="ru-RU"/>
              </w:rPr>
            </w:pPr>
          </w:p>
        </w:tc>
        <w:tc>
          <w:tcPr>
            <w:tcW w:w="632" w:type="pct"/>
            <w:shd w:val="clear" w:color="auto" w:fill="auto"/>
            <w:tcMar>
              <w:top w:w="30" w:type="dxa"/>
              <w:left w:w="30" w:type="dxa"/>
              <w:bottom w:w="30" w:type="dxa"/>
              <w:right w:w="30" w:type="dxa"/>
            </w:tcMar>
            <w:hideMark/>
          </w:tcPr>
          <w:p w14:paraId="27626CC5" w14:textId="77777777" w:rsidR="00711874" w:rsidRPr="00F00B04" w:rsidRDefault="00711874" w:rsidP="008A7500">
            <w:pPr>
              <w:spacing w:after="0" w:line="240" w:lineRule="auto"/>
              <w:rPr>
                <w:rFonts w:eastAsia="Times New Roman"/>
                <w:lang w:eastAsia="ru-RU"/>
              </w:rPr>
            </w:pPr>
          </w:p>
        </w:tc>
      </w:tr>
      <w:tr w:rsidR="00711874" w:rsidRPr="00F00B04" w14:paraId="19E1738A" w14:textId="77777777" w:rsidTr="008A7500">
        <w:tc>
          <w:tcPr>
            <w:tcW w:w="732" w:type="pct"/>
            <w:shd w:val="clear" w:color="auto" w:fill="auto"/>
            <w:tcMar>
              <w:top w:w="30" w:type="dxa"/>
              <w:left w:w="30" w:type="dxa"/>
              <w:bottom w:w="30" w:type="dxa"/>
              <w:right w:w="30" w:type="dxa"/>
            </w:tcMar>
            <w:hideMark/>
          </w:tcPr>
          <w:p w14:paraId="6CF6FDF4"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12 месяцев</w:t>
            </w:r>
          </w:p>
        </w:tc>
        <w:tc>
          <w:tcPr>
            <w:tcW w:w="631" w:type="pct"/>
            <w:shd w:val="clear" w:color="auto" w:fill="auto"/>
            <w:tcMar>
              <w:top w:w="30" w:type="dxa"/>
              <w:left w:w="30" w:type="dxa"/>
              <w:bottom w:w="30" w:type="dxa"/>
              <w:right w:w="30" w:type="dxa"/>
            </w:tcMar>
            <w:hideMark/>
          </w:tcPr>
          <w:p w14:paraId="5A795BDF"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244</w:t>
            </w:r>
          </w:p>
        </w:tc>
        <w:tc>
          <w:tcPr>
            <w:tcW w:w="871" w:type="pct"/>
            <w:shd w:val="clear" w:color="auto" w:fill="auto"/>
            <w:tcMar>
              <w:top w:w="30" w:type="dxa"/>
              <w:left w:w="30" w:type="dxa"/>
              <w:bottom w:w="30" w:type="dxa"/>
              <w:right w:w="30" w:type="dxa"/>
            </w:tcMar>
            <w:hideMark/>
          </w:tcPr>
          <w:p w14:paraId="7CC658F1"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-2,23 (1,54)</w:t>
            </w:r>
          </w:p>
        </w:tc>
        <w:tc>
          <w:tcPr>
            <w:tcW w:w="871" w:type="pct"/>
            <w:shd w:val="clear" w:color="auto" w:fill="auto"/>
            <w:tcMar>
              <w:top w:w="30" w:type="dxa"/>
              <w:left w:w="30" w:type="dxa"/>
              <w:bottom w:w="30" w:type="dxa"/>
              <w:right w:w="30" w:type="dxa"/>
            </w:tcMar>
            <w:hideMark/>
          </w:tcPr>
          <w:p w14:paraId="604F1B12"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8,50 (2,12)</w:t>
            </w:r>
          </w:p>
        </w:tc>
        <w:tc>
          <w:tcPr>
            <w:tcW w:w="632" w:type="pct"/>
            <w:shd w:val="clear" w:color="auto" w:fill="auto"/>
            <w:tcMar>
              <w:top w:w="30" w:type="dxa"/>
              <w:left w:w="30" w:type="dxa"/>
              <w:bottom w:w="30" w:type="dxa"/>
              <w:right w:w="30" w:type="dxa"/>
            </w:tcMar>
            <w:hideMark/>
          </w:tcPr>
          <w:p w14:paraId="55CE759A"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(3,74, 13,27)</w:t>
            </w:r>
          </w:p>
        </w:tc>
        <w:tc>
          <w:tcPr>
            <w:tcW w:w="632" w:type="pct"/>
            <w:shd w:val="clear" w:color="auto" w:fill="auto"/>
            <w:tcMar>
              <w:top w:w="30" w:type="dxa"/>
              <w:left w:w="30" w:type="dxa"/>
              <w:bottom w:w="30" w:type="dxa"/>
              <w:right w:w="30" w:type="dxa"/>
            </w:tcMar>
            <w:hideMark/>
          </w:tcPr>
          <w:p w14:paraId="6C827CA5"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&lt; 0,001</w:t>
            </w:r>
          </w:p>
        </w:tc>
        <w:tc>
          <w:tcPr>
            <w:tcW w:w="632" w:type="pct"/>
            <w:shd w:val="clear" w:color="auto" w:fill="auto"/>
            <w:tcMar>
              <w:top w:w="30" w:type="dxa"/>
              <w:left w:w="30" w:type="dxa"/>
              <w:bottom w:w="30" w:type="dxa"/>
              <w:right w:w="30" w:type="dxa"/>
            </w:tcMar>
            <w:hideMark/>
          </w:tcPr>
          <w:p w14:paraId="64F4AEC4"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&lt; 0,001</w:t>
            </w:r>
          </w:p>
        </w:tc>
      </w:tr>
      <w:tr w:rsidR="00711874" w:rsidRPr="00F00B04" w14:paraId="5F22D87C" w14:textId="77777777" w:rsidTr="008A7500">
        <w:tc>
          <w:tcPr>
            <w:tcW w:w="732" w:type="pct"/>
            <w:shd w:val="clear" w:color="auto" w:fill="auto"/>
            <w:tcMar>
              <w:top w:w="30" w:type="dxa"/>
              <w:left w:w="30" w:type="dxa"/>
              <w:bottom w:w="30" w:type="dxa"/>
              <w:right w:w="30" w:type="dxa"/>
            </w:tcMar>
            <w:hideMark/>
          </w:tcPr>
          <w:p w14:paraId="791A42E8"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 месяца</w:t>
            </w:r>
          </w:p>
        </w:tc>
        <w:tc>
          <w:tcPr>
            <w:tcW w:w="631" w:type="pct"/>
            <w:shd w:val="clear" w:color="auto" w:fill="auto"/>
            <w:tcMar>
              <w:top w:w="30" w:type="dxa"/>
              <w:left w:w="30" w:type="dxa"/>
              <w:bottom w:w="30" w:type="dxa"/>
              <w:right w:w="30" w:type="dxa"/>
            </w:tcMar>
            <w:hideMark/>
          </w:tcPr>
          <w:p w14:paraId="7F85ACF2"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245</w:t>
            </w:r>
          </w:p>
        </w:tc>
        <w:tc>
          <w:tcPr>
            <w:tcW w:w="871" w:type="pct"/>
            <w:shd w:val="clear" w:color="auto" w:fill="auto"/>
            <w:tcMar>
              <w:top w:w="30" w:type="dxa"/>
              <w:left w:w="30" w:type="dxa"/>
              <w:bottom w:w="30" w:type="dxa"/>
              <w:right w:w="30" w:type="dxa"/>
            </w:tcMar>
            <w:hideMark/>
          </w:tcPr>
          <w:p w14:paraId="4648CB0E"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-7,94 (1,53)</w:t>
            </w:r>
          </w:p>
        </w:tc>
        <w:tc>
          <w:tcPr>
            <w:tcW w:w="871" w:type="pct"/>
            <w:shd w:val="clear" w:color="auto" w:fill="auto"/>
            <w:tcMar>
              <w:top w:w="30" w:type="dxa"/>
              <w:left w:w="30" w:type="dxa"/>
              <w:bottom w:w="30" w:type="dxa"/>
              <w:right w:w="30" w:type="dxa"/>
            </w:tcMar>
            <w:hideMark/>
          </w:tcPr>
          <w:p w14:paraId="71A2BDC3"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6,66 (2,12)</w:t>
            </w:r>
          </w:p>
        </w:tc>
        <w:tc>
          <w:tcPr>
            <w:tcW w:w="632" w:type="pct"/>
            <w:shd w:val="clear" w:color="auto" w:fill="auto"/>
            <w:tcMar>
              <w:top w:w="30" w:type="dxa"/>
              <w:left w:w="30" w:type="dxa"/>
              <w:bottom w:w="30" w:type="dxa"/>
              <w:right w:w="30" w:type="dxa"/>
            </w:tcMar>
            <w:hideMark/>
          </w:tcPr>
          <w:p w14:paraId="0B56CE57"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(1,9, 11,42)</w:t>
            </w:r>
          </w:p>
        </w:tc>
        <w:tc>
          <w:tcPr>
            <w:tcW w:w="632" w:type="pct"/>
            <w:shd w:val="clear" w:color="auto" w:fill="auto"/>
            <w:tcMar>
              <w:top w:w="30" w:type="dxa"/>
              <w:left w:w="30" w:type="dxa"/>
              <w:bottom w:w="30" w:type="dxa"/>
              <w:right w:w="30" w:type="dxa"/>
            </w:tcMar>
            <w:hideMark/>
          </w:tcPr>
          <w:p w14:paraId="1C3693AF"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&lt; 0,0001</w:t>
            </w:r>
          </w:p>
        </w:tc>
        <w:tc>
          <w:tcPr>
            <w:tcW w:w="632" w:type="pct"/>
            <w:shd w:val="clear" w:color="auto" w:fill="auto"/>
            <w:tcMar>
              <w:top w:w="30" w:type="dxa"/>
              <w:left w:w="30" w:type="dxa"/>
              <w:bottom w:w="30" w:type="dxa"/>
              <w:right w:w="30" w:type="dxa"/>
            </w:tcMar>
            <w:hideMark/>
          </w:tcPr>
          <w:p w14:paraId="74CC5D43"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0,0018</w:t>
            </w:r>
          </w:p>
        </w:tc>
      </w:tr>
      <w:tr w:rsidR="00711874" w:rsidRPr="00F00B04" w14:paraId="486BF7E2" w14:textId="77777777" w:rsidTr="008A7500">
        <w:tc>
          <w:tcPr>
            <w:tcW w:w="732" w:type="pct"/>
            <w:shd w:val="clear" w:color="auto" w:fill="auto"/>
            <w:tcMar>
              <w:top w:w="30" w:type="dxa"/>
              <w:left w:w="30" w:type="dxa"/>
              <w:bottom w:w="30" w:type="dxa"/>
              <w:right w:w="30" w:type="dxa"/>
            </w:tcMar>
            <w:hideMark/>
          </w:tcPr>
          <w:p w14:paraId="56D804B5"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Контроль TAC</w:t>
            </w:r>
          </w:p>
        </w:tc>
        <w:tc>
          <w:tcPr>
            <w:tcW w:w="631" w:type="pct"/>
            <w:shd w:val="clear" w:color="auto" w:fill="auto"/>
            <w:tcMar>
              <w:top w:w="30" w:type="dxa"/>
              <w:left w:w="30" w:type="dxa"/>
              <w:bottom w:w="30" w:type="dxa"/>
              <w:right w:w="30" w:type="dxa"/>
            </w:tcMar>
            <w:hideMark/>
          </w:tcPr>
          <w:p w14:paraId="383970AA" w14:textId="77777777" w:rsidR="00711874" w:rsidRPr="00F00B04" w:rsidRDefault="00711874" w:rsidP="008A7500">
            <w:pPr>
              <w:spacing w:after="0" w:line="240" w:lineRule="auto"/>
              <w:rPr>
                <w:rFonts w:eastAsia="Times New Roman"/>
                <w:lang w:eastAsia="ru-RU"/>
              </w:rPr>
            </w:pPr>
          </w:p>
        </w:tc>
        <w:tc>
          <w:tcPr>
            <w:tcW w:w="871" w:type="pct"/>
            <w:shd w:val="clear" w:color="auto" w:fill="auto"/>
            <w:tcMar>
              <w:top w:w="30" w:type="dxa"/>
              <w:left w:w="30" w:type="dxa"/>
              <w:bottom w:w="30" w:type="dxa"/>
              <w:right w:w="30" w:type="dxa"/>
            </w:tcMar>
            <w:hideMark/>
          </w:tcPr>
          <w:p w14:paraId="0EA40C97" w14:textId="77777777" w:rsidR="00711874" w:rsidRPr="00F00B04" w:rsidRDefault="00711874" w:rsidP="008A7500">
            <w:pPr>
              <w:spacing w:after="0" w:line="240" w:lineRule="auto"/>
              <w:rPr>
                <w:rFonts w:eastAsia="Times New Roman"/>
                <w:lang w:eastAsia="ru-RU"/>
              </w:rPr>
            </w:pPr>
          </w:p>
        </w:tc>
        <w:tc>
          <w:tcPr>
            <w:tcW w:w="2767" w:type="pct"/>
            <w:gridSpan w:val="4"/>
            <w:shd w:val="clear" w:color="auto" w:fill="auto"/>
            <w:tcMar>
              <w:top w:w="30" w:type="dxa"/>
              <w:left w:w="30" w:type="dxa"/>
              <w:bottom w:w="30" w:type="dxa"/>
              <w:right w:w="30" w:type="dxa"/>
            </w:tcMar>
            <w:hideMark/>
          </w:tcPr>
          <w:p w14:paraId="4683C6BC" w14:textId="77777777" w:rsidR="00711874" w:rsidRPr="00F00B04" w:rsidRDefault="00711874" w:rsidP="008A7500">
            <w:pPr>
              <w:spacing w:after="0" w:line="240" w:lineRule="auto"/>
              <w:rPr>
                <w:rFonts w:eastAsia="Times New Roman"/>
                <w:lang w:eastAsia="ru-RU"/>
              </w:rPr>
            </w:pPr>
          </w:p>
        </w:tc>
      </w:tr>
      <w:tr w:rsidR="00711874" w:rsidRPr="00F00B04" w14:paraId="15A0289F" w14:textId="77777777" w:rsidTr="008A7500">
        <w:tc>
          <w:tcPr>
            <w:tcW w:w="732" w:type="pct"/>
            <w:shd w:val="clear" w:color="auto" w:fill="auto"/>
            <w:tcMar>
              <w:top w:w="30" w:type="dxa"/>
              <w:left w:w="30" w:type="dxa"/>
              <w:bottom w:w="30" w:type="dxa"/>
              <w:right w:w="30" w:type="dxa"/>
            </w:tcMar>
            <w:hideMark/>
          </w:tcPr>
          <w:p w14:paraId="71116DEB"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12 месяцев</w:t>
            </w:r>
          </w:p>
        </w:tc>
        <w:tc>
          <w:tcPr>
            <w:tcW w:w="631" w:type="pct"/>
            <w:shd w:val="clear" w:color="auto" w:fill="auto"/>
            <w:tcMar>
              <w:top w:w="30" w:type="dxa"/>
              <w:left w:w="30" w:type="dxa"/>
              <w:bottom w:w="30" w:type="dxa"/>
              <w:right w:w="30" w:type="dxa"/>
            </w:tcMar>
            <w:hideMark/>
          </w:tcPr>
          <w:p w14:paraId="44B2C1E3"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243</w:t>
            </w:r>
          </w:p>
        </w:tc>
        <w:tc>
          <w:tcPr>
            <w:tcW w:w="871" w:type="pct"/>
            <w:shd w:val="clear" w:color="auto" w:fill="auto"/>
            <w:tcMar>
              <w:top w:w="30" w:type="dxa"/>
              <w:left w:w="30" w:type="dxa"/>
              <w:bottom w:w="30" w:type="dxa"/>
              <w:right w:w="30" w:type="dxa"/>
            </w:tcMar>
            <w:hideMark/>
          </w:tcPr>
          <w:p w14:paraId="18C50280"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-10,73 (1,54)</w:t>
            </w:r>
          </w:p>
        </w:tc>
        <w:tc>
          <w:tcPr>
            <w:tcW w:w="2767" w:type="pct"/>
            <w:gridSpan w:val="4"/>
            <w:shd w:val="clear" w:color="auto" w:fill="auto"/>
            <w:tcMar>
              <w:top w:w="30" w:type="dxa"/>
              <w:left w:w="30" w:type="dxa"/>
              <w:bottom w:w="30" w:type="dxa"/>
              <w:right w:w="30" w:type="dxa"/>
            </w:tcMar>
            <w:hideMark/>
          </w:tcPr>
          <w:p w14:paraId="58FDA497" w14:textId="77777777" w:rsidR="00711874" w:rsidRPr="00F00B04" w:rsidRDefault="00711874" w:rsidP="008A7500">
            <w:pPr>
              <w:spacing w:after="0" w:line="240" w:lineRule="auto"/>
              <w:rPr>
                <w:rFonts w:eastAsia="Times New Roman"/>
                <w:lang w:eastAsia="ru-RU"/>
              </w:rPr>
            </w:pPr>
          </w:p>
        </w:tc>
      </w:tr>
      <w:tr w:rsidR="00711874" w:rsidRPr="00F00B04" w14:paraId="7686B56B" w14:textId="77777777" w:rsidTr="008A7500">
        <w:tc>
          <w:tcPr>
            <w:tcW w:w="732" w:type="pct"/>
            <w:shd w:val="clear" w:color="auto" w:fill="auto"/>
            <w:tcMar>
              <w:top w:w="30" w:type="dxa"/>
              <w:left w:w="30" w:type="dxa"/>
              <w:bottom w:w="30" w:type="dxa"/>
              <w:right w:w="30" w:type="dxa"/>
            </w:tcMar>
            <w:hideMark/>
          </w:tcPr>
          <w:p w14:paraId="3C432797"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 месяца</w:t>
            </w:r>
          </w:p>
        </w:tc>
        <w:tc>
          <w:tcPr>
            <w:tcW w:w="631" w:type="pct"/>
            <w:shd w:val="clear" w:color="auto" w:fill="auto"/>
            <w:tcMar>
              <w:top w:w="30" w:type="dxa"/>
              <w:left w:w="30" w:type="dxa"/>
              <w:bottom w:w="30" w:type="dxa"/>
              <w:right w:w="30" w:type="dxa"/>
            </w:tcMar>
            <w:hideMark/>
          </w:tcPr>
          <w:p w14:paraId="77529ECC"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243</w:t>
            </w:r>
          </w:p>
        </w:tc>
        <w:tc>
          <w:tcPr>
            <w:tcW w:w="871" w:type="pct"/>
            <w:shd w:val="clear" w:color="auto" w:fill="auto"/>
            <w:tcMar>
              <w:top w:w="30" w:type="dxa"/>
              <w:left w:w="30" w:type="dxa"/>
              <w:bottom w:w="30" w:type="dxa"/>
              <w:right w:w="30" w:type="dxa"/>
            </w:tcMar>
            <w:hideMark/>
          </w:tcPr>
          <w:p w14:paraId="37A2FB3C" w14:textId="77777777" w:rsidR="00711874" w:rsidRPr="00F00B04" w:rsidRDefault="00711874" w:rsidP="008A7500">
            <w:pPr>
              <w:spacing w:after="0" w:line="240" w:lineRule="auto"/>
              <w:rPr>
                <w:rFonts w:eastAsia="Times New Roman"/>
                <w:lang w:eastAsia="ru-RU"/>
              </w:rPr>
            </w:pPr>
            <w:r w:rsidRPr="00F00B04">
              <w:rPr>
                <w:rFonts w:eastAsia="Times New Roman"/>
                <w:lang w:eastAsia="ru-RU"/>
              </w:rPr>
              <w:t>-14,60 (1,54)</w:t>
            </w:r>
          </w:p>
        </w:tc>
        <w:tc>
          <w:tcPr>
            <w:tcW w:w="2767" w:type="pct"/>
            <w:gridSpan w:val="4"/>
            <w:shd w:val="clear" w:color="auto" w:fill="auto"/>
            <w:tcMar>
              <w:top w:w="30" w:type="dxa"/>
              <w:left w:w="30" w:type="dxa"/>
              <w:bottom w:w="30" w:type="dxa"/>
              <w:right w:w="30" w:type="dxa"/>
            </w:tcMar>
            <w:hideMark/>
          </w:tcPr>
          <w:p w14:paraId="028D01B2" w14:textId="77777777" w:rsidR="00711874" w:rsidRPr="00F00B04" w:rsidRDefault="00711874" w:rsidP="008A7500">
            <w:pPr>
              <w:spacing w:after="0" w:line="240" w:lineRule="auto"/>
              <w:rPr>
                <w:rFonts w:eastAsia="Times New Roman"/>
                <w:lang w:eastAsia="ru-RU"/>
              </w:rPr>
            </w:pPr>
          </w:p>
        </w:tc>
      </w:tr>
      <w:tr w:rsidR="002608A1" w:rsidRPr="00F00B04" w14:paraId="33E02E26" w14:textId="77777777" w:rsidTr="008A7500">
        <w:tc>
          <w:tcPr>
            <w:tcW w:w="5000" w:type="pct"/>
            <w:gridSpan w:val="7"/>
            <w:shd w:val="clear" w:color="auto" w:fill="auto"/>
            <w:tcMar>
              <w:top w:w="30" w:type="dxa"/>
              <w:left w:w="30" w:type="dxa"/>
              <w:bottom w:w="30" w:type="dxa"/>
              <w:right w:w="30" w:type="dxa"/>
            </w:tcMar>
          </w:tcPr>
          <w:p w14:paraId="2506B20B" w14:textId="77777777" w:rsidR="002608A1" w:rsidRPr="00F00B04" w:rsidRDefault="002608A1" w:rsidP="008A7500">
            <w:pPr>
              <w:shd w:val="clear" w:color="auto" w:fill="FFFFFF"/>
              <w:spacing w:after="0" w:line="240" w:lineRule="auto"/>
              <w:rPr>
                <w:rFonts w:eastAsia="Times New Roman"/>
                <w:b/>
                <w:color w:val="000000"/>
                <w:sz w:val="20"/>
                <w:szCs w:val="20"/>
                <w:lang w:eastAsia="ru-RU"/>
              </w:rPr>
            </w:pPr>
            <w:r w:rsidRPr="00F00B04">
              <w:rPr>
                <w:rFonts w:eastAsia="Times New Roman"/>
                <w:b/>
                <w:color w:val="000000"/>
                <w:sz w:val="20"/>
                <w:szCs w:val="20"/>
                <w:lang w:eastAsia="ru-RU"/>
              </w:rPr>
              <w:t>Примечание:</w:t>
            </w:r>
          </w:p>
          <w:p w14:paraId="0CE91BAD" w14:textId="77777777" w:rsidR="002608A1" w:rsidRPr="00F00B04" w:rsidRDefault="002608A1" w:rsidP="008A7500">
            <w:pPr>
              <w:shd w:val="clear" w:color="auto" w:fill="FFFFFF"/>
              <w:spacing w:after="0" w:line="240" w:lineRule="auto"/>
              <w:rPr>
                <w:rFonts w:eastAsia="Times New Roman"/>
                <w:color w:val="000000"/>
                <w:sz w:val="20"/>
                <w:szCs w:val="20"/>
                <w:lang w:eastAsia="ru-RU"/>
              </w:rPr>
            </w:pPr>
            <w:r w:rsidRPr="00F00B04">
              <w:rPr>
                <w:rFonts w:eastAsia="Times New Roman"/>
                <w:color w:val="000000"/>
                <w:sz w:val="20"/>
                <w:szCs w:val="20"/>
                <w:lang w:eastAsia="ru-RU"/>
              </w:rPr>
              <w:t>Средние значения, рассчитанные методом наименьших квадратов, доверительные интервалы 97,5 % и значения p взяты из модели ANCOVA, в которой лечение и статус ВГС использовали в качестве факторов, а исходную рСКФ в качестве ковариаты.</w:t>
            </w:r>
          </w:p>
          <w:p w14:paraId="65D780DB" w14:textId="77777777" w:rsidR="002608A1" w:rsidRPr="00F00B04" w:rsidRDefault="002608A1" w:rsidP="008A7500">
            <w:pPr>
              <w:shd w:val="clear" w:color="auto" w:fill="FFFFFF"/>
              <w:spacing w:after="0" w:line="240" w:lineRule="auto"/>
              <w:rPr>
                <w:rFonts w:eastAsia="Times New Roman"/>
                <w:color w:val="000000"/>
                <w:sz w:val="20"/>
                <w:szCs w:val="20"/>
                <w:lang w:eastAsia="ru-RU"/>
              </w:rPr>
            </w:pPr>
            <w:r w:rsidRPr="00F00B04">
              <w:rPr>
                <w:rFonts w:eastAsia="Times New Roman"/>
                <w:color w:val="000000"/>
                <w:sz w:val="20"/>
                <w:szCs w:val="20"/>
                <w:lang w:eastAsia="ru-RU"/>
              </w:rPr>
              <w:t>Значение p (1): Анализ не меньшей эффективности с границей не меньшей эффективности = -6 мл/мин/1,73 м</w:t>
            </w:r>
            <w:r w:rsidRPr="00F00B04">
              <w:rPr>
                <w:rFonts w:eastAsia="Times New Roman"/>
                <w:color w:val="000000"/>
                <w:sz w:val="20"/>
                <w:szCs w:val="20"/>
                <w:vertAlign w:val="superscript"/>
                <w:lang w:eastAsia="ru-RU"/>
              </w:rPr>
              <w:t>2</w:t>
            </w:r>
            <w:r w:rsidRPr="00F00B04">
              <w:rPr>
                <w:rFonts w:eastAsia="Times New Roman"/>
                <w:color w:val="000000"/>
                <w:sz w:val="20"/>
                <w:szCs w:val="20"/>
                <w:lang w:eastAsia="ru-RU"/>
              </w:rPr>
              <w:t xml:space="preserve"> при одностороннем уровне значимости 0,0125.</w:t>
            </w:r>
          </w:p>
          <w:p w14:paraId="371B783B" w14:textId="17773691" w:rsidR="002608A1" w:rsidRPr="00F00B04" w:rsidRDefault="002608A1" w:rsidP="008A7500">
            <w:pPr>
              <w:spacing w:after="0" w:line="240" w:lineRule="auto"/>
              <w:rPr>
                <w:rFonts w:eastAsia="Times New Roman"/>
                <w:lang w:eastAsia="ru-RU"/>
              </w:rPr>
            </w:pPr>
            <w:r w:rsidRPr="00F00B04">
              <w:rPr>
                <w:rFonts w:eastAsia="Times New Roman"/>
                <w:color w:val="000000"/>
                <w:sz w:val="20"/>
                <w:szCs w:val="20"/>
                <w:lang w:eastAsia="ru-RU"/>
              </w:rPr>
              <w:t>Значение p (2): Анализ не меньшей эффективности при двухсторонних уровнях значимости 0,025.</w:t>
            </w:r>
          </w:p>
        </w:tc>
      </w:tr>
    </w:tbl>
    <w:p w14:paraId="10D6C239" w14:textId="6CCCD619" w:rsidR="00711874" w:rsidRDefault="002817E3" w:rsidP="00711874">
      <w:pPr>
        <w:pStyle w:val="4"/>
        <w:spacing w:after="240" w:line="240" w:lineRule="auto"/>
        <w:contextualSpacing/>
        <w:rPr>
          <w:rFonts w:ascii="Times New Roman" w:hAnsi="Times New Roman"/>
          <w:color w:val="000000" w:themeColor="text1"/>
          <w:sz w:val="24"/>
          <w:szCs w:val="24"/>
        </w:rPr>
      </w:pPr>
      <w:bookmarkStart w:id="330" w:name="_Toc112226899"/>
      <w:bookmarkStart w:id="331" w:name="_Toc118124218"/>
      <w:bookmarkStart w:id="332" w:name="_Toc119313784"/>
      <w:r>
        <w:rPr>
          <w:rFonts w:ascii="Times New Roman" w:hAnsi="Times New Roman"/>
          <w:color w:val="000000" w:themeColor="text1"/>
          <w:sz w:val="24"/>
          <w:szCs w:val="24"/>
        </w:rPr>
        <w:t>4.2</w:t>
      </w:r>
      <w:r w:rsidR="00711874" w:rsidRPr="00B30F15">
        <w:rPr>
          <w:rFonts w:ascii="Times New Roman" w:hAnsi="Times New Roman"/>
          <w:color w:val="000000" w:themeColor="text1"/>
          <w:sz w:val="24"/>
          <w:szCs w:val="24"/>
        </w:rPr>
        <w:t>.2.</w:t>
      </w:r>
      <w:r w:rsidR="00711874">
        <w:rPr>
          <w:rFonts w:ascii="Times New Roman" w:hAnsi="Times New Roman"/>
          <w:color w:val="000000" w:themeColor="text1"/>
          <w:sz w:val="24"/>
          <w:szCs w:val="24"/>
        </w:rPr>
        <w:t>3.</w:t>
      </w:r>
      <w:r w:rsidR="00711874" w:rsidRPr="00B30F15">
        <w:rPr>
          <w:rFonts w:ascii="Times New Roman" w:hAnsi="Times New Roman"/>
          <w:color w:val="000000" w:themeColor="text1"/>
          <w:sz w:val="24"/>
          <w:szCs w:val="24"/>
        </w:rPr>
        <w:t xml:space="preserve"> </w:t>
      </w:r>
      <w:bookmarkStart w:id="333" w:name="_Toc112226900"/>
      <w:bookmarkEnd w:id="330"/>
      <w:r w:rsidR="00711874">
        <w:rPr>
          <w:rFonts w:ascii="Times New Roman" w:hAnsi="Times New Roman"/>
          <w:color w:val="000000" w:themeColor="text1"/>
          <w:sz w:val="24"/>
          <w:szCs w:val="24"/>
        </w:rPr>
        <w:t>Нежелательные явления</w:t>
      </w:r>
      <w:bookmarkEnd w:id="331"/>
      <w:bookmarkEnd w:id="332"/>
      <w:bookmarkEnd w:id="333"/>
    </w:p>
    <w:p w14:paraId="19E5B723" w14:textId="77777777" w:rsidR="00711874" w:rsidRPr="008A7500" w:rsidRDefault="00711874" w:rsidP="008A7500">
      <w:pPr>
        <w:spacing w:after="0" w:line="240" w:lineRule="auto"/>
        <w:rPr>
          <w:b/>
          <w:bCs/>
        </w:rPr>
      </w:pPr>
      <w:r w:rsidRPr="008A7500">
        <w:rPr>
          <w:b/>
          <w:bCs/>
        </w:rPr>
        <w:t>Взрослые</w:t>
      </w:r>
    </w:p>
    <w:p w14:paraId="6441DA0C" w14:textId="77777777" w:rsidR="008A7500" w:rsidRDefault="008A7500" w:rsidP="00711874">
      <w:pPr>
        <w:pStyle w:val="Default"/>
        <w:ind w:firstLine="709"/>
        <w:contextualSpacing/>
        <w:jc w:val="both"/>
      </w:pPr>
      <w:bookmarkStart w:id="334" w:name="_Toc52190601"/>
    </w:p>
    <w:p w14:paraId="1CAF768F" w14:textId="583E2C99" w:rsidR="00711874" w:rsidRPr="00E050FF" w:rsidRDefault="00711874" w:rsidP="00711874">
      <w:pPr>
        <w:pStyle w:val="Default"/>
        <w:ind w:firstLine="709"/>
        <w:contextualSpacing/>
        <w:jc w:val="both"/>
      </w:pPr>
      <w:r w:rsidRPr="00711874">
        <w:t>В Таблице 4</w:t>
      </w:r>
      <w:r>
        <w:t>-21</w:t>
      </w:r>
      <w:r w:rsidRPr="00E03613">
        <w:t xml:space="preserve"> приведены побочные реакции, которые, возможно или вероятно, связаны с </w:t>
      </w:r>
      <w:r>
        <w:t>эверолимус</w:t>
      </w:r>
      <w:r w:rsidRPr="00E03613">
        <w:t xml:space="preserve">ом и наблюдались в клинических испытаниях фазы </w:t>
      </w:r>
      <w:r w:rsidRPr="00E03613">
        <w:rPr>
          <w:lang w:val="en-US"/>
        </w:rPr>
        <w:t>III</w:t>
      </w:r>
      <w:r w:rsidRPr="00E03613">
        <w:t xml:space="preserve">. Если не указано иное, эти </w:t>
      </w:r>
      <w:r>
        <w:t xml:space="preserve">НЯ ранжированы по частоте в исследованиях </w:t>
      </w:r>
      <w:r w:rsidRPr="00E03613">
        <w:rPr>
          <w:lang w:val="en-US"/>
        </w:rPr>
        <w:t>III</w:t>
      </w:r>
      <w:r>
        <w:t xml:space="preserve"> фазы</w:t>
      </w:r>
      <w:r w:rsidRPr="00E03613">
        <w:t xml:space="preserve">, сравнивающих пациентов, получавших </w:t>
      </w:r>
      <w:r>
        <w:t>эверолимус</w:t>
      </w:r>
      <w:r w:rsidRPr="00E03613">
        <w:t xml:space="preserve">, с пациентами, не получавшими </w:t>
      </w:r>
      <w:r>
        <w:t>его, или по</w:t>
      </w:r>
      <w:r w:rsidRPr="00E03613">
        <w:t xml:space="preserve"> частоте в случае, если событие является известной нежелательной реакцией</w:t>
      </w:r>
      <w:r>
        <w:t xml:space="preserve"> на препарат сравнения</w:t>
      </w:r>
      <w:r w:rsidRPr="00E03613">
        <w:t xml:space="preserve"> в исследования трансплантации</w:t>
      </w:r>
      <w:r>
        <w:t xml:space="preserve"> почек и сердца</w:t>
      </w:r>
      <w:r w:rsidRPr="00E03613">
        <w:t xml:space="preserve">. Если не указано иное, профиль побочных реакций относительно одинаков для всех показаний к трансплантации. </w:t>
      </w:r>
      <w:r w:rsidRPr="00E050FF">
        <w:t>Он составлен в соответствии со стандартными классами органов.</w:t>
      </w:r>
    </w:p>
    <w:p w14:paraId="1264124F" w14:textId="77777777" w:rsidR="00711874" w:rsidRPr="00F00B04" w:rsidRDefault="00711874" w:rsidP="00711874">
      <w:pPr>
        <w:pStyle w:val="Default"/>
        <w:ind w:firstLine="709"/>
        <w:contextualSpacing/>
        <w:jc w:val="both"/>
      </w:pPr>
      <w:r w:rsidRPr="00E03613">
        <w:t>Побочные реакции перечислены в соответствии с их частотой, которая определяется как: очень часто (≥1/10); часто (≥1/100 до &lt;1/10); нечасто (≥1/1000 до &lt;1/100); редко (≥1/10000 до &lt;1</w:t>
      </w:r>
      <w:r>
        <w:t>/1000); очень редко (&lt;1/10 000)</w:t>
      </w:r>
      <w:r w:rsidRPr="00F00B04">
        <w:t xml:space="preserve"> [3].</w:t>
      </w:r>
    </w:p>
    <w:p w14:paraId="241F29AE" w14:textId="77777777" w:rsidR="00711874" w:rsidRPr="00E03613" w:rsidRDefault="00711874" w:rsidP="00711874">
      <w:pPr>
        <w:pStyle w:val="Default"/>
        <w:ind w:firstLine="709"/>
        <w:contextualSpacing/>
      </w:pPr>
    </w:p>
    <w:p w14:paraId="5A8ECEE7" w14:textId="450A8010" w:rsidR="00711874" w:rsidRPr="00E03613" w:rsidRDefault="00711874" w:rsidP="0071249E">
      <w:pPr>
        <w:pStyle w:val="Default"/>
        <w:contextualSpacing/>
        <w:jc w:val="both"/>
        <w:rPr>
          <w:bCs/>
        </w:rPr>
      </w:pPr>
      <w:r w:rsidRPr="00711874">
        <w:rPr>
          <w:b/>
          <w:bCs/>
        </w:rPr>
        <w:t>Таблица 4-21.</w:t>
      </w:r>
      <w:r>
        <w:rPr>
          <w:bCs/>
        </w:rPr>
        <w:t xml:space="preserve"> Нежелательные явления</w:t>
      </w:r>
      <w:r w:rsidRPr="00E03613">
        <w:rPr>
          <w:bCs/>
        </w:rPr>
        <w:t xml:space="preserve">, возможно или вероятно связанные с </w:t>
      </w:r>
      <w:r w:rsidR="002608A1">
        <w:rPr>
          <w:bCs/>
        </w:rPr>
        <w:t>эверолимусом</w:t>
      </w:r>
      <w:r>
        <w:rPr>
          <w:bCs/>
        </w:rPr>
        <w:t>.</w:t>
      </w:r>
    </w:p>
    <w:tbl>
      <w:tblPr>
        <w:tblW w:w="5000" w:type="pct"/>
        <w:tblInd w:w="-5" w:type="dxa"/>
        <w:tblLook w:val="04A0" w:firstRow="1" w:lastRow="0" w:firstColumn="1" w:lastColumn="0" w:noHBand="0" w:noVBand="1"/>
      </w:tblPr>
      <w:tblGrid>
        <w:gridCol w:w="3242"/>
        <w:gridCol w:w="1542"/>
        <w:gridCol w:w="4562"/>
      </w:tblGrid>
      <w:tr w:rsidR="00711874" w:rsidRPr="00C24B3F" w14:paraId="6F2DB0D0" w14:textId="77777777" w:rsidTr="008A7500">
        <w:trPr>
          <w:trHeight w:val="635"/>
          <w:tblHeader/>
        </w:trPr>
        <w:tc>
          <w:tcPr>
            <w:tcW w:w="3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A453D4" w14:textId="3EDFB995"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Органы</w:t>
            </w:r>
            <w:r w:rsidR="002608A1" w:rsidRPr="0071249E">
              <w:rPr>
                <w:rFonts w:eastAsia="Times New Roman"/>
                <w:b/>
                <w:color w:val="000000"/>
                <w:lang w:val="en-US" w:eastAsia="ru-RU"/>
              </w:rPr>
              <w:t>/</w:t>
            </w:r>
            <w:r w:rsidRPr="0071249E">
              <w:rPr>
                <w:rFonts w:eastAsia="Times New Roman"/>
                <w:b/>
                <w:color w:val="000000"/>
                <w:lang w:eastAsia="ru-RU"/>
              </w:rPr>
              <w:t>системы</w:t>
            </w:r>
          </w:p>
        </w:tc>
        <w:tc>
          <w:tcPr>
            <w:tcW w:w="154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230B2AC" w14:textId="77777777"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Частота</w:t>
            </w:r>
          </w:p>
        </w:tc>
        <w:tc>
          <w:tcPr>
            <w:tcW w:w="456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1435556" w14:textId="77777777"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Нежелательные явления</w:t>
            </w:r>
          </w:p>
        </w:tc>
      </w:tr>
      <w:tr w:rsidR="00711874" w:rsidRPr="00C24B3F" w14:paraId="7D5F2316" w14:textId="77777777" w:rsidTr="008A7500">
        <w:trPr>
          <w:trHeight w:val="1535"/>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46E4FCF8"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Инфекции</w:t>
            </w:r>
          </w:p>
        </w:tc>
        <w:tc>
          <w:tcPr>
            <w:tcW w:w="1544" w:type="dxa"/>
            <w:tcBorders>
              <w:top w:val="nil"/>
              <w:left w:val="nil"/>
              <w:bottom w:val="single" w:sz="4" w:space="0" w:color="auto"/>
              <w:right w:val="single" w:sz="4" w:space="0" w:color="auto"/>
            </w:tcBorders>
            <w:shd w:val="clear" w:color="auto" w:fill="auto"/>
            <w:hideMark/>
          </w:tcPr>
          <w:p w14:paraId="59C99507"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25670CB4"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Вирусные, бактериальные, грибковые инфекции верхних дыхтельных путей, нижних дыхательных путей, легких (включая пневмонию)</w:t>
            </w:r>
            <w:r w:rsidRPr="00C24B3F">
              <w:rPr>
                <w:rFonts w:eastAsia="Times New Roman"/>
                <w:color w:val="000000"/>
                <w:vertAlign w:val="superscript"/>
                <w:lang w:eastAsia="ru-RU"/>
              </w:rPr>
              <w:t>1</w:t>
            </w:r>
            <w:r w:rsidRPr="00C24B3F">
              <w:rPr>
                <w:rFonts w:eastAsia="Times New Roman"/>
                <w:color w:val="000000"/>
                <w:lang w:eastAsia="ru-RU"/>
              </w:rPr>
              <w:t>, мочевыделительной системы</w:t>
            </w:r>
            <w:r w:rsidRPr="00C24B3F">
              <w:rPr>
                <w:rFonts w:eastAsia="Times New Roman"/>
                <w:color w:val="000000"/>
                <w:vertAlign w:val="superscript"/>
                <w:lang w:eastAsia="ru-RU"/>
              </w:rPr>
              <w:t>2</w:t>
            </w:r>
          </w:p>
        </w:tc>
      </w:tr>
      <w:tr w:rsidR="00711874" w:rsidRPr="00C24B3F" w14:paraId="22225117"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45D2110E"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26E52EEA"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41457EE8"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Сепсис, раневые инфекции</w:t>
            </w:r>
          </w:p>
        </w:tc>
      </w:tr>
      <w:tr w:rsidR="00711874" w:rsidRPr="00C24B3F" w14:paraId="3C7AD548"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198DABC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Доброкачественные, злокачественные, неспецифицированные новообразования</w:t>
            </w:r>
          </w:p>
        </w:tc>
        <w:tc>
          <w:tcPr>
            <w:tcW w:w="1544" w:type="dxa"/>
            <w:tcBorders>
              <w:top w:val="nil"/>
              <w:left w:val="nil"/>
              <w:bottom w:val="single" w:sz="4" w:space="0" w:color="auto"/>
              <w:right w:val="single" w:sz="4" w:space="0" w:color="auto"/>
            </w:tcBorders>
            <w:shd w:val="clear" w:color="auto" w:fill="auto"/>
            <w:hideMark/>
          </w:tcPr>
          <w:p w14:paraId="6B03FBFC"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12E6D4B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Злокачественные или неспецифицированные образования кожи</w:t>
            </w:r>
          </w:p>
        </w:tc>
      </w:tr>
      <w:tr w:rsidR="00711874" w:rsidRPr="00C24B3F" w14:paraId="4DC0E345"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4F550778"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0C0C580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509A627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Лимфомы, пост-трансплантационные лимфопролиферативные заболевания</w:t>
            </w:r>
          </w:p>
        </w:tc>
      </w:tr>
      <w:tr w:rsidR="00711874" w:rsidRPr="00C24B3F" w14:paraId="1BFC71A9"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7BDBBF0E"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Нарушения кроветворной и лимфатической системы</w:t>
            </w:r>
          </w:p>
        </w:tc>
        <w:tc>
          <w:tcPr>
            <w:tcW w:w="1544" w:type="dxa"/>
            <w:tcBorders>
              <w:top w:val="nil"/>
              <w:left w:val="nil"/>
              <w:bottom w:val="single" w:sz="4" w:space="0" w:color="auto"/>
              <w:right w:val="single" w:sz="4" w:space="0" w:color="auto"/>
            </w:tcBorders>
            <w:shd w:val="clear" w:color="auto" w:fill="auto"/>
            <w:hideMark/>
          </w:tcPr>
          <w:p w14:paraId="383D78FE"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29577A52"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Лейкопения, анемия/эритропения, тромбоцитопения</w:t>
            </w:r>
            <w:r w:rsidRPr="00C24B3F">
              <w:rPr>
                <w:rFonts w:eastAsia="Times New Roman"/>
                <w:color w:val="000000"/>
                <w:vertAlign w:val="superscript"/>
                <w:lang w:eastAsia="ru-RU"/>
              </w:rPr>
              <w:t>1</w:t>
            </w:r>
          </w:p>
        </w:tc>
      </w:tr>
      <w:tr w:rsidR="00711874" w:rsidRPr="00C24B3F" w14:paraId="4A178795"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3EA11A04"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456FD914"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6EE7B4FF"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Панцитопения, тромботическая микроангиопатия (включая тромботическую тромбоцитопеническую пурпуру/гемолитико-уремический синдром)</w:t>
            </w:r>
          </w:p>
        </w:tc>
      </w:tr>
      <w:tr w:rsidR="00711874" w:rsidRPr="00C24B3F" w14:paraId="63CE0377"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03B93D0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Нарушения эндокринной системы</w:t>
            </w:r>
          </w:p>
        </w:tc>
        <w:tc>
          <w:tcPr>
            <w:tcW w:w="1544" w:type="dxa"/>
            <w:tcBorders>
              <w:top w:val="nil"/>
              <w:left w:val="nil"/>
              <w:bottom w:val="single" w:sz="4" w:space="0" w:color="auto"/>
              <w:right w:val="single" w:sz="4" w:space="0" w:color="auto"/>
            </w:tcBorders>
            <w:shd w:val="clear" w:color="auto" w:fill="auto"/>
            <w:hideMark/>
          </w:tcPr>
          <w:p w14:paraId="74668CC7"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1D33B5B1"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Мужской гипогонадизм (снижение тестостерона, повышение ФСГ и ЛГ)</w:t>
            </w:r>
          </w:p>
        </w:tc>
      </w:tr>
      <w:tr w:rsidR="00711874" w:rsidRPr="00C24B3F" w14:paraId="60A892D6"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7167E6F6"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Расстройства метаболизма и питания</w:t>
            </w:r>
          </w:p>
        </w:tc>
        <w:tc>
          <w:tcPr>
            <w:tcW w:w="1544" w:type="dxa"/>
            <w:tcBorders>
              <w:top w:val="nil"/>
              <w:left w:val="nil"/>
              <w:bottom w:val="single" w:sz="4" w:space="0" w:color="auto"/>
              <w:right w:val="single" w:sz="4" w:space="0" w:color="auto"/>
            </w:tcBorders>
            <w:shd w:val="clear" w:color="auto" w:fill="auto"/>
            <w:hideMark/>
          </w:tcPr>
          <w:p w14:paraId="3A145970"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39B7F11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Гиперлипидемия (холестерин и триглицериды), вновь выявленный сахарный диабет, гипокалиемия</w:t>
            </w:r>
          </w:p>
        </w:tc>
      </w:tr>
      <w:tr w:rsidR="00711874" w:rsidRPr="00C24B3F" w14:paraId="18DAC71C"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3E15FE46"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Психиатрические расстройства</w:t>
            </w:r>
          </w:p>
        </w:tc>
        <w:tc>
          <w:tcPr>
            <w:tcW w:w="1544" w:type="dxa"/>
            <w:tcBorders>
              <w:top w:val="nil"/>
              <w:left w:val="nil"/>
              <w:bottom w:val="single" w:sz="4" w:space="0" w:color="auto"/>
              <w:right w:val="single" w:sz="4" w:space="0" w:color="auto"/>
            </w:tcBorders>
            <w:shd w:val="clear" w:color="auto" w:fill="auto"/>
            <w:hideMark/>
          </w:tcPr>
          <w:p w14:paraId="6CC897CC"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66745B2D"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Бессонница, тревожность</w:t>
            </w:r>
          </w:p>
        </w:tc>
      </w:tr>
      <w:tr w:rsidR="00711874" w:rsidRPr="00C24B3F" w14:paraId="69C18013"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1C15370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Расстройства нервной системы</w:t>
            </w:r>
          </w:p>
        </w:tc>
        <w:tc>
          <w:tcPr>
            <w:tcW w:w="1544" w:type="dxa"/>
            <w:tcBorders>
              <w:top w:val="nil"/>
              <w:left w:val="nil"/>
              <w:bottom w:val="single" w:sz="4" w:space="0" w:color="auto"/>
              <w:right w:val="single" w:sz="4" w:space="0" w:color="auto"/>
            </w:tcBorders>
            <w:shd w:val="clear" w:color="auto" w:fill="auto"/>
            <w:hideMark/>
          </w:tcPr>
          <w:p w14:paraId="74EC76F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2E9D75E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Головная боль</w:t>
            </w:r>
          </w:p>
        </w:tc>
      </w:tr>
      <w:tr w:rsidR="00711874" w:rsidRPr="00C24B3F" w14:paraId="06E4CF7E"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3F5B5296"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Болезни сердца</w:t>
            </w:r>
          </w:p>
        </w:tc>
        <w:tc>
          <w:tcPr>
            <w:tcW w:w="1544" w:type="dxa"/>
            <w:tcBorders>
              <w:top w:val="nil"/>
              <w:left w:val="nil"/>
              <w:bottom w:val="single" w:sz="4" w:space="0" w:color="auto"/>
              <w:right w:val="single" w:sz="4" w:space="0" w:color="auto"/>
            </w:tcBorders>
            <w:shd w:val="clear" w:color="auto" w:fill="auto"/>
            <w:hideMark/>
          </w:tcPr>
          <w:p w14:paraId="2D7C1DBC"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0D8D7597"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Перикардиальный выпот</w:t>
            </w:r>
            <w:r w:rsidRPr="00C24B3F">
              <w:rPr>
                <w:rFonts w:eastAsia="Times New Roman"/>
                <w:color w:val="000000"/>
                <w:vertAlign w:val="superscript"/>
                <w:lang w:eastAsia="ru-RU"/>
              </w:rPr>
              <w:t>3</w:t>
            </w:r>
          </w:p>
        </w:tc>
      </w:tr>
      <w:tr w:rsidR="00711874" w:rsidRPr="00C24B3F" w14:paraId="1B1A0D50"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2F8B9A4"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6AF68A2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0F1E5E7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Тахикардия</w:t>
            </w:r>
          </w:p>
        </w:tc>
      </w:tr>
      <w:tr w:rsidR="00711874" w:rsidRPr="00C24B3F" w14:paraId="6133A2A6"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517D7DFE"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Сосудистые расстройства</w:t>
            </w:r>
          </w:p>
        </w:tc>
        <w:tc>
          <w:tcPr>
            <w:tcW w:w="1544" w:type="dxa"/>
            <w:tcBorders>
              <w:top w:val="nil"/>
              <w:left w:val="nil"/>
              <w:bottom w:val="single" w:sz="4" w:space="0" w:color="auto"/>
              <w:right w:val="single" w:sz="4" w:space="0" w:color="auto"/>
            </w:tcBorders>
            <w:shd w:val="clear" w:color="auto" w:fill="auto"/>
            <w:hideMark/>
          </w:tcPr>
          <w:p w14:paraId="5657617F"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71443860"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Гипертензия, венозные тромбоэмболические события</w:t>
            </w:r>
          </w:p>
        </w:tc>
      </w:tr>
      <w:tr w:rsidR="00711874" w:rsidRPr="00C24B3F" w14:paraId="2ACF23F0"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4F3AA2D"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62D43B17"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02EBCAC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Лимфоцеле</w:t>
            </w:r>
            <w:r w:rsidRPr="00C24B3F">
              <w:rPr>
                <w:rFonts w:eastAsia="Times New Roman"/>
                <w:color w:val="000000"/>
                <w:vertAlign w:val="superscript"/>
                <w:lang w:eastAsia="ru-RU"/>
              </w:rPr>
              <w:t>4</w:t>
            </w:r>
            <w:r w:rsidRPr="00C24B3F">
              <w:rPr>
                <w:rFonts w:eastAsia="Times New Roman"/>
                <w:color w:val="000000"/>
                <w:lang w:eastAsia="ru-RU"/>
              </w:rPr>
              <w:t>, носовое кровотечение, тромбоз трансплантата почки</w:t>
            </w:r>
          </w:p>
        </w:tc>
      </w:tr>
      <w:tr w:rsidR="00711874" w:rsidRPr="00C24B3F" w14:paraId="2E945345"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67A27A64"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Респираторные, торакальные и медиастинальные расстройства</w:t>
            </w:r>
          </w:p>
        </w:tc>
        <w:tc>
          <w:tcPr>
            <w:tcW w:w="1544" w:type="dxa"/>
            <w:tcBorders>
              <w:top w:val="nil"/>
              <w:left w:val="nil"/>
              <w:bottom w:val="single" w:sz="4" w:space="0" w:color="auto"/>
              <w:right w:val="single" w:sz="4" w:space="0" w:color="auto"/>
            </w:tcBorders>
            <w:shd w:val="clear" w:color="auto" w:fill="auto"/>
            <w:hideMark/>
          </w:tcPr>
          <w:p w14:paraId="5F3E34C1"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707AB590"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Плевральный выпот</w:t>
            </w:r>
            <w:r w:rsidRPr="00C24B3F">
              <w:rPr>
                <w:rFonts w:eastAsia="Times New Roman"/>
                <w:color w:val="000000"/>
                <w:vertAlign w:val="superscript"/>
                <w:lang w:eastAsia="ru-RU"/>
              </w:rPr>
              <w:t>1</w:t>
            </w:r>
            <w:r w:rsidRPr="00C24B3F">
              <w:rPr>
                <w:rFonts w:eastAsia="Times New Roman"/>
                <w:color w:val="000000"/>
                <w:lang w:eastAsia="ru-RU"/>
              </w:rPr>
              <w:t>, кашель</w:t>
            </w:r>
            <w:r w:rsidRPr="00C24B3F">
              <w:rPr>
                <w:rFonts w:eastAsia="Times New Roman"/>
                <w:color w:val="000000"/>
                <w:vertAlign w:val="superscript"/>
                <w:lang w:eastAsia="ru-RU"/>
              </w:rPr>
              <w:t>1</w:t>
            </w:r>
            <w:r w:rsidRPr="00C24B3F">
              <w:rPr>
                <w:rFonts w:eastAsia="Times New Roman"/>
                <w:color w:val="000000"/>
                <w:lang w:eastAsia="ru-RU"/>
              </w:rPr>
              <w:t>, одышка</w:t>
            </w:r>
            <w:r w:rsidRPr="00C24B3F">
              <w:rPr>
                <w:rFonts w:eastAsia="Times New Roman"/>
                <w:color w:val="000000"/>
                <w:vertAlign w:val="superscript"/>
                <w:lang w:eastAsia="ru-RU"/>
              </w:rPr>
              <w:t>1</w:t>
            </w:r>
          </w:p>
        </w:tc>
      </w:tr>
      <w:tr w:rsidR="00711874" w:rsidRPr="00C24B3F" w14:paraId="64C94E98"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0B4B3E95"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60AC9CAA"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59030AFC"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Интерстициальные болезни легких</w:t>
            </w:r>
            <w:r w:rsidRPr="00C24B3F">
              <w:rPr>
                <w:rFonts w:eastAsia="Times New Roman"/>
                <w:color w:val="000000"/>
                <w:vertAlign w:val="superscript"/>
                <w:lang w:eastAsia="ru-RU"/>
              </w:rPr>
              <w:t>5</w:t>
            </w:r>
          </w:p>
        </w:tc>
      </w:tr>
      <w:tr w:rsidR="00711874" w:rsidRPr="00C24B3F" w14:paraId="088CAB6F"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19D9106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Расстройства органов пищеварения</w:t>
            </w:r>
          </w:p>
        </w:tc>
        <w:tc>
          <w:tcPr>
            <w:tcW w:w="1544" w:type="dxa"/>
            <w:tcBorders>
              <w:top w:val="nil"/>
              <w:left w:val="nil"/>
              <w:bottom w:val="single" w:sz="4" w:space="0" w:color="auto"/>
              <w:right w:val="single" w:sz="4" w:space="0" w:color="auto"/>
            </w:tcBorders>
            <w:shd w:val="clear" w:color="auto" w:fill="auto"/>
            <w:hideMark/>
          </w:tcPr>
          <w:p w14:paraId="3756606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07BD69B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Боль в животе, диарея, тошнота, рвота</w:t>
            </w:r>
          </w:p>
        </w:tc>
      </w:tr>
      <w:tr w:rsidR="00711874" w:rsidRPr="00C24B3F" w14:paraId="762C62B8"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79965AB"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72DE0844"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4AF00CE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Панкреатит, стоматит/изъязвление слизистой оболочки полости рта, орофарингеальная боль</w:t>
            </w:r>
          </w:p>
        </w:tc>
      </w:tr>
      <w:tr w:rsidR="00711874" w:rsidRPr="00C24B3F" w14:paraId="2C546A20"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1FD41466"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Поражения гепатобилиарной система</w:t>
            </w:r>
          </w:p>
        </w:tc>
        <w:tc>
          <w:tcPr>
            <w:tcW w:w="1544" w:type="dxa"/>
            <w:tcBorders>
              <w:top w:val="nil"/>
              <w:left w:val="nil"/>
              <w:bottom w:val="single" w:sz="4" w:space="0" w:color="auto"/>
              <w:right w:val="single" w:sz="4" w:space="0" w:color="auto"/>
            </w:tcBorders>
            <w:shd w:val="clear" w:color="auto" w:fill="auto"/>
            <w:hideMark/>
          </w:tcPr>
          <w:p w14:paraId="261F419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1823B14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Неинфекционный гепатит, желтуха</w:t>
            </w:r>
          </w:p>
        </w:tc>
      </w:tr>
      <w:tr w:rsidR="00711874" w:rsidRPr="00C24B3F" w14:paraId="6B1957B0"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3D782118"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Поражения кожи и подкожной ткани</w:t>
            </w:r>
          </w:p>
        </w:tc>
        <w:tc>
          <w:tcPr>
            <w:tcW w:w="1544" w:type="dxa"/>
            <w:tcBorders>
              <w:top w:val="nil"/>
              <w:left w:val="nil"/>
              <w:bottom w:val="single" w:sz="4" w:space="0" w:color="auto"/>
              <w:right w:val="single" w:sz="4" w:space="0" w:color="auto"/>
            </w:tcBorders>
            <w:shd w:val="clear" w:color="auto" w:fill="auto"/>
            <w:hideMark/>
          </w:tcPr>
          <w:p w14:paraId="449A7CE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75B63B9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Ангионевротический отек</w:t>
            </w:r>
            <w:r w:rsidRPr="00C24B3F">
              <w:rPr>
                <w:rFonts w:eastAsia="Times New Roman"/>
                <w:color w:val="000000"/>
                <w:vertAlign w:val="superscript"/>
                <w:lang w:eastAsia="ru-RU"/>
              </w:rPr>
              <w:t>6</w:t>
            </w:r>
            <w:r w:rsidRPr="00C24B3F">
              <w:rPr>
                <w:rFonts w:eastAsia="Times New Roman"/>
                <w:color w:val="000000"/>
                <w:lang w:eastAsia="ru-RU"/>
              </w:rPr>
              <w:t>, акне, сыпь</w:t>
            </w:r>
          </w:p>
        </w:tc>
      </w:tr>
      <w:tr w:rsidR="00711874" w:rsidRPr="00C24B3F" w14:paraId="48D772CD" w14:textId="77777777" w:rsidTr="008A7500">
        <w:trPr>
          <w:trHeight w:val="831"/>
        </w:trPr>
        <w:tc>
          <w:tcPr>
            <w:tcW w:w="3244" w:type="dxa"/>
            <w:tcBorders>
              <w:top w:val="nil"/>
              <w:left w:val="single" w:sz="4" w:space="0" w:color="auto"/>
              <w:bottom w:val="single" w:sz="4" w:space="0" w:color="auto"/>
              <w:right w:val="single" w:sz="4" w:space="0" w:color="auto"/>
            </w:tcBorders>
            <w:shd w:val="clear" w:color="auto" w:fill="auto"/>
            <w:hideMark/>
          </w:tcPr>
          <w:p w14:paraId="4645E58F"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Поражения мышечно-скелетной и соединительной ткани</w:t>
            </w:r>
          </w:p>
        </w:tc>
        <w:tc>
          <w:tcPr>
            <w:tcW w:w="1544" w:type="dxa"/>
            <w:tcBorders>
              <w:top w:val="nil"/>
              <w:left w:val="nil"/>
              <w:bottom w:val="single" w:sz="4" w:space="0" w:color="auto"/>
              <w:right w:val="single" w:sz="4" w:space="0" w:color="auto"/>
            </w:tcBorders>
            <w:shd w:val="clear" w:color="auto" w:fill="auto"/>
            <w:hideMark/>
          </w:tcPr>
          <w:p w14:paraId="02848B1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31D80F80"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Миалгия, артралгия</w:t>
            </w:r>
          </w:p>
        </w:tc>
      </w:tr>
      <w:tr w:rsidR="00711874" w:rsidRPr="00C24B3F" w14:paraId="0A2447EA"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0C5BF007"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Поражения почек и мочевыводящей системы</w:t>
            </w:r>
          </w:p>
        </w:tc>
        <w:tc>
          <w:tcPr>
            <w:tcW w:w="1544" w:type="dxa"/>
            <w:tcBorders>
              <w:top w:val="nil"/>
              <w:left w:val="nil"/>
              <w:bottom w:val="single" w:sz="4" w:space="0" w:color="auto"/>
              <w:right w:val="single" w:sz="4" w:space="0" w:color="auto"/>
            </w:tcBorders>
            <w:shd w:val="clear" w:color="auto" w:fill="auto"/>
            <w:hideMark/>
          </w:tcPr>
          <w:p w14:paraId="3E13EFF2"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1DE8E19F"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Протеинурия</w:t>
            </w:r>
            <w:r w:rsidRPr="00C24B3F">
              <w:rPr>
                <w:rFonts w:eastAsia="Times New Roman"/>
                <w:color w:val="000000"/>
                <w:vertAlign w:val="superscript"/>
                <w:lang w:eastAsia="ru-RU"/>
              </w:rPr>
              <w:t>2</w:t>
            </w:r>
            <w:r w:rsidRPr="00C24B3F">
              <w:rPr>
                <w:rFonts w:eastAsia="Times New Roman"/>
                <w:color w:val="000000"/>
                <w:lang w:eastAsia="ru-RU"/>
              </w:rPr>
              <w:t>, тубулярный некроз почки</w:t>
            </w:r>
            <w:r w:rsidRPr="00C24B3F">
              <w:rPr>
                <w:rFonts w:eastAsia="Times New Roman"/>
                <w:color w:val="000000"/>
                <w:vertAlign w:val="superscript"/>
                <w:lang w:eastAsia="ru-RU"/>
              </w:rPr>
              <w:t>7</w:t>
            </w:r>
          </w:p>
        </w:tc>
      </w:tr>
      <w:tr w:rsidR="00711874" w:rsidRPr="00C24B3F" w14:paraId="224DC895" w14:textId="77777777" w:rsidTr="008A7500">
        <w:trPr>
          <w:trHeight w:val="782"/>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2CE7837F"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Поражения репродуктивной системы и молочных желез</w:t>
            </w:r>
          </w:p>
        </w:tc>
        <w:tc>
          <w:tcPr>
            <w:tcW w:w="1544" w:type="dxa"/>
            <w:tcBorders>
              <w:top w:val="nil"/>
              <w:left w:val="nil"/>
              <w:bottom w:val="single" w:sz="4" w:space="0" w:color="auto"/>
              <w:right w:val="single" w:sz="4" w:space="0" w:color="auto"/>
            </w:tcBorders>
            <w:shd w:val="clear" w:color="auto" w:fill="auto"/>
            <w:hideMark/>
          </w:tcPr>
          <w:p w14:paraId="48AC6E6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1A1492B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Эректильная дисфункция, нарушения менструального цикла (включая аменорею и менорагнию)</w:t>
            </w:r>
          </w:p>
        </w:tc>
      </w:tr>
      <w:tr w:rsidR="00711874" w:rsidRPr="00C24B3F" w14:paraId="2E6A22E2"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D14BBE5"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3F7909C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2178B2A5"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Кисты яичников</w:t>
            </w:r>
          </w:p>
        </w:tc>
      </w:tr>
      <w:tr w:rsidR="00711874" w:rsidRPr="00C24B3F" w14:paraId="555E3182" w14:textId="77777777" w:rsidTr="008A7500">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38C901C2"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Общие заболевания и осложнения в месте введения</w:t>
            </w:r>
          </w:p>
        </w:tc>
        <w:tc>
          <w:tcPr>
            <w:tcW w:w="1544" w:type="dxa"/>
            <w:tcBorders>
              <w:top w:val="nil"/>
              <w:left w:val="nil"/>
              <w:bottom w:val="single" w:sz="4" w:space="0" w:color="auto"/>
              <w:right w:val="single" w:sz="4" w:space="0" w:color="auto"/>
            </w:tcBorders>
            <w:shd w:val="clear" w:color="auto" w:fill="auto"/>
            <w:hideMark/>
          </w:tcPr>
          <w:p w14:paraId="1255382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6A5837B6"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Периферические отеки, боль, нарушения заживления ран, лихорадка</w:t>
            </w:r>
          </w:p>
        </w:tc>
      </w:tr>
      <w:tr w:rsidR="00711874" w:rsidRPr="00C24B3F" w14:paraId="4B3E1DC9" w14:textId="77777777" w:rsidTr="008A7500">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99E33C0" w14:textId="77777777" w:rsidR="00711874" w:rsidRPr="00C24B3F" w:rsidRDefault="00711874" w:rsidP="008A7500">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65341953"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1ABC776C"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Послеоперационные грыжи</w:t>
            </w:r>
          </w:p>
        </w:tc>
      </w:tr>
      <w:tr w:rsidR="00711874" w:rsidRPr="00C24B3F" w14:paraId="345FA1BB" w14:textId="77777777" w:rsidTr="008A7500">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290980A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Лабораторные отклонения</w:t>
            </w:r>
          </w:p>
        </w:tc>
        <w:tc>
          <w:tcPr>
            <w:tcW w:w="1544" w:type="dxa"/>
            <w:tcBorders>
              <w:top w:val="nil"/>
              <w:left w:val="nil"/>
              <w:bottom w:val="single" w:sz="4" w:space="0" w:color="auto"/>
              <w:right w:val="single" w:sz="4" w:space="0" w:color="auto"/>
            </w:tcBorders>
            <w:shd w:val="clear" w:color="auto" w:fill="auto"/>
            <w:hideMark/>
          </w:tcPr>
          <w:p w14:paraId="6C99A8A9"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5DE8505B" w14:textId="77777777" w:rsidR="00711874" w:rsidRPr="00C24B3F" w:rsidRDefault="00711874" w:rsidP="008A7500">
            <w:pPr>
              <w:spacing w:after="0" w:line="240" w:lineRule="auto"/>
              <w:jc w:val="left"/>
              <w:rPr>
                <w:rFonts w:eastAsia="Times New Roman"/>
                <w:color w:val="000000"/>
                <w:lang w:eastAsia="ru-RU"/>
              </w:rPr>
            </w:pPr>
            <w:r w:rsidRPr="00C24B3F">
              <w:rPr>
                <w:rFonts w:eastAsia="Times New Roman"/>
                <w:color w:val="000000"/>
                <w:lang w:eastAsia="ru-RU"/>
              </w:rPr>
              <w:t>Отклонения концентрации печеночных ферментов</w:t>
            </w:r>
            <w:r w:rsidRPr="00C24B3F">
              <w:rPr>
                <w:rFonts w:eastAsia="Times New Roman"/>
                <w:color w:val="000000"/>
                <w:vertAlign w:val="superscript"/>
                <w:lang w:eastAsia="ru-RU"/>
              </w:rPr>
              <w:t>8</w:t>
            </w:r>
          </w:p>
        </w:tc>
      </w:tr>
      <w:tr w:rsidR="002608A1" w:rsidRPr="00C24B3F" w14:paraId="23FC432A" w14:textId="77777777" w:rsidTr="008A7500">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714B8AE4" w14:textId="77777777" w:rsidR="002608A1" w:rsidRPr="00E03613" w:rsidRDefault="002608A1" w:rsidP="008A7500">
            <w:pPr>
              <w:pStyle w:val="Default"/>
              <w:rPr>
                <w:b/>
                <w:sz w:val="20"/>
                <w:szCs w:val="20"/>
              </w:rPr>
            </w:pPr>
            <w:r w:rsidRPr="00E03613">
              <w:rPr>
                <w:b/>
                <w:sz w:val="20"/>
                <w:szCs w:val="20"/>
              </w:rPr>
              <w:t>Примечание:</w:t>
            </w:r>
          </w:p>
          <w:p w14:paraId="7A1C4FF3" w14:textId="77777777" w:rsidR="002608A1" w:rsidRPr="00E03613" w:rsidRDefault="002608A1" w:rsidP="008A7500">
            <w:pPr>
              <w:pStyle w:val="Default"/>
              <w:rPr>
                <w:sz w:val="20"/>
                <w:szCs w:val="20"/>
              </w:rPr>
            </w:pPr>
            <w:r w:rsidRPr="00E03613">
              <w:rPr>
                <w:sz w:val="20"/>
                <w:szCs w:val="20"/>
              </w:rPr>
              <w:t>1</w:t>
            </w:r>
            <w:r>
              <w:rPr>
                <w:sz w:val="20"/>
                <w:szCs w:val="20"/>
              </w:rPr>
              <w:t xml:space="preserve"> </w:t>
            </w:r>
            <w:r w:rsidRPr="00E03613">
              <w:rPr>
                <w:sz w:val="20"/>
                <w:szCs w:val="20"/>
              </w:rPr>
              <w:t>часто при трансплантации почек и печени</w:t>
            </w:r>
          </w:p>
          <w:p w14:paraId="2B3418B0" w14:textId="77777777" w:rsidR="002608A1" w:rsidRPr="00E03613" w:rsidRDefault="002608A1" w:rsidP="008A7500">
            <w:pPr>
              <w:pStyle w:val="Default"/>
              <w:rPr>
                <w:sz w:val="20"/>
                <w:szCs w:val="20"/>
              </w:rPr>
            </w:pPr>
            <w:r w:rsidRPr="00E03613">
              <w:rPr>
                <w:sz w:val="20"/>
                <w:szCs w:val="20"/>
              </w:rPr>
              <w:t>2</w:t>
            </w:r>
            <w:r>
              <w:rPr>
                <w:sz w:val="20"/>
                <w:szCs w:val="20"/>
              </w:rPr>
              <w:t xml:space="preserve"> </w:t>
            </w:r>
            <w:r w:rsidRPr="00E03613">
              <w:rPr>
                <w:sz w:val="20"/>
                <w:szCs w:val="20"/>
              </w:rPr>
              <w:t>часто при трансплантации сердца и печени</w:t>
            </w:r>
          </w:p>
          <w:p w14:paraId="08A3D1B6" w14:textId="77777777" w:rsidR="002608A1" w:rsidRPr="00E03613" w:rsidRDefault="002608A1" w:rsidP="008A7500">
            <w:pPr>
              <w:pStyle w:val="Default"/>
              <w:rPr>
                <w:sz w:val="20"/>
                <w:szCs w:val="20"/>
              </w:rPr>
            </w:pPr>
            <w:r>
              <w:rPr>
                <w:sz w:val="20"/>
                <w:szCs w:val="20"/>
              </w:rPr>
              <w:t>3 при</w:t>
            </w:r>
            <w:r w:rsidRPr="00E03613">
              <w:rPr>
                <w:sz w:val="20"/>
                <w:szCs w:val="20"/>
              </w:rPr>
              <w:t xml:space="preserve"> трансплантации сердца</w:t>
            </w:r>
          </w:p>
          <w:p w14:paraId="0FB0E852" w14:textId="77777777" w:rsidR="002608A1" w:rsidRDefault="002608A1" w:rsidP="008A7500">
            <w:pPr>
              <w:pStyle w:val="Default"/>
              <w:rPr>
                <w:sz w:val="20"/>
                <w:szCs w:val="20"/>
              </w:rPr>
            </w:pPr>
            <w:r w:rsidRPr="00E03613">
              <w:rPr>
                <w:sz w:val="20"/>
                <w:szCs w:val="20"/>
              </w:rPr>
              <w:t>4</w:t>
            </w:r>
            <w:r>
              <w:rPr>
                <w:sz w:val="20"/>
                <w:szCs w:val="20"/>
              </w:rPr>
              <w:t xml:space="preserve"> </w:t>
            </w:r>
            <w:r w:rsidRPr="00E03613">
              <w:rPr>
                <w:sz w:val="20"/>
                <w:szCs w:val="20"/>
              </w:rPr>
              <w:t>при трансплантации почек и сердца</w:t>
            </w:r>
          </w:p>
          <w:p w14:paraId="10CD43EB" w14:textId="77777777" w:rsidR="002608A1" w:rsidRPr="00E03613" w:rsidRDefault="002608A1" w:rsidP="008A7500">
            <w:pPr>
              <w:pStyle w:val="Default"/>
              <w:rPr>
                <w:sz w:val="20"/>
                <w:szCs w:val="20"/>
              </w:rPr>
            </w:pPr>
            <w:r w:rsidRPr="00E03613">
              <w:rPr>
                <w:sz w:val="20"/>
                <w:szCs w:val="20"/>
              </w:rPr>
              <w:t>5</w:t>
            </w:r>
            <w:r>
              <w:rPr>
                <w:sz w:val="20"/>
                <w:szCs w:val="20"/>
              </w:rPr>
              <w:t xml:space="preserve"> также включены</w:t>
            </w:r>
            <w:r w:rsidRPr="00E03613">
              <w:rPr>
                <w:sz w:val="20"/>
                <w:szCs w:val="20"/>
              </w:rPr>
              <w:t xml:space="preserve"> случаи</w:t>
            </w:r>
            <w:r>
              <w:rPr>
                <w:sz w:val="20"/>
                <w:szCs w:val="20"/>
              </w:rPr>
              <w:t xml:space="preserve"> ИЗЛ</w:t>
            </w:r>
            <w:r w:rsidRPr="00E03613">
              <w:rPr>
                <w:sz w:val="20"/>
                <w:szCs w:val="20"/>
              </w:rPr>
              <w:t>, вызванные</w:t>
            </w:r>
            <w:r>
              <w:rPr>
                <w:sz w:val="20"/>
                <w:szCs w:val="20"/>
              </w:rPr>
              <w:t xml:space="preserve"> связанными событиями, например,</w:t>
            </w:r>
            <w:r w:rsidRPr="00E03613">
              <w:rPr>
                <w:sz w:val="20"/>
                <w:szCs w:val="20"/>
              </w:rPr>
              <w:t xml:space="preserve"> инфекциями. Приведенная здесь категория частоты получена на основе медицинского обзора известных случаев.</w:t>
            </w:r>
          </w:p>
          <w:p w14:paraId="2DB355B4" w14:textId="77777777" w:rsidR="002608A1" w:rsidRPr="00E03613" w:rsidRDefault="002608A1" w:rsidP="008A7500">
            <w:pPr>
              <w:pStyle w:val="Default"/>
              <w:rPr>
                <w:sz w:val="20"/>
                <w:szCs w:val="20"/>
              </w:rPr>
            </w:pPr>
            <w:r w:rsidRPr="00E03613">
              <w:rPr>
                <w:sz w:val="20"/>
                <w:szCs w:val="20"/>
              </w:rPr>
              <w:t>6</w:t>
            </w:r>
            <w:r>
              <w:rPr>
                <w:sz w:val="20"/>
                <w:szCs w:val="20"/>
              </w:rPr>
              <w:t xml:space="preserve"> </w:t>
            </w:r>
            <w:r w:rsidRPr="00E03613">
              <w:rPr>
                <w:sz w:val="20"/>
                <w:szCs w:val="20"/>
              </w:rPr>
              <w:t>преимущественно у пациентов, получающих сопутствующую терапию ингибиторами АПФ</w:t>
            </w:r>
          </w:p>
          <w:p w14:paraId="53EBB13B" w14:textId="77777777" w:rsidR="002608A1" w:rsidRPr="00E03613" w:rsidRDefault="002608A1" w:rsidP="008A7500">
            <w:pPr>
              <w:pStyle w:val="Default"/>
              <w:rPr>
                <w:sz w:val="20"/>
                <w:szCs w:val="20"/>
              </w:rPr>
            </w:pPr>
            <w:r w:rsidRPr="00E03613">
              <w:rPr>
                <w:sz w:val="20"/>
                <w:szCs w:val="20"/>
              </w:rPr>
              <w:t>7 при пересадке почки</w:t>
            </w:r>
          </w:p>
          <w:p w14:paraId="5AF92B3A" w14:textId="13FB1248" w:rsidR="002608A1" w:rsidRPr="00C24B3F" w:rsidRDefault="002608A1" w:rsidP="008A7500">
            <w:pPr>
              <w:spacing w:after="0" w:line="240" w:lineRule="auto"/>
              <w:jc w:val="left"/>
              <w:rPr>
                <w:rFonts w:eastAsia="Times New Roman"/>
                <w:color w:val="000000"/>
                <w:lang w:eastAsia="ru-RU"/>
              </w:rPr>
            </w:pPr>
            <w:r w:rsidRPr="00E03613">
              <w:rPr>
                <w:sz w:val="20"/>
                <w:szCs w:val="20"/>
              </w:rPr>
              <w:t>8</w:t>
            </w:r>
            <w:r>
              <w:rPr>
                <w:sz w:val="20"/>
                <w:szCs w:val="20"/>
              </w:rPr>
              <w:t xml:space="preserve"> </w:t>
            </w:r>
            <w:r w:rsidRPr="00E03613">
              <w:rPr>
                <w:sz w:val="20"/>
                <w:szCs w:val="20"/>
                <w:lang w:val="en-US"/>
              </w:rPr>
              <w:t>γ</w:t>
            </w:r>
            <w:r>
              <w:rPr>
                <w:sz w:val="20"/>
                <w:szCs w:val="20"/>
              </w:rPr>
              <w:t>-ГТ, АСТ, АЛТ</w:t>
            </w:r>
          </w:p>
        </w:tc>
      </w:tr>
    </w:tbl>
    <w:p w14:paraId="69FF39FE" w14:textId="3CED1022" w:rsidR="00711874" w:rsidRDefault="00711874" w:rsidP="00D133AE">
      <w:pPr>
        <w:pStyle w:val="Default"/>
        <w:contextualSpacing/>
        <w:rPr>
          <w:sz w:val="20"/>
          <w:szCs w:val="20"/>
        </w:rPr>
      </w:pPr>
    </w:p>
    <w:p w14:paraId="3A277A31" w14:textId="77777777" w:rsidR="00D133AE" w:rsidRPr="00D133AE" w:rsidRDefault="00D133AE" w:rsidP="00D133AE">
      <w:pPr>
        <w:pStyle w:val="Default"/>
        <w:contextualSpacing/>
        <w:rPr>
          <w:sz w:val="20"/>
          <w:szCs w:val="20"/>
        </w:rPr>
      </w:pPr>
    </w:p>
    <w:p w14:paraId="7F60A481" w14:textId="77777777" w:rsidR="00711874" w:rsidRPr="00E03613" w:rsidRDefault="00711874" w:rsidP="00711874">
      <w:pPr>
        <w:pStyle w:val="Default"/>
        <w:ind w:firstLine="709"/>
        <w:contextualSpacing/>
        <w:jc w:val="both"/>
      </w:pPr>
      <w:r w:rsidRPr="00E03613">
        <w:t xml:space="preserve">Поскольку доклинические токсикологические исследования показали, что эверолимус может снижать сперматогенез, мужское бесплодие следует рассматривать как потенциальный риск длительной терапии </w:t>
      </w:r>
      <w:r>
        <w:t>эверолимус</w:t>
      </w:r>
      <w:r w:rsidRPr="00E03613">
        <w:t xml:space="preserve">ом. Имеются литературные сообщения об обратимой азооспермии и олигоспермии у пациентов, получавших ингибиторы </w:t>
      </w:r>
      <w:r w:rsidRPr="00E03613">
        <w:rPr>
          <w:lang w:val="en-US"/>
        </w:rPr>
        <w:t>mTOR</w:t>
      </w:r>
      <w:r w:rsidRPr="00E03613">
        <w:t>.</w:t>
      </w:r>
    </w:p>
    <w:p w14:paraId="3993E3E5" w14:textId="77777777" w:rsidR="00711874" w:rsidRPr="00E03613" w:rsidRDefault="00711874" w:rsidP="00711874">
      <w:pPr>
        <w:pStyle w:val="Default"/>
        <w:ind w:firstLine="709"/>
        <w:contextualSpacing/>
        <w:jc w:val="both"/>
      </w:pPr>
      <w:r w:rsidRPr="00E03613">
        <w:t xml:space="preserve">В контролируемых клинических исследованиях, в которых 3256 пациентов, получавших </w:t>
      </w:r>
      <w:r>
        <w:t>эверолимус</w:t>
      </w:r>
      <w:r w:rsidRPr="00E03613">
        <w:t xml:space="preserve"> в комбинации с другими иммунодепрессантами, находились под наблюдением в течение как минимум 1 года, в общей сложности у 3,1% развились злокачественные новообразования, у 1,0% — злокачественные новообразования кожи и у 0,60% — лимфомы или лимфопролиферативные заболевания.</w:t>
      </w:r>
    </w:p>
    <w:p w14:paraId="799AABC5" w14:textId="77777777" w:rsidR="00711874" w:rsidRPr="00F00B04" w:rsidRDefault="00711874" w:rsidP="00711874">
      <w:pPr>
        <w:pStyle w:val="Default"/>
        <w:ind w:firstLine="709"/>
        <w:contextualSpacing/>
        <w:jc w:val="both"/>
      </w:pPr>
      <w:r w:rsidRPr="00E03613">
        <w:t xml:space="preserve">Случаи интерстициального заболевания легких, предполагающие внутрипаренхиматозное воспаление легких (пневмонит) и/или фиброз неинфекционной этиологии, в том числе с летальным исходом, наблюдались у пациентов, получавших рапамицин и </w:t>
      </w:r>
      <w:r>
        <w:t xml:space="preserve">его </w:t>
      </w:r>
      <w:r w:rsidRPr="00E03613">
        <w:t xml:space="preserve">производные, включая </w:t>
      </w:r>
      <w:r>
        <w:t>эверолимус</w:t>
      </w:r>
      <w:r w:rsidRPr="00E03613">
        <w:t xml:space="preserve">. В большинстве случаев состояние разрешается после отмены </w:t>
      </w:r>
      <w:r>
        <w:t>эверолимус</w:t>
      </w:r>
      <w:r w:rsidRPr="00E03613">
        <w:t>а и/или добавление глюкокортикоидов. О</w:t>
      </w:r>
      <w:r>
        <w:t>днако были и смертельные случаи</w:t>
      </w:r>
      <w:r w:rsidRPr="00F00B04">
        <w:t xml:space="preserve"> [3].</w:t>
      </w:r>
    </w:p>
    <w:p w14:paraId="3DBC8DC4" w14:textId="77777777" w:rsidR="00711874" w:rsidRDefault="00711874" w:rsidP="00711874">
      <w:pPr>
        <w:pStyle w:val="Default"/>
        <w:ind w:firstLine="709"/>
        <w:contextualSpacing/>
        <w:jc w:val="both"/>
      </w:pPr>
    </w:p>
    <w:p w14:paraId="059772F2" w14:textId="77777777" w:rsidR="00711874" w:rsidRPr="008A7500" w:rsidRDefault="00711874" w:rsidP="008A7500">
      <w:pPr>
        <w:spacing w:after="0" w:line="240" w:lineRule="auto"/>
        <w:rPr>
          <w:b/>
          <w:bCs/>
        </w:rPr>
      </w:pPr>
      <w:r w:rsidRPr="008A7500">
        <w:rPr>
          <w:b/>
          <w:bCs/>
        </w:rPr>
        <w:t>Дети</w:t>
      </w:r>
    </w:p>
    <w:p w14:paraId="645878A7" w14:textId="77777777" w:rsidR="008A7500" w:rsidRDefault="008A7500" w:rsidP="0071249E">
      <w:pPr>
        <w:pStyle w:val="Default"/>
        <w:ind w:firstLine="709"/>
        <w:contextualSpacing/>
        <w:jc w:val="both"/>
      </w:pPr>
    </w:p>
    <w:p w14:paraId="1E21601E" w14:textId="7BC58A52" w:rsidR="00711874" w:rsidRDefault="00711874" w:rsidP="008A7500">
      <w:pPr>
        <w:pStyle w:val="Default"/>
        <w:ind w:firstLine="709"/>
        <w:jc w:val="both"/>
      </w:pPr>
      <w:r w:rsidRPr="00E03613">
        <w:t>Информация о безопасности у детей и подростков основана на данных</w:t>
      </w:r>
      <w:r>
        <w:t xml:space="preserve"> наблюдения в исследовании длительностью</w:t>
      </w:r>
      <w:r w:rsidRPr="00E03613">
        <w:t xml:space="preserve"> 36 месяцев у пациентов с почечной трансплантацией и </w:t>
      </w:r>
      <w:r>
        <w:t>в исследовании длительностью 24 месяца</w:t>
      </w:r>
      <w:r w:rsidRPr="00E03613">
        <w:t xml:space="preserve"> у детей с трансплантацией печени (см. раздел </w:t>
      </w:r>
      <w:r>
        <w:t xml:space="preserve">4.2.1.4) </w:t>
      </w:r>
      <w:r w:rsidRPr="00D3106C">
        <w:t>[3]</w:t>
      </w:r>
    </w:p>
    <w:p w14:paraId="01712D34" w14:textId="77777777" w:rsidR="00711874" w:rsidRPr="00F00B04" w:rsidRDefault="00711874" w:rsidP="008A7500">
      <w:pPr>
        <w:shd w:val="clear" w:color="auto" w:fill="FFFFFF"/>
        <w:spacing w:after="0" w:line="240" w:lineRule="auto"/>
        <w:ind w:firstLine="709"/>
        <w:rPr>
          <w:rFonts w:eastAsia="Times New Roman"/>
          <w:color w:val="000000"/>
          <w:lang w:eastAsia="ru-RU"/>
        </w:rPr>
      </w:pPr>
      <w:r w:rsidRPr="00F00B04">
        <w:rPr>
          <w:rFonts w:eastAsia="Times New Roman"/>
          <w:color w:val="000000"/>
          <w:lang w:eastAsia="ru-RU"/>
        </w:rPr>
        <w:t xml:space="preserve">У детей, получивших аллотрансплантат почки (возраст 1-18 лет; n=106), эффективность и безопасность эверолимуса оценивали в ходе 12-месячного исследования с дополнительным периодом последующего наблюдения в течение 24 месяцев. В этом многоцентровом рандомизированном открытом исследовании с двумя параллельными группами (1:1) оценивали применение эверолимуса в комбинации с такролимусом в сниженной дозе и отменой кортикостероидов через 6 месяцев после трансплантации по сравнению с микофенолата мофетилом в сочетании с такролимусом в стандартной дозе. </w:t>
      </w:r>
    </w:p>
    <w:p w14:paraId="6DDFD03F" w14:textId="77777777" w:rsidR="00711874" w:rsidRPr="00F00B04" w:rsidRDefault="00711874" w:rsidP="008A7500">
      <w:pPr>
        <w:shd w:val="clear" w:color="auto" w:fill="FFFFFF"/>
        <w:spacing w:after="0" w:line="240" w:lineRule="auto"/>
        <w:ind w:firstLine="709"/>
        <w:rPr>
          <w:rFonts w:eastAsia="Times New Roman"/>
          <w:color w:val="000000"/>
          <w:lang w:eastAsia="ru-RU"/>
        </w:rPr>
      </w:pPr>
      <w:r w:rsidRPr="00F00B04">
        <w:rPr>
          <w:rFonts w:eastAsia="Times New Roman"/>
          <w:color w:val="000000"/>
          <w:lang w:eastAsia="ru-RU"/>
        </w:rPr>
        <w:t>В общей сложности у 35 % (18/52) пациентов в группе препарата эверолимуса и у 17 % (9/54) в контрольной группе исследуемая терапия была отменена из-за развития НЯ/инфекций. В группе, получавшей эверолимус с пониженной дозой такролимуса, у двух пациентов было зарегистрировано посттрансплантационное лимфопролиферативное заболевание, у одного пациента - печеночно-клеточный рак.</w:t>
      </w:r>
    </w:p>
    <w:p w14:paraId="3E44EF1C" w14:textId="0E7CAA22" w:rsidR="00711874" w:rsidRDefault="00711874" w:rsidP="008A7500">
      <w:pPr>
        <w:shd w:val="clear" w:color="auto" w:fill="FFFFFF"/>
        <w:spacing w:after="0" w:line="240" w:lineRule="auto"/>
        <w:ind w:firstLine="709"/>
        <w:rPr>
          <w:rFonts w:eastAsia="Times New Roman"/>
          <w:color w:val="000000"/>
          <w:lang w:eastAsia="ru-RU"/>
        </w:rPr>
      </w:pPr>
      <w:r w:rsidRPr="00F00B04">
        <w:rPr>
          <w:rFonts w:eastAsia="Times New Roman"/>
          <w:color w:val="000000"/>
          <w:lang w:eastAsia="ru-RU"/>
        </w:rPr>
        <w:t>У детей-реципиентов трансплантата печени (возраст от 1 месяца до 18 лет; n=56), получавших полноразмерный аллотрансплантат печени либо технически модифицированный аллотрансплантат печени от умершего или живого донора, в 24-месячном многоцентровом исследовании с одной группой оценивали эффективность и безопасность эверолимуса со сниженной дозой такролимуса или циклоспорина. Улучшение функции почек, измеряемое по увеличению средней расчетной скорости клубочковой фильтрации (рСКФ) с момента рандомизации до 12 месяцев, составило 6,3 мл/мин/1,73 м</w:t>
      </w:r>
      <w:r w:rsidRPr="00F00B04">
        <w:rPr>
          <w:rFonts w:eastAsia="Times New Roman"/>
          <w:color w:val="000000"/>
          <w:vertAlign w:val="superscript"/>
          <w:lang w:eastAsia="ru-RU"/>
        </w:rPr>
        <w:t>2</w:t>
      </w:r>
      <w:r w:rsidRPr="00F00B04">
        <w:rPr>
          <w:rFonts w:eastAsia="Times New Roman"/>
          <w:color w:val="000000"/>
          <w:lang w:eastAsia="ru-RU"/>
        </w:rPr>
        <w:t>. Улучшение функции почек также наблюдалось через 24 месяца с увеличением средней рСКФ относительно исходного уровня в 4,5 мл/мин/1,73 м</w:t>
      </w:r>
      <w:r w:rsidRPr="00F00B04">
        <w:rPr>
          <w:rFonts w:eastAsia="Times New Roman"/>
          <w:color w:val="000000"/>
          <w:vertAlign w:val="superscript"/>
          <w:lang w:eastAsia="ru-RU"/>
        </w:rPr>
        <w:t>2</w:t>
      </w:r>
      <w:r w:rsidRPr="00F00B04">
        <w:rPr>
          <w:rFonts w:eastAsia="Times New Roman"/>
          <w:color w:val="000000"/>
          <w:lang w:eastAsia="ru-RU"/>
        </w:rPr>
        <w:t>.</w:t>
      </w:r>
    </w:p>
    <w:p w14:paraId="7595CB87" w14:textId="77777777" w:rsidR="00711874" w:rsidRPr="00F00B04" w:rsidRDefault="00711874" w:rsidP="008A7500">
      <w:pPr>
        <w:keepNext/>
        <w:keepLines/>
        <w:shd w:val="clear" w:color="auto" w:fill="FFFFFF"/>
        <w:spacing w:after="0" w:line="240" w:lineRule="auto"/>
        <w:ind w:firstLine="709"/>
        <w:rPr>
          <w:rFonts w:eastAsia="Times New Roman"/>
          <w:color w:val="000000"/>
          <w:lang w:eastAsia="ru-RU"/>
        </w:rPr>
      </w:pPr>
      <w:r w:rsidRPr="00F00B04">
        <w:rPr>
          <w:rFonts w:eastAsia="Times New Roman"/>
          <w:color w:val="000000"/>
          <w:lang w:eastAsia="ru-RU"/>
        </w:rPr>
        <w:t>У детей, получавших трансплантат печени, отрицательного влияния на рост или половое созревание не наблюдалось. Однако в результате анализа безопасности у детей-реципиентов трансплантата печени по сравнению со взрослыми и опубликованными литературными данными были выявлены три основные проблемы безопасности: высокие показатели досрочного прекращения применения исследуемого препарата, серьезные инфекции, приводящие к госпитализации, и пострансплантационные лимфопролиферативные заболевания. Показатели заболеваемости пострансплантационными лимфопролиферативными заболеваними в возрастной группе от 2 до &lt; 18 лет и особенно у детей в возрасте до 2 лет с отсутствием EBV, были выше по сравнению со взрослыми и опубликованной литературой. Исходя из данных по безопасности, соотношение «польза-риск» не свидетельствует в пользу применения эверолимуса у детей [3].</w:t>
      </w:r>
    </w:p>
    <w:p w14:paraId="0EADE964" w14:textId="3DF41508" w:rsidR="00711874" w:rsidRDefault="002817E3" w:rsidP="00711874">
      <w:pPr>
        <w:pStyle w:val="4"/>
        <w:spacing w:after="240" w:line="240" w:lineRule="auto"/>
        <w:contextualSpacing/>
        <w:rPr>
          <w:rFonts w:ascii="Times New Roman" w:hAnsi="Times New Roman"/>
          <w:sz w:val="24"/>
          <w:szCs w:val="24"/>
        </w:rPr>
      </w:pPr>
      <w:bookmarkStart w:id="335" w:name="_Toc112226901"/>
      <w:bookmarkStart w:id="336" w:name="_Toc118124219"/>
      <w:bookmarkStart w:id="337" w:name="_Toc119313785"/>
      <w:r>
        <w:rPr>
          <w:rFonts w:ascii="Times New Roman" w:hAnsi="Times New Roman"/>
          <w:sz w:val="24"/>
          <w:szCs w:val="24"/>
        </w:rPr>
        <w:t>4.2</w:t>
      </w:r>
      <w:r w:rsidR="00711874" w:rsidRPr="001A646C">
        <w:rPr>
          <w:rFonts w:ascii="Times New Roman" w:hAnsi="Times New Roman"/>
          <w:sz w:val="24"/>
          <w:szCs w:val="24"/>
        </w:rPr>
        <w:t xml:space="preserve">.2.4. Серьезные нежелательные явления, летальные </w:t>
      </w:r>
      <w:bookmarkEnd w:id="334"/>
      <w:r w:rsidR="00711874" w:rsidRPr="001A646C">
        <w:rPr>
          <w:rFonts w:ascii="Times New Roman" w:hAnsi="Times New Roman"/>
          <w:sz w:val="24"/>
          <w:szCs w:val="24"/>
        </w:rPr>
        <w:t>исходы и нежелательные явления, представляющие особый интерес</w:t>
      </w:r>
      <w:bookmarkEnd w:id="335"/>
      <w:bookmarkEnd w:id="336"/>
      <w:bookmarkEnd w:id="337"/>
    </w:p>
    <w:p w14:paraId="40DF51A8" w14:textId="77777777" w:rsidR="00711874" w:rsidRPr="001A646C" w:rsidRDefault="00711874" w:rsidP="008A7500">
      <w:pPr>
        <w:pStyle w:val="Default"/>
        <w:rPr>
          <w:b/>
          <w:i/>
        </w:rPr>
      </w:pPr>
      <w:r w:rsidRPr="00FE110E">
        <w:rPr>
          <w:b/>
          <w:i/>
        </w:rPr>
        <w:t>Риски, связанные с иммуносупрессией</w:t>
      </w:r>
    </w:p>
    <w:p w14:paraId="524C79F0" w14:textId="77777777" w:rsidR="00711874" w:rsidRPr="00F22A74" w:rsidRDefault="00711874" w:rsidP="008A7500">
      <w:pPr>
        <w:pStyle w:val="Default"/>
        <w:ind w:firstLine="709"/>
        <w:jc w:val="both"/>
      </w:pPr>
      <w:r w:rsidRPr="00E03613">
        <w:t xml:space="preserve">В клинических исследованиях </w:t>
      </w:r>
      <w:r>
        <w:t>эверолимус</w:t>
      </w:r>
      <w:r w:rsidRPr="00E03613">
        <w:t xml:space="preserve"> применяли одновременно с циклоспорином в виде микроэмульсии, базиликсимабом или виттакролимусом и кортикостероидами. </w:t>
      </w:r>
      <w:r w:rsidRPr="00F22A74">
        <w:t xml:space="preserve">Комбинация </w:t>
      </w:r>
      <w:r>
        <w:t>э</w:t>
      </w:r>
      <w:r w:rsidRPr="00F22A74">
        <w:t>веролимуса с другими иммунодепрессантами не исследовалась должным образом.</w:t>
      </w:r>
    </w:p>
    <w:p w14:paraId="5AEED935" w14:textId="77777777" w:rsidR="00711874" w:rsidRPr="00E03613" w:rsidRDefault="00711874" w:rsidP="008A7500">
      <w:pPr>
        <w:pStyle w:val="Default"/>
        <w:ind w:firstLine="709"/>
        <w:jc w:val="both"/>
      </w:pPr>
      <w:r>
        <w:t>Эверолимус</w:t>
      </w:r>
      <w:r w:rsidRPr="00E03613">
        <w:t xml:space="preserve"> недостаточно изучен у пациентов с высоким иммунологическим риском.</w:t>
      </w:r>
    </w:p>
    <w:p w14:paraId="180FAB1C" w14:textId="77777777" w:rsidR="00711874" w:rsidRPr="00E03613" w:rsidRDefault="00711874" w:rsidP="008A7500">
      <w:pPr>
        <w:pStyle w:val="Default"/>
        <w:ind w:firstLine="709"/>
      </w:pPr>
    </w:p>
    <w:p w14:paraId="2C241762" w14:textId="77777777" w:rsidR="00711874" w:rsidRPr="007C7811" w:rsidRDefault="00711874" w:rsidP="008A7500">
      <w:pPr>
        <w:pStyle w:val="Default"/>
        <w:rPr>
          <w:b/>
          <w:i/>
        </w:rPr>
      </w:pPr>
      <w:r>
        <w:rPr>
          <w:b/>
          <w:i/>
        </w:rPr>
        <w:t>Риски, связанные с комбинацией эверолимуса и индукции</w:t>
      </w:r>
      <w:r w:rsidRPr="00FE110E">
        <w:rPr>
          <w:b/>
          <w:i/>
        </w:rPr>
        <w:t xml:space="preserve"> тимоглобулином</w:t>
      </w:r>
    </w:p>
    <w:p w14:paraId="7FA1C5A4" w14:textId="0EF2189A" w:rsidR="00711874" w:rsidRPr="00E03613" w:rsidRDefault="00711874" w:rsidP="008A7500">
      <w:pPr>
        <w:pStyle w:val="Default"/>
        <w:ind w:firstLine="709"/>
        <w:jc w:val="both"/>
      </w:pPr>
      <w:r w:rsidRPr="00FE110E">
        <w:t xml:space="preserve">Рекомендуется соблюдать осторожность при использовании индукции тимоглобулина (кроличьего антитимоцитарного глобулина) и схемы эверолимус/циклоспорин/стероиды. В клиническом исследовании A2310 с </w:t>
      </w:r>
      <w:r>
        <w:t>участием реципиентов сердца</w:t>
      </w:r>
      <w:r w:rsidRPr="00FE110E">
        <w:t xml:space="preserve"> в течение первых трех месяцев наблюдалось увеличение частоты серьезных инфекций, включая смертельные инфекции.</w:t>
      </w:r>
    </w:p>
    <w:p w14:paraId="7C2829DF" w14:textId="77777777" w:rsidR="00711874" w:rsidRPr="00E03613" w:rsidRDefault="00711874" w:rsidP="008A7500">
      <w:pPr>
        <w:pStyle w:val="Default"/>
        <w:ind w:firstLine="709"/>
      </w:pPr>
    </w:p>
    <w:p w14:paraId="2BDB559C" w14:textId="77777777" w:rsidR="00711874" w:rsidRPr="001A646C" w:rsidRDefault="00711874" w:rsidP="008A7500">
      <w:pPr>
        <w:pStyle w:val="Default"/>
        <w:rPr>
          <w:b/>
          <w:i/>
        </w:rPr>
      </w:pPr>
      <w:r w:rsidRPr="00FE110E">
        <w:rPr>
          <w:b/>
          <w:i/>
        </w:rPr>
        <w:t>Серьезные и оппортунистические инфекции</w:t>
      </w:r>
    </w:p>
    <w:p w14:paraId="1870166B" w14:textId="77777777" w:rsidR="00711874" w:rsidRPr="00E03613" w:rsidRDefault="00711874" w:rsidP="008A7500">
      <w:pPr>
        <w:pStyle w:val="Default"/>
        <w:ind w:firstLine="709"/>
        <w:jc w:val="both"/>
      </w:pPr>
      <w:r w:rsidRPr="00E03613">
        <w:t xml:space="preserve">Пациенты, получающие иммунодепрессанты, включая </w:t>
      </w:r>
      <w:r>
        <w:t>эверолимус</w:t>
      </w:r>
      <w:r w:rsidRPr="00E03613">
        <w:t xml:space="preserve">, подвержены повышенному риску оппортунистических инфекций (бактериальных, грибковых, вирусных и протозойных). Среди этих состояний — нефропатия, ассоциированная с вирусом </w:t>
      </w:r>
      <w:r w:rsidRPr="00E03613">
        <w:rPr>
          <w:lang w:val="en-US"/>
        </w:rPr>
        <w:t>BK</w:t>
      </w:r>
      <w:r w:rsidRPr="00E03613">
        <w:t xml:space="preserve">, и прогрессирующая множественная лейкоэнцефалопатия (ПМЛ), ассоциированная с </w:t>
      </w:r>
      <w:r w:rsidRPr="00E03613">
        <w:rPr>
          <w:lang w:val="en-US"/>
        </w:rPr>
        <w:t>JC</w:t>
      </w:r>
      <w:r w:rsidRPr="00E03613">
        <w:t xml:space="preserve">-вирусом. Эти инфекции часто связаны с высоким общим иммуносупрессивным </w:t>
      </w:r>
      <w:r>
        <w:t>эффектом</w:t>
      </w:r>
      <w:r w:rsidRPr="00E03613">
        <w:t xml:space="preserve"> и могут привести к серьезным или фатальным состояниям, которые врачи должны учитывать при дифференциальной диагностике у пациентов с иммуносупрессией с ухудшением функции почек или неврологическими симптомами. Сообщалось о смертельных случаях инфекции и сепсиса у пациентов, получавших </w:t>
      </w:r>
      <w:r>
        <w:t>эверолимус.</w:t>
      </w:r>
    </w:p>
    <w:p w14:paraId="1F18CB0F" w14:textId="77777777" w:rsidR="00711874" w:rsidRPr="00E03613" w:rsidRDefault="00711874" w:rsidP="008A7500">
      <w:pPr>
        <w:pStyle w:val="Default"/>
        <w:ind w:firstLine="709"/>
        <w:jc w:val="both"/>
      </w:pPr>
      <w:r w:rsidRPr="00E03613">
        <w:t xml:space="preserve">В клинических исследованиях </w:t>
      </w:r>
      <w:r>
        <w:t>эверолимус</w:t>
      </w:r>
      <w:r w:rsidRPr="00E03613">
        <w:t xml:space="preserve">а после трансплантации рекомендовалась антимикробная профилактика пневмоцистной пневмонии </w:t>
      </w:r>
      <w:r w:rsidRPr="003E7920">
        <w:rPr>
          <w:i/>
          <w:lang w:val="en-US"/>
        </w:rPr>
        <w:t>Pneumocystis</w:t>
      </w:r>
      <w:r w:rsidRPr="003E7920">
        <w:rPr>
          <w:i/>
        </w:rPr>
        <w:t xml:space="preserve"> </w:t>
      </w:r>
      <w:r w:rsidRPr="003E7920">
        <w:rPr>
          <w:i/>
          <w:lang w:val="en-US"/>
        </w:rPr>
        <w:t>jiroveci</w:t>
      </w:r>
      <w:r w:rsidRPr="003E7920">
        <w:rPr>
          <w:i/>
        </w:rPr>
        <w:t xml:space="preserve"> (</w:t>
      </w:r>
      <w:r w:rsidRPr="003E7920">
        <w:rPr>
          <w:i/>
          <w:lang w:val="en-US"/>
        </w:rPr>
        <w:t>carinii</w:t>
      </w:r>
      <w:r w:rsidRPr="003E7920">
        <w:rPr>
          <w:i/>
        </w:rPr>
        <w:t>)</w:t>
      </w:r>
      <w:r w:rsidRPr="00E03613">
        <w:t xml:space="preserve"> и цитомегаловируса (ЦМВ), особенно у пациентов с повышенным риском оппортунистических инфекций.</w:t>
      </w:r>
    </w:p>
    <w:p w14:paraId="1532BD2B" w14:textId="77777777" w:rsidR="00711874" w:rsidRPr="00FE110E" w:rsidRDefault="00711874" w:rsidP="008A7500">
      <w:pPr>
        <w:pStyle w:val="Default"/>
        <w:ind w:firstLine="709"/>
        <w:rPr>
          <w:b/>
          <w:i/>
        </w:rPr>
      </w:pPr>
    </w:p>
    <w:p w14:paraId="568FCF5F" w14:textId="77777777" w:rsidR="00711874" w:rsidRPr="001A646C" w:rsidRDefault="00711874" w:rsidP="008A7500">
      <w:pPr>
        <w:pStyle w:val="Default"/>
        <w:rPr>
          <w:b/>
          <w:i/>
        </w:rPr>
      </w:pPr>
      <w:r w:rsidRPr="00FE110E">
        <w:rPr>
          <w:b/>
          <w:i/>
        </w:rPr>
        <w:t>Нарушение функции печени</w:t>
      </w:r>
    </w:p>
    <w:p w14:paraId="6613448E" w14:textId="77777777" w:rsidR="00711874" w:rsidRPr="00E03613" w:rsidRDefault="00711874" w:rsidP="008A7500">
      <w:pPr>
        <w:pStyle w:val="Default"/>
        <w:ind w:firstLine="709"/>
        <w:jc w:val="both"/>
      </w:pPr>
      <w:r w:rsidRPr="00E03613">
        <w:t>Пациентам с нарушением функции печени рекомендуется тщательный мониторинг минимальных концентрац</w:t>
      </w:r>
      <w:r>
        <w:t>ий эверолимуса в цельной крови</w:t>
      </w:r>
      <w:r w:rsidRPr="00E03613">
        <w:t xml:space="preserve"> и коррекция д</w:t>
      </w:r>
      <w:r>
        <w:t>озы эверолимуса</w:t>
      </w:r>
      <w:r w:rsidRPr="00E03613">
        <w:t>.</w:t>
      </w:r>
    </w:p>
    <w:p w14:paraId="0C39DBA6" w14:textId="77777777" w:rsidR="00711874" w:rsidRPr="00E03613" w:rsidRDefault="00711874" w:rsidP="008A7500">
      <w:pPr>
        <w:pStyle w:val="Default"/>
        <w:ind w:firstLine="709"/>
        <w:jc w:val="both"/>
      </w:pPr>
      <w:r w:rsidRPr="00E03613">
        <w:t>Из-за более длительного периода полувыведения эверолимуса у пациентов с печеночной н</w:t>
      </w:r>
      <w:r>
        <w:t>едостаточностью,</w:t>
      </w:r>
      <w:r w:rsidRPr="00E03613">
        <w:t xml:space="preserve"> терапевтический мониторинг эверолимуса после начала лечения или после коррекции дозы следует проводить до тех пор, пока не будут достигнуты стабильные концентрации.</w:t>
      </w:r>
    </w:p>
    <w:p w14:paraId="22AC1D8A" w14:textId="77777777" w:rsidR="00711874" w:rsidRPr="00E03613" w:rsidRDefault="00711874" w:rsidP="008A7500">
      <w:pPr>
        <w:pStyle w:val="Default"/>
      </w:pPr>
    </w:p>
    <w:p w14:paraId="3FF5ED62" w14:textId="77777777" w:rsidR="00711874" w:rsidRPr="007C7811" w:rsidRDefault="00711874" w:rsidP="008A7500">
      <w:pPr>
        <w:pStyle w:val="Default"/>
        <w:rPr>
          <w:b/>
          <w:i/>
        </w:rPr>
      </w:pPr>
      <w:r w:rsidRPr="007C7811">
        <w:rPr>
          <w:b/>
          <w:i/>
        </w:rPr>
        <w:t>Лимфомы и другие злокачественные новообразования</w:t>
      </w:r>
    </w:p>
    <w:p w14:paraId="58A08F8F" w14:textId="77777777" w:rsidR="00711874" w:rsidRPr="00E03613" w:rsidRDefault="00711874" w:rsidP="008A7500">
      <w:pPr>
        <w:pStyle w:val="Default"/>
        <w:ind w:firstLine="709"/>
        <w:jc w:val="both"/>
      </w:pPr>
      <w:r w:rsidRPr="00E03613">
        <w:t xml:space="preserve">Пациенты, получающие лечение иммунодепрессантами, включая </w:t>
      </w:r>
      <w:r>
        <w:t>эверолимус</w:t>
      </w:r>
      <w:r w:rsidRPr="00E03613">
        <w:t>, подвержены повышенному риску развития лимфомы или других злокачественных</w:t>
      </w:r>
      <w:r>
        <w:t xml:space="preserve"> новообразований, особенно кожи</w:t>
      </w:r>
      <w:r w:rsidRPr="00E03613">
        <w:t>. Абсолютный риск, по-видимому, связан с продолжительностью и интенсивностью иммуносупрессии, а не с применением конкретного лекарственного средства. Пациентов следует регулярно обследовать на наличие новообразований кожи и рекомендовать свести к минимуму воздействие УФ-излучения и солнечного света, а также использовать соответствующие солнцезащитные средства.</w:t>
      </w:r>
    </w:p>
    <w:p w14:paraId="22B03B51" w14:textId="77777777" w:rsidR="00711874" w:rsidRPr="00E03613" w:rsidRDefault="00711874" w:rsidP="008A7500">
      <w:pPr>
        <w:pStyle w:val="Default"/>
      </w:pPr>
    </w:p>
    <w:p w14:paraId="5DE04826" w14:textId="77777777" w:rsidR="00711874" w:rsidRPr="007C7811" w:rsidRDefault="00711874" w:rsidP="008A7500">
      <w:pPr>
        <w:pStyle w:val="Default"/>
        <w:rPr>
          <w:b/>
          <w:i/>
        </w:rPr>
      </w:pPr>
      <w:r w:rsidRPr="007C7811">
        <w:rPr>
          <w:b/>
          <w:i/>
        </w:rPr>
        <w:t>Ангионевротический отек</w:t>
      </w:r>
    </w:p>
    <w:p w14:paraId="003CBCB7" w14:textId="77777777" w:rsidR="00711874" w:rsidRPr="00007562" w:rsidRDefault="00711874" w:rsidP="008A7500">
      <w:pPr>
        <w:pStyle w:val="Default"/>
        <w:ind w:firstLine="709"/>
        <w:jc w:val="both"/>
      </w:pPr>
      <w:r>
        <w:t>Эверолимус</w:t>
      </w:r>
      <w:r w:rsidRPr="00E03613">
        <w:t xml:space="preserve"> был связан с развитием ангионевротического отека. В большинстве зарегистрированных случаев пациенты получали ингибиторы АПФ в качестве сопутствующей терапии.</w:t>
      </w:r>
    </w:p>
    <w:p w14:paraId="352062F7" w14:textId="77777777" w:rsidR="00711874" w:rsidRDefault="00711874" w:rsidP="008A7500">
      <w:pPr>
        <w:pStyle w:val="Default"/>
      </w:pPr>
    </w:p>
    <w:p w14:paraId="36817732" w14:textId="77777777" w:rsidR="00711874" w:rsidRPr="007C7811" w:rsidRDefault="00711874" w:rsidP="008A7500">
      <w:pPr>
        <w:pStyle w:val="Default"/>
        <w:rPr>
          <w:b/>
          <w:i/>
        </w:rPr>
      </w:pPr>
      <w:r w:rsidRPr="007C7811">
        <w:rPr>
          <w:b/>
          <w:i/>
        </w:rPr>
        <w:t>Нарушение функции почек</w:t>
      </w:r>
    </w:p>
    <w:p w14:paraId="1FC69CBF" w14:textId="77777777" w:rsidR="00711874" w:rsidRPr="00E03613" w:rsidRDefault="00711874" w:rsidP="008A7500">
      <w:pPr>
        <w:pStyle w:val="Default"/>
        <w:ind w:firstLine="709"/>
        <w:jc w:val="both"/>
      </w:pPr>
      <w:r w:rsidRPr="00E03613">
        <w:t xml:space="preserve">В исследовании с трансплантацией печени не было обнаружено, что </w:t>
      </w:r>
      <w:r>
        <w:t>эверолимус в комбинации со сниженной дозой</w:t>
      </w:r>
      <w:r w:rsidRPr="00E03613">
        <w:t xml:space="preserve"> такролимуса ухудшает функцию почек по сравнению со стандартным воздействием такролимуса без </w:t>
      </w:r>
      <w:r>
        <w:t>эверолимус</w:t>
      </w:r>
      <w:r w:rsidRPr="00E03613">
        <w:t>а. Всем пациентам рекомендуется регулярный контроль функции почек. Следует соблюдать осторожность при одновременном применении с другими лекарственными средствами, о которых известно, что они отрицательно влияют на функцию почек.</w:t>
      </w:r>
    </w:p>
    <w:p w14:paraId="21780E3A" w14:textId="77777777" w:rsidR="00711874" w:rsidRPr="007C7811" w:rsidRDefault="00711874" w:rsidP="008A7500">
      <w:pPr>
        <w:pStyle w:val="Default"/>
        <w:rPr>
          <w:b/>
          <w:i/>
        </w:rPr>
      </w:pPr>
    </w:p>
    <w:p w14:paraId="15C67B73" w14:textId="77777777" w:rsidR="00711874" w:rsidRPr="007C7811" w:rsidRDefault="00711874" w:rsidP="008A7500">
      <w:pPr>
        <w:pStyle w:val="Default"/>
        <w:rPr>
          <w:b/>
          <w:i/>
        </w:rPr>
      </w:pPr>
      <w:r w:rsidRPr="007C7811">
        <w:rPr>
          <w:b/>
          <w:i/>
        </w:rPr>
        <w:t>Протеинурия</w:t>
      </w:r>
    </w:p>
    <w:p w14:paraId="7A7A9CFA" w14:textId="77777777" w:rsidR="00711874" w:rsidRDefault="00711874" w:rsidP="008A7500">
      <w:pPr>
        <w:pStyle w:val="Default"/>
        <w:ind w:firstLine="709"/>
        <w:jc w:val="both"/>
      </w:pPr>
      <w:r w:rsidRPr="00E03613">
        <w:t xml:space="preserve">Применение </w:t>
      </w:r>
      <w:r>
        <w:t>эверолимус</w:t>
      </w:r>
      <w:r w:rsidRPr="00E03613">
        <w:t xml:space="preserve">а с ингибиторами кальциневрина у реципиентов трансплантата </w:t>
      </w:r>
      <w:r>
        <w:t xml:space="preserve">почки </w:t>
      </w:r>
      <w:r w:rsidRPr="00E03613">
        <w:t>связано с увеличением протеинур</w:t>
      </w:r>
      <w:r>
        <w:t>ии. Риск увеличивается при</w:t>
      </w:r>
      <w:r w:rsidRPr="00E03613">
        <w:t xml:space="preserve"> высоких концентрациях эверолимуса в крови. У пациентов с трансплантацией почки с легкой протеинурией на фоне поддерживающей иммуносупрессивной терапии, включающей ингибиторы кальциневрина (ИКН), сообщалось об ухудшении протеинурии при замене ингибиторов кальциневрина на </w:t>
      </w:r>
      <w:r>
        <w:t>эверолимус</w:t>
      </w:r>
      <w:r w:rsidRPr="00E03613">
        <w:t xml:space="preserve">. Обратимость наблюдалась при прекращении приема </w:t>
      </w:r>
      <w:r>
        <w:t>эверолимус</w:t>
      </w:r>
      <w:r w:rsidRPr="00E03613">
        <w:t xml:space="preserve">а и повторном введении ИКН. Безопасность и эффективность перехода с ингибиторов кальциневрина на </w:t>
      </w:r>
      <w:r>
        <w:t>эверолимус</w:t>
      </w:r>
      <w:r w:rsidRPr="00E03613">
        <w:t xml:space="preserve"> у таких пациентов не установлены. Пациенты, получающие </w:t>
      </w:r>
      <w:r>
        <w:t>эверолимус</w:t>
      </w:r>
      <w:r w:rsidRPr="00E03613">
        <w:t xml:space="preserve">, должны находиться под наблюдением на предмет </w:t>
      </w:r>
      <w:r>
        <w:t xml:space="preserve">выявления </w:t>
      </w:r>
      <w:r w:rsidRPr="00E03613">
        <w:t>протеинурии.</w:t>
      </w:r>
    </w:p>
    <w:p w14:paraId="4CE5177C" w14:textId="77777777" w:rsidR="00711874" w:rsidRDefault="00711874" w:rsidP="008A7500">
      <w:pPr>
        <w:pStyle w:val="Default"/>
        <w:ind w:firstLine="709"/>
      </w:pPr>
    </w:p>
    <w:p w14:paraId="0BC2C2D9" w14:textId="77777777" w:rsidR="00711874" w:rsidRPr="007C7811" w:rsidRDefault="00711874" w:rsidP="008A7500">
      <w:pPr>
        <w:pStyle w:val="Default"/>
        <w:rPr>
          <w:b/>
          <w:i/>
        </w:rPr>
      </w:pPr>
      <w:r w:rsidRPr="007C7811">
        <w:rPr>
          <w:b/>
          <w:i/>
        </w:rPr>
        <w:t>Почечная дисфункция, вызванная эверолимусом и ингибиторами кальциневрина</w:t>
      </w:r>
    </w:p>
    <w:p w14:paraId="49B9A74B" w14:textId="77777777" w:rsidR="00711874" w:rsidRPr="00E03613" w:rsidRDefault="00711874" w:rsidP="008A7500">
      <w:pPr>
        <w:pStyle w:val="Default"/>
        <w:ind w:firstLine="709"/>
        <w:jc w:val="both"/>
      </w:pPr>
      <w:r w:rsidRPr="00E03613">
        <w:t xml:space="preserve">При трансплантации почек и сердца применение </w:t>
      </w:r>
      <w:r>
        <w:t>эверолимус</w:t>
      </w:r>
      <w:r w:rsidRPr="00E03613">
        <w:t xml:space="preserve">а с полной дозой циклоспорина повышает риск почечной дисфункции. Для применения в комбинации с </w:t>
      </w:r>
      <w:r>
        <w:t>эверолимусом требуются снижение</w:t>
      </w:r>
      <w:r w:rsidRPr="00E03613">
        <w:t xml:space="preserve"> дозы циклоспорина, чтобы избежать нарушения функции почек. У пациентов с повышенным уровнем креатинина в сыворотке следует рассмотреть вопрос о соответствующей коррекции режима иммуносупрессивной терапии, в частности о снижении дозы циклоспорина.</w:t>
      </w:r>
    </w:p>
    <w:p w14:paraId="7253C561" w14:textId="77777777" w:rsidR="00711874" w:rsidRDefault="00711874" w:rsidP="008A7500">
      <w:pPr>
        <w:pStyle w:val="Default"/>
      </w:pPr>
    </w:p>
    <w:p w14:paraId="12C811FA" w14:textId="77777777" w:rsidR="00711874" w:rsidRPr="007C7811" w:rsidRDefault="00711874" w:rsidP="008A7500">
      <w:pPr>
        <w:pStyle w:val="Default"/>
        <w:rPr>
          <w:b/>
          <w:i/>
        </w:rPr>
      </w:pPr>
      <w:r w:rsidRPr="007C7811">
        <w:rPr>
          <w:b/>
          <w:i/>
        </w:rPr>
        <w:t>Тромбоз почечного трансплантата</w:t>
      </w:r>
    </w:p>
    <w:p w14:paraId="20666157" w14:textId="77777777" w:rsidR="00711874" w:rsidRDefault="00711874" w:rsidP="008A7500">
      <w:pPr>
        <w:pStyle w:val="Default"/>
        <w:ind w:firstLine="709"/>
        <w:jc w:val="both"/>
      </w:pPr>
      <w:r w:rsidRPr="00E03613">
        <w:t>Сообщалось о повышенном риске почечного артериального и венозного тромбоза, приводящего к потере трансплантата, в основном в течение первых 30 дней после трансплантации.</w:t>
      </w:r>
    </w:p>
    <w:p w14:paraId="12B0FEF4" w14:textId="77777777" w:rsidR="00711874" w:rsidRDefault="00711874" w:rsidP="008A7500">
      <w:pPr>
        <w:pStyle w:val="Default"/>
        <w:ind w:firstLine="709"/>
      </w:pPr>
    </w:p>
    <w:p w14:paraId="2B31A0E5" w14:textId="77777777" w:rsidR="00711874" w:rsidRPr="007C7811" w:rsidRDefault="00711874" w:rsidP="008A7500">
      <w:pPr>
        <w:pStyle w:val="Default"/>
        <w:rPr>
          <w:b/>
          <w:i/>
        </w:rPr>
      </w:pPr>
      <w:r w:rsidRPr="007C7811">
        <w:rPr>
          <w:b/>
          <w:i/>
        </w:rPr>
        <w:t>Осложнения заживления ран</w:t>
      </w:r>
    </w:p>
    <w:p w14:paraId="29F64B42" w14:textId="77777777" w:rsidR="00711874" w:rsidRPr="00E03613" w:rsidRDefault="00711874" w:rsidP="008A7500">
      <w:pPr>
        <w:pStyle w:val="Default"/>
        <w:ind w:firstLine="709"/>
        <w:jc w:val="both"/>
      </w:pPr>
      <w:r>
        <w:t>Эверолимус</w:t>
      </w:r>
      <w:r w:rsidRPr="00E03613">
        <w:t>, как и другие ингибиторы mTOR, может ухудшить заживление</w:t>
      </w:r>
      <w:r>
        <w:t xml:space="preserve"> ран</w:t>
      </w:r>
      <w:r w:rsidRPr="00E03613">
        <w:t xml:space="preserve">, увеличивая частоту посттрансплантационных осложнений, таких как расхождение швов раны, скопление жидкости и раневая инфекция, которые могут потребовать дальнейшего хирургического вмешательства. Лимфоцеле является наиболее частым таким событием у реципиентов почечного трансплантата и </w:t>
      </w:r>
      <w:r>
        <w:t>чаще встречается у пациентов с</w:t>
      </w:r>
      <w:r w:rsidRPr="00E03613">
        <w:t xml:space="preserve"> высоким индексом массы тела. Частота перикардиального и плеврального выпота увеличивается у реципиентов трансплантата сердца, а частота послеоперационных грыж увеличивается у реципиентов трансплантата печени.</w:t>
      </w:r>
    </w:p>
    <w:p w14:paraId="68B1E330" w14:textId="77777777" w:rsidR="00711874" w:rsidRDefault="00711874" w:rsidP="008A7500">
      <w:pPr>
        <w:pStyle w:val="Default"/>
      </w:pPr>
    </w:p>
    <w:p w14:paraId="0B659BD5" w14:textId="77777777" w:rsidR="00711874" w:rsidRPr="007C7811" w:rsidRDefault="00711874" w:rsidP="008A7500">
      <w:pPr>
        <w:pStyle w:val="Default"/>
        <w:rPr>
          <w:b/>
          <w:i/>
        </w:rPr>
      </w:pPr>
      <w:r w:rsidRPr="007C7811">
        <w:rPr>
          <w:b/>
          <w:i/>
        </w:rPr>
        <w:t>Тромботическая микроангиопатия/тромботическая тромбоцитопеническая пурпура/гемолитический уремический синдром</w:t>
      </w:r>
    </w:p>
    <w:p w14:paraId="5417E35D" w14:textId="77777777" w:rsidR="00711874" w:rsidRPr="00E03613" w:rsidRDefault="00711874" w:rsidP="008A7500">
      <w:pPr>
        <w:pStyle w:val="Default"/>
        <w:ind w:firstLine="709"/>
        <w:jc w:val="both"/>
      </w:pPr>
      <w:r w:rsidRPr="00E03613">
        <w:t xml:space="preserve">Одновременное применение </w:t>
      </w:r>
      <w:r>
        <w:t>Эверолимус</w:t>
      </w:r>
      <w:r w:rsidRPr="00E03613">
        <w:t>а с ингибитором кальциневрина (ИКН) может уве</w:t>
      </w:r>
      <w:r>
        <w:t>личить риск индуцированного ИКН</w:t>
      </w:r>
      <w:r w:rsidRPr="00E03613">
        <w:t xml:space="preserve"> гемолитико-уремического синдрома/тромботической тромбоцитопенической пурпуры/тромботической микроангиопатии.</w:t>
      </w:r>
    </w:p>
    <w:p w14:paraId="337A4E56" w14:textId="77777777" w:rsidR="00711874" w:rsidRDefault="00711874" w:rsidP="008A7500">
      <w:pPr>
        <w:pStyle w:val="Default"/>
      </w:pPr>
    </w:p>
    <w:p w14:paraId="761C1421" w14:textId="77777777" w:rsidR="00711874" w:rsidRPr="007C7811" w:rsidRDefault="00711874" w:rsidP="008A7500">
      <w:pPr>
        <w:pStyle w:val="Default"/>
        <w:rPr>
          <w:b/>
          <w:i/>
        </w:rPr>
      </w:pPr>
      <w:r w:rsidRPr="007C7811">
        <w:rPr>
          <w:b/>
          <w:i/>
        </w:rPr>
        <w:t>Интерстициальное заболевание легких/неинфекционный пневмонит</w:t>
      </w:r>
    </w:p>
    <w:p w14:paraId="2E3D1C7E" w14:textId="77777777" w:rsidR="00711874" w:rsidRPr="00E03613" w:rsidRDefault="00711874" w:rsidP="008A7500">
      <w:pPr>
        <w:pStyle w:val="Default"/>
        <w:ind w:firstLine="709"/>
        <w:jc w:val="both"/>
      </w:pPr>
      <w:r w:rsidRPr="00E03613">
        <w:t xml:space="preserve">Диагноз интерстициального заболевания легких (ИЗЛ) следует рассматривать у пациентов с симптомами, характерными для инфекционной пневмонии, но не отвечающих на антибактериальную терапию, и у которых инфекционные, опухолевые и другие немедикаментозные причины были исключены с помощью соответствующих исследований. Сообщалось о случаях ИЗЛ при применении </w:t>
      </w:r>
      <w:r>
        <w:t>эверолимус</w:t>
      </w:r>
      <w:r w:rsidRPr="00E03613">
        <w:t>а, которые, как правило, проходят после прекращения приема препарата с применением глюкокортикоидов или без них. Однако также имели мест</w:t>
      </w:r>
      <w:r>
        <w:t>о случаи со смертельным исходом.</w:t>
      </w:r>
    </w:p>
    <w:p w14:paraId="797AD3D4" w14:textId="77777777" w:rsidR="00711874" w:rsidRDefault="00711874" w:rsidP="008A7500">
      <w:pPr>
        <w:pStyle w:val="Default"/>
      </w:pPr>
    </w:p>
    <w:p w14:paraId="781D65D9" w14:textId="77777777" w:rsidR="00711874" w:rsidRPr="007C7811" w:rsidRDefault="00711874" w:rsidP="008A7500">
      <w:pPr>
        <w:pStyle w:val="Default"/>
        <w:rPr>
          <w:b/>
          <w:i/>
        </w:rPr>
      </w:pPr>
      <w:r w:rsidRPr="007C7811">
        <w:rPr>
          <w:b/>
          <w:i/>
        </w:rPr>
        <w:t>Вновь выявленный сахарный диабет</w:t>
      </w:r>
    </w:p>
    <w:p w14:paraId="1AD91D03" w14:textId="77777777" w:rsidR="00711874" w:rsidRPr="00E03613" w:rsidRDefault="00711874" w:rsidP="008A7500">
      <w:pPr>
        <w:pStyle w:val="Default"/>
        <w:ind w:firstLine="709"/>
        <w:jc w:val="both"/>
      </w:pPr>
      <w:r w:rsidRPr="00E03613">
        <w:t xml:space="preserve">Было показано, что </w:t>
      </w:r>
      <w:r>
        <w:t>эверолимус</w:t>
      </w:r>
      <w:r w:rsidRPr="00E03613">
        <w:t xml:space="preserve"> увеличивает риск развития сахарного диабета после трансплантации. У пациентов, получающих лечение </w:t>
      </w:r>
      <w:r>
        <w:t>эверолимус</w:t>
      </w:r>
      <w:r w:rsidRPr="00E03613">
        <w:t>ом, следует тщательно контролировать концентрацию глюкозы в крови.</w:t>
      </w:r>
    </w:p>
    <w:p w14:paraId="163AB437" w14:textId="77777777" w:rsidR="00711874" w:rsidRDefault="00711874" w:rsidP="008A7500">
      <w:pPr>
        <w:pStyle w:val="Default"/>
      </w:pPr>
    </w:p>
    <w:p w14:paraId="65205754" w14:textId="77777777" w:rsidR="00711874" w:rsidRPr="007C7811" w:rsidRDefault="00711874" w:rsidP="008A7500">
      <w:pPr>
        <w:pStyle w:val="Default"/>
        <w:rPr>
          <w:b/>
          <w:i/>
        </w:rPr>
      </w:pPr>
      <w:r w:rsidRPr="007C7811">
        <w:rPr>
          <w:b/>
          <w:i/>
        </w:rPr>
        <w:t>Мужское бесплодие</w:t>
      </w:r>
    </w:p>
    <w:p w14:paraId="24C317F2" w14:textId="77777777" w:rsidR="00711874" w:rsidRPr="00E03613" w:rsidRDefault="00711874" w:rsidP="008A7500">
      <w:pPr>
        <w:pStyle w:val="Default"/>
        <w:ind w:firstLine="709"/>
        <w:jc w:val="both"/>
      </w:pPr>
      <w:r w:rsidRPr="00E03613">
        <w:t xml:space="preserve">Имеются литературные сообщения об обратимой азооспермии и олигоспермии у пациентов, получавших ингибиторы mTOR. Поскольку доклинические токсикологические исследования показали, что эверолимус может снижать сперматогенез, мужское бесплодие следует рассматривать как потенциальный риск длительной терапии </w:t>
      </w:r>
      <w:r>
        <w:t>эверолимус</w:t>
      </w:r>
      <w:r w:rsidRPr="00E03613">
        <w:t>ом.</w:t>
      </w:r>
    </w:p>
    <w:p w14:paraId="6B7A5E00" w14:textId="77777777" w:rsidR="00711874" w:rsidRPr="007C7811" w:rsidRDefault="00711874" w:rsidP="008A7500">
      <w:pPr>
        <w:pStyle w:val="Default"/>
        <w:rPr>
          <w:b/>
          <w:i/>
        </w:rPr>
      </w:pPr>
    </w:p>
    <w:p w14:paraId="507523F4" w14:textId="77777777" w:rsidR="00711874" w:rsidRPr="007C7811" w:rsidRDefault="00711874" w:rsidP="008A7500">
      <w:pPr>
        <w:pStyle w:val="Default"/>
        <w:rPr>
          <w:b/>
          <w:i/>
        </w:rPr>
      </w:pPr>
      <w:r w:rsidRPr="007C7811">
        <w:rPr>
          <w:b/>
          <w:i/>
        </w:rPr>
        <w:t>Риск непереносимости вспомогательных веществ</w:t>
      </w:r>
    </w:p>
    <w:p w14:paraId="38F12E85" w14:textId="77777777" w:rsidR="00711874" w:rsidRPr="00F00B04" w:rsidRDefault="00711874" w:rsidP="008A7500">
      <w:pPr>
        <w:pStyle w:val="Default"/>
        <w:ind w:firstLine="709"/>
        <w:jc w:val="both"/>
      </w:pPr>
      <w:r w:rsidRPr="00E03613">
        <w:t xml:space="preserve">Таблетки </w:t>
      </w:r>
      <w:r>
        <w:t>эверолимуса</w:t>
      </w:r>
      <w:r w:rsidRPr="00E03613">
        <w:t xml:space="preserve"> содержат лактозу. Пациентам с редкими наследственными проблемами непереносимости галактозы, общего дефицита лактазы или глюкозо-галактозной мальабсорбции не следует принимать </w:t>
      </w:r>
      <w:r>
        <w:t>эверолимус</w:t>
      </w:r>
      <w:r w:rsidRPr="00F00B04">
        <w:t xml:space="preserve"> [3].</w:t>
      </w:r>
    </w:p>
    <w:p w14:paraId="179266DB" w14:textId="2F12B759" w:rsidR="00711874" w:rsidRDefault="00711874" w:rsidP="00711874">
      <w:pPr>
        <w:pStyle w:val="4"/>
        <w:spacing w:after="240"/>
        <w:rPr>
          <w:rFonts w:ascii="Times New Roman" w:hAnsi="Times New Roman"/>
          <w:color w:val="000000" w:themeColor="text1"/>
          <w:sz w:val="24"/>
          <w:szCs w:val="24"/>
        </w:rPr>
      </w:pPr>
      <w:bookmarkStart w:id="338" w:name="_Toc112226902"/>
      <w:bookmarkStart w:id="339" w:name="_Toc118124220"/>
      <w:bookmarkStart w:id="340" w:name="_Toc119313786"/>
      <w:bookmarkStart w:id="341" w:name="_Toc52190606"/>
      <w:r w:rsidRPr="001A646C">
        <w:rPr>
          <w:rFonts w:ascii="Times New Roman" w:hAnsi="Times New Roman"/>
          <w:color w:val="000000" w:themeColor="text1"/>
          <w:sz w:val="24"/>
          <w:szCs w:val="24"/>
        </w:rPr>
        <w:t>4.</w:t>
      </w:r>
      <w:r w:rsidR="002817E3">
        <w:rPr>
          <w:rFonts w:ascii="Times New Roman" w:hAnsi="Times New Roman"/>
          <w:color w:val="000000" w:themeColor="text1"/>
          <w:sz w:val="24"/>
          <w:szCs w:val="24"/>
        </w:rPr>
        <w:t>2</w:t>
      </w:r>
      <w:r w:rsidRPr="001A646C">
        <w:rPr>
          <w:rFonts w:ascii="Times New Roman" w:hAnsi="Times New Roman"/>
          <w:color w:val="000000" w:themeColor="text1"/>
          <w:sz w:val="24"/>
          <w:szCs w:val="24"/>
        </w:rPr>
        <w:t>.2.5. Лабораторные отклонения</w:t>
      </w:r>
      <w:bookmarkEnd w:id="338"/>
      <w:bookmarkEnd w:id="339"/>
      <w:bookmarkEnd w:id="340"/>
    </w:p>
    <w:p w14:paraId="66809E6C" w14:textId="77777777" w:rsidR="00711874" w:rsidRPr="007C7811" w:rsidRDefault="00711874" w:rsidP="00711874">
      <w:pPr>
        <w:pStyle w:val="Default"/>
        <w:contextualSpacing/>
        <w:rPr>
          <w:b/>
          <w:i/>
        </w:rPr>
      </w:pPr>
      <w:r w:rsidRPr="007C7811">
        <w:rPr>
          <w:b/>
          <w:i/>
        </w:rPr>
        <w:t>Гиперлипидемия</w:t>
      </w:r>
    </w:p>
    <w:p w14:paraId="6F4A7E48" w14:textId="77777777" w:rsidR="00711874" w:rsidRDefault="00711874" w:rsidP="00711874">
      <w:pPr>
        <w:pStyle w:val="Default"/>
        <w:ind w:firstLine="709"/>
        <w:contextualSpacing/>
        <w:jc w:val="both"/>
      </w:pPr>
      <w:r w:rsidRPr="00E03613">
        <w:t xml:space="preserve">Применение </w:t>
      </w:r>
      <w:r>
        <w:t>эверолимус</w:t>
      </w:r>
      <w:r w:rsidRPr="00E03613">
        <w:t xml:space="preserve">а с циклоспорином в виде микроэмульсии или </w:t>
      </w:r>
      <w:r>
        <w:t xml:space="preserve">с </w:t>
      </w:r>
      <w:r w:rsidRPr="00E03613">
        <w:t>такролимусом у пациентов после трансплантации было связано с повышением уровня холестерина и триглицеридов в сыворотке крови,</w:t>
      </w:r>
      <w:r>
        <w:t xml:space="preserve"> что может потребовать лечения.</w:t>
      </w:r>
    </w:p>
    <w:p w14:paraId="5B49C1AC" w14:textId="6D90AC9C" w:rsidR="00711874" w:rsidRPr="001A646C" w:rsidRDefault="00711874" w:rsidP="00D133AE">
      <w:pPr>
        <w:pStyle w:val="Default"/>
        <w:ind w:firstLine="709"/>
        <w:contextualSpacing/>
        <w:jc w:val="both"/>
      </w:pPr>
      <w:r w:rsidRPr="00E03613">
        <w:t xml:space="preserve">Пациенты, получающие </w:t>
      </w:r>
      <w:r>
        <w:t>эверолимус</w:t>
      </w:r>
      <w:r w:rsidRPr="00E03613">
        <w:t>, должны находиться под наблюдением на предмет</w:t>
      </w:r>
      <w:r>
        <w:t xml:space="preserve"> выявления </w:t>
      </w:r>
      <w:r w:rsidRPr="00E03613">
        <w:t>гиперлипидемии и, при необходимости, получать</w:t>
      </w:r>
      <w:r>
        <w:t xml:space="preserve"> гиполипидемические препараты,</w:t>
      </w:r>
      <w:r w:rsidRPr="00E03613">
        <w:t xml:space="preserve"> также должны быть внесены соответствующие корректив</w:t>
      </w:r>
      <w:r>
        <w:t xml:space="preserve">ы в диету. </w:t>
      </w:r>
      <w:r w:rsidRPr="00E03613">
        <w:t>У пациентов с установленной гиперлипидемией следует оценить соотношение риск/польза перед нач</w:t>
      </w:r>
      <w:r>
        <w:t>алом иммуносупрессивной терапии</w:t>
      </w:r>
      <w:r w:rsidRPr="00E03613">
        <w:t xml:space="preserve"> </w:t>
      </w:r>
      <w:r>
        <w:t>с применением</w:t>
      </w:r>
      <w:r w:rsidRPr="00E03613">
        <w:t xml:space="preserve"> </w:t>
      </w:r>
      <w:r>
        <w:t>эверолимуса</w:t>
      </w:r>
      <w:r w:rsidRPr="00E03613">
        <w:t xml:space="preserve">. Аналогичным образом, у пациентов с тяжелой рефрактерной гиперлипидемией необходимо повторно оценить соотношение риск/польза продолжения терапии </w:t>
      </w:r>
      <w:r>
        <w:t>эверолимус</w:t>
      </w:r>
      <w:r w:rsidRPr="00E03613">
        <w:t>ом. Пациенты, получающие ингибитор</w:t>
      </w:r>
      <w:r>
        <w:t>ы</w:t>
      </w:r>
      <w:r w:rsidRPr="00E03613">
        <w:t xml:space="preserve"> ГМГ-КоА-редуктазы и/или фибрат</w:t>
      </w:r>
      <w:r>
        <w:t>ы</w:t>
      </w:r>
      <w:r w:rsidRPr="00E03613">
        <w:t>, должны находиться под наблюдением на предмет возможного развития рабдомиолиза и других побочных эффектов</w:t>
      </w:r>
      <w:r w:rsidR="00D133AE">
        <w:t xml:space="preserve"> [3].</w:t>
      </w:r>
    </w:p>
    <w:p w14:paraId="3797B801" w14:textId="11DC97DE" w:rsidR="00711874" w:rsidRDefault="002817E3" w:rsidP="00711874">
      <w:pPr>
        <w:pStyle w:val="4"/>
        <w:spacing w:after="240"/>
        <w:rPr>
          <w:rFonts w:ascii="Times New Roman" w:hAnsi="Times New Roman"/>
          <w:color w:val="000000" w:themeColor="text1"/>
          <w:sz w:val="24"/>
          <w:szCs w:val="24"/>
        </w:rPr>
      </w:pPr>
      <w:bookmarkStart w:id="342" w:name="_Toc112226903"/>
      <w:bookmarkStart w:id="343" w:name="_Toc118124221"/>
      <w:bookmarkStart w:id="344" w:name="_Toc119313787"/>
      <w:r>
        <w:rPr>
          <w:rFonts w:ascii="Times New Roman" w:hAnsi="Times New Roman"/>
          <w:color w:val="000000" w:themeColor="text1"/>
          <w:sz w:val="24"/>
          <w:szCs w:val="24"/>
        </w:rPr>
        <w:t>4.2</w:t>
      </w:r>
      <w:r w:rsidR="00711874" w:rsidRPr="005B519C">
        <w:rPr>
          <w:rFonts w:ascii="Times New Roman" w:hAnsi="Times New Roman"/>
          <w:color w:val="000000" w:themeColor="text1"/>
          <w:sz w:val="24"/>
          <w:szCs w:val="24"/>
        </w:rPr>
        <w:t>.</w:t>
      </w:r>
      <w:r w:rsidR="00711874">
        <w:rPr>
          <w:rFonts w:ascii="Times New Roman" w:hAnsi="Times New Roman"/>
          <w:color w:val="000000" w:themeColor="text1"/>
          <w:sz w:val="24"/>
          <w:szCs w:val="24"/>
        </w:rPr>
        <w:t>2.6</w:t>
      </w:r>
      <w:r w:rsidR="00711874" w:rsidRPr="005B519C">
        <w:rPr>
          <w:rFonts w:ascii="Times New Roman" w:hAnsi="Times New Roman"/>
          <w:color w:val="000000" w:themeColor="text1"/>
          <w:sz w:val="24"/>
          <w:szCs w:val="24"/>
        </w:rPr>
        <w:t>. Безопасность, связанная с лекарственными взаимодействиями и другими взаимодействиями</w:t>
      </w:r>
      <w:bookmarkEnd w:id="342"/>
      <w:bookmarkEnd w:id="343"/>
      <w:bookmarkEnd w:id="344"/>
    </w:p>
    <w:p w14:paraId="527AD401" w14:textId="4AD28B88" w:rsidR="00711874" w:rsidRPr="00D3106C" w:rsidRDefault="00711874" w:rsidP="00711874">
      <w:pPr>
        <w:pStyle w:val="Default"/>
        <w:contextualSpacing/>
        <w:rPr>
          <w:b/>
          <w:i/>
          <w:color w:val="auto"/>
        </w:rPr>
      </w:pPr>
      <w:bookmarkStart w:id="345" w:name="_Toc112226904"/>
      <w:r w:rsidRPr="00D3106C">
        <w:rPr>
          <w:b/>
          <w:i/>
          <w:color w:val="auto"/>
        </w:rPr>
        <w:t xml:space="preserve">Взаимодействие с пероральными субстратами </w:t>
      </w:r>
      <w:r w:rsidRPr="00D3106C">
        <w:rPr>
          <w:b/>
          <w:i/>
          <w:color w:val="auto"/>
          <w:lang w:val="en-US"/>
        </w:rPr>
        <w:t>CYP</w:t>
      </w:r>
      <w:r w:rsidRPr="00D3106C">
        <w:rPr>
          <w:b/>
          <w:i/>
          <w:color w:val="auto"/>
        </w:rPr>
        <w:t>3</w:t>
      </w:r>
      <w:r w:rsidRPr="00D3106C">
        <w:rPr>
          <w:b/>
          <w:i/>
          <w:color w:val="auto"/>
          <w:lang w:val="en-US"/>
        </w:rPr>
        <w:t>A</w:t>
      </w:r>
      <w:r w:rsidR="008A7500">
        <w:rPr>
          <w:b/>
          <w:i/>
          <w:color w:val="auto"/>
        </w:rPr>
        <w:t>4</w:t>
      </w:r>
    </w:p>
    <w:p w14:paraId="4D241BCE" w14:textId="77777777" w:rsidR="00711874" w:rsidRPr="00E03613" w:rsidRDefault="00711874" w:rsidP="00711874">
      <w:pPr>
        <w:pStyle w:val="Default"/>
        <w:ind w:firstLine="709"/>
        <w:contextualSpacing/>
        <w:jc w:val="both"/>
      </w:pPr>
      <w:r w:rsidRPr="00E03613">
        <w:t xml:space="preserve">Следует соблюдать осторожность при приеме </w:t>
      </w:r>
      <w:r>
        <w:t>эверолимус</w:t>
      </w:r>
      <w:r w:rsidRPr="00E03613">
        <w:t xml:space="preserve">а в комбинации с перорально вводимыми субстратами </w:t>
      </w:r>
      <w:r w:rsidRPr="00E03613">
        <w:rPr>
          <w:lang w:val="en-US"/>
        </w:rPr>
        <w:t>CYP</w:t>
      </w:r>
      <w:r w:rsidRPr="00E03613">
        <w:t>3</w:t>
      </w:r>
      <w:r w:rsidRPr="00E03613">
        <w:rPr>
          <w:lang w:val="en-US"/>
        </w:rPr>
        <w:t>A</w:t>
      </w:r>
      <w:r w:rsidRPr="00E03613">
        <w:t xml:space="preserve">4 с узким терапевтическим индексом из-за возможного лекарственного взаимодействия. Если </w:t>
      </w:r>
      <w:r>
        <w:t>эверолимус</w:t>
      </w:r>
      <w:r w:rsidRPr="00E03613">
        <w:t xml:space="preserve"> принимается с перорально вводимыми субстратами </w:t>
      </w:r>
      <w:r w:rsidRPr="00E03613">
        <w:rPr>
          <w:lang w:val="en-US"/>
        </w:rPr>
        <w:t>CYP</w:t>
      </w:r>
      <w:r w:rsidRPr="00E03613">
        <w:t>3</w:t>
      </w:r>
      <w:r w:rsidRPr="00E03613">
        <w:rPr>
          <w:lang w:val="en-US"/>
        </w:rPr>
        <w:t>A</w:t>
      </w:r>
      <w:r w:rsidRPr="00E03613">
        <w:t>4 с узким терапевтическим индексом (например, пимозидом, терфенадином, астемизолом, цизапридом, хинидином или производными алкалоидов спорыньи), пациент должен находиться под наблюдением на предмет</w:t>
      </w:r>
      <w:r>
        <w:t xml:space="preserve"> выявления</w:t>
      </w:r>
      <w:r w:rsidRPr="00E03613">
        <w:t xml:space="preserve"> нежелательных эффектов, описанных в информации о препарате перорально вводимого субстрата </w:t>
      </w:r>
      <w:r w:rsidRPr="00E03613">
        <w:rPr>
          <w:lang w:val="en-US"/>
        </w:rPr>
        <w:t>CYP</w:t>
      </w:r>
      <w:r w:rsidRPr="00E03613">
        <w:t>3</w:t>
      </w:r>
      <w:r w:rsidRPr="00E03613">
        <w:rPr>
          <w:lang w:val="en-US"/>
        </w:rPr>
        <w:t>A</w:t>
      </w:r>
      <w:r w:rsidRPr="00E03613">
        <w:t>4</w:t>
      </w:r>
      <w:r>
        <w:t>.</w:t>
      </w:r>
    </w:p>
    <w:p w14:paraId="7D4B87D2" w14:textId="77777777" w:rsidR="00711874" w:rsidRPr="00E03613" w:rsidRDefault="00711874" w:rsidP="00711874">
      <w:pPr>
        <w:pStyle w:val="Default"/>
        <w:ind w:firstLine="709"/>
        <w:contextualSpacing/>
        <w:jc w:val="both"/>
      </w:pPr>
      <w:r w:rsidRPr="00E03613">
        <w:t xml:space="preserve">Одновременное применение с сильными ингибиторами </w:t>
      </w:r>
      <w:r w:rsidRPr="00E03613">
        <w:rPr>
          <w:lang w:val="en-US"/>
        </w:rPr>
        <w:t>CYP</w:t>
      </w:r>
      <w:r w:rsidRPr="00E03613">
        <w:t>3</w:t>
      </w:r>
      <w:r w:rsidRPr="00E03613">
        <w:rPr>
          <w:lang w:val="en-US"/>
        </w:rPr>
        <w:t>A</w:t>
      </w:r>
      <w:r w:rsidRPr="00E03613">
        <w:t xml:space="preserve">4 и/или </w:t>
      </w:r>
      <w:r w:rsidRPr="00E03613">
        <w:rPr>
          <w:lang w:val="en-US"/>
        </w:rPr>
        <w:t>P</w:t>
      </w:r>
      <w:r w:rsidRPr="00E03613">
        <w:t>-гликопротеина (</w:t>
      </w:r>
      <w:r w:rsidRPr="00E03613">
        <w:rPr>
          <w:lang w:val="en-US"/>
        </w:rPr>
        <w:t>PgP</w:t>
      </w:r>
      <w:r w:rsidRPr="00E03613">
        <w:t xml:space="preserve">) (например, кетоконазола, итраконазола, вориконазола, кларитромицина, телитромицина, ритонавира) с сильными ингибиторами </w:t>
      </w:r>
      <w:r w:rsidRPr="00E03613">
        <w:rPr>
          <w:lang w:val="en-US"/>
        </w:rPr>
        <w:t>CYP</w:t>
      </w:r>
      <w:r w:rsidRPr="00E03613">
        <w:t>3</w:t>
      </w:r>
      <w:r w:rsidRPr="00E03613">
        <w:rPr>
          <w:lang w:val="en-US"/>
        </w:rPr>
        <w:t>A</w:t>
      </w:r>
      <w:r w:rsidRPr="00E03613">
        <w:t>4 и/или помпы оттока нескольких препаратов (например, кетоконазола, итраконазола, вориконазола, кларитромицина, телитромицина, ритонавира) может повышать уровень эверолимуса в крови и не рекомендуется, если польза не превышает риск.</w:t>
      </w:r>
    </w:p>
    <w:p w14:paraId="55A68943" w14:textId="77777777" w:rsidR="00711874" w:rsidRPr="00B061A2" w:rsidRDefault="00711874" w:rsidP="00711874">
      <w:pPr>
        <w:pStyle w:val="Default"/>
        <w:ind w:firstLine="709"/>
        <w:contextualSpacing/>
        <w:jc w:val="both"/>
      </w:pPr>
      <w:r w:rsidRPr="00E03613">
        <w:t xml:space="preserve">Одновременное применение с сильными индукторами </w:t>
      </w:r>
      <w:r w:rsidRPr="00E03613">
        <w:rPr>
          <w:lang w:val="en-US"/>
        </w:rPr>
        <w:t>CYP</w:t>
      </w:r>
      <w:r w:rsidRPr="00E03613">
        <w:t>3</w:t>
      </w:r>
      <w:r w:rsidRPr="00E03613">
        <w:rPr>
          <w:lang w:val="en-US"/>
        </w:rPr>
        <w:t>A</w:t>
      </w:r>
      <w:r w:rsidRPr="00E03613">
        <w:t xml:space="preserve">4 и/или </w:t>
      </w:r>
      <w:r w:rsidRPr="00E03613">
        <w:rPr>
          <w:lang w:val="en-US"/>
        </w:rPr>
        <w:t>PgP</w:t>
      </w:r>
      <w:r w:rsidRPr="00E03613">
        <w:t xml:space="preserve"> (например, рифампицином, рифабутином, карбамазепином, фенитоином) не рекомендуется, за исключением случаев, когда польза превышает риск. Если невозможно избежать одновременного применения индукторов или ингибиторов </w:t>
      </w:r>
      <w:r w:rsidRPr="00E03613">
        <w:rPr>
          <w:lang w:val="en-US"/>
        </w:rPr>
        <w:t>CYP</w:t>
      </w:r>
      <w:r w:rsidRPr="00E03613">
        <w:t>3</w:t>
      </w:r>
      <w:r w:rsidRPr="00E03613">
        <w:rPr>
          <w:lang w:val="en-US"/>
        </w:rPr>
        <w:t>A</w:t>
      </w:r>
      <w:r w:rsidRPr="00E03613">
        <w:t xml:space="preserve">4 и/или </w:t>
      </w:r>
      <w:r w:rsidRPr="00E03613">
        <w:rPr>
          <w:lang w:val="en-US"/>
        </w:rPr>
        <w:t>PgP</w:t>
      </w:r>
      <w:r w:rsidRPr="00E03613">
        <w:t xml:space="preserve">, рекомендуется контролировать минимальные концентрации эверолимуса в цельной крови и клиническое состояние пациента во время их одновременного применения с эверолимусом и после их отмены. </w:t>
      </w:r>
      <w:r w:rsidRPr="00C24B3F">
        <w:t>Может потребоваться коррекция дозы эверолимуса</w:t>
      </w:r>
      <w:r w:rsidRPr="00B061A2">
        <w:t xml:space="preserve"> [3].</w:t>
      </w:r>
    </w:p>
    <w:p w14:paraId="26C0E809" w14:textId="77777777" w:rsidR="008A7500" w:rsidRDefault="008A7500" w:rsidP="00711874">
      <w:pPr>
        <w:spacing w:before="240" w:after="240"/>
        <w:outlineLvl w:val="2"/>
        <w:rPr>
          <w:rFonts w:eastAsia="Times New Roman"/>
          <w:b/>
          <w:bCs/>
          <w:iCs/>
          <w:lang w:eastAsia="en-US"/>
        </w:rPr>
        <w:sectPr w:rsidR="008A7500" w:rsidSect="00AB01E2">
          <w:pgSz w:w="11906" w:h="16838"/>
          <w:pgMar w:top="1134" w:right="849" w:bottom="1134" w:left="1701" w:header="708" w:footer="709" w:gutter="0"/>
          <w:cols w:space="708"/>
          <w:docGrid w:linePitch="360"/>
        </w:sectPr>
      </w:pPr>
      <w:bookmarkStart w:id="346" w:name="_Toc112226905"/>
      <w:bookmarkStart w:id="347" w:name="_Toc118124222"/>
      <w:bookmarkEnd w:id="341"/>
      <w:bookmarkEnd w:id="345"/>
    </w:p>
    <w:p w14:paraId="70ECA07C" w14:textId="6E8CB321" w:rsidR="00711874" w:rsidRDefault="00711874" w:rsidP="00711874">
      <w:pPr>
        <w:spacing w:before="240" w:after="240"/>
        <w:outlineLvl w:val="2"/>
        <w:rPr>
          <w:rFonts w:eastAsia="Times New Roman"/>
          <w:b/>
          <w:bCs/>
          <w:iCs/>
          <w:lang w:eastAsia="en-US"/>
        </w:rPr>
      </w:pPr>
      <w:bookmarkStart w:id="348" w:name="_Toc119313788"/>
      <w:r w:rsidRPr="00620389">
        <w:rPr>
          <w:rFonts w:eastAsia="Times New Roman"/>
          <w:b/>
          <w:bCs/>
          <w:iCs/>
          <w:lang w:eastAsia="en-US"/>
        </w:rPr>
        <w:t>4.</w:t>
      </w:r>
      <w:r w:rsidR="002817E3">
        <w:rPr>
          <w:rFonts w:eastAsia="Times New Roman"/>
          <w:b/>
          <w:bCs/>
          <w:iCs/>
          <w:lang w:eastAsia="en-US"/>
        </w:rPr>
        <w:t>2</w:t>
      </w:r>
      <w:r>
        <w:rPr>
          <w:rFonts w:eastAsia="Times New Roman"/>
          <w:b/>
          <w:bCs/>
          <w:iCs/>
          <w:lang w:eastAsia="en-US"/>
        </w:rPr>
        <w:t>.3. Пострегистрационный опыт применения</w:t>
      </w:r>
      <w:bookmarkEnd w:id="346"/>
      <w:bookmarkEnd w:id="347"/>
      <w:bookmarkEnd w:id="348"/>
    </w:p>
    <w:p w14:paraId="40D5AA63" w14:textId="77777777" w:rsidR="00711874" w:rsidRPr="00F00B04" w:rsidRDefault="00711874" w:rsidP="00711874">
      <w:pPr>
        <w:pStyle w:val="Default"/>
        <w:ind w:firstLine="709"/>
        <w:contextualSpacing/>
        <w:jc w:val="both"/>
      </w:pPr>
      <w:r w:rsidRPr="00E03613">
        <w:t xml:space="preserve">Следующие нежелательные реакции были получены из пострегистрационного опыта применения </w:t>
      </w:r>
      <w:r>
        <w:t>эверолимус</w:t>
      </w:r>
      <w:r w:rsidRPr="00E03613">
        <w:t>а на основании сообщений о спонтанных случаях и описаний в литературе. Поскольку об этих реакциях сообщается добровольно в популяции неопределенного размера, невозможн</w:t>
      </w:r>
      <w:r>
        <w:t>о достоверно оценить их частоту</w:t>
      </w:r>
      <w:r w:rsidRPr="00E03613">
        <w:t>. Побочные реакции на лекарственные средства перечислены в соответст</w:t>
      </w:r>
      <w:r>
        <w:t>вии с классами систем органов</w:t>
      </w:r>
      <w:r w:rsidRPr="00E03613">
        <w:t>. Внутри каждого класса систем органов нежелательные реакции представлены</w:t>
      </w:r>
      <w:r>
        <w:t xml:space="preserve"> в порядке убывания серьезности</w:t>
      </w:r>
      <w:r w:rsidRPr="00F00B04">
        <w:t xml:space="preserve"> [3].</w:t>
      </w:r>
    </w:p>
    <w:p w14:paraId="5FF65CAC" w14:textId="77777777" w:rsidR="00711874" w:rsidRDefault="00711874" w:rsidP="00711874">
      <w:pPr>
        <w:pStyle w:val="Default"/>
        <w:contextualSpacing/>
      </w:pPr>
    </w:p>
    <w:p w14:paraId="094E21FB" w14:textId="24FB90E4" w:rsidR="00711874" w:rsidRPr="00E03613" w:rsidRDefault="00711874" w:rsidP="00711874">
      <w:pPr>
        <w:pStyle w:val="Default"/>
        <w:contextualSpacing/>
      </w:pPr>
      <w:r w:rsidRPr="00711874">
        <w:rPr>
          <w:b/>
        </w:rPr>
        <w:t>Таблица 4-22.</w:t>
      </w:r>
      <w:r w:rsidRPr="00E03613">
        <w:t xml:space="preserve"> Побочные реакции на </w:t>
      </w:r>
      <w:r>
        <w:t>эверолимус</w:t>
      </w:r>
      <w:r w:rsidRPr="00E03613">
        <w:t xml:space="preserve"> из спонтанных сообщений и литературы (частота неизвестна)</w:t>
      </w:r>
      <w:r w:rsidR="008A7500">
        <w:t>.</w:t>
      </w:r>
    </w:p>
    <w:tbl>
      <w:tblPr>
        <w:tblW w:w="5000" w:type="pct"/>
        <w:tblInd w:w="-5" w:type="dxa"/>
        <w:tblLook w:val="04A0" w:firstRow="1" w:lastRow="0" w:firstColumn="1" w:lastColumn="0" w:noHBand="0" w:noVBand="1"/>
      </w:tblPr>
      <w:tblGrid>
        <w:gridCol w:w="3402"/>
        <w:gridCol w:w="1922"/>
        <w:gridCol w:w="4022"/>
      </w:tblGrid>
      <w:tr w:rsidR="00711874" w:rsidRPr="0038725C" w14:paraId="1774E51A" w14:textId="77777777" w:rsidTr="00C01452">
        <w:trPr>
          <w:trHeight w:val="573"/>
          <w:tblHeader/>
        </w:trPr>
        <w:tc>
          <w:tcPr>
            <w:tcW w:w="340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57A5874" w14:textId="623AC8B7"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Органы</w:t>
            </w:r>
            <w:r w:rsidR="002608A1" w:rsidRPr="0071249E">
              <w:rPr>
                <w:rFonts w:eastAsia="Times New Roman"/>
                <w:b/>
                <w:color w:val="000000"/>
                <w:lang w:val="en-US" w:eastAsia="ru-RU"/>
              </w:rPr>
              <w:t>/</w:t>
            </w:r>
            <w:r w:rsidRPr="0071249E">
              <w:rPr>
                <w:rFonts w:eastAsia="Times New Roman"/>
                <w:b/>
                <w:color w:val="000000"/>
                <w:lang w:eastAsia="ru-RU"/>
              </w:rPr>
              <w:t>системы</w:t>
            </w:r>
          </w:p>
        </w:tc>
        <w:tc>
          <w:tcPr>
            <w:tcW w:w="1922" w:type="dxa"/>
            <w:tcBorders>
              <w:top w:val="single" w:sz="4" w:space="0" w:color="auto"/>
              <w:left w:val="nil"/>
              <w:bottom w:val="single" w:sz="4" w:space="0" w:color="auto"/>
              <w:right w:val="single" w:sz="4" w:space="0" w:color="auto"/>
            </w:tcBorders>
            <w:shd w:val="clear" w:color="000000" w:fill="D9D9D9"/>
            <w:vAlign w:val="center"/>
            <w:hideMark/>
          </w:tcPr>
          <w:p w14:paraId="11A00B72" w14:textId="77777777"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Частота</w:t>
            </w:r>
          </w:p>
        </w:tc>
        <w:tc>
          <w:tcPr>
            <w:tcW w:w="4022" w:type="dxa"/>
            <w:tcBorders>
              <w:top w:val="single" w:sz="4" w:space="0" w:color="auto"/>
              <w:left w:val="nil"/>
              <w:bottom w:val="single" w:sz="4" w:space="0" w:color="auto"/>
              <w:right w:val="single" w:sz="4" w:space="0" w:color="auto"/>
            </w:tcBorders>
            <w:shd w:val="clear" w:color="000000" w:fill="D9D9D9"/>
            <w:vAlign w:val="center"/>
            <w:hideMark/>
          </w:tcPr>
          <w:p w14:paraId="43E3DBD2" w14:textId="77777777" w:rsidR="00711874" w:rsidRPr="0071249E" w:rsidRDefault="00711874" w:rsidP="008A7500">
            <w:pPr>
              <w:spacing w:after="0" w:line="240" w:lineRule="auto"/>
              <w:jc w:val="center"/>
              <w:rPr>
                <w:rFonts w:eastAsia="Times New Roman"/>
                <w:b/>
                <w:color w:val="000000"/>
                <w:lang w:eastAsia="ru-RU"/>
              </w:rPr>
            </w:pPr>
            <w:r w:rsidRPr="0071249E">
              <w:rPr>
                <w:rFonts w:eastAsia="Times New Roman"/>
                <w:b/>
                <w:color w:val="000000"/>
                <w:lang w:eastAsia="ru-RU"/>
              </w:rPr>
              <w:t>Нежелательные явления</w:t>
            </w:r>
          </w:p>
        </w:tc>
      </w:tr>
      <w:tr w:rsidR="00711874" w:rsidRPr="0038725C" w14:paraId="7940F845" w14:textId="77777777" w:rsidTr="00C01452">
        <w:trPr>
          <w:trHeight w:val="20"/>
        </w:trPr>
        <w:tc>
          <w:tcPr>
            <w:tcW w:w="3402" w:type="dxa"/>
            <w:tcBorders>
              <w:top w:val="nil"/>
              <w:left w:val="single" w:sz="4" w:space="0" w:color="auto"/>
              <w:bottom w:val="single" w:sz="4" w:space="0" w:color="auto"/>
              <w:right w:val="single" w:sz="4" w:space="0" w:color="auto"/>
            </w:tcBorders>
            <w:shd w:val="clear" w:color="auto" w:fill="auto"/>
            <w:hideMark/>
          </w:tcPr>
          <w:p w14:paraId="7A85D9CD"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Метаболические нарушения</w:t>
            </w:r>
          </w:p>
        </w:tc>
        <w:tc>
          <w:tcPr>
            <w:tcW w:w="1922" w:type="dxa"/>
            <w:tcBorders>
              <w:top w:val="nil"/>
              <w:left w:val="nil"/>
              <w:bottom w:val="single" w:sz="4" w:space="0" w:color="auto"/>
              <w:right w:val="single" w:sz="4" w:space="0" w:color="auto"/>
            </w:tcBorders>
            <w:shd w:val="clear" w:color="auto" w:fill="auto"/>
            <w:hideMark/>
          </w:tcPr>
          <w:p w14:paraId="7C0198FC"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Неизвестно</w:t>
            </w:r>
          </w:p>
        </w:tc>
        <w:tc>
          <w:tcPr>
            <w:tcW w:w="4022" w:type="dxa"/>
            <w:tcBorders>
              <w:top w:val="nil"/>
              <w:left w:val="nil"/>
              <w:bottom w:val="single" w:sz="4" w:space="0" w:color="auto"/>
              <w:right w:val="single" w:sz="4" w:space="0" w:color="auto"/>
            </w:tcBorders>
            <w:shd w:val="clear" w:color="auto" w:fill="auto"/>
            <w:hideMark/>
          </w:tcPr>
          <w:p w14:paraId="645703FD" w14:textId="37002ACD"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Железодефицит</w:t>
            </w:r>
            <w:r w:rsidR="00425EFC">
              <w:rPr>
                <w:rFonts w:eastAsia="Times New Roman"/>
                <w:color w:val="000000"/>
                <w:lang w:eastAsia="ru-RU"/>
              </w:rPr>
              <w:t>ное состояние</w:t>
            </w:r>
          </w:p>
        </w:tc>
      </w:tr>
      <w:tr w:rsidR="00711874" w:rsidRPr="0038725C" w14:paraId="21D59CD6" w14:textId="77777777" w:rsidTr="00C01452">
        <w:trPr>
          <w:trHeight w:val="20"/>
        </w:trPr>
        <w:tc>
          <w:tcPr>
            <w:tcW w:w="3402" w:type="dxa"/>
            <w:tcBorders>
              <w:top w:val="nil"/>
              <w:left w:val="single" w:sz="4" w:space="0" w:color="auto"/>
              <w:bottom w:val="single" w:sz="4" w:space="0" w:color="auto"/>
              <w:right w:val="single" w:sz="4" w:space="0" w:color="auto"/>
            </w:tcBorders>
            <w:shd w:val="clear" w:color="auto" w:fill="auto"/>
            <w:hideMark/>
          </w:tcPr>
          <w:p w14:paraId="4C815678"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Сосудистые расстройства</w:t>
            </w:r>
          </w:p>
        </w:tc>
        <w:tc>
          <w:tcPr>
            <w:tcW w:w="1922" w:type="dxa"/>
            <w:tcBorders>
              <w:top w:val="nil"/>
              <w:left w:val="nil"/>
              <w:bottom w:val="single" w:sz="4" w:space="0" w:color="auto"/>
              <w:right w:val="single" w:sz="4" w:space="0" w:color="auto"/>
            </w:tcBorders>
            <w:shd w:val="clear" w:color="auto" w:fill="auto"/>
            <w:hideMark/>
          </w:tcPr>
          <w:p w14:paraId="18DF068C"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Неизвестно</w:t>
            </w:r>
          </w:p>
        </w:tc>
        <w:tc>
          <w:tcPr>
            <w:tcW w:w="4022" w:type="dxa"/>
            <w:tcBorders>
              <w:top w:val="nil"/>
              <w:left w:val="nil"/>
              <w:bottom w:val="single" w:sz="4" w:space="0" w:color="auto"/>
              <w:right w:val="single" w:sz="4" w:space="0" w:color="auto"/>
            </w:tcBorders>
            <w:shd w:val="clear" w:color="auto" w:fill="auto"/>
            <w:hideMark/>
          </w:tcPr>
          <w:p w14:paraId="3F0AF13E"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Лейкопластический васкулит, лимфедема</w:t>
            </w:r>
          </w:p>
        </w:tc>
      </w:tr>
      <w:tr w:rsidR="00711874" w:rsidRPr="0038725C" w14:paraId="34200385" w14:textId="77777777" w:rsidTr="00C01452">
        <w:trPr>
          <w:trHeight w:val="20"/>
        </w:trPr>
        <w:tc>
          <w:tcPr>
            <w:tcW w:w="3402" w:type="dxa"/>
            <w:tcBorders>
              <w:top w:val="nil"/>
              <w:left w:val="single" w:sz="4" w:space="0" w:color="auto"/>
              <w:bottom w:val="single" w:sz="4" w:space="0" w:color="auto"/>
              <w:right w:val="single" w:sz="4" w:space="0" w:color="auto"/>
            </w:tcBorders>
            <w:shd w:val="clear" w:color="auto" w:fill="auto"/>
            <w:hideMark/>
          </w:tcPr>
          <w:p w14:paraId="1AEE71E5"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Респираторные, торакальные и медиастинальные расстройства</w:t>
            </w:r>
          </w:p>
        </w:tc>
        <w:tc>
          <w:tcPr>
            <w:tcW w:w="1922" w:type="dxa"/>
            <w:tcBorders>
              <w:top w:val="nil"/>
              <w:left w:val="nil"/>
              <w:bottom w:val="single" w:sz="4" w:space="0" w:color="auto"/>
              <w:right w:val="single" w:sz="4" w:space="0" w:color="auto"/>
            </w:tcBorders>
            <w:shd w:val="clear" w:color="auto" w:fill="auto"/>
            <w:hideMark/>
          </w:tcPr>
          <w:p w14:paraId="489421DA"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Неизвестно</w:t>
            </w:r>
          </w:p>
        </w:tc>
        <w:tc>
          <w:tcPr>
            <w:tcW w:w="4022" w:type="dxa"/>
            <w:tcBorders>
              <w:top w:val="nil"/>
              <w:left w:val="nil"/>
              <w:bottom w:val="single" w:sz="4" w:space="0" w:color="auto"/>
              <w:right w:val="single" w:sz="4" w:space="0" w:color="auto"/>
            </w:tcBorders>
            <w:shd w:val="clear" w:color="auto" w:fill="auto"/>
            <w:hideMark/>
          </w:tcPr>
          <w:p w14:paraId="75E382DB"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Альвеолярный протеиноз</w:t>
            </w:r>
          </w:p>
        </w:tc>
      </w:tr>
      <w:tr w:rsidR="00711874" w:rsidRPr="0038725C" w14:paraId="5F492382" w14:textId="77777777" w:rsidTr="00C01452">
        <w:trPr>
          <w:trHeight w:val="20"/>
        </w:trPr>
        <w:tc>
          <w:tcPr>
            <w:tcW w:w="3402" w:type="dxa"/>
            <w:tcBorders>
              <w:top w:val="nil"/>
              <w:left w:val="single" w:sz="4" w:space="0" w:color="auto"/>
              <w:bottom w:val="single" w:sz="4" w:space="0" w:color="auto"/>
              <w:right w:val="single" w:sz="4" w:space="0" w:color="auto"/>
            </w:tcBorders>
            <w:shd w:val="clear" w:color="auto" w:fill="auto"/>
            <w:hideMark/>
          </w:tcPr>
          <w:p w14:paraId="4B33D7D0"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Поражения кожи и подкожной ткани</w:t>
            </w:r>
          </w:p>
        </w:tc>
        <w:tc>
          <w:tcPr>
            <w:tcW w:w="1922" w:type="dxa"/>
            <w:tcBorders>
              <w:top w:val="nil"/>
              <w:left w:val="nil"/>
              <w:bottom w:val="single" w:sz="4" w:space="0" w:color="auto"/>
              <w:right w:val="single" w:sz="4" w:space="0" w:color="auto"/>
            </w:tcBorders>
            <w:shd w:val="clear" w:color="auto" w:fill="auto"/>
            <w:hideMark/>
          </w:tcPr>
          <w:p w14:paraId="1EEB1FE1"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Неизвестно</w:t>
            </w:r>
          </w:p>
        </w:tc>
        <w:tc>
          <w:tcPr>
            <w:tcW w:w="4022" w:type="dxa"/>
            <w:tcBorders>
              <w:top w:val="nil"/>
              <w:left w:val="nil"/>
              <w:bottom w:val="single" w:sz="4" w:space="0" w:color="auto"/>
              <w:right w:val="single" w:sz="4" w:space="0" w:color="auto"/>
            </w:tcBorders>
            <w:shd w:val="clear" w:color="auto" w:fill="auto"/>
            <w:hideMark/>
          </w:tcPr>
          <w:p w14:paraId="3D32C1FF" w14:textId="77777777" w:rsidR="00711874" w:rsidRPr="0038725C" w:rsidRDefault="00711874" w:rsidP="00C01452">
            <w:pPr>
              <w:spacing w:after="0" w:line="240" w:lineRule="auto"/>
              <w:jc w:val="left"/>
              <w:rPr>
                <w:rFonts w:eastAsia="Times New Roman"/>
                <w:color w:val="000000"/>
                <w:lang w:eastAsia="ru-RU"/>
              </w:rPr>
            </w:pPr>
            <w:r w:rsidRPr="0038725C">
              <w:rPr>
                <w:rFonts w:eastAsia="Times New Roman"/>
                <w:color w:val="000000"/>
                <w:lang w:eastAsia="ru-RU"/>
              </w:rPr>
              <w:t>Эритродермия</w:t>
            </w:r>
          </w:p>
        </w:tc>
      </w:tr>
    </w:tbl>
    <w:p w14:paraId="3D57554F" w14:textId="77777777" w:rsidR="00F633A3" w:rsidRPr="00707D60" w:rsidRDefault="00F633A3" w:rsidP="00707D60">
      <w:pPr>
        <w:pStyle w:val="2"/>
        <w:spacing w:line="240" w:lineRule="auto"/>
        <w:rPr>
          <w:color w:val="000000" w:themeColor="text1"/>
          <w:szCs w:val="24"/>
        </w:rPr>
      </w:pPr>
      <w:bookmarkStart w:id="349" w:name="bookmark45"/>
      <w:bookmarkStart w:id="350" w:name="bookmark44"/>
      <w:bookmarkStart w:id="351" w:name="_Toc115217981"/>
      <w:bookmarkStart w:id="352" w:name="_Toc118124223"/>
      <w:bookmarkStart w:id="353" w:name="_Toc119313789"/>
      <w:bookmarkEnd w:id="321"/>
      <w:bookmarkEnd w:id="349"/>
      <w:bookmarkEnd w:id="350"/>
      <w:r w:rsidRPr="00707D60">
        <w:rPr>
          <w:color w:val="000000" w:themeColor="text1"/>
          <w:szCs w:val="24"/>
        </w:rPr>
        <w:t>Список литературы</w:t>
      </w:r>
      <w:bookmarkEnd w:id="351"/>
      <w:bookmarkEnd w:id="352"/>
      <w:bookmarkEnd w:id="353"/>
    </w:p>
    <w:p w14:paraId="0A24C17B" w14:textId="77777777" w:rsidR="00736A12" w:rsidRDefault="00736A12" w:rsidP="00C01452">
      <w:pPr>
        <w:pStyle w:val="af3"/>
        <w:numPr>
          <w:ilvl w:val="0"/>
          <w:numId w:val="9"/>
        </w:numPr>
        <w:tabs>
          <w:tab w:val="left" w:pos="142"/>
        </w:tabs>
        <w:spacing w:after="0" w:line="240" w:lineRule="auto"/>
        <w:ind w:left="426" w:hanging="295"/>
        <w:rPr>
          <w:color w:val="000000" w:themeColor="text1"/>
          <w:lang w:val="en-US"/>
        </w:rPr>
      </w:pPr>
      <w:bookmarkStart w:id="354" w:name="_Toc115217982"/>
      <w:bookmarkEnd w:id="319"/>
      <w:r w:rsidRPr="007E3E4B">
        <w:rPr>
          <w:color w:val="000000" w:themeColor="text1"/>
          <w:lang w:val="en-US"/>
        </w:rPr>
        <w:t>CENTER FOR DRUG EVALUATION AND RESEARCH APPLICATION NUMBER: 21-560 PHARMACOLOGY REVIEW(S) https://www.accessdata.fda.gov/drugsatfda_docs/nda/2010/021560s000pharmr.pdf</w:t>
      </w:r>
    </w:p>
    <w:p w14:paraId="3F1F4621" w14:textId="77777777" w:rsidR="00736A12" w:rsidRDefault="00736A12" w:rsidP="00C01452">
      <w:pPr>
        <w:pStyle w:val="af3"/>
        <w:numPr>
          <w:ilvl w:val="0"/>
          <w:numId w:val="9"/>
        </w:numPr>
        <w:tabs>
          <w:tab w:val="left" w:pos="142"/>
        </w:tabs>
        <w:spacing w:after="0" w:line="240" w:lineRule="auto"/>
        <w:ind w:left="426"/>
        <w:contextualSpacing w:val="0"/>
        <w:rPr>
          <w:color w:val="000000" w:themeColor="text1"/>
          <w:lang w:val="en-US"/>
        </w:rPr>
      </w:pPr>
      <w:r w:rsidRPr="007E3E4B">
        <w:rPr>
          <w:color w:val="000000" w:themeColor="text1"/>
          <w:lang w:val="en-US"/>
        </w:rPr>
        <w:t>EMA. Afinitor. ANNEX I. SUMMARY OF PRODUCT CHARACTERISTICS. https://www.ema.europa.eu/en/documents/product-information/afinitor-epar-product-information_en.pdf</w:t>
      </w:r>
    </w:p>
    <w:p w14:paraId="2DD22D8A" w14:textId="6DD68EF5" w:rsidR="00736A12" w:rsidRPr="007E3E4B" w:rsidRDefault="00D0135A" w:rsidP="00C01452">
      <w:pPr>
        <w:pStyle w:val="af3"/>
        <w:numPr>
          <w:ilvl w:val="0"/>
          <w:numId w:val="9"/>
        </w:numPr>
        <w:tabs>
          <w:tab w:val="left" w:pos="142"/>
        </w:tabs>
        <w:spacing w:after="0" w:line="240" w:lineRule="auto"/>
        <w:ind w:left="426" w:hanging="349"/>
        <w:contextualSpacing w:val="0"/>
        <w:rPr>
          <w:color w:val="000000" w:themeColor="text1"/>
          <w:lang w:val="en-US"/>
        </w:rPr>
      </w:pPr>
      <w:r>
        <w:rPr>
          <w:color w:val="000000" w:themeColor="text1"/>
          <w:lang w:val="en-US"/>
        </w:rPr>
        <w:t>Ceritican tablets. Summary of product characteristics updated 15-Jun-2022</w:t>
      </w:r>
      <w:r w:rsidR="00736A12" w:rsidRPr="007E3E4B">
        <w:rPr>
          <w:color w:val="000000" w:themeColor="text1"/>
          <w:lang w:val="en-US"/>
        </w:rPr>
        <w:t xml:space="preserve">. </w:t>
      </w:r>
      <w:r w:rsidRPr="00D0135A">
        <w:rPr>
          <w:lang w:val="en-US"/>
        </w:rPr>
        <w:t>https://www.medicines.org.uk/emc/product/1920/smpc#gref</w:t>
      </w:r>
    </w:p>
    <w:p w14:paraId="7329E0E5" w14:textId="77777777" w:rsidR="00736A12" w:rsidRPr="007E3E4B" w:rsidRDefault="00736A12" w:rsidP="00C01452">
      <w:pPr>
        <w:pStyle w:val="af3"/>
        <w:numPr>
          <w:ilvl w:val="0"/>
          <w:numId w:val="9"/>
        </w:numPr>
        <w:tabs>
          <w:tab w:val="left" w:pos="142"/>
        </w:tabs>
        <w:spacing w:after="0" w:line="240" w:lineRule="auto"/>
        <w:ind w:left="426" w:hanging="295"/>
        <w:rPr>
          <w:color w:val="000000" w:themeColor="text1"/>
        </w:rPr>
      </w:pPr>
      <w:r w:rsidRPr="007E3E4B">
        <w:rPr>
          <w:color w:val="000000" w:themeColor="text1"/>
        </w:rPr>
        <w:t>Официальная инструкция на оригинальный препарат Сертикан. 2019.</w:t>
      </w:r>
    </w:p>
    <w:p w14:paraId="28A5A243" w14:textId="77777777" w:rsidR="00736A12" w:rsidRDefault="00736A12" w:rsidP="00C01452">
      <w:pPr>
        <w:tabs>
          <w:tab w:val="left" w:pos="142"/>
        </w:tabs>
        <w:spacing w:after="0" w:line="240" w:lineRule="auto"/>
        <w:ind w:left="426"/>
        <w:rPr>
          <w:color w:val="000000" w:themeColor="text1"/>
        </w:rPr>
      </w:pPr>
      <w:r w:rsidRPr="002B1171">
        <w:rPr>
          <w:color w:val="000000" w:themeColor="text1"/>
        </w:rPr>
        <w:t>https://grls.rosminzdrav.ru/Grls_View_v2.aspx?routingGuid=aa52a60e-c1e1-4bbc-8bed-ad19f1b29960</w:t>
      </w:r>
    </w:p>
    <w:p w14:paraId="754E9B8F"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17" w:history="1">
        <w:r w:rsidR="00736A12" w:rsidRPr="00202BEE">
          <w:rPr>
            <w:rStyle w:val="cit"/>
            <w:lang w:val="en-US"/>
          </w:rPr>
          <w:t>S. Vítko</w:t>
        </w:r>
      </w:hyperlink>
      <w:r w:rsidR="00736A12" w:rsidRPr="00202BEE">
        <w:rPr>
          <w:rStyle w:val="comma"/>
          <w:shd w:val="clear" w:color="auto" w:fill="FFFFFF"/>
          <w:lang w:val="en-US"/>
        </w:rPr>
        <w:t>, </w:t>
      </w:r>
      <w:hyperlink r:id="rId18" w:history="1">
        <w:r w:rsidR="00736A12" w:rsidRPr="00202BEE">
          <w:rPr>
            <w:rStyle w:val="cit"/>
            <w:lang w:val="en-US"/>
          </w:rPr>
          <w:t>R. Margreiter</w:t>
        </w:r>
      </w:hyperlink>
      <w:r w:rsidR="00736A12" w:rsidRPr="00202BEE">
        <w:rPr>
          <w:rStyle w:val="comma"/>
          <w:shd w:val="clear" w:color="auto" w:fill="FFFFFF"/>
          <w:lang w:val="en-US"/>
        </w:rPr>
        <w:t>, </w:t>
      </w:r>
      <w:hyperlink r:id="rId19" w:history="1">
        <w:r w:rsidR="00736A12" w:rsidRPr="00202BEE">
          <w:rPr>
            <w:rStyle w:val="cit"/>
            <w:lang w:val="en-US"/>
          </w:rPr>
          <w:t>W. Weimar</w:t>
        </w:r>
      </w:hyperlink>
      <w:r w:rsidR="00736A12" w:rsidRPr="00202BEE">
        <w:rPr>
          <w:rStyle w:val="comma"/>
          <w:shd w:val="clear" w:color="auto" w:fill="FFFFFF"/>
          <w:lang w:val="en-US"/>
        </w:rPr>
        <w:t xml:space="preserve"> </w:t>
      </w:r>
      <w:r w:rsidR="00736A12">
        <w:rPr>
          <w:rStyle w:val="comma"/>
          <w:shd w:val="clear" w:color="auto" w:fill="FFFFFF"/>
          <w:lang w:val="en-US"/>
        </w:rPr>
        <w:t>at al</w:t>
      </w:r>
      <w:r w:rsidR="00736A12" w:rsidRPr="00202BEE">
        <w:rPr>
          <w:rStyle w:val="period"/>
          <w:shd w:val="clear" w:color="auto" w:fill="FFFFFF"/>
          <w:lang w:val="en-US"/>
        </w:rPr>
        <w:t xml:space="preserve">. </w:t>
      </w:r>
      <w:r w:rsidR="00736A12" w:rsidRPr="00202BEE">
        <w:rPr>
          <w:lang w:val="en-US"/>
        </w:rPr>
        <w:t>Three-year efficacy and safety results from a study of everolimus versus mycophenolate mofetil in de novo renal transplant patients. // Am J Transplant</w:t>
      </w:r>
      <w:r w:rsidR="00736A12" w:rsidRPr="00202BEE">
        <w:rPr>
          <w:rStyle w:val="period"/>
          <w:shd w:val="clear" w:color="auto" w:fill="FFFFFF"/>
          <w:lang w:val="en-US"/>
        </w:rPr>
        <w:t>. </w:t>
      </w:r>
      <w:r w:rsidR="00736A12" w:rsidRPr="00202BEE">
        <w:rPr>
          <w:rStyle w:val="cit"/>
          <w:shd w:val="clear" w:color="auto" w:fill="FFFFFF"/>
          <w:lang w:val="en-US"/>
        </w:rPr>
        <w:t>2005 Oct;</w:t>
      </w:r>
      <w:r w:rsidR="00736A12">
        <w:rPr>
          <w:rStyle w:val="cit"/>
          <w:shd w:val="clear" w:color="auto" w:fill="FFFFFF"/>
          <w:lang w:val="en-US"/>
        </w:rPr>
        <w:t xml:space="preserve"> </w:t>
      </w:r>
      <w:r w:rsidR="00736A12" w:rsidRPr="00202BEE">
        <w:rPr>
          <w:rStyle w:val="cit"/>
          <w:shd w:val="clear" w:color="auto" w:fill="FFFFFF"/>
          <w:lang w:val="en-US"/>
        </w:rPr>
        <w:t>5(10):2521-30.</w:t>
      </w:r>
    </w:p>
    <w:p w14:paraId="63B2B821"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20" w:history="1">
        <w:r w:rsidR="00736A12" w:rsidRPr="007B07A6">
          <w:rPr>
            <w:rStyle w:val="cit"/>
            <w:lang w:val="en-US"/>
          </w:rPr>
          <w:t>M.I .Lorber</w:t>
        </w:r>
      </w:hyperlink>
      <w:r w:rsidR="00736A12" w:rsidRPr="007B07A6">
        <w:rPr>
          <w:rStyle w:val="author-sup-separator"/>
          <w:shd w:val="clear" w:color="auto" w:fill="FFFFFF"/>
          <w:vertAlign w:val="superscript"/>
          <w:lang w:val="en-US"/>
        </w:rPr>
        <w:t> </w:t>
      </w:r>
      <w:r w:rsidR="00736A12" w:rsidRPr="007B07A6">
        <w:rPr>
          <w:rStyle w:val="comma"/>
          <w:shd w:val="clear" w:color="auto" w:fill="FFFFFF"/>
          <w:lang w:val="en-US"/>
        </w:rPr>
        <w:t>, </w:t>
      </w:r>
      <w:hyperlink r:id="rId21" w:history="1">
        <w:r w:rsidR="00736A12" w:rsidRPr="007B07A6">
          <w:rPr>
            <w:rStyle w:val="cit"/>
            <w:lang w:val="en-US"/>
          </w:rPr>
          <w:t>S. Mulgaonkar</w:t>
        </w:r>
      </w:hyperlink>
      <w:r w:rsidR="00736A12" w:rsidRPr="007B07A6">
        <w:rPr>
          <w:rStyle w:val="comma"/>
          <w:shd w:val="clear" w:color="auto" w:fill="FFFFFF"/>
          <w:lang w:val="en-US"/>
        </w:rPr>
        <w:t>, </w:t>
      </w:r>
      <w:hyperlink r:id="rId22" w:history="1">
        <w:r w:rsidR="00736A12" w:rsidRPr="007B07A6">
          <w:rPr>
            <w:rStyle w:val="cit"/>
            <w:lang w:val="en-US"/>
          </w:rPr>
          <w:t>K.M.H. Butt</w:t>
        </w:r>
      </w:hyperlink>
      <w:r w:rsidR="00736A12" w:rsidRPr="007B07A6">
        <w:rPr>
          <w:rStyle w:val="comma"/>
          <w:shd w:val="clear" w:color="auto" w:fill="FFFFFF"/>
          <w:lang w:val="en-US"/>
        </w:rPr>
        <w:t xml:space="preserve"> at al. </w:t>
      </w:r>
      <w:r w:rsidR="00736A12" w:rsidRPr="007B07A6">
        <w:rPr>
          <w:lang w:val="en-US"/>
        </w:rPr>
        <w:t xml:space="preserve">Everolimus versus mycophenolate mofetil in the prevention of rejection in de novo renal transplant recipients: a 3-year randomized, multicenter, phase III study.// Transplantation. </w:t>
      </w:r>
      <w:r w:rsidR="00736A12" w:rsidRPr="007B07A6">
        <w:rPr>
          <w:rStyle w:val="cit"/>
          <w:shd w:val="clear" w:color="auto" w:fill="FFFFFF"/>
        </w:rPr>
        <w:t>2005 Jul 27;80(2):244-52.</w:t>
      </w:r>
    </w:p>
    <w:p w14:paraId="5A4EBB81"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23" w:history="1">
        <w:r w:rsidR="00736A12" w:rsidRPr="007B07A6">
          <w:rPr>
            <w:rStyle w:val="cit"/>
            <w:lang w:val="en-US"/>
          </w:rPr>
          <w:t>S. Vitko</w:t>
        </w:r>
      </w:hyperlink>
      <w:r w:rsidR="00736A12" w:rsidRPr="007B07A6">
        <w:rPr>
          <w:rStyle w:val="comma"/>
          <w:shd w:val="clear" w:color="auto" w:fill="FFFFFF"/>
          <w:lang w:val="en-US"/>
        </w:rPr>
        <w:t>, </w:t>
      </w:r>
      <w:hyperlink r:id="rId24" w:history="1">
        <w:r w:rsidR="00736A12" w:rsidRPr="007B07A6">
          <w:rPr>
            <w:rStyle w:val="cit"/>
            <w:lang w:val="en-US"/>
          </w:rPr>
          <w:t>H. Tedesco</w:t>
        </w:r>
      </w:hyperlink>
      <w:r w:rsidR="00736A12" w:rsidRPr="007B07A6">
        <w:rPr>
          <w:rStyle w:val="comma"/>
          <w:shd w:val="clear" w:color="auto" w:fill="FFFFFF"/>
          <w:lang w:val="en-US"/>
        </w:rPr>
        <w:t>, </w:t>
      </w:r>
      <w:hyperlink r:id="rId25" w:history="1">
        <w:r w:rsidR="00736A12" w:rsidRPr="007B07A6">
          <w:rPr>
            <w:rStyle w:val="cit"/>
            <w:lang w:val="en-US"/>
          </w:rPr>
          <w:t>J. Eris</w:t>
        </w:r>
      </w:hyperlink>
      <w:r w:rsidR="00736A12" w:rsidRPr="007B07A6">
        <w:rPr>
          <w:rStyle w:val="comma"/>
          <w:shd w:val="clear" w:color="auto" w:fill="FFFFFF"/>
          <w:lang w:val="en-US"/>
        </w:rPr>
        <w:t xml:space="preserve"> at al. </w:t>
      </w:r>
      <w:r w:rsidR="00736A12" w:rsidRPr="007B07A6">
        <w:rPr>
          <w:lang w:val="en-US"/>
        </w:rPr>
        <w:t xml:space="preserve">Everolimus with optimized cyclosporine dosing in renal transplant recipients: 6-month safety and efficacy results of two randomized studies.// Am J Transplant. </w:t>
      </w:r>
      <w:r w:rsidR="00736A12" w:rsidRPr="007B07A6">
        <w:rPr>
          <w:rStyle w:val="cit"/>
          <w:shd w:val="clear" w:color="auto" w:fill="FFFFFF"/>
        </w:rPr>
        <w:t>2004 Apr;4(4):626-35.</w:t>
      </w:r>
    </w:p>
    <w:p w14:paraId="197C24D3"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26" w:history="1">
        <w:r w:rsidR="00736A12" w:rsidRPr="00407E47">
          <w:rPr>
            <w:rStyle w:val="cit"/>
            <w:lang w:val="en-US"/>
          </w:rPr>
          <w:t>M. Carmellini</w:t>
        </w:r>
      </w:hyperlink>
      <w:r w:rsidR="00736A12" w:rsidRPr="00407E47">
        <w:rPr>
          <w:rStyle w:val="comma"/>
          <w:shd w:val="clear" w:color="auto" w:fill="FFFFFF"/>
          <w:lang w:val="en-US"/>
        </w:rPr>
        <w:t>, </w:t>
      </w:r>
      <w:hyperlink r:id="rId27" w:history="1">
        <w:r w:rsidR="00736A12" w:rsidRPr="00407E47">
          <w:rPr>
            <w:rStyle w:val="cit"/>
            <w:lang w:val="en-US"/>
          </w:rPr>
          <w:t>V. Garcia</w:t>
        </w:r>
      </w:hyperlink>
      <w:r w:rsidR="00736A12" w:rsidRPr="00407E47">
        <w:rPr>
          <w:rStyle w:val="comma"/>
          <w:shd w:val="clear" w:color="auto" w:fill="FFFFFF"/>
          <w:lang w:val="en-US"/>
        </w:rPr>
        <w:t>, </w:t>
      </w:r>
      <w:hyperlink r:id="rId28" w:history="1">
        <w:r w:rsidR="00736A12" w:rsidRPr="00407E47">
          <w:rPr>
            <w:rStyle w:val="cit"/>
            <w:lang w:val="en-US"/>
          </w:rPr>
          <w:t>Z. Wang</w:t>
        </w:r>
      </w:hyperlink>
      <w:r w:rsidR="00736A12" w:rsidRPr="00407E47">
        <w:rPr>
          <w:rStyle w:val="period"/>
          <w:shd w:val="clear" w:color="auto" w:fill="FFFFFF"/>
          <w:lang w:val="en-US"/>
        </w:rPr>
        <w:t xml:space="preserve"> et al. </w:t>
      </w:r>
      <w:r w:rsidR="00736A12" w:rsidRPr="00407E47">
        <w:rPr>
          <w:lang w:val="en-US"/>
        </w:rPr>
        <w:t xml:space="preserve">Efficacy of everolimus with reduced-exposure cyclosporine in de novo kidney transplant patients at increased risk for efficacy events: analysis of a randomized trial.// J Nephrol. </w:t>
      </w:r>
      <w:r w:rsidR="00736A12" w:rsidRPr="00407E47">
        <w:rPr>
          <w:rStyle w:val="cit"/>
          <w:shd w:val="clear" w:color="auto" w:fill="FFFFFF"/>
        </w:rPr>
        <w:t>2015 Oct;28(5):633-9.</w:t>
      </w:r>
    </w:p>
    <w:p w14:paraId="4A9D67C7"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29" w:history="1">
        <w:r w:rsidR="00736A12" w:rsidRPr="00A36871">
          <w:rPr>
            <w:rStyle w:val="cit"/>
            <w:lang w:val="en-US"/>
          </w:rPr>
          <w:t>H.J. Eisen</w:t>
        </w:r>
      </w:hyperlink>
      <w:r w:rsidR="00736A12" w:rsidRPr="00A36871">
        <w:rPr>
          <w:rStyle w:val="comma"/>
          <w:shd w:val="clear" w:color="auto" w:fill="FFFFFF"/>
          <w:lang w:val="en-US"/>
        </w:rPr>
        <w:t>, </w:t>
      </w:r>
      <w:hyperlink r:id="rId30" w:history="1">
        <w:r w:rsidR="00736A12" w:rsidRPr="00A36871">
          <w:rPr>
            <w:rStyle w:val="cit"/>
            <w:lang w:val="en-US"/>
          </w:rPr>
          <w:t>E.M. Tuzcu</w:t>
        </w:r>
      </w:hyperlink>
      <w:r w:rsidR="00736A12" w:rsidRPr="00A36871">
        <w:rPr>
          <w:rStyle w:val="comma"/>
          <w:shd w:val="clear" w:color="auto" w:fill="FFFFFF"/>
          <w:lang w:val="en-US"/>
        </w:rPr>
        <w:t>, </w:t>
      </w:r>
      <w:hyperlink r:id="rId31" w:history="1">
        <w:r w:rsidR="00736A12" w:rsidRPr="00A36871">
          <w:rPr>
            <w:rStyle w:val="cit"/>
            <w:lang w:val="en-US"/>
          </w:rPr>
          <w:t>R. Dorent</w:t>
        </w:r>
      </w:hyperlink>
      <w:r w:rsidR="00736A12" w:rsidRPr="00A36871">
        <w:rPr>
          <w:rStyle w:val="comma"/>
          <w:shd w:val="clear" w:color="auto" w:fill="FFFFFF"/>
          <w:lang w:val="en-US"/>
        </w:rPr>
        <w:t xml:space="preserve"> et al. </w:t>
      </w:r>
      <w:r w:rsidR="00736A12" w:rsidRPr="00A36871">
        <w:rPr>
          <w:lang w:val="en-US"/>
        </w:rPr>
        <w:t>Everolimus for the prevention of allograft rejection and vasculopathy in cardiac-transplant recipients.// N</w:t>
      </w:r>
      <w:r w:rsidR="00736A12" w:rsidRPr="00A36871">
        <w:t xml:space="preserve"> </w:t>
      </w:r>
      <w:r w:rsidR="00736A12" w:rsidRPr="00A36871">
        <w:rPr>
          <w:lang w:val="en-US"/>
        </w:rPr>
        <w:t>Engl</w:t>
      </w:r>
      <w:r w:rsidR="00736A12" w:rsidRPr="00A36871">
        <w:t xml:space="preserve"> </w:t>
      </w:r>
      <w:r w:rsidR="00736A12" w:rsidRPr="00A36871">
        <w:rPr>
          <w:lang w:val="en-US"/>
        </w:rPr>
        <w:t>J</w:t>
      </w:r>
      <w:r w:rsidR="00736A12" w:rsidRPr="00A36871">
        <w:t xml:space="preserve"> </w:t>
      </w:r>
      <w:r w:rsidR="00736A12" w:rsidRPr="00A36871">
        <w:rPr>
          <w:lang w:val="en-US"/>
        </w:rPr>
        <w:t>Med</w:t>
      </w:r>
      <w:r w:rsidR="00736A12" w:rsidRPr="00A36871">
        <w:t xml:space="preserve">. </w:t>
      </w:r>
      <w:r w:rsidR="00736A12" w:rsidRPr="00A36871">
        <w:rPr>
          <w:rStyle w:val="cit"/>
          <w:shd w:val="clear" w:color="auto" w:fill="FFFFFF"/>
        </w:rPr>
        <w:t>2003 Aug 28;349(9):847-58.</w:t>
      </w:r>
    </w:p>
    <w:p w14:paraId="13A30ED1" w14:textId="77777777" w:rsidR="00736A12" w:rsidRPr="002B1171" w:rsidRDefault="006650E3" w:rsidP="00C01452">
      <w:pPr>
        <w:pStyle w:val="af3"/>
        <w:numPr>
          <w:ilvl w:val="0"/>
          <w:numId w:val="9"/>
        </w:numPr>
        <w:tabs>
          <w:tab w:val="left" w:pos="142"/>
        </w:tabs>
        <w:spacing w:after="0" w:line="240" w:lineRule="auto"/>
        <w:ind w:left="426"/>
        <w:rPr>
          <w:rStyle w:val="cit"/>
          <w:color w:val="000000" w:themeColor="text1"/>
        </w:rPr>
      </w:pPr>
      <w:hyperlink r:id="rId32" w:history="1">
        <w:r w:rsidR="00736A12" w:rsidRPr="00C73A27">
          <w:rPr>
            <w:rStyle w:val="cit"/>
            <w:lang w:val="en-US"/>
          </w:rPr>
          <w:t>M. Viganò</w:t>
        </w:r>
      </w:hyperlink>
      <w:r w:rsidR="00736A12" w:rsidRPr="00C73A27">
        <w:rPr>
          <w:rStyle w:val="comma"/>
          <w:shd w:val="clear" w:color="auto" w:fill="FFFFFF"/>
          <w:lang w:val="en-US"/>
        </w:rPr>
        <w:t>, </w:t>
      </w:r>
      <w:hyperlink r:id="rId33" w:history="1">
        <w:r w:rsidR="00736A12" w:rsidRPr="00C73A27">
          <w:rPr>
            <w:rStyle w:val="cit"/>
            <w:lang w:val="en-US"/>
          </w:rPr>
          <w:t>T. Dengler</w:t>
        </w:r>
      </w:hyperlink>
      <w:r w:rsidR="00736A12" w:rsidRPr="00C73A27">
        <w:rPr>
          <w:rStyle w:val="comma"/>
          <w:shd w:val="clear" w:color="auto" w:fill="FFFFFF"/>
          <w:lang w:val="en-US"/>
        </w:rPr>
        <w:t>, </w:t>
      </w:r>
      <w:hyperlink r:id="rId34" w:history="1">
        <w:r w:rsidR="00736A12" w:rsidRPr="00C73A27">
          <w:rPr>
            <w:rStyle w:val="cit"/>
            <w:lang w:val="en-US"/>
          </w:rPr>
          <w:t>M.F. Mattei</w:t>
        </w:r>
      </w:hyperlink>
      <w:r w:rsidR="00736A12" w:rsidRPr="00C73A27">
        <w:rPr>
          <w:rStyle w:val="comma"/>
          <w:shd w:val="clear" w:color="auto" w:fill="FFFFFF"/>
          <w:lang w:val="en-US"/>
        </w:rPr>
        <w:t xml:space="preserve"> et al. </w:t>
      </w:r>
      <w:r w:rsidR="00736A12" w:rsidRPr="00C73A27">
        <w:rPr>
          <w:lang w:val="en-US"/>
        </w:rPr>
        <w:t xml:space="preserve">Lower incidence of cytomegalovirus infection with everolimus versus mycophenolate mofetil in de novo cardiac transplant recipients: a randomized, multicenter study.// Transpl Infect Dis. </w:t>
      </w:r>
      <w:r w:rsidR="00736A12" w:rsidRPr="00C73A27">
        <w:rPr>
          <w:rStyle w:val="cit"/>
          <w:shd w:val="clear" w:color="auto" w:fill="FFFFFF"/>
        </w:rPr>
        <w:t>2010 Feb;12(1):23-30.</w:t>
      </w:r>
    </w:p>
    <w:p w14:paraId="717C3360" w14:textId="77777777" w:rsidR="00736A12" w:rsidRPr="002B1171" w:rsidRDefault="00736A12" w:rsidP="00C01452">
      <w:pPr>
        <w:pStyle w:val="af3"/>
        <w:numPr>
          <w:ilvl w:val="0"/>
          <w:numId w:val="9"/>
        </w:numPr>
        <w:tabs>
          <w:tab w:val="left" w:pos="142"/>
        </w:tabs>
        <w:spacing w:after="0" w:line="240" w:lineRule="auto"/>
        <w:ind w:left="426"/>
        <w:rPr>
          <w:color w:val="000000" w:themeColor="text1"/>
        </w:rPr>
      </w:pPr>
      <w:r w:rsidRPr="00993E6E">
        <w:rPr>
          <w:rFonts w:eastAsia="Times New Roman"/>
          <w:color w:val="2E2E2E"/>
          <w:lang w:val="en-US" w:eastAsia="ru-RU"/>
        </w:rPr>
        <w:t>H.J. Eisen, J. Kobashigawa, R.C. Starling, </w:t>
      </w:r>
      <w:r w:rsidRPr="00993E6E">
        <w:rPr>
          <w:rFonts w:eastAsia="Times New Roman"/>
          <w:i/>
          <w:iCs/>
          <w:color w:val="2E2E2E"/>
          <w:lang w:val="en-US" w:eastAsia="ru-RU"/>
        </w:rPr>
        <w:t>et al.</w:t>
      </w:r>
      <w:r w:rsidRPr="00993E6E">
        <w:rPr>
          <w:rFonts w:eastAsia="Times New Roman"/>
          <w:color w:val="2E2E2E"/>
          <w:lang w:val="en-US" w:eastAsia="ru-RU"/>
        </w:rPr>
        <w:t xml:space="preserve"> </w:t>
      </w:r>
      <w:r w:rsidRPr="00993E6E">
        <w:rPr>
          <w:rFonts w:eastAsia="Times New Roman"/>
          <w:bCs/>
          <w:color w:val="2E2E2E"/>
          <w:lang w:val="en-US" w:eastAsia="ru-RU"/>
        </w:rPr>
        <w:t>Everolimus versus mycophenolate mofetil in heart transplantation: a randomized, multicenter trial</w:t>
      </w:r>
      <w:r w:rsidRPr="00993E6E">
        <w:rPr>
          <w:rFonts w:eastAsia="Times New Roman"/>
          <w:color w:val="2E2E2E"/>
          <w:lang w:val="en-US" w:eastAsia="ru-RU"/>
        </w:rPr>
        <w:t>.// Am J Transplant, 13 (2013), pp. 1203-1216</w:t>
      </w:r>
      <w:r>
        <w:rPr>
          <w:rFonts w:eastAsia="Times New Roman"/>
          <w:color w:val="2E2E2E"/>
          <w:lang w:val="en-US" w:eastAsia="ru-RU"/>
        </w:rPr>
        <w:t>.</w:t>
      </w:r>
    </w:p>
    <w:p w14:paraId="4F639639" w14:textId="7BAB5D3F" w:rsidR="00736A12" w:rsidRPr="00711874" w:rsidRDefault="006650E3" w:rsidP="00C01452">
      <w:pPr>
        <w:pStyle w:val="af3"/>
        <w:numPr>
          <w:ilvl w:val="0"/>
          <w:numId w:val="9"/>
        </w:numPr>
        <w:tabs>
          <w:tab w:val="left" w:pos="142"/>
        </w:tabs>
        <w:spacing w:after="0" w:line="240" w:lineRule="auto"/>
        <w:ind w:left="426"/>
        <w:rPr>
          <w:rStyle w:val="cit"/>
          <w:color w:val="000000" w:themeColor="text1"/>
        </w:rPr>
      </w:pPr>
      <w:hyperlink r:id="rId35" w:history="1">
        <w:r w:rsidR="00736A12" w:rsidRPr="00993E6E">
          <w:rPr>
            <w:rStyle w:val="cit"/>
            <w:lang w:val="en-US"/>
          </w:rPr>
          <w:t>P. De Simone</w:t>
        </w:r>
      </w:hyperlink>
      <w:r w:rsidR="00736A12" w:rsidRPr="00993E6E">
        <w:rPr>
          <w:rStyle w:val="comma"/>
          <w:shd w:val="clear" w:color="auto" w:fill="FFFFFF"/>
          <w:lang w:val="en-US"/>
        </w:rPr>
        <w:t>, </w:t>
      </w:r>
      <w:hyperlink r:id="rId36" w:history="1">
        <w:r w:rsidR="00736A12" w:rsidRPr="00993E6E">
          <w:rPr>
            <w:rStyle w:val="cit"/>
            <w:lang w:val="en-US"/>
          </w:rPr>
          <w:t>F. Nevens</w:t>
        </w:r>
      </w:hyperlink>
      <w:r w:rsidR="00736A12" w:rsidRPr="00993E6E">
        <w:rPr>
          <w:rStyle w:val="comma"/>
          <w:shd w:val="clear" w:color="auto" w:fill="FFFFFF"/>
          <w:lang w:val="en-US"/>
        </w:rPr>
        <w:t>, </w:t>
      </w:r>
      <w:hyperlink r:id="rId37" w:history="1">
        <w:r w:rsidR="00736A12" w:rsidRPr="00993E6E">
          <w:rPr>
            <w:rStyle w:val="cit"/>
            <w:lang w:val="en-US"/>
          </w:rPr>
          <w:t>L. De Carlis</w:t>
        </w:r>
      </w:hyperlink>
      <w:r w:rsidR="00736A12" w:rsidRPr="00993E6E">
        <w:rPr>
          <w:rStyle w:val="comma"/>
          <w:shd w:val="clear" w:color="auto" w:fill="FFFFFF"/>
          <w:lang w:val="en-US"/>
        </w:rPr>
        <w:t xml:space="preserve"> et al. </w:t>
      </w:r>
      <w:r w:rsidR="00736A12" w:rsidRPr="00993E6E">
        <w:rPr>
          <w:lang w:val="en-US"/>
        </w:rPr>
        <w:t xml:space="preserve">Everolimus with reduced tacrolimus improves renal function in de novo liver transplant recipients: a randomized controlled trial.// Am J Transplant. </w:t>
      </w:r>
      <w:r w:rsidR="00736A12" w:rsidRPr="00993E6E">
        <w:rPr>
          <w:rStyle w:val="cit"/>
          <w:shd w:val="clear" w:color="auto" w:fill="FFFFFF"/>
        </w:rPr>
        <w:t>2012 Nov;12(11):3008-20.</w:t>
      </w:r>
    </w:p>
    <w:p w14:paraId="6281FE62" w14:textId="416536D8" w:rsidR="00711874" w:rsidRPr="00711874" w:rsidRDefault="00711874" w:rsidP="00C01452">
      <w:pPr>
        <w:pStyle w:val="af3"/>
        <w:numPr>
          <w:ilvl w:val="0"/>
          <w:numId w:val="9"/>
        </w:numPr>
        <w:tabs>
          <w:tab w:val="left" w:pos="142"/>
        </w:tabs>
        <w:spacing w:after="0" w:line="240" w:lineRule="auto"/>
        <w:ind w:left="425" w:hanging="357"/>
        <w:contextualSpacing w:val="0"/>
        <w:rPr>
          <w:rStyle w:val="src"/>
          <w:color w:val="000000" w:themeColor="text1"/>
          <w:lang w:val="en-US"/>
        </w:rPr>
      </w:pPr>
      <w:r w:rsidRPr="00711874">
        <w:rPr>
          <w:rStyle w:val="src"/>
          <w:color w:val="000000" w:themeColor="text1"/>
          <w:lang w:val="en-US"/>
        </w:rPr>
        <w:t>P</w:t>
      </w:r>
      <w:r>
        <w:rPr>
          <w:rStyle w:val="src"/>
          <w:color w:val="000000" w:themeColor="text1"/>
          <w:lang w:val="en-US"/>
        </w:rPr>
        <w:t>allet, N., &amp; Legendre, C</w:t>
      </w:r>
      <w:r w:rsidRPr="00711874">
        <w:rPr>
          <w:rStyle w:val="src"/>
          <w:color w:val="000000" w:themeColor="text1"/>
          <w:lang w:val="en-US"/>
        </w:rPr>
        <w:t xml:space="preserve">. Adverse events associated with mTOR inhibitors. Expert Opinion </w:t>
      </w:r>
      <w:r>
        <w:rPr>
          <w:rStyle w:val="src"/>
          <w:color w:val="000000" w:themeColor="text1"/>
          <w:lang w:val="en-US"/>
        </w:rPr>
        <w:t>on Drug Safety, 12(2), 177–186.</w:t>
      </w:r>
    </w:p>
    <w:p w14:paraId="22D4B455" w14:textId="77777777" w:rsidR="008B7FBF" w:rsidRPr="00C1412D" w:rsidRDefault="008B7FBF" w:rsidP="00C01452">
      <w:pPr>
        <w:pStyle w:val="12"/>
        <w:spacing w:line="240" w:lineRule="auto"/>
        <w:rPr>
          <w:rStyle w:val="src"/>
          <w:rFonts w:cs="Times New Roman"/>
          <w:color w:val="000000" w:themeColor="text1"/>
          <w:szCs w:val="24"/>
        </w:rPr>
      </w:pPr>
      <w:bookmarkStart w:id="355" w:name="_Toc118124224"/>
      <w:bookmarkStart w:id="356" w:name="_Toc119313790"/>
      <w:r w:rsidRPr="00C1412D">
        <w:rPr>
          <w:rStyle w:val="src"/>
          <w:rFonts w:cs="Times New Roman"/>
          <w:color w:val="000000" w:themeColor="text1"/>
          <w:szCs w:val="24"/>
        </w:rPr>
        <w:t>5. ОБСУЖДЕНИЕ ДАННЫХ И ИНСТРУКЦИИ ДЛЯ ИССЛЕДОВАТЕЛЯ</w:t>
      </w:r>
      <w:bookmarkEnd w:id="354"/>
      <w:bookmarkEnd w:id="355"/>
      <w:bookmarkEnd w:id="356"/>
    </w:p>
    <w:p w14:paraId="5516EB6E" w14:textId="77777777" w:rsidR="008B7FBF" w:rsidRPr="00C1412D" w:rsidRDefault="008B7FBF" w:rsidP="00707D60">
      <w:pPr>
        <w:pStyle w:val="2"/>
        <w:spacing w:line="240" w:lineRule="auto"/>
        <w:rPr>
          <w:color w:val="000000" w:themeColor="text1"/>
          <w:szCs w:val="24"/>
        </w:rPr>
      </w:pPr>
      <w:bookmarkStart w:id="357" w:name="_Toc115217983"/>
      <w:bookmarkStart w:id="358" w:name="_Toc118124225"/>
      <w:bookmarkStart w:id="359" w:name="_Toc119313791"/>
      <w:r w:rsidRPr="00C1412D">
        <w:rPr>
          <w:color w:val="000000" w:themeColor="text1"/>
          <w:szCs w:val="24"/>
        </w:rPr>
        <w:t>5.1. Обсуждение данных доклинических исследований</w:t>
      </w:r>
      <w:bookmarkEnd w:id="357"/>
      <w:bookmarkEnd w:id="358"/>
      <w:bookmarkEnd w:id="359"/>
    </w:p>
    <w:p w14:paraId="610BBAE5" w14:textId="45CEA688" w:rsidR="00CE775D" w:rsidRPr="00A4718B" w:rsidRDefault="00CE775D" w:rsidP="00CE775D">
      <w:pPr>
        <w:spacing w:after="0" w:line="240" w:lineRule="auto"/>
        <w:ind w:firstLine="709"/>
      </w:pPr>
      <w:bookmarkStart w:id="360" w:name="_Toc115217984"/>
      <w:bookmarkStart w:id="361" w:name="_Hlk484355353"/>
      <w:r w:rsidRPr="00707D60">
        <w:t xml:space="preserve">Доклинических исследований препарата </w:t>
      </w:r>
      <w:r>
        <w:rPr>
          <w:lang w:val="en-US"/>
        </w:rPr>
        <w:t>DT</w:t>
      </w:r>
      <w:r w:rsidRPr="00A4718B">
        <w:t>-</w:t>
      </w:r>
      <w:r w:rsidRPr="00A4718B">
        <w:rPr>
          <w:lang w:val="en-US"/>
        </w:rPr>
        <w:t>EVR</w:t>
      </w:r>
      <w:r w:rsidRPr="00A4718B">
        <w:t xml:space="preserve">, таблетки </w:t>
      </w:r>
      <w:r>
        <w:t>0,2</w:t>
      </w:r>
      <w:r w:rsidRPr="00A4718B">
        <w:t xml:space="preserve">5 мг, </w:t>
      </w:r>
      <w:r>
        <w:t xml:space="preserve">0,5 мг и </w:t>
      </w:r>
      <w:r w:rsidRPr="00A4718B">
        <w:t>0</w:t>
      </w:r>
      <w:r>
        <w:t>,75</w:t>
      </w:r>
      <w:r w:rsidRPr="00A4718B">
        <w:t xml:space="preserve"> мг (АО «Р-Фарм», Россия) не проводилось. Так как препарат </w:t>
      </w:r>
      <w:r>
        <w:rPr>
          <w:lang w:val="en-US"/>
        </w:rPr>
        <w:t>DT</w:t>
      </w:r>
      <w:r w:rsidRPr="00A4718B">
        <w:t>-</w:t>
      </w:r>
      <w:r w:rsidRPr="00A4718B">
        <w:rPr>
          <w:lang w:val="en-US"/>
        </w:rPr>
        <w:t>EVR</w:t>
      </w:r>
      <w:r w:rsidRPr="00A4718B">
        <w:t xml:space="preserve"> (АО «Р-Фарм», Россия), представляет собой воспроизведенный препарат эверолимуса, который </w:t>
      </w:r>
      <w:r w:rsidRPr="00A4718B">
        <w:rPr>
          <w:color w:val="000000"/>
        </w:rPr>
        <w:t>полностью соответствует по качественному и количественному составу действующего</w:t>
      </w:r>
      <w:r>
        <w:rPr>
          <w:color w:val="000000"/>
        </w:rPr>
        <w:t xml:space="preserve"> и </w:t>
      </w:r>
      <w:r w:rsidR="002608A1">
        <w:rPr>
          <w:color w:val="000000"/>
        </w:rPr>
        <w:t xml:space="preserve">основных </w:t>
      </w:r>
      <w:r>
        <w:rPr>
          <w:color w:val="000000"/>
        </w:rPr>
        <w:t xml:space="preserve">вспомогательных веществ, лекарственной форме и дозировке референтному препарату эверолимуса </w:t>
      </w:r>
      <w:r>
        <w:rPr>
          <w:lang w:eastAsia="ru-RU" w:bidi="ru-RU"/>
        </w:rPr>
        <w:t>Сертикан</w:t>
      </w:r>
      <w:r w:rsidRPr="00FC4D18">
        <w:rPr>
          <w:color w:val="000000" w:themeColor="text1"/>
          <w:vertAlign w:val="superscript"/>
        </w:rPr>
        <w:t>®</w:t>
      </w:r>
      <w:r w:rsidRPr="00FC4D18">
        <w:rPr>
          <w:color w:val="000000" w:themeColor="text1"/>
        </w:rPr>
        <w:t xml:space="preserve"> (</w:t>
      </w:r>
      <w:r w:rsidRPr="00FC4D18">
        <w:rPr>
          <w:rFonts w:eastAsia="Calibri"/>
        </w:rPr>
        <w:t>Новартис Фарма АГ, Швейцария</w:t>
      </w:r>
      <w:r>
        <w:rPr>
          <w:color w:val="000000" w:themeColor="text1"/>
        </w:rPr>
        <w:t xml:space="preserve">), </w:t>
      </w:r>
      <w:r w:rsidR="002608A1">
        <w:rPr>
          <w:lang w:eastAsia="ru-RU"/>
        </w:rPr>
        <w:t>имея отличия в качественном и количественном составе некоторых вспомогательных веществ</w:t>
      </w:r>
      <w:r>
        <w:rPr>
          <w:lang w:eastAsia="ru-RU"/>
        </w:rPr>
        <w:t>,</w:t>
      </w:r>
      <w:r>
        <w:t xml:space="preserve"> </w:t>
      </w:r>
      <w:r w:rsidRPr="00707D60">
        <w:t>ожидается, что его свойства будут идентичны свойствам оригинального препарата.</w:t>
      </w:r>
      <w:r w:rsidRPr="00A4718B">
        <w:t xml:space="preserve"> </w:t>
      </w:r>
      <w:r>
        <w:t xml:space="preserve">Для прогнозирования токсического действия, планируемого к регистрации и коммерческому выпуску препарата </w:t>
      </w:r>
      <w:r>
        <w:rPr>
          <w:color w:val="000000" w:themeColor="text1"/>
          <w:lang w:val="en-US"/>
        </w:rPr>
        <w:t>DT</w:t>
      </w:r>
      <w:r>
        <w:rPr>
          <w:color w:val="000000" w:themeColor="text1"/>
        </w:rPr>
        <w:t>-</w:t>
      </w:r>
      <w:r>
        <w:rPr>
          <w:color w:val="000000" w:themeColor="text1"/>
          <w:lang w:val="en-US"/>
        </w:rPr>
        <w:t>EVR</w:t>
      </w:r>
      <w:r>
        <w:t xml:space="preserve"> были проанализированы данные исследований по изучению фармакологии и токсикологии оригинального препарата эверолимуса. Поскольку лекарственный препарат </w:t>
      </w:r>
      <w:r>
        <w:rPr>
          <w:color w:val="000000" w:themeColor="text1"/>
          <w:lang w:val="en-US"/>
        </w:rPr>
        <w:t>DT</w:t>
      </w:r>
      <w:r>
        <w:rPr>
          <w:color w:val="000000" w:themeColor="text1"/>
        </w:rPr>
        <w:t>-</w:t>
      </w:r>
      <w:r>
        <w:rPr>
          <w:color w:val="000000" w:themeColor="text1"/>
          <w:lang w:val="en-US"/>
        </w:rPr>
        <w:t>EVR</w:t>
      </w:r>
      <w:r>
        <w:t xml:space="preserve"> является воспроизведенным препаратом, собственные доклинические исследования не проводились.</w:t>
      </w:r>
    </w:p>
    <w:p w14:paraId="1A0DC1AE" w14:textId="77777777" w:rsidR="00CE775D" w:rsidRPr="0021251A" w:rsidRDefault="00CE775D" w:rsidP="00CE775D">
      <w:pPr>
        <w:pStyle w:val="OT"/>
        <w:spacing w:after="0"/>
        <w:ind w:firstLine="709"/>
        <w:rPr>
          <w:sz w:val="24"/>
          <w:szCs w:val="24"/>
        </w:rPr>
      </w:pPr>
      <w:r w:rsidRPr="0021251A">
        <w:rPr>
          <w:sz w:val="24"/>
          <w:szCs w:val="24"/>
        </w:rPr>
        <w:t xml:space="preserve">Для изучения </w:t>
      </w:r>
      <w:r>
        <w:rPr>
          <w:color w:val="000000"/>
          <w:sz w:val="24"/>
          <w:szCs w:val="24"/>
        </w:rPr>
        <w:t>эверолимуса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эверолимуса</w:t>
      </w:r>
      <w:r w:rsidRPr="0021251A">
        <w:rPr>
          <w:sz w:val="24"/>
          <w:szCs w:val="24"/>
        </w:rPr>
        <w:t>.</w:t>
      </w:r>
    </w:p>
    <w:p w14:paraId="1CCBE590" w14:textId="77777777" w:rsidR="00CE775D" w:rsidRPr="00707D60" w:rsidRDefault="00CE775D" w:rsidP="00CE775D">
      <w:pPr>
        <w:autoSpaceDE w:val="0"/>
        <w:autoSpaceDN w:val="0"/>
        <w:adjustRightInd w:val="0"/>
        <w:spacing w:after="0" w:line="240" w:lineRule="auto"/>
        <w:ind w:firstLine="708"/>
        <w:rPr>
          <w:lang w:eastAsia="en-US"/>
        </w:rPr>
      </w:pPr>
      <w:r w:rsidRPr="00707D60">
        <w:t>Эверолимус является избирательным ингибитором mTOR, специфически воздействующим на комплекс mTORC1 сигналпреобразующей mTOR-киназы и регуляторного raptor-протеина (regulatory associated protein of mTOR). Комплекс mTORC1 является важнейшим регулятором синтеза белка в дистальной части РI3К/А</w:t>
      </w:r>
      <w:r>
        <w:t>КТ-зависимого каскада, который</w:t>
      </w:r>
      <w:r w:rsidRPr="00707D60">
        <w:t xml:space="preserve"> </w:t>
      </w:r>
      <w:r>
        <w:t>играет ключевую роль в регкляции клеточного цикла</w:t>
      </w:r>
      <w:r w:rsidRPr="00707D60">
        <w:t xml:space="preserve">. Эверолимус проявляет свою активность за счет высокоаффинного взаимодействия с внутриклеточным рецепторным белком FKBP12. Комплекс FKBP12-эверолимус связывается с mTORC1, ингибируя его способность к передаче сигналов. Ингибирование mTORCl нарушает трансляцию мРНК </w:t>
      </w:r>
      <w:r>
        <w:t>при образовании</w:t>
      </w:r>
      <w:r w:rsidRPr="00707D60">
        <w:t xml:space="preserve"> основных протеинов, участвующих в регуляции клеточного цикла, гликолиза и адаптации клеток к низкому уровню кислорода (гипоксии)</w:t>
      </w:r>
      <w:r w:rsidRPr="00707D60">
        <w:rPr>
          <w:lang w:eastAsia="en-US"/>
        </w:rPr>
        <w:t>.</w:t>
      </w:r>
    </w:p>
    <w:p w14:paraId="55328560" w14:textId="77777777" w:rsidR="00CE775D" w:rsidRPr="00707D60" w:rsidRDefault="00CE775D" w:rsidP="00CE775D">
      <w:pPr>
        <w:autoSpaceDE w:val="0"/>
        <w:autoSpaceDN w:val="0"/>
        <w:adjustRightInd w:val="0"/>
        <w:spacing w:after="0" w:line="240" w:lineRule="auto"/>
        <w:ind w:firstLine="708"/>
        <w:rPr>
          <w:color w:val="000000" w:themeColor="text1"/>
        </w:rPr>
      </w:pPr>
      <w:r w:rsidRPr="00707D60">
        <w:rPr>
          <w:color w:val="000000" w:themeColor="text1"/>
          <w:shd w:val="clear" w:color="auto" w:fill="FFFFFF"/>
        </w:rPr>
        <w:t xml:space="preserve">Две клеточных линии человека RCC (786-O и Caki-1) тестировали на чувствительность к эверолимусу </w:t>
      </w:r>
      <w:r w:rsidRPr="004C3C61">
        <w:rPr>
          <w:i/>
          <w:color w:val="000000" w:themeColor="text1"/>
          <w:shd w:val="clear" w:color="auto" w:fill="FFFFFF"/>
        </w:rPr>
        <w:t>in vivo</w:t>
      </w:r>
      <w:r w:rsidRPr="00707D60">
        <w:rPr>
          <w:color w:val="000000" w:themeColor="text1"/>
          <w:shd w:val="clear" w:color="auto" w:fill="FFFFFF"/>
        </w:rPr>
        <w:t xml:space="preserve"> путем выращивания опухоли подкожно у бестимусных лысых мышей. Эверолимус показал значительное дозозависимое ингибирование роста, а в более чувствительной клеточной линии (786-O) вызывал регрессию опухоли. В мышиной нейронной модели </w:t>
      </w:r>
      <w:r>
        <w:rPr>
          <w:color w:val="000000" w:themeColor="text1"/>
          <w:shd w:val="clear" w:color="auto" w:fill="FFFFFF"/>
        </w:rPr>
        <w:t>туберозного склероза (</w:t>
      </w:r>
      <w:r w:rsidRPr="00707D60">
        <w:rPr>
          <w:color w:val="000000" w:themeColor="text1"/>
          <w:shd w:val="clear" w:color="auto" w:fill="FFFFFF"/>
        </w:rPr>
        <w:t>TSC</w:t>
      </w:r>
      <w:r>
        <w:rPr>
          <w:color w:val="000000" w:themeColor="text1"/>
          <w:shd w:val="clear" w:color="auto" w:fill="FFFFFF"/>
        </w:rPr>
        <w:t>)</w:t>
      </w:r>
      <w:r w:rsidRPr="00707D60">
        <w:rPr>
          <w:color w:val="000000" w:themeColor="text1"/>
          <w:shd w:val="clear" w:color="auto" w:fill="FFFFFF"/>
        </w:rPr>
        <w:t>, в которой TSC1 удаляется большинство нейронов, эверолимус улучшил медианное выживание от 33 дней до более чем 100 дней, также улучшились показатели поведения и набора веса</w:t>
      </w:r>
      <w:r>
        <w:rPr>
          <w:color w:val="000000" w:themeColor="text1"/>
          <w:shd w:val="clear" w:color="auto" w:fill="FFFFFF"/>
        </w:rPr>
        <w:t>.</w:t>
      </w:r>
    </w:p>
    <w:p w14:paraId="0E339955" w14:textId="77777777" w:rsidR="00CE775D" w:rsidRPr="00707D60" w:rsidRDefault="00CE775D" w:rsidP="00CE7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eastAsia="Times New Roman"/>
          <w:color w:val="000000" w:themeColor="text1"/>
          <w:lang w:eastAsia="ru-RU"/>
        </w:rPr>
      </w:pPr>
      <w:r w:rsidRPr="00707D60">
        <w:rPr>
          <w:color w:val="000000" w:themeColor="text1"/>
          <w:shd w:val="clear" w:color="auto" w:fill="FFFFFF"/>
        </w:rPr>
        <w:t>Абсорбция при пероральном введении эверолимуса была низкой у мышей (12%), обезьян (18%) и средней у крыс (~ 40%). Биодоступность неметаболизированного препарата составила 14-26% у крыс и 6% у обезьян</w:t>
      </w:r>
      <w:r w:rsidRPr="00707D60">
        <w:rPr>
          <w:lang w:eastAsia="en-US"/>
        </w:rPr>
        <w:t xml:space="preserve">. </w:t>
      </w:r>
      <w:r w:rsidRPr="00707D60">
        <w:rPr>
          <w:color w:val="000000" w:themeColor="text1"/>
          <w:shd w:val="clear" w:color="auto" w:fill="FFFFFF"/>
        </w:rPr>
        <w:t>За исключением данных у мышей, распределение эверолимуса в крови было зависимым от конц</w:t>
      </w:r>
      <w:r>
        <w:rPr>
          <w:color w:val="000000" w:themeColor="text1"/>
          <w:shd w:val="clear" w:color="auto" w:fill="FFFFFF"/>
        </w:rPr>
        <w:t>ентрации. При концентрации 5 нг/</w:t>
      </w:r>
      <w:r w:rsidRPr="00707D60">
        <w:rPr>
          <w:color w:val="000000" w:themeColor="text1"/>
          <w:shd w:val="clear" w:color="auto" w:fill="FFFFFF"/>
        </w:rPr>
        <w:t>мл распределение составляло 66%, 79% и 83% у крыс, обезьян и человека, соответственно. В крови мыши большая часть эверолимуса (~ 98%) находилась в плазме. В плазме крови свободная фракция эверолимуса не зависела от концентрации препарата и составляла, в среднем, 7,6% у крыс</w:t>
      </w:r>
      <w:r w:rsidRPr="004C3C61">
        <w:rPr>
          <w:color w:val="000000" w:themeColor="text1"/>
          <w:shd w:val="clear" w:color="auto" w:fill="FFFFFF"/>
        </w:rPr>
        <w:t xml:space="preserve"> </w:t>
      </w:r>
      <w:r>
        <w:rPr>
          <w:color w:val="000000" w:themeColor="text1"/>
          <w:shd w:val="clear" w:color="auto" w:fill="FFFFFF"/>
        </w:rPr>
        <w:t>и</w:t>
      </w:r>
      <w:r w:rsidRPr="00707D60">
        <w:rPr>
          <w:color w:val="000000" w:themeColor="text1"/>
          <w:shd w:val="clear" w:color="auto" w:fill="FFFFFF"/>
        </w:rPr>
        <w:t xml:space="preserve"> 16% у обезьян, а у мышей всего 0,1%. </w:t>
      </w:r>
      <w:r w:rsidRPr="00707D60">
        <w:rPr>
          <w:rFonts w:eastAsia="Times New Roman"/>
          <w:color w:val="000000" w:themeColor="text1"/>
          <w:lang w:eastAsia="ru-RU"/>
        </w:rPr>
        <w:t xml:space="preserve">Эверолимус, в основном, инактивируется с помощью метаболизма у мышей, крыс, обезьян. Эверолимус был основным циркулирующим лекарственным компонентом в крови у всех видов животных. Эверолимус метаболизируется с участием CYP3A4 в печени и в небольшой степени в стенке кишечника. Поэтому совместный прием с препаратами, которые являются сильными индукторами CYP3A4, может приводить к снижению метаболизма эверолимуса </w:t>
      </w:r>
      <w:r w:rsidRPr="004C3C61">
        <w:rPr>
          <w:rFonts w:eastAsia="Times New Roman"/>
          <w:i/>
          <w:color w:val="000000" w:themeColor="text1"/>
          <w:lang w:eastAsia="ru-RU"/>
        </w:rPr>
        <w:t>in vivo</w:t>
      </w:r>
      <w:r w:rsidRPr="00707D60">
        <w:rPr>
          <w:rFonts w:eastAsia="Times New Roman"/>
          <w:color w:val="000000" w:themeColor="text1"/>
          <w:lang w:eastAsia="ru-RU"/>
        </w:rPr>
        <w:t>. Эверолимус преимущественно выводится через кишечник (билиарно-фекальный клиренс) у всех видов животных. Почечная экскреция незначительная (0,7-7%). Не обнаружено неизмененного эверолимуса в моче или фекалиях</w:t>
      </w:r>
      <w:r>
        <w:rPr>
          <w:rFonts w:eastAsia="Times New Roman"/>
          <w:color w:val="000000" w:themeColor="text1"/>
          <w:lang w:eastAsia="ru-RU"/>
        </w:rPr>
        <w:t>.</w:t>
      </w:r>
    </w:p>
    <w:p w14:paraId="6C8E031B" w14:textId="77777777" w:rsidR="00CE775D" w:rsidRPr="00707D60" w:rsidRDefault="00CE775D" w:rsidP="00CE775D">
      <w:pPr>
        <w:spacing w:after="0" w:line="240" w:lineRule="auto"/>
        <w:ind w:firstLine="709"/>
        <w:rPr>
          <w:bCs/>
          <w:color w:val="000000" w:themeColor="text1"/>
          <w:lang w:bidi="ru-RU"/>
        </w:rPr>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эверолимуса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1F1A099D" w14:textId="77777777" w:rsidR="00CE775D" w:rsidRPr="00707D60" w:rsidRDefault="00CE775D" w:rsidP="00CE775D">
      <w:pPr>
        <w:spacing w:after="0" w:line="240" w:lineRule="auto"/>
        <w:ind w:firstLine="708"/>
        <w:rPr>
          <w:color w:val="000000" w:themeColor="text1"/>
          <w:shd w:val="clear" w:color="auto" w:fill="FFFFFF"/>
        </w:rPr>
      </w:pPr>
      <w:r w:rsidRPr="00707D60">
        <w:rPr>
          <w:color w:val="000000" w:themeColor="text1"/>
          <w:shd w:val="clear" w:color="auto" w:fill="FFFFFF"/>
        </w:rPr>
        <w:t xml:space="preserve">Исследования однократной токсичности проводились у крыс и мышей. Эверолимус показал низкий острый токсический потенциал после перорального введения у мышей и крыс. Не наблюдалось летальности или сильной токсичности после однократного перорального введения препарата в дозировке 2000 мг/кг (предельный тест) у мышей или крыс. </w:t>
      </w:r>
    </w:p>
    <w:p w14:paraId="44EF879A" w14:textId="77777777" w:rsidR="00CE775D" w:rsidRPr="00707D60" w:rsidRDefault="00CE775D" w:rsidP="00CE775D">
      <w:pPr>
        <w:spacing w:after="0" w:line="240" w:lineRule="auto"/>
        <w:ind w:firstLine="708"/>
        <w:rPr>
          <w:color w:val="000000" w:themeColor="text1"/>
        </w:rPr>
      </w:pPr>
      <w:r w:rsidRPr="00707D60">
        <w:rPr>
          <w:color w:val="000000" w:themeColor="text1"/>
          <w:shd w:val="clear" w:color="auto" w:fill="FFFFFF"/>
        </w:rPr>
        <w:t>Исследования токсичности повторных доз проводились у мышей в течение 13 недель, у крыс до 26 недель, у мини</w:t>
      </w:r>
      <w:r>
        <w:rPr>
          <w:color w:val="000000" w:themeColor="text1"/>
          <w:shd w:val="clear" w:color="auto" w:fill="FFFFFF"/>
        </w:rPr>
        <w:t>-</w:t>
      </w:r>
      <w:r w:rsidRPr="00707D60">
        <w:rPr>
          <w:color w:val="000000" w:themeColor="text1"/>
          <w:shd w:val="clear" w:color="auto" w:fill="FFFFFF"/>
        </w:rPr>
        <w:t>пигов до 4 недель и у обезьян до 52 недель. У мышей отмечалось уменьшение массы тимуса и увеличение веса селезенк</w:t>
      </w:r>
      <w:r>
        <w:rPr>
          <w:color w:val="000000" w:themeColor="text1"/>
          <w:shd w:val="clear" w:color="auto" w:fill="FFFFFF"/>
        </w:rPr>
        <w:t>и</w:t>
      </w:r>
      <w:r w:rsidRPr="00707D60">
        <w:rPr>
          <w:color w:val="000000" w:themeColor="text1"/>
          <w:shd w:val="clear" w:color="auto" w:fill="FFFFFF"/>
        </w:rPr>
        <w:t>, увеличение веса печени, д</w:t>
      </w:r>
      <w:r w:rsidRPr="00707D60">
        <w:rPr>
          <w:color w:val="000000" w:themeColor="text1"/>
        </w:rPr>
        <w:t>егенерация почечных канальцев с кариомегалией и интерстициальным воспалением. У крыс выявлялось увеличение уровня триглицерид</w:t>
      </w:r>
      <w:r>
        <w:rPr>
          <w:color w:val="000000" w:themeColor="text1"/>
        </w:rPr>
        <w:t>ов</w:t>
      </w:r>
      <w:r w:rsidRPr="00707D60">
        <w:rPr>
          <w:color w:val="000000" w:themeColor="text1"/>
        </w:rPr>
        <w:t>; хронический миокардит, поражение тимуса, снижение количества семенных клеток в яичках; атрофия / снижение секреции семенных пузырьков; интерстициальная гипертрофия яичников. Не выявлено генотоксического или канцерогенного потенциала. В исследовании мужской фертильности у крыс было обнаружено при дозировке 0,5 мг/кг и выше: изменение морфологии яичек и подвижности сперматозоидов; количество сперматозоидов и уровень тестостерона в плазме уменьшались при приеме 5 мг/кг, что привело к снижению фертильность у самцов. Имелись свидетельства обратимости данных изменений. У</w:t>
      </w:r>
      <w:r>
        <w:rPr>
          <w:color w:val="000000" w:themeColor="text1"/>
        </w:rPr>
        <w:t xml:space="preserve"> крыс эверолимус вызывал эмбрио-</w:t>
      </w:r>
      <w:r w:rsidRPr="00707D60">
        <w:rPr>
          <w:color w:val="000000" w:themeColor="text1"/>
        </w:rPr>
        <w:t xml:space="preserve"> и фетотоксичность при системном воздействии в дозировках ниже терапевтического уровня. Это проявлялось в увеличении смертности и снижении веса плода.</w:t>
      </w:r>
    </w:p>
    <w:p w14:paraId="3432084C" w14:textId="77777777" w:rsidR="00CE775D" w:rsidRPr="00707D60" w:rsidRDefault="00CE775D" w:rsidP="00CE775D">
      <w:pPr>
        <w:spacing w:after="0" w:line="240" w:lineRule="auto"/>
        <w:ind w:firstLine="708"/>
      </w:pPr>
      <w:r w:rsidRPr="00707D60">
        <w:t>Эверолимус не показал способности вызывать контактную гиперчувствительность при нанесении на кожу морских свинок в тесте максимизации.</w:t>
      </w:r>
    </w:p>
    <w:p w14:paraId="7E750DEB" w14:textId="77777777" w:rsidR="00CE775D" w:rsidRPr="00707D60" w:rsidRDefault="00CE775D" w:rsidP="00CE775D">
      <w:pPr>
        <w:spacing w:after="0" w:line="240" w:lineRule="auto"/>
        <w:ind w:firstLine="708"/>
        <w:rPr>
          <w:color w:val="000000" w:themeColor="text1"/>
          <w:shd w:val="clear" w:color="auto" w:fill="FFFFFF"/>
        </w:rPr>
      </w:pPr>
      <w:r w:rsidRPr="00707D60">
        <w:rPr>
          <w:color w:val="000000" w:themeColor="text1"/>
        </w:rPr>
        <w:t>Эверолимус не вызывал анафилактических реакций у морских свинок и не вызывал кожных реакций у морских свинок или крыс.</w:t>
      </w:r>
    </w:p>
    <w:p w14:paraId="6919144A" w14:textId="77777777" w:rsidR="008B7FBF" w:rsidRPr="00C1412D" w:rsidRDefault="008B7FBF" w:rsidP="00707D60">
      <w:pPr>
        <w:pStyle w:val="2"/>
        <w:spacing w:line="240" w:lineRule="auto"/>
        <w:rPr>
          <w:color w:val="000000" w:themeColor="text1"/>
          <w:szCs w:val="24"/>
        </w:rPr>
      </w:pPr>
      <w:bookmarkStart w:id="362" w:name="_Toc118124226"/>
      <w:bookmarkStart w:id="363" w:name="_Toc119313792"/>
      <w:r w:rsidRPr="00C1412D">
        <w:rPr>
          <w:color w:val="000000" w:themeColor="text1"/>
          <w:szCs w:val="24"/>
        </w:rPr>
        <w:t>5.2. Обсуждение данных клинических исследований</w:t>
      </w:r>
      <w:bookmarkEnd w:id="360"/>
      <w:bookmarkEnd w:id="362"/>
      <w:bookmarkEnd w:id="363"/>
    </w:p>
    <w:p w14:paraId="01BFFAF7" w14:textId="20A77151" w:rsidR="00CE775D" w:rsidRDefault="00CE775D" w:rsidP="00CE775D">
      <w:pPr>
        <w:spacing w:after="0" w:line="240" w:lineRule="auto"/>
        <w:ind w:firstLine="709"/>
      </w:pPr>
      <w:bookmarkStart w:id="364" w:name="_Toc301482877"/>
      <w:bookmarkStart w:id="365" w:name="_Toc298775567"/>
      <w:bookmarkEnd w:id="361"/>
      <w:r w:rsidRPr="00BF6DD4">
        <w:t xml:space="preserve">Клинических исследований препарата </w:t>
      </w:r>
      <w:r w:rsidRPr="00BF6DD4">
        <w:rPr>
          <w:lang w:val="en-US"/>
        </w:rPr>
        <w:t>DT</w:t>
      </w:r>
      <w:r w:rsidRPr="00BF6DD4">
        <w:t>-</w:t>
      </w:r>
      <w:r w:rsidRPr="00BF6DD4">
        <w:rPr>
          <w:lang w:val="en-US"/>
        </w:rPr>
        <w:t>EVR</w:t>
      </w:r>
      <w:r w:rsidRPr="00BF6DD4">
        <w:t xml:space="preserve">, </w:t>
      </w:r>
      <w:r>
        <w:t>таблетки, 0,2</w:t>
      </w:r>
      <w:r w:rsidRPr="00BF6DD4">
        <w:t xml:space="preserve">5 мг, </w:t>
      </w:r>
      <w:r>
        <w:t xml:space="preserve">0,5 мг и </w:t>
      </w:r>
      <w:r w:rsidRPr="00BF6DD4">
        <w:t>0</w:t>
      </w:r>
      <w:r>
        <w:t>,75</w:t>
      </w:r>
      <w:r w:rsidRPr="00BF6DD4">
        <w:t xml:space="preserve"> мг (АО «Р-Фарм», Россия) не проводилось. Так как препарат </w:t>
      </w:r>
      <w:r w:rsidRPr="00BF6DD4">
        <w:rPr>
          <w:lang w:val="en-US"/>
        </w:rPr>
        <w:t>DT</w:t>
      </w:r>
      <w:r w:rsidRPr="00BF6DD4">
        <w:t>-</w:t>
      </w:r>
      <w:r w:rsidRPr="00BF6DD4">
        <w:rPr>
          <w:lang w:val="en-US"/>
        </w:rPr>
        <w:t>EVR</w:t>
      </w:r>
      <w:r w:rsidRPr="00BF6DD4">
        <w:t xml:space="preserve">, разработанный АО «Р-Фарм», Россия, представляет собой воспроизведенный препарат эверолимуса, ожидается, что его свойства будут идентичны свойствам оригинального препарата </w:t>
      </w:r>
      <w:r>
        <w:t>Сертикан</w:t>
      </w:r>
      <w:r w:rsidRPr="00BF6DD4">
        <w:rPr>
          <w:vertAlign w:val="superscript"/>
        </w:rPr>
        <w:t>®</w:t>
      </w:r>
      <w:r w:rsidRPr="00BF6DD4">
        <w:t>, таблетки,</w:t>
      </w:r>
      <w:r>
        <w:t xml:space="preserve"> 0,2</w:t>
      </w:r>
      <w:r w:rsidRPr="00BF6DD4">
        <w:t xml:space="preserve">5 мг, </w:t>
      </w:r>
      <w:r>
        <w:t xml:space="preserve">0,5 мг и </w:t>
      </w:r>
      <w:r w:rsidRPr="00BF6DD4">
        <w:t>0</w:t>
      </w:r>
      <w:r>
        <w:t>,75</w:t>
      </w:r>
      <w:r w:rsidRPr="00BF6DD4">
        <w:t xml:space="preserve"> мг (Новартис Фарма АГ, Швейцария), которому </w:t>
      </w:r>
      <w:r w:rsidRPr="00BF6DD4">
        <w:rPr>
          <w:lang w:val="en-US"/>
        </w:rPr>
        <w:t>DT</w:t>
      </w:r>
      <w:r w:rsidRPr="00BF6DD4">
        <w:t>-</w:t>
      </w:r>
      <w:r w:rsidRPr="00BF6DD4">
        <w:rPr>
          <w:lang w:val="en-US"/>
        </w:rPr>
        <w:t>EVR</w:t>
      </w:r>
      <w:r w:rsidRPr="00BF6DD4">
        <w:t xml:space="preserve"> полностью соответствует по качественному и количественному составу </w:t>
      </w:r>
      <w:r w:rsidR="002608A1" w:rsidRPr="00BF6DD4">
        <w:t>действующ</w:t>
      </w:r>
      <w:r w:rsidR="002608A1">
        <w:t>его</w:t>
      </w:r>
      <w:r w:rsidR="002608A1" w:rsidRPr="00BF6DD4">
        <w:t xml:space="preserve"> </w:t>
      </w:r>
      <w:r w:rsidRPr="00BF6DD4">
        <w:t xml:space="preserve">и </w:t>
      </w:r>
      <w:r w:rsidR="002608A1">
        <w:t>основных</w:t>
      </w:r>
      <w:r w:rsidRPr="00BF6DD4">
        <w:t xml:space="preserve"> вспомогательных веществ, а также по лекарственной форме и дозировке. </w:t>
      </w:r>
      <w:r w:rsidRPr="00BF6DD4">
        <w:rPr>
          <w:rFonts w:eastAsia="Calibri"/>
          <w:color w:val="000000" w:themeColor="text1"/>
        </w:rPr>
        <w:t xml:space="preserve">В связи с этим ниже приводятся данные об эффектах эверолимуса у человека, полученные в исследованиях препарата </w:t>
      </w:r>
      <w:r>
        <w:rPr>
          <w:rFonts w:eastAsia="Calibri"/>
          <w:color w:val="000000" w:themeColor="text1"/>
        </w:rPr>
        <w:t>Сертикан</w:t>
      </w:r>
      <w:r w:rsidRPr="00BF6DD4">
        <w:rPr>
          <w:bCs/>
          <w:color w:val="000000" w:themeColor="text1"/>
          <w:vertAlign w:val="superscript"/>
        </w:rPr>
        <w:t>®</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Pr="00BF6DD4">
        <w:rPr>
          <w:color w:val="000000" w:themeColor="text1"/>
          <w:lang w:val="en-US"/>
        </w:rPr>
        <w:t>DT</w:t>
      </w:r>
      <w:r w:rsidRPr="00BF6DD4">
        <w:rPr>
          <w:color w:val="000000" w:themeColor="text1"/>
        </w:rPr>
        <w:t>-</w:t>
      </w:r>
      <w:r w:rsidRPr="00BF6DD4">
        <w:rPr>
          <w:color w:val="000000" w:themeColor="text1"/>
          <w:lang w:val="en-US"/>
        </w:rPr>
        <w:t>EVR</w:t>
      </w:r>
      <w:r w:rsidRPr="00BF6DD4">
        <w:t xml:space="preserve"> пока не проводил</w:t>
      </w:r>
      <w:r>
        <w:t>о</w:t>
      </w:r>
      <w:r w:rsidRPr="00BF6DD4">
        <w:t>сь.</w:t>
      </w:r>
    </w:p>
    <w:p w14:paraId="3D0B9917" w14:textId="77777777" w:rsidR="00CE775D" w:rsidRDefault="00CE775D" w:rsidP="00CE775D">
      <w:pPr>
        <w:spacing w:after="0" w:line="240" w:lineRule="auto"/>
        <w:ind w:firstLine="709"/>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эверолимуса включала исследования фармакокинетики однократных и многократных доз у здоровых добровольцев, пациентов с распространенными солидными опухолями и реципиентов трансплантатов органов, исследования фармакокинетики у пациентов с нарушением функции почек, многочисленные исследования фармакокинетических лекарственных взаимодействий и влияния пищи у здоровых добровольцев, исследования </w:t>
      </w:r>
      <w:r>
        <w:rPr>
          <w:bCs/>
          <w:color w:val="000000" w:themeColor="text1"/>
          <w:lang w:val="en-US" w:eastAsia="ru-RU" w:bidi="ru-RU"/>
        </w:rPr>
        <w:t>II</w:t>
      </w:r>
      <w:r w:rsidRPr="0011373C">
        <w:rPr>
          <w:bCs/>
          <w:color w:val="000000" w:themeColor="text1"/>
          <w:lang w:eastAsia="ru-RU" w:bidi="ru-RU"/>
        </w:rPr>
        <w:t xml:space="preserve"> </w:t>
      </w:r>
      <w:r>
        <w:rPr>
          <w:bCs/>
          <w:color w:val="000000" w:themeColor="text1"/>
          <w:lang w:eastAsia="ru-RU" w:bidi="ru-RU"/>
        </w:rPr>
        <w:t xml:space="preserve">фазы для подбора дозы препарата, а также ключевые исследования </w:t>
      </w:r>
      <w:r>
        <w:rPr>
          <w:bCs/>
          <w:color w:val="000000" w:themeColor="text1"/>
          <w:lang w:val="en-US" w:eastAsia="ru-RU" w:bidi="ru-RU"/>
        </w:rPr>
        <w:t>III</w:t>
      </w:r>
      <w:r>
        <w:rPr>
          <w:bCs/>
          <w:color w:val="000000" w:themeColor="text1"/>
          <w:lang w:eastAsia="ru-RU" w:bidi="ru-RU"/>
        </w:rPr>
        <w:t xml:space="preserve"> фазы у реципиентов трансплантатов органов, на основании результатов которых были утверждены настоящие показания для медицинского применения эверолимуса.</w:t>
      </w:r>
    </w:p>
    <w:p w14:paraId="00FCEC84" w14:textId="77777777" w:rsidR="00CE775D" w:rsidRDefault="00CE775D" w:rsidP="00CE775D">
      <w:pPr>
        <w:widowControl w:val="0"/>
        <w:spacing w:after="0" w:line="240" w:lineRule="auto"/>
        <w:ind w:firstLine="709"/>
        <w:rPr>
          <w:rFonts w:eastAsia="Calibri"/>
          <w:lang w:eastAsia="ru-RU"/>
        </w:rPr>
      </w:pPr>
      <w:r>
        <w:rPr>
          <w:rFonts w:eastAsia="Calibri"/>
          <w:lang w:eastAsia="ru-RU"/>
        </w:rPr>
        <w:t xml:space="preserve">В клинических исследованиях у здоровых добровольцев эверолимус хорошо переносился в дозах </w:t>
      </w:r>
      <w:r w:rsidRPr="0067314B">
        <w:rPr>
          <w:rFonts w:eastAsia="Calibri"/>
          <w:lang w:eastAsia="ru-RU"/>
        </w:rPr>
        <w:t>до 50 мг.</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У пациентов эверолимус применялся в виде однократных доз до 70 мг или многократных доз до 10 мг. Профиль безопасности препарата был сходным при однократном и многократном дозировании.</w:t>
      </w:r>
    </w:p>
    <w:p w14:paraId="020A3051" w14:textId="77777777" w:rsidR="00CE775D" w:rsidRDefault="00CE775D" w:rsidP="00CE775D">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w:t>
      </w:r>
      <w:r w:rsidRPr="00343AC2">
        <w:rPr>
          <w:bCs/>
          <w:color w:val="000000" w:themeColor="text1"/>
          <w:lang w:eastAsia="ru-RU" w:bidi="ru-RU"/>
        </w:rPr>
        <w:t xml:space="preserve"> </w:t>
      </w:r>
      <w:r>
        <w:rPr>
          <w:bCs/>
          <w:color w:val="000000" w:themeColor="text1"/>
          <w:lang w:eastAsia="ru-RU" w:bidi="ru-RU"/>
        </w:rPr>
        <w:t>эверолимус</w:t>
      </w:r>
      <w:r w:rsidRPr="00343AC2">
        <w:rPr>
          <w:bCs/>
          <w:color w:val="000000" w:themeColor="text1"/>
          <w:lang w:eastAsia="ru-RU" w:bidi="ru-RU"/>
        </w:rPr>
        <w:t xml:space="preserve"> </w:t>
      </w:r>
      <w:r>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Pr>
          <w:bCs/>
          <w:color w:val="000000" w:themeColor="text1"/>
          <w:lang w:eastAsia="ru-RU" w:bidi="ru-RU"/>
        </w:rPr>
        <w:t>1-2 ч</w:t>
      </w:r>
      <w:r w:rsidRPr="00343AC2">
        <w:rPr>
          <w:bCs/>
          <w:color w:val="000000" w:themeColor="text1"/>
          <w:lang w:eastAsia="ru-RU" w:bidi="ru-RU"/>
        </w:rPr>
        <w:t xml:space="preserve">. </w:t>
      </w:r>
      <w:r w:rsidRPr="00530B28">
        <w:rPr>
          <w:bCs/>
          <w:color w:val="000000" w:themeColor="text1"/>
          <w:lang w:eastAsia="ru-RU" w:bidi="ru-RU"/>
        </w:rPr>
        <w:t xml:space="preserve">Всасывание </w:t>
      </w:r>
      <w:r>
        <w:rPr>
          <w:bCs/>
          <w:color w:val="000000" w:themeColor="text1"/>
          <w:lang w:eastAsia="ru-RU" w:bidi="ru-RU"/>
        </w:rPr>
        <w:t>эверолимуса</w:t>
      </w:r>
      <w:r w:rsidRPr="00530B28">
        <w:rPr>
          <w:bCs/>
          <w:color w:val="000000" w:themeColor="text1"/>
          <w:lang w:eastAsia="ru-RU" w:bidi="ru-RU"/>
        </w:rPr>
        <w:t xml:space="preserve"> </w:t>
      </w:r>
      <w:r>
        <w:rPr>
          <w:bCs/>
          <w:color w:val="000000" w:themeColor="text1"/>
          <w:lang w:eastAsia="ru-RU" w:bidi="ru-RU"/>
        </w:rPr>
        <w:t xml:space="preserve">зависит от условий приема – натощак или с пищей, </w:t>
      </w:r>
      <w:r>
        <w:rPr>
          <w:rFonts w:eastAsia="Calibri"/>
          <w:color w:val="000000" w:themeColor="text1"/>
          <w:szCs w:val="28"/>
        </w:rPr>
        <w:t>о</w:t>
      </w:r>
      <w:r w:rsidRPr="00707D60">
        <w:rPr>
          <w:rFonts w:eastAsia="Calibri"/>
          <w:color w:val="000000" w:themeColor="text1"/>
          <w:szCs w:val="28"/>
        </w:rPr>
        <w:t>дновременный прием пищи с низким содержание жиров снижал AUC и С</w:t>
      </w:r>
      <w:r w:rsidRPr="00BF6DD4">
        <w:rPr>
          <w:rFonts w:eastAsia="Calibri"/>
          <w:color w:val="000000" w:themeColor="text1"/>
          <w:szCs w:val="28"/>
          <w:vertAlign w:val="subscript"/>
        </w:rPr>
        <w:t>mах</w:t>
      </w:r>
      <w:r>
        <w:rPr>
          <w:rFonts w:eastAsia="Calibri"/>
          <w:color w:val="000000" w:themeColor="text1"/>
          <w:szCs w:val="28"/>
        </w:rPr>
        <w:t xml:space="preserve"> на 32% и 42%, соответственно</w:t>
      </w:r>
      <w:r w:rsidRPr="00343AC2">
        <w:rPr>
          <w:bCs/>
          <w:color w:val="000000" w:themeColor="text1"/>
          <w:lang w:eastAsia="ru-RU" w:bidi="ru-RU"/>
        </w:rPr>
        <w:t xml:space="preserve">. </w:t>
      </w:r>
      <w:r w:rsidRPr="00707D60">
        <w:rPr>
          <w:rFonts w:eastAsia="Calibri"/>
          <w:color w:val="000000" w:themeColor="text1"/>
          <w:szCs w:val="28"/>
        </w:rPr>
        <w:t xml:space="preserve">Процентное отношение концентрации эверолимуса в </w:t>
      </w:r>
      <w:r>
        <w:rPr>
          <w:rFonts w:eastAsia="Calibri"/>
          <w:color w:val="000000" w:themeColor="text1"/>
          <w:szCs w:val="28"/>
        </w:rPr>
        <w:t xml:space="preserve">цельной </w:t>
      </w:r>
      <w:r w:rsidRPr="00707D60">
        <w:rPr>
          <w:rFonts w:eastAsia="Calibri"/>
          <w:color w:val="000000" w:themeColor="text1"/>
          <w:szCs w:val="28"/>
        </w:rPr>
        <w:t>крови и плазме крови, которое является зависимым от концентрации соединения в диапазоне от 5 до 5000 нг/мл, изменяется от 17% до 73%. Связь с белками плазмы крови составляет примерно 74% как у здоровых добровольцев, так и у пациентов с нарушением функции печени средней степени тяжести.</w:t>
      </w:r>
      <w:r w:rsidRPr="00BF6DD4">
        <w:rPr>
          <w:rFonts w:eastAsia="Calibri"/>
          <w:color w:val="000000" w:themeColor="text1"/>
          <w:szCs w:val="28"/>
        </w:rPr>
        <w:t xml:space="preserve"> </w:t>
      </w:r>
      <w:r w:rsidRPr="00707D60">
        <w:rPr>
          <w:rFonts w:eastAsia="Calibri"/>
          <w:color w:val="000000" w:themeColor="text1"/>
        </w:rPr>
        <w:t>Эверолимус является субстратом изофермента CYP3A4 и Р-гликопротеина. После приема препарата внутрь в крови эверолимус циркулирует в основном в неизмененном виде. В крови человека определены шесть основных метаболитов эверолимуса, уступа</w:t>
      </w:r>
      <w:r>
        <w:rPr>
          <w:rFonts w:eastAsia="Calibri"/>
          <w:color w:val="000000" w:themeColor="text1"/>
        </w:rPr>
        <w:t>ющих</w:t>
      </w:r>
      <w:r w:rsidRPr="00707D60">
        <w:rPr>
          <w:rFonts w:eastAsia="Calibri"/>
          <w:color w:val="000000" w:themeColor="text1"/>
        </w:rPr>
        <w:t xml:space="preserve"> </w:t>
      </w:r>
      <w:r>
        <w:rPr>
          <w:rFonts w:eastAsia="Calibri"/>
          <w:color w:val="000000" w:themeColor="text1"/>
        </w:rPr>
        <w:t>исходному соединению по фармакологической активности</w:t>
      </w:r>
      <w:r w:rsidRPr="00707D60">
        <w:rPr>
          <w:rFonts w:eastAsia="Calibri"/>
          <w:color w:val="000000" w:themeColor="text1"/>
        </w:rPr>
        <w:t xml:space="preserve"> примерно в 100 раз. </w:t>
      </w:r>
      <w:r w:rsidRPr="00074C25">
        <w:rPr>
          <w:rFonts w:eastAsia="Calibri"/>
          <w:color w:val="000000" w:themeColor="text1"/>
          <w:szCs w:val="28"/>
        </w:rPr>
        <w:t>Средний период полувыведения эверолимуса составляет примерно 30 часов</w:t>
      </w:r>
      <w:r>
        <w:rPr>
          <w:rFonts w:eastAsia="TimesNewRomanPS-BoldMT"/>
          <w:bCs/>
          <w:color w:val="000000" w:themeColor="text1"/>
        </w:rPr>
        <w:t>. Препарат выводится с калом в виде метаболитов.</w:t>
      </w:r>
    </w:p>
    <w:p w14:paraId="5BEC34EB" w14:textId="77777777" w:rsidR="00CE775D" w:rsidRDefault="00CE775D" w:rsidP="00CE775D">
      <w:pPr>
        <w:autoSpaceDE w:val="0"/>
        <w:autoSpaceDN w:val="0"/>
        <w:adjustRightInd w:val="0"/>
        <w:spacing w:after="0" w:line="240" w:lineRule="auto"/>
        <w:ind w:firstLine="743"/>
        <w:rPr>
          <w:color w:val="000000"/>
          <w:lang w:eastAsia="ru-RU"/>
        </w:rPr>
      </w:pPr>
      <w:r w:rsidRPr="00B83064">
        <w:rPr>
          <w:rFonts w:eastAsia="Times New Roman"/>
          <w:color w:val="000000" w:themeColor="text1"/>
          <w:lang w:eastAsia="ru-RU"/>
        </w:rPr>
        <w:t xml:space="preserve">Регистрационные исследования эффективности и безопасности </w:t>
      </w:r>
      <w:r>
        <w:rPr>
          <w:rFonts w:eastAsia="Times New Roman"/>
          <w:color w:val="000000" w:themeColor="text1"/>
          <w:lang w:eastAsia="ru-RU"/>
        </w:rPr>
        <w:t>эверолимуса</w:t>
      </w:r>
      <w:r w:rsidRPr="00B83064">
        <w:rPr>
          <w:rFonts w:eastAsia="Times New Roman"/>
          <w:color w:val="000000" w:themeColor="text1"/>
          <w:lang w:eastAsia="ru-RU"/>
        </w:rPr>
        <w:t xml:space="preserve"> (</w:t>
      </w:r>
      <w:r>
        <w:rPr>
          <w:rFonts w:eastAsia="Calibri"/>
          <w:color w:val="000000" w:themeColor="text1"/>
          <w:lang w:eastAsia="ru-RU"/>
        </w:rPr>
        <w:t>Сертикан</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 xml:space="preserve">были проведены у </w:t>
      </w:r>
      <w:r>
        <w:rPr>
          <w:rFonts w:eastAsia="Times New Roman"/>
          <w:color w:val="000000" w:themeColor="text1"/>
          <w:lang w:eastAsia="ru-RU"/>
        </w:rPr>
        <w:t>реципиентов трансплантата почки, сердца и печени.</w:t>
      </w:r>
    </w:p>
    <w:p w14:paraId="0FB70821" w14:textId="77777777" w:rsidR="00CE775D" w:rsidRPr="00DA0DA9" w:rsidRDefault="00CE775D" w:rsidP="00CE775D">
      <w:pPr>
        <w:spacing w:after="0" w:line="240" w:lineRule="auto"/>
        <w:ind w:firstLine="709"/>
      </w:pP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о участие в общей сложности 4449 пациентов. Х</w:t>
      </w:r>
      <w:r w:rsidRPr="00DA0DA9">
        <w:t>отя бы од</w:t>
      </w:r>
      <w:r>
        <w:t>ну дозу эверолимуса приняли 2825</w:t>
      </w:r>
      <w:r w:rsidRPr="00DA0DA9">
        <w:t xml:space="preserve"> пациентов, из них </w:t>
      </w:r>
      <w:r>
        <w:t>1622 пациента получали иммуносупрессивную терапию как реципиенты трансплантата почки, 958 пациентов – как реципиенты трансплантата сердца и 245 пациентов – как реципиенты трансплантата печени.</w:t>
      </w:r>
      <w:r w:rsidRPr="00DA0DA9">
        <w:t xml:space="preserve"> </w:t>
      </w:r>
      <w:r>
        <w:t>Наблюдение за субъектами исследования составляло от 6 до 36 месяцев.</w:t>
      </w:r>
    </w:p>
    <w:p w14:paraId="7BBFA2AA" w14:textId="77777777" w:rsidR="00CE775D" w:rsidRDefault="00CE775D" w:rsidP="00CE775D">
      <w:pPr>
        <w:spacing w:after="0" w:line="240" w:lineRule="auto"/>
        <w:ind w:firstLine="709"/>
      </w:pPr>
      <w:r w:rsidRPr="00DA0DA9">
        <w:t>В большинстве исследований</w:t>
      </w:r>
      <w:r>
        <w:t xml:space="preserve"> первичной конечной точкой был комбинированный показатель: неэффективности трансплантата, смерть или утрата контакта для дальнейшего наблюдения. В ряде исследований в качестве первичной конечной точки фигурировали параметры безопасности (например, оценка функции почек или частота развития инфекций), а оценка эффективности трансплантата выступала в качестве вторичной конечной точки</w:t>
      </w:r>
      <w:r w:rsidRPr="00695000">
        <w:t xml:space="preserve"> </w:t>
      </w:r>
    </w:p>
    <w:p w14:paraId="01D05B4F" w14:textId="52B2F788" w:rsidR="00CE775D" w:rsidRPr="002E4B25" w:rsidRDefault="00CE775D" w:rsidP="00CE775D">
      <w:pPr>
        <w:spacing w:after="0" w:line="240" w:lineRule="auto"/>
        <w:ind w:firstLine="709"/>
        <w:rPr>
          <w:color w:val="000000"/>
          <w:lang w:eastAsia="ru-RU"/>
        </w:rPr>
      </w:pPr>
      <w:r w:rsidRPr="001B72F5">
        <w:rPr>
          <w:color w:val="000000"/>
          <w:lang w:eastAsia="ru-RU"/>
        </w:rPr>
        <w:t xml:space="preserve">К настоящему моменту доступны данные о безопасности эверолимуса, полученные в ходе клинических исследований эверолимуса и в ходе постмаркетингового наблюдения.  Профиль безопасности основан на объединенных данных пациентов, получавших </w:t>
      </w:r>
      <w:r>
        <w:rPr>
          <w:color w:val="000000"/>
          <w:lang w:eastAsia="ru-RU"/>
        </w:rPr>
        <w:t>эверолимус</w:t>
      </w:r>
      <w:r w:rsidRPr="001B72F5">
        <w:rPr>
          <w:color w:val="000000"/>
          <w:lang w:eastAsia="ru-RU"/>
        </w:rPr>
        <w:t xml:space="preserve"> в </w:t>
      </w:r>
      <w:r>
        <w:rPr>
          <w:color w:val="000000"/>
          <w:lang w:eastAsia="ru-RU"/>
        </w:rPr>
        <w:t>семи клинических исследованиях</w:t>
      </w:r>
      <w:r w:rsidRPr="001B72F5">
        <w:rPr>
          <w:color w:val="000000"/>
          <w:lang w:eastAsia="ru-RU"/>
        </w:rPr>
        <w:t xml:space="preserve"> фазы III и </w:t>
      </w:r>
      <w:r>
        <w:rPr>
          <w:color w:val="000000"/>
          <w:lang w:eastAsia="ru-RU"/>
        </w:rPr>
        <w:t>двух</w:t>
      </w:r>
      <w:r w:rsidRPr="001B72F5">
        <w:rPr>
          <w:color w:val="000000"/>
          <w:lang w:eastAsia="ru-RU"/>
        </w:rPr>
        <w:t xml:space="preserve"> открыты</w:t>
      </w:r>
      <w:r>
        <w:rPr>
          <w:color w:val="000000"/>
          <w:lang w:eastAsia="ru-RU"/>
        </w:rPr>
        <w:t>х исследований фазы I</w:t>
      </w:r>
      <w:r>
        <w:rPr>
          <w:color w:val="000000"/>
          <w:lang w:val="en-US" w:eastAsia="ru-RU"/>
        </w:rPr>
        <w:t>I</w:t>
      </w:r>
      <w:r>
        <w:rPr>
          <w:color w:val="000000"/>
          <w:lang w:eastAsia="ru-RU"/>
        </w:rPr>
        <w:t>I у пациентов с нозологиями, относящимися к утвержденным показаниям</w:t>
      </w:r>
      <w:r w:rsidRPr="001B72F5">
        <w:rPr>
          <w:color w:val="000000"/>
          <w:lang w:eastAsia="ru-RU"/>
        </w:rPr>
        <w:t>.</w:t>
      </w:r>
      <w:r w:rsidRPr="002E4B25">
        <w:rPr>
          <w:color w:val="000000"/>
          <w:lang w:eastAsia="ru-RU"/>
        </w:rPr>
        <w:t xml:space="preserve"> </w:t>
      </w:r>
      <w:r w:rsidRPr="00E03613">
        <w:rPr>
          <w:bCs/>
        </w:rPr>
        <w:t xml:space="preserve">Все испытания, кроме двух (с трансплантацией почки), включали группы стандартной терапии, не содержащие </w:t>
      </w:r>
      <w:r>
        <w:rPr>
          <w:bCs/>
        </w:rPr>
        <w:t>эверолимус</w:t>
      </w:r>
      <w:r w:rsidRPr="00E03613">
        <w:rPr>
          <w:bCs/>
        </w:rPr>
        <w:t xml:space="preserve">, на основе ингибиторов кальциневрина. </w:t>
      </w:r>
      <w:r>
        <w:rPr>
          <w:bCs/>
        </w:rPr>
        <w:t>Эверолимус</w:t>
      </w:r>
      <w:r w:rsidRPr="00E03613">
        <w:rPr>
          <w:bCs/>
        </w:rPr>
        <w:t xml:space="preserve"> в комбинации с циклоспорином изучался в пяти исследованиях у реципиентов почечного трансплантата с общим числом пациентов 2497 (включая два исследования без контрольной группы, не получавшей </w:t>
      </w:r>
      <w:r>
        <w:rPr>
          <w:bCs/>
        </w:rPr>
        <w:t>эверолимус</w:t>
      </w:r>
      <w:r w:rsidRPr="00E03613">
        <w:rPr>
          <w:bCs/>
        </w:rPr>
        <w:t>), и в трех исследованиях с участием реципиентов трансплантированного сердц</w:t>
      </w:r>
      <w:r>
        <w:rPr>
          <w:bCs/>
        </w:rPr>
        <w:t>а с общим числом пациентов 1531. Эверолимус</w:t>
      </w:r>
      <w:r w:rsidRPr="00E03613">
        <w:rPr>
          <w:bCs/>
        </w:rPr>
        <w:t xml:space="preserve"> в комбинации с такролимусом изучали в одном исследовании, вк</w:t>
      </w:r>
      <w:r>
        <w:rPr>
          <w:bCs/>
        </w:rPr>
        <w:t>лючавшем 719 реципиентов печени</w:t>
      </w:r>
      <w:r w:rsidRPr="002E4B25">
        <w:rPr>
          <w:bCs/>
        </w:rPr>
        <w:t>.</w:t>
      </w:r>
    </w:p>
    <w:p w14:paraId="314B8971" w14:textId="77777777" w:rsidR="00CE775D" w:rsidRPr="00CE775D" w:rsidRDefault="00CE775D" w:rsidP="00CE775D">
      <w:pPr>
        <w:spacing w:after="0" w:line="240" w:lineRule="auto"/>
        <w:ind w:firstLine="709"/>
        <w:rPr>
          <w:color w:val="000000"/>
          <w:lang w:eastAsia="ru-RU"/>
        </w:rPr>
      </w:pPr>
      <w:r w:rsidRPr="001B72F5">
        <w:rPr>
          <w:color w:val="000000"/>
          <w:lang w:eastAsia="ru-RU"/>
        </w:rPr>
        <w:t xml:space="preserve">Наиболее частыми побочными реакциями (частота ≥1/10) из объединенных данных </w:t>
      </w:r>
      <w:r>
        <w:rPr>
          <w:color w:val="000000"/>
          <w:lang w:eastAsia="ru-RU"/>
        </w:rPr>
        <w:t>по безопасности были (</w:t>
      </w:r>
      <w:r w:rsidRPr="001B72F5">
        <w:rPr>
          <w:color w:val="000000"/>
          <w:lang w:eastAsia="ru-RU"/>
        </w:rPr>
        <w:t xml:space="preserve">в порядке убывания): </w:t>
      </w:r>
      <w:r w:rsidRPr="00E03613">
        <w:rPr>
          <w:bCs/>
        </w:rPr>
        <w:t>инфекции, анемия, гиперлипиде</w:t>
      </w:r>
      <w:r>
        <w:rPr>
          <w:bCs/>
        </w:rPr>
        <w:t>мия, вновь выявленный сахарный диабет</w:t>
      </w:r>
      <w:r w:rsidRPr="00E03613">
        <w:rPr>
          <w:bCs/>
        </w:rPr>
        <w:t>, бессонница, головная боль, артериальная гипертензия, кашель, запор, тошнота, периферические отеки, нарушение заживления</w:t>
      </w:r>
      <w:r>
        <w:rPr>
          <w:bCs/>
        </w:rPr>
        <w:t xml:space="preserve"> ран</w:t>
      </w:r>
      <w:r w:rsidRPr="00E03613">
        <w:rPr>
          <w:bCs/>
        </w:rPr>
        <w:t xml:space="preserve"> (включая плевральный и перикардиальный выпот).</w:t>
      </w:r>
    </w:p>
    <w:p w14:paraId="720EF192" w14:textId="33B488B3" w:rsidR="00A72CBF" w:rsidRPr="00707D60" w:rsidRDefault="00A72CBF" w:rsidP="00707D60">
      <w:pPr>
        <w:pStyle w:val="ab"/>
        <w:shd w:val="clear" w:color="auto" w:fill="FFFFFF"/>
        <w:spacing w:before="0" w:beforeAutospacing="0" w:after="0" w:afterAutospacing="0"/>
        <w:ind w:firstLine="708"/>
        <w:jc w:val="both"/>
        <w:rPr>
          <w:b/>
          <w:color w:val="000000"/>
        </w:rPr>
      </w:pPr>
      <w:r w:rsidRPr="00707D60">
        <w:rPr>
          <w:b/>
          <w:color w:val="000000"/>
        </w:rPr>
        <w:t>Оценка пользы</w:t>
      </w:r>
    </w:p>
    <w:p w14:paraId="2FED1D42" w14:textId="58160823" w:rsidR="00A72CBF" w:rsidRPr="00C916DE" w:rsidRDefault="00A72CBF" w:rsidP="00C916DE">
      <w:pPr>
        <w:spacing w:after="0" w:line="240" w:lineRule="auto"/>
        <w:ind w:firstLine="709"/>
        <w:rPr>
          <w:rFonts w:eastAsia="Calibri"/>
        </w:rPr>
      </w:pPr>
      <w:r w:rsidRPr="00707D60">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00C916DE">
        <w:rPr>
          <w:rFonts w:eastAsia="Calibri"/>
        </w:rPr>
        <w:t xml:space="preserve"> </w:t>
      </w:r>
    </w:p>
    <w:p w14:paraId="35113295" w14:textId="0B2478CB" w:rsidR="00A72CBF" w:rsidRPr="00707D60" w:rsidRDefault="00A72CBF" w:rsidP="00707D60">
      <w:pPr>
        <w:pStyle w:val="ab"/>
        <w:shd w:val="clear" w:color="auto" w:fill="FFFFFF"/>
        <w:spacing w:before="0" w:beforeAutospacing="0" w:after="0" w:afterAutospacing="0"/>
        <w:ind w:firstLine="708"/>
        <w:jc w:val="both"/>
        <w:rPr>
          <w:b/>
          <w:color w:val="000000"/>
        </w:rPr>
      </w:pPr>
      <w:r w:rsidRPr="00707D60">
        <w:rPr>
          <w:b/>
          <w:color w:val="000000"/>
        </w:rPr>
        <w:t>Оценка риска</w:t>
      </w:r>
    </w:p>
    <w:p w14:paraId="6AA80BDC" w14:textId="33851674" w:rsidR="0085687C" w:rsidRPr="00861615" w:rsidRDefault="0085687C" w:rsidP="0085687C">
      <w:pPr>
        <w:spacing w:after="0" w:line="240" w:lineRule="auto"/>
        <w:ind w:firstLine="709"/>
        <w:rPr>
          <w:lang w:eastAsia="ru-RU"/>
        </w:rPr>
      </w:pPr>
      <w:bookmarkStart w:id="366" w:name="_Hlk484354093"/>
      <w:bookmarkStart w:id="367" w:name="_Hlk484365465"/>
      <w:r w:rsidRPr="00861615">
        <w:rPr>
          <w:lang w:eastAsia="ru-RU"/>
        </w:rPr>
        <w:t xml:space="preserve">Риск применения испытуемого препарата </w:t>
      </w:r>
      <w:r w:rsidRPr="00861615">
        <w:rPr>
          <w:color w:val="000000"/>
        </w:rPr>
        <w:t>DT-EVR</w:t>
      </w:r>
      <w:r w:rsidRPr="00861615">
        <w:rPr>
          <w:lang w:eastAsia="ru-RU"/>
        </w:rPr>
        <w:t xml:space="preserve">, как и </w:t>
      </w:r>
      <w:r w:rsidR="00007348">
        <w:rPr>
          <w:lang w:eastAsia="ru-RU"/>
        </w:rPr>
        <w:t>оригинального препарата Сертикан</w:t>
      </w:r>
      <w:r w:rsidRPr="00861615">
        <w:rPr>
          <w:vertAlign w:val="superscript"/>
          <w:lang w:eastAsia="ru-RU"/>
        </w:rPr>
        <w:t>®</w:t>
      </w:r>
      <w:r w:rsidRPr="00861615">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эверолимуса у пациентов в монотреапии и при пострегистрационном наблюдении). </w:t>
      </w:r>
    </w:p>
    <w:p w14:paraId="4EB02ECD" w14:textId="4EE201EE" w:rsidR="0085687C" w:rsidRPr="00FA16E6" w:rsidRDefault="0085687C" w:rsidP="00C916DE">
      <w:pPr>
        <w:spacing w:after="0" w:line="240" w:lineRule="auto"/>
        <w:ind w:firstLine="709"/>
        <w:rPr>
          <w:color w:val="000000"/>
        </w:rPr>
      </w:pPr>
      <w:r>
        <w:rPr>
          <w:color w:val="000000"/>
        </w:rPr>
        <w:t>Нежелательные лекарственные реакции (НЛР)</w:t>
      </w:r>
      <w:r w:rsidRPr="00FA16E6">
        <w:rPr>
          <w:color w:val="000000"/>
        </w:rPr>
        <w:t xml:space="preserve"> перечислены ниже (Таблица </w:t>
      </w:r>
      <w:r>
        <w:rPr>
          <w:color w:val="000000"/>
        </w:rPr>
        <w:t>5</w:t>
      </w:r>
      <w:r w:rsidRPr="00FA16E6">
        <w:rPr>
          <w:color w:val="000000"/>
        </w:rPr>
        <w:t>-</w:t>
      </w:r>
      <w:r>
        <w:rPr>
          <w:color w:val="000000"/>
        </w:rPr>
        <w:t>1</w:t>
      </w:r>
      <w:r w:rsidRPr="00FA16E6">
        <w:rPr>
          <w:color w:val="000000"/>
        </w:rPr>
        <w:t>) по системно-органным классам и частоте. Частоты определены как: очень часто (≥1/10); часто (от ≥1/100 до &lt;1/10); нечасто (от ≥1/1000 до &lt;1/100); редко (от ≥1/10000 до &lt;1/1000); очень редко (&lt;1/10000) и частота не установлена (нельзя установить на основании доступных данных).</w:t>
      </w:r>
      <w:r w:rsidRPr="00FA16E6">
        <w:t xml:space="preserve"> </w:t>
      </w:r>
      <w:r w:rsidRPr="00FA16E6">
        <w:rPr>
          <w:color w:val="000000"/>
        </w:rPr>
        <w:t>В пределах каждой частотной группы нежелательные реакции представлены в порядке убывания серьезности.</w:t>
      </w:r>
    </w:p>
    <w:p w14:paraId="58003C06" w14:textId="77777777" w:rsidR="0085687C" w:rsidRPr="00CD0ED9" w:rsidRDefault="0085687C" w:rsidP="00C916DE">
      <w:pPr>
        <w:spacing w:after="0" w:line="240" w:lineRule="auto"/>
        <w:ind w:firstLine="709"/>
        <w:rPr>
          <w:color w:val="000000"/>
          <w:highlight w:val="yellow"/>
        </w:rPr>
      </w:pPr>
    </w:p>
    <w:p w14:paraId="16EAED3D" w14:textId="77777777" w:rsidR="00C01452" w:rsidRDefault="00C01452" w:rsidP="00C01452">
      <w:pPr>
        <w:pStyle w:val="ab"/>
        <w:shd w:val="clear" w:color="auto" w:fill="FFFFFF"/>
        <w:spacing w:before="0" w:beforeAutospacing="0" w:after="0" w:afterAutospacing="0"/>
        <w:jc w:val="both"/>
        <w:rPr>
          <w:b/>
          <w:bCs/>
        </w:rPr>
        <w:sectPr w:rsidR="00C01452" w:rsidSect="00AB01E2">
          <w:pgSz w:w="11906" w:h="16838"/>
          <w:pgMar w:top="1134" w:right="849" w:bottom="1134" w:left="1701" w:header="708" w:footer="709" w:gutter="0"/>
          <w:cols w:space="708"/>
          <w:docGrid w:linePitch="360"/>
        </w:sectPr>
      </w:pPr>
      <w:bookmarkStart w:id="368" w:name="_Toc80034731"/>
    </w:p>
    <w:p w14:paraId="1C0B8BF2" w14:textId="52EADB46" w:rsidR="0085687C" w:rsidRDefault="0085687C" w:rsidP="00C01452">
      <w:pPr>
        <w:pStyle w:val="ab"/>
        <w:shd w:val="clear" w:color="auto" w:fill="FFFFFF"/>
        <w:spacing w:before="0" w:beforeAutospacing="0" w:after="0" w:afterAutospacing="0"/>
        <w:jc w:val="both"/>
        <w:rPr>
          <w:color w:val="000000"/>
        </w:rPr>
      </w:pPr>
      <w:r w:rsidRPr="00FA16E6">
        <w:rPr>
          <w:b/>
          <w:bCs/>
        </w:rPr>
        <w:t xml:space="preserve">Таблица </w:t>
      </w:r>
      <w:r>
        <w:rPr>
          <w:b/>
        </w:rPr>
        <w:t>5</w:t>
      </w:r>
      <w:r w:rsidRPr="00FA16E6">
        <w:rPr>
          <w:b/>
        </w:rPr>
        <w:t>-1</w:t>
      </w:r>
      <w:r w:rsidRPr="00FA16E6">
        <w:rPr>
          <w:b/>
          <w:bCs/>
        </w:rPr>
        <w:t xml:space="preserve">. </w:t>
      </w:r>
      <w:r w:rsidRPr="00FA16E6">
        <w:rPr>
          <w:color w:val="000000"/>
        </w:rPr>
        <w:t>Частота нежелательных явлений, выявленных в плацебо-контролируемых клинических исследованиях эверолимуса при пострегистрационном наблюдении.</w:t>
      </w:r>
      <w:bookmarkStart w:id="369" w:name="docs-internal-guid-01a892ae-7fff-3978-bd"/>
      <w:bookmarkEnd w:id="368"/>
      <w:bookmarkEnd w:id="369"/>
    </w:p>
    <w:tbl>
      <w:tblPr>
        <w:tblW w:w="5000" w:type="pct"/>
        <w:tblInd w:w="-5" w:type="dxa"/>
        <w:tblLook w:val="04A0" w:firstRow="1" w:lastRow="0" w:firstColumn="1" w:lastColumn="0" w:noHBand="0" w:noVBand="1"/>
      </w:tblPr>
      <w:tblGrid>
        <w:gridCol w:w="3242"/>
        <w:gridCol w:w="1542"/>
        <w:gridCol w:w="4562"/>
      </w:tblGrid>
      <w:tr w:rsidR="00007348" w:rsidRPr="00C24B3F" w14:paraId="05FD75F4" w14:textId="77777777" w:rsidTr="00C01452">
        <w:trPr>
          <w:trHeight w:val="547"/>
          <w:tblHeader/>
        </w:trPr>
        <w:tc>
          <w:tcPr>
            <w:tcW w:w="3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41439C" w14:textId="36CF04B5" w:rsidR="00007348" w:rsidRPr="0071249E" w:rsidRDefault="00007348" w:rsidP="00C01452">
            <w:pPr>
              <w:spacing w:after="0" w:line="240" w:lineRule="auto"/>
              <w:jc w:val="center"/>
              <w:rPr>
                <w:rFonts w:eastAsia="Times New Roman"/>
                <w:b/>
                <w:color w:val="000000"/>
                <w:lang w:eastAsia="ru-RU"/>
              </w:rPr>
            </w:pPr>
            <w:r w:rsidRPr="0071249E">
              <w:rPr>
                <w:rFonts w:eastAsia="Times New Roman"/>
                <w:b/>
                <w:color w:val="000000"/>
                <w:lang w:eastAsia="ru-RU"/>
              </w:rPr>
              <w:t>Органы</w:t>
            </w:r>
            <w:r w:rsidR="00816F37" w:rsidRPr="0071249E">
              <w:rPr>
                <w:rFonts w:eastAsia="Times New Roman"/>
                <w:b/>
                <w:color w:val="000000"/>
                <w:lang w:val="en-US" w:eastAsia="ru-RU"/>
              </w:rPr>
              <w:t>/</w:t>
            </w:r>
            <w:r w:rsidRPr="0071249E">
              <w:rPr>
                <w:rFonts w:eastAsia="Times New Roman"/>
                <w:b/>
                <w:color w:val="000000"/>
                <w:lang w:eastAsia="ru-RU"/>
              </w:rPr>
              <w:t>системы</w:t>
            </w:r>
          </w:p>
        </w:tc>
        <w:tc>
          <w:tcPr>
            <w:tcW w:w="154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DCB592A" w14:textId="77777777" w:rsidR="00007348" w:rsidRPr="0071249E" w:rsidRDefault="00007348" w:rsidP="00C01452">
            <w:pPr>
              <w:spacing w:after="0" w:line="240" w:lineRule="auto"/>
              <w:jc w:val="center"/>
              <w:rPr>
                <w:rFonts w:eastAsia="Times New Roman"/>
                <w:b/>
                <w:color w:val="000000"/>
                <w:lang w:eastAsia="ru-RU"/>
              </w:rPr>
            </w:pPr>
            <w:r w:rsidRPr="0071249E">
              <w:rPr>
                <w:rFonts w:eastAsia="Times New Roman"/>
                <w:b/>
                <w:color w:val="000000"/>
                <w:lang w:eastAsia="ru-RU"/>
              </w:rPr>
              <w:t>Частота</w:t>
            </w:r>
          </w:p>
        </w:tc>
        <w:tc>
          <w:tcPr>
            <w:tcW w:w="456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D288184" w14:textId="77777777" w:rsidR="00007348" w:rsidRPr="0071249E" w:rsidRDefault="00007348" w:rsidP="00C01452">
            <w:pPr>
              <w:spacing w:after="0" w:line="240" w:lineRule="auto"/>
              <w:jc w:val="center"/>
              <w:rPr>
                <w:rFonts w:eastAsia="Times New Roman"/>
                <w:b/>
                <w:color w:val="000000"/>
                <w:lang w:eastAsia="ru-RU"/>
              </w:rPr>
            </w:pPr>
            <w:r w:rsidRPr="0071249E">
              <w:rPr>
                <w:rFonts w:eastAsia="Times New Roman"/>
                <w:b/>
                <w:color w:val="000000"/>
                <w:lang w:eastAsia="ru-RU"/>
              </w:rPr>
              <w:t>Нежелательные явления</w:t>
            </w:r>
          </w:p>
        </w:tc>
      </w:tr>
      <w:tr w:rsidR="00007348" w:rsidRPr="00C24B3F" w14:paraId="3B0939E3"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67A2D2A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Инфекции</w:t>
            </w:r>
          </w:p>
        </w:tc>
        <w:tc>
          <w:tcPr>
            <w:tcW w:w="1544" w:type="dxa"/>
            <w:tcBorders>
              <w:top w:val="nil"/>
              <w:left w:val="nil"/>
              <w:bottom w:val="single" w:sz="4" w:space="0" w:color="auto"/>
              <w:right w:val="single" w:sz="4" w:space="0" w:color="auto"/>
            </w:tcBorders>
            <w:shd w:val="clear" w:color="auto" w:fill="auto"/>
            <w:hideMark/>
          </w:tcPr>
          <w:p w14:paraId="6C792A2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7F5355A3"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Вирусные, бактериальные, грибковые инфекции верхних дыхтельных путей, нижних дыхательных путей, легких (включая пневмонию)</w:t>
            </w:r>
            <w:r w:rsidRPr="00C24B3F">
              <w:rPr>
                <w:rFonts w:eastAsia="Times New Roman"/>
                <w:color w:val="000000"/>
                <w:vertAlign w:val="superscript"/>
                <w:lang w:eastAsia="ru-RU"/>
              </w:rPr>
              <w:t>1</w:t>
            </w:r>
            <w:r w:rsidRPr="00C24B3F">
              <w:rPr>
                <w:rFonts w:eastAsia="Times New Roman"/>
                <w:color w:val="000000"/>
                <w:lang w:eastAsia="ru-RU"/>
              </w:rPr>
              <w:t>, мочевыделительной системы</w:t>
            </w:r>
            <w:r w:rsidRPr="00C24B3F">
              <w:rPr>
                <w:rFonts w:eastAsia="Times New Roman"/>
                <w:color w:val="000000"/>
                <w:vertAlign w:val="superscript"/>
                <w:lang w:eastAsia="ru-RU"/>
              </w:rPr>
              <w:t>2</w:t>
            </w:r>
          </w:p>
        </w:tc>
      </w:tr>
      <w:tr w:rsidR="00007348" w:rsidRPr="00C24B3F" w14:paraId="07802E28"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6BFE940D"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2082A7B7"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4F68EE06"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Сепсис, раневые инфекции</w:t>
            </w:r>
          </w:p>
        </w:tc>
      </w:tr>
      <w:tr w:rsidR="00007348" w:rsidRPr="00C24B3F" w14:paraId="58E41609"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5B775D1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Доброкачественные, злокачественные, неспецифицированные новообразования</w:t>
            </w:r>
          </w:p>
        </w:tc>
        <w:tc>
          <w:tcPr>
            <w:tcW w:w="1544" w:type="dxa"/>
            <w:tcBorders>
              <w:top w:val="nil"/>
              <w:left w:val="nil"/>
              <w:bottom w:val="single" w:sz="4" w:space="0" w:color="auto"/>
              <w:right w:val="single" w:sz="4" w:space="0" w:color="auto"/>
            </w:tcBorders>
            <w:shd w:val="clear" w:color="auto" w:fill="auto"/>
            <w:hideMark/>
          </w:tcPr>
          <w:p w14:paraId="0D3A394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0DB44C6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Злокачественные или неспецифицированные образования кожи</w:t>
            </w:r>
          </w:p>
        </w:tc>
      </w:tr>
      <w:tr w:rsidR="00007348" w:rsidRPr="00C24B3F" w14:paraId="37E3B4CC"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412E3275"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24528E8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0E3239E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Лимфомы, пост-трансплантационные лимфопролиферативные заболевания</w:t>
            </w:r>
          </w:p>
        </w:tc>
      </w:tr>
      <w:tr w:rsidR="00007348" w:rsidRPr="00C24B3F" w14:paraId="44FC0152"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359BCF33"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Нарушения кроветворной и лимфатической системы</w:t>
            </w:r>
          </w:p>
        </w:tc>
        <w:tc>
          <w:tcPr>
            <w:tcW w:w="1544" w:type="dxa"/>
            <w:tcBorders>
              <w:top w:val="nil"/>
              <w:left w:val="nil"/>
              <w:bottom w:val="single" w:sz="4" w:space="0" w:color="auto"/>
              <w:right w:val="single" w:sz="4" w:space="0" w:color="auto"/>
            </w:tcBorders>
            <w:shd w:val="clear" w:color="auto" w:fill="auto"/>
            <w:hideMark/>
          </w:tcPr>
          <w:p w14:paraId="3568B03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0C3E16C3"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Лейкопения, анемия/эритропения, тромбоцитопения</w:t>
            </w:r>
            <w:r w:rsidRPr="00C24B3F">
              <w:rPr>
                <w:rFonts w:eastAsia="Times New Roman"/>
                <w:color w:val="000000"/>
                <w:vertAlign w:val="superscript"/>
                <w:lang w:eastAsia="ru-RU"/>
              </w:rPr>
              <w:t>1</w:t>
            </w:r>
          </w:p>
        </w:tc>
      </w:tr>
      <w:tr w:rsidR="00007348" w:rsidRPr="00C24B3F" w14:paraId="4AC7781C"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12CB6F66"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217D4FE8"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5F6F456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Панцитопения, тромботическая микроангиопатия (включая тромботическую тромбоцитопеническую пурпуру/гемолитико-уремический синдром)</w:t>
            </w:r>
          </w:p>
        </w:tc>
      </w:tr>
      <w:tr w:rsidR="00007348" w:rsidRPr="00C24B3F" w14:paraId="5ABE0D5F"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61579A4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Нарушения эндокринной системы</w:t>
            </w:r>
          </w:p>
        </w:tc>
        <w:tc>
          <w:tcPr>
            <w:tcW w:w="1544" w:type="dxa"/>
            <w:tcBorders>
              <w:top w:val="nil"/>
              <w:left w:val="nil"/>
              <w:bottom w:val="single" w:sz="4" w:space="0" w:color="auto"/>
              <w:right w:val="single" w:sz="4" w:space="0" w:color="auto"/>
            </w:tcBorders>
            <w:shd w:val="clear" w:color="auto" w:fill="auto"/>
            <w:hideMark/>
          </w:tcPr>
          <w:p w14:paraId="78C62992"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6535C47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Мужской гипогонадизм (снижение тестостерона, повышение ФСГ и ЛГ)</w:t>
            </w:r>
          </w:p>
        </w:tc>
      </w:tr>
      <w:tr w:rsidR="00007348" w:rsidRPr="00C24B3F" w14:paraId="46E89604"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4813EC0C"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Расстройства метаболизма и питания</w:t>
            </w:r>
          </w:p>
        </w:tc>
        <w:tc>
          <w:tcPr>
            <w:tcW w:w="1544" w:type="dxa"/>
            <w:tcBorders>
              <w:top w:val="nil"/>
              <w:left w:val="nil"/>
              <w:bottom w:val="single" w:sz="4" w:space="0" w:color="auto"/>
              <w:right w:val="single" w:sz="4" w:space="0" w:color="auto"/>
            </w:tcBorders>
            <w:shd w:val="clear" w:color="auto" w:fill="auto"/>
            <w:hideMark/>
          </w:tcPr>
          <w:p w14:paraId="3F536FD6"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7EF638A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Гиперлипидемия (холестерин и триглицериды), вновь выявленный сахарный диабет, гипокалиемия</w:t>
            </w:r>
          </w:p>
        </w:tc>
      </w:tr>
      <w:tr w:rsidR="00007348" w:rsidRPr="00C24B3F" w14:paraId="474CFB8A"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63D00393"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Психиатрические расстройства</w:t>
            </w:r>
          </w:p>
        </w:tc>
        <w:tc>
          <w:tcPr>
            <w:tcW w:w="1544" w:type="dxa"/>
            <w:tcBorders>
              <w:top w:val="nil"/>
              <w:left w:val="nil"/>
              <w:bottom w:val="single" w:sz="4" w:space="0" w:color="auto"/>
              <w:right w:val="single" w:sz="4" w:space="0" w:color="auto"/>
            </w:tcBorders>
            <w:shd w:val="clear" w:color="auto" w:fill="auto"/>
            <w:hideMark/>
          </w:tcPr>
          <w:p w14:paraId="3E25FC5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524F4D1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Бессонница, тревожность</w:t>
            </w:r>
          </w:p>
        </w:tc>
      </w:tr>
      <w:tr w:rsidR="00007348" w:rsidRPr="00C24B3F" w14:paraId="68E5EECB"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6F5ABFF6"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Расстройства нервной системы</w:t>
            </w:r>
          </w:p>
        </w:tc>
        <w:tc>
          <w:tcPr>
            <w:tcW w:w="1544" w:type="dxa"/>
            <w:tcBorders>
              <w:top w:val="nil"/>
              <w:left w:val="nil"/>
              <w:bottom w:val="single" w:sz="4" w:space="0" w:color="auto"/>
              <w:right w:val="single" w:sz="4" w:space="0" w:color="auto"/>
            </w:tcBorders>
            <w:shd w:val="clear" w:color="auto" w:fill="auto"/>
            <w:hideMark/>
          </w:tcPr>
          <w:p w14:paraId="0783309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4EECAE42"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Головная боль</w:t>
            </w:r>
          </w:p>
        </w:tc>
      </w:tr>
      <w:tr w:rsidR="00007348" w:rsidRPr="00C24B3F" w14:paraId="07B1159C"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5806D343"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Болезни сердца</w:t>
            </w:r>
          </w:p>
        </w:tc>
        <w:tc>
          <w:tcPr>
            <w:tcW w:w="1544" w:type="dxa"/>
            <w:tcBorders>
              <w:top w:val="nil"/>
              <w:left w:val="nil"/>
              <w:bottom w:val="single" w:sz="4" w:space="0" w:color="auto"/>
              <w:right w:val="single" w:sz="4" w:space="0" w:color="auto"/>
            </w:tcBorders>
            <w:shd w:val="clear" w:color="auto" w:fill="auto"/>
            <w:hideMark/>
          </w:tcPr>
          <w:p w14:paraId="18E3924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6D704918"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Перикардиальный выпот</w:t>
            </w:r>
            <w:r w:rsidRPr="00C24B3F">
              <w:rPr>
                <w:rFonts w:eastAsia="Times New Roman"/>
                <w:color w:val="000000"/>
                <w:vertAlign w:val="superscript"/>
                <w:lang w:eastAsia="ru-RU"/>
              </w:rPr>
              <w:t>3</w:t>
            </w:r>
          </w:p>
        </w:tc>
      </w:tr>
      <w:tr w:rsidR="00007348" w:rsidRPr="00C24B3F" w14:paraId="1EBA4E6A"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2F96A6C3"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41885D4F"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27706AB4"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Тахикардия</w:t>
            </w:r>
          </w:p>
        </w:tc>
      </w:tr>
      <w:tr w:rsidR="00007348" w:rsidRPr="00C24B3F" w14:paraId="2072124A"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6C5EF5DF"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Сосудистые расстройства</w:t>
            </w:r>
          </w:p>
        </w:tc>
        <w:tc>
          <w:tcPr>
            <w:tcW w:w="1544" w:type="dxa"/>
            <w:tcBorders>
              <w:top w:val="nil"/>
              <w:left w:val="nil"/>
              <w:bottom w:val="single" w:sz="4" w:space="0" w:color="auto"/>
              <w:right w:val="single" w:sz="4" w:space="0" w:color="auto"/>
            </w:tcBorders>
            <w:shd w:val="clear" w:color="auto" w:fill="auto"/>
            <w:hideMark/>
          </w:tcPr>
          <w:p w14:paraId="120B6327"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59E77B4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Гипертензия, венозные тромбоэмболические события</w:t>
            </w:r>
          </w:p>
        </w:tc>
      </w:tr>
      <w:tr w:rsidR="00007348" w:rsidRPr="00C24B3F" w14:paraId="16A176EE"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53346824"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1C8BFCF4"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4173E83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Лимфоцеле</w:t>
            </w:r>
            <w:r w:rsidRPr="00C24B3F">
              <w:rPr>
                <w:rFonts w:eastAsia="Times New Roman"/>
                <w:color w:val="000000"/>
                <w:vertAlign w:val="superscript"/>
                <w:lang w:eastAsia="ru-RU"/>
              </w:rPr>
              <w:t>4</w:t>
            </w:r>
            <w:r w:rsidRPr="00C24B3F">
              <w:rPr>
                <w:rFonts w:eastAsia="Times New Roman"/>
                <w:color w:val="000000"/>
                <w:lang w:eastAsia="ru-RU"/>
              </w:rPr>
              <w:t>, носовое кровотечение, тромбоз трансплантата почки</w:t>
            </w:r>
          </w:p>
        </w:tc>
      </w:tr>
      <w:tr w:rsidR="00007348" w:rsidRPr="00C24B3F" w14:paraId="256DD0A7"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4B5C4B3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Респираторные, торакальные и медиастинальные расстройства</w:t>
            </w:r>
          </w:p>
        </w:tc>
        <w:tc>
          <w:tcPr>
            <w:tcW w:w="1544" w:type="dxa"/>
            <w:tcBorders>
              <w:top w:val="nil"/>
              <w:left w:val="nil"/>
              <w:bottom w:val="single" w:sz="4" w:space="0" w:color="auto"/>
              <w:right w:val="single" w:sz="4" w:space="0" w:color="auto"/>
            </w:tcBorders>
            <w:shd w:val="clear" w:color="auto" w:fill="auto"/>
            <w:hideMark/>
          </w:tcPr>
          <w:p w14:paraId="2EBE9D7A"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61AC2E0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Плевральный выпот</w:t>
            </w:r>
            <w:r w:rsidRPr="00C24B3F">
              <w:rPr>
                <w:rFonts w:eastAsia="Times New Roman"/>
                <w:color w:val="000000"/>
                <w:vertAlign w:val="superscript"/>
                <w:lang w:eastAsia="ru-RU"/>
              </w:rPr>
              <w:t>1</w:t>
            </w:r>
            <w:r w:rsidRPr="00C24B3F">
              <w:rPr>
                <w:rFonts w:eastAsia="Times New Roman"/>
                <w:color w:val="000000"/>
                <w:lang w:eastAsia="ru-RU"/>
              </w:rPr>
              <w:t>, кашель</w:t>
            </w:r>
            <w:r w:rsidRPr="00C24B3F">
              <w:rPr>
                <w:rFonts w:eastAsia="Times New Roman"/>
                <w:color w:val="000000"/>
                <w:vertAlign w:val="superscript"/>
                <w:lang w:eastAsia="ru-RU"/>
              </w:rPr>
              <w:t>1</w:t>
            </w:r>
            <w:r w:rsidRPr="00C24B3F">
              <w:rPr>
                <w:rFonts w:eastAsia="Times New Roman"/>
                <w:color w:val="000000"/>
                <w:lang w:eastAsia="ru-RU"/>
              </w:rPr>
              <w:t>, одышка</w:t>
            </w:r>
            <w:r w:rsidRPr="00C24B3F">
              <w:rPr>
                <w:rFonts w:eastAsia="Times New Roman"/>
                <w:color w:val="000000"/>
                <w:vertAlign w:val="superscript"/>
                <w:lang w:eastAsia="ru-RU"/>
              </w:rPr>
              <w:t>1</w:t>
            </w:r>
          </w:p>
        </w:tc>
      </w:tr>
      <w:tr w:rsidR="00007348" w:rsidRPr="00C24B3F" w14:paraId="377DFFDF"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00EA6CEA"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3C61031B"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70C1023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Интерстициальные болезни легких</w:t>
            </w:r>
            <w:r w:rsidRPr="00C24B3F">
              <w:rPr>
                <w:rFonts w:eastAsia="Times New Roman"/>
                <w:color w:val="000000"/>
                <w:vertAlign w:val="superscript"/>
                <w:lang w:eastAsia="ru-RU"/>
              </w:rPr>
              <w:t>5</w:t>
            </w:r>
          </w:p>
        </w:tc>
      </w:tr>
      <w:tr w:rsidR="00007348" w:rsidRPr="00C24B3F" w14:paraId="3F60216C"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77CDE167"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Расстройства органов пищеварения</w:t>
            </w:r>
          </w:p>
        </w:tc>
        <w:tc>
          <w:tcPr>
            <w:tcW w:w="1544" w:type="dxa"/>
            <w:tcBorders>
              <w:top w:val="nil"/>
              <w:left w:val="nil"/>
              <w:bottom w:val="single" w:sz="4" w:space="0" w:color="auto"/>
              <w:right w:val="single" w:sz="4" w:space="0" w:color="auto"/>
            </w:tcBorders>
            <w:shd w:val="clear" w:color="auto" w:fill="auto"/>
            <w:hideMark/>
          </w:tcPr>
          <w:p w14:paraId="304D32F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1CA9F67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Боль в животе, диарея, тошнота, рвота</w:t>
            </w:r>
          </w:p>
        </w:tc>
      </w:tr>
      <w:tr w:rsidR="00007348" w:rsidRPr="00C24B3F" w14:paraId="581C60E7"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65EEF3F0"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1B1137E0"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7E993F3F"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Панкреатит, стоматит/изъязвление слизистой оболочки полости рта, орофарингеальная боль</w:t>
            </w:r>
          </w:p>
        </w:tc>
      </w:tr>
      <w:tr w:rsidR="00007348" w:rsidRPr="00C24B3F" w14:paraId="191A1293"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53BE51E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Поражения гепатобилиарной система</w:t>
            </w:r>
          </w:p>
        </w:tc>
        <w:tc>
          <w:tcPr>
            <w:tcW w:w="1544" w:type="dxa"/>
            <w:tcBorders>
              <w:top w:val="nil"/>
              <w:left w:val="nil"/>
              <w:bottom w:val="single" w:sz="4" w:space="0" w:color="auto"/>
              <w:right w:val="single" w:sz="4" w:space="0" w:color="auto"/>
            </w:tcBorders>
            <w:shd w:val="clear" w:color="auto" w:fill="auto"/>
            <w:hideMark/>
          </w:tcPr>
          <w:p w14:paraId="4759493C"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475B6AB9"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Неинфекционный гепатит, желтуха</w:t>
            </w:r>
          </w:p>
        </w:tc>
      </w:tr>
      <w:tr w:rsidR="00007348" w:rsidRPr="00C24B3F" w14:paraId="09DB8E52"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1847634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Поражения кожи и подкожной ткани</w:t>
            </w:r>
          </w:p>
        </w:tc>
        <w:tc>
          <w:tcPr>
            <w:tcW w:w="1544" w:type="dxa"/>
            <w:tcBorders>
              <w:top w:val="nil"/>
              <w:left w:val="nil"/>
              <w:bottom w:val="single" w:sz="4" w:space="0" w:color="auto"/>
              <w:right w:val="single" w:sz="4" w:space="0" w:color="auto"/>
            </w:tcBorders>
            <w:shd w:val="clear" w:color="auto" w:fill="auto"/>
            <w:hideMark/>
          </w:tcPr>
          <w:p w14:paraId="05B948E8"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302EAE2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Ангионевротический отек</w:t>
            </w:r>
            <w:r w:rsidRPr="00C24B3F">
              <w:rPr>
                <w:rFonts w:eastAsia="Times New Roman"/>
                <w:color w:val="000000"/>
                <w:vertAlign w:val="superscript"/>
                <w:lang w:eastAsia="ru-RU"/>
              </w:rPr>
              <w:t>6</w:t>
            </w:r>
            <w:r w:rsidRPr="00C24B3F">
              <w:rPr>
                <w:rFonts w:eastAsia="Times New Roman"/>
                <w:color w:val="000000"/>
                <w:lang w:eastAsia="ru-RU"/>
              </w:rPr>
              <w:t>, акне, сыпь</w:t>
            </w:r>
          </w:p>
        </w:tc>
      </w:tr>
      <w:tr w:rsidR="00007348" w:rsidRPr="00C24B3F" w14:paraId="5A6681B7"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46EFA134"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Поражения мышечно-скелетной и соединительной ткани</w:t>
            </w:r>
          </w:p>
        </w:tc>
        <w:tc>
          <w:tcPr>
            <w:tcW w:w="1544" w:type="dxa"/>
            <w:tcBorders>
              <w:top w:val="nil"/>
              <w:left w:val="nil"/>
              <w:bottom w:val="single" w:sz="4" w:space="0" w:color="auto"/>
              <w:right w:val="single" w:sz="4" w:space="0" w:color="auto"/>
            </w:tcBorders>
            <w:shd w:val="clear" w:color="auto" w:fill="auto"/>
            <w:hideMark/>
          </w:tcPr>
          <w:p w14:paraId="7208115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3A8D50E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Миалгия, артралгия</w:t>
            </w:r>
          </w:p>
        </w:tc>
      </w:tr>
      <w:tr w:rsidR="00007348" w:rsidRPr="00C24B3F" w14:paraId="300DB90D"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298B3FB8"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Поражения почек и мочевыводящей системы</w:t>
            </w:r>
          </w:p>
        </w:tc>
        <w:tc>
          <w:tcPr>
            <w:tcW w:w="1544" w:type="dxa"/>
            <w:tcBorders>
              <w:top w:val="nil"/>
              <w:left w:val="nil"/>
              <w:bottom w:val="single" w:sz="4" w:space="0" w:color="auto"/>
              <w:right w:val="single" w:sz="4" w:space="0" w:color="auto"/>
            </w:tcBorders>
            <w:shd w:val="clear" w:color="auto" w:fill="auto"/>
            <w:hideMark/>
          </w:tcPr>
          <w:p w14:paraId="5E184172"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639396D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Протеинурия</w:t>
            </w:r>
            <w:r w:rsidRPr="00C24B3F">
              <w:rPr>
                <w:rFonts w:eastAsia="Times New Roman"/>
                <w:color w:val="000000"/>
                <w:vertAlign w:val="superscript"/>
                <w:lang w:eastAsia="ru-RU"/>
              </w:rPr>
              <w:t>2</w:t>
            </w:r>
            <w:r w:rsidRPr="00C24B3F">
              <w:rPr>
                <w:rFonts w:eastAsia="Times New Roman"/>
                <w:color w:val="000000"/>
                <w:lang w:eastAsia="ru-RU"/>
              </w:rPr>
              <w:t>, тубулярный некроз почки</w:t>
            </w:r>
            <w:r w:rsidRPr="00C24B3F">
              <w:rPr>
                <w:rFonts w:eastAsia="Times New Roman"/>
                <w:color w:val="000000"/>
                <w:vertAlign w:val="superscript"/>
                <w:lang w:eastAsia="ru-RU"/>
              </w:rPr>
              <w:t>7</w:t>
            </w:r>
          </w:p>
        </w:tc>
      </w:tr>
      <w:tr w:rsidR="00007348" w:rsidRPr="00C24B3F" w14:paraId="1D7562FE"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1980FB7F"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Поражения репродуктивной системы и молочных желез</w:t>
            </w:r>
          </w:p>
        </w:tc>
        <w:tc>
          <w:tcPr>
            <w:tcW w:w="1544" w:type="dxa"/>
            <w:tcBorders>
              <w:top w:val="nil"/>
              <w:left w:val="nil"/>
              <w:bottom w:val="single" w:sz="4" w:space="0" w:color="auto"/>
              <w:right w:val="single" w:sz="4" w:space="0" w:color="auto"/>
            </w:tcBorders>
            <w:shd w:val="clear" w:color="auto" w:fill="auto"/>
            <w:hideMark/>
          </w:tcPr>
          <w:p w14:paraId="043CED77"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306E95CB"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Эректильная дисфункция, нарушения менструального цикла (включая аменорею и менорагнию)</w:t>
            </w:r>
          </w:p>
        </w:tc>
      </w:tr>
      <w:tr w:rsidR="00007348" w:rsidRPr="00C24B3F" w14:paraId="590B0772"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3B63605F"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6E74FBE5"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Не часто</w:t>
            </w:r>
          </w:p>
        </w:tc>
        <w:tc>
          <w:tcPr>
            <w:tcW w:w="4568" w:type="dxa"/>
            <w:tcBorders>
              <w:top w:val="nil"/>
              <w:left w:val="nil"/>
              <w:bottom w:val="single" w:sz="4" w:space="0" w:color="auto"/>
              <w:right w:val="single" w:sz="4" w:space="0" w:color="auto"/>
            </w:tcBorders>
            <w:shd w:val="clear" w:color="auto" w:fill="auto"/>
            <w:hideMark/>
          </w:tcPr>
          <w:p w14:paraId="18F062C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Кисты яичников</w:t>
            </w:r>
          </w:p>
        </w:tc>
      </w:tr>
      <w:tr w:rsidR="00007348" w:rsidRPr="00C24B3F" w14:paraId="4629C277" w14:textId="77777777" w:rsidTr="00C01452">
        <w:trPr>
          <w:trHeight w:val="20"/>
        </w:trPr>
        <w:tc>
          <w:tcPr>
            <w:tcW w:w="3244" w:type="dxa"/>
            <w:vMerge w:val="restart"/>
            <w:tcBorders>
              <w:top w:val="nil"/>
              <w:left w:val="single" w:sz="4" w:space="0" w:color="auto"/>
              <w:bottom w:val="single" w:sz="4" w:space="0" w:color="000000"/>
              <w:right w:val="single" w:sz="4" w:space="0" w:color="auto"/>
            </w:tcBorders>
            <w:shd w:val="clear" w:color="auto" w:fill="auto"/>
            <w:hideMark/>
          </w:tcPr>
          <w:p w14:paraId="17298A5E"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Общие заболевания и осложнения в месте введения</w:t>
            </w:r>
          </w:p>
        </w:tc>
        <w:tc>
          <w:tcPr>
            <w:tcW w:w="1544" w:type="dxa"/>
            <w:tcBorders>
              <w:top w:val="nil"/>
              <w:left w:val="nil"/>
              <w:bottom w:val="single" w:sz="4" w:space="0" w:color="auto"/>
              <w:right w:val="single" w:sz="4" w:space="0" w:color="auto"/>
            </w:tcBorders>
            <w:shd w:val="clear" w:color="auto" w:fill="auto"/>
            <w:hideMark/>
          </w:tcPr>
          <w:p w14:paraId="2FADE57B"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Очень часто</w:t>
            </w:r>
          </w:p>
        </w:tc>
        <w:tc>
          <w:tcPr>
            <w:tcW w:w="4568" w:type="dxa"/>
            <w:tcBorders>
              <w:top w:val="nil"/>
              <w:left w:val="nil"/>
              <w:bottom w:val="single" w:sz="4" w:space="0" w:color="auto"/>
              <w:right w:val="single" w:sz="4" w:space="0" w:color="auto"/>
            </w:tcBorders>
            <w:shd w:val="clear" w:color="auto" w:fill="auto"/>
            <w:hideMark/>
          </w:tcPr>
          <w:p w14:paraId="3D497567"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Периферические отеки, боль, нарушения заживления ран, лихорадка</w:t>
            </w:r>
          </w:p>
        </w:tc>
      </w:tr>
      <w:tr w:rsidR="00007348" w:rsidRPr="00C24B3F" w14:paraId="20BB7E35" w14:textId="77777777" w:rsidTr="00C01452">
        <w:trPr>
          <w:trHeight w:val="20"/>
        </w:trPr>
        <w:tc>
          <w:tcPr>
            <w:tcW w:w="3244" w:type="dxa"/>
            <w:vMerge/>
            <w:tcBorders>
              <w:top w:val="nil"/>
              <w:left w:val="single" w:sz="4" w:space="0" w:color="auto"/>
              <w:bottom w:val="single" w:sz="4" w:space="0" w:color="000000"/>
              <w:right w:val="single" w:sz="4" w:space="0" w:color="auto"/>
            </w:tcBorders>
            <w:vAlign w:val="center"/>
            <w:hideMark/>
          </w:tcPr>
          <w:p w14:paraId="4B162519" w14:textId="77777777" w:rsidR="00007348" w:rsidRPr="00C24B3F" w:rsidRDefault="00007348" w:rsidP="00C01452">
            <w:pPr>
              <w:spacing w:after="0" w:line="240" w:lineRule="auto"/>
              <w:jc w:val="left"/>
              <w:rPr>
                <w:rFonts w:eastAsia="Times New Roman"/>
                <w:color w:val="000000"/>
                <w:lang w:eastAsia="ru-RU"/>
              </w:rPr>
            </w:pPr>
          </w:p>
        </w:tc>
        <w:tc>
          <w:tcPr>
            <w:tcW w:w="1544" w:type="dxa"/>
            <w:tcBorders>
              <w:top w:val="nil"/>
              <w:left w:val="nil"/>
              <w:bottom w:val="single" w:sz="4" w:space="0" w:color="auto"/>
              <w:right w:val="single" w:sz="4" w:space="0" w:color="auto"/>
            </w:tcBorders>
            <w:shd w:val="clear" w:color="auto" w:fill="auto"/>
            <w:hideMark/>
          </w:tcPr>
          <w:p w14:paraId="2B9A101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506729CD"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Послеоперационные грыжи</w:t>
            </w:r>
          </w:p>
        </w:tc>
      </w:tr>
      <w:tr w:rsidR="00007348" w:rsidRPr="00C24B3F" w14:paraId="3A2F4CF5" w14:textId="77777777" w:rsidTr="00C01452">
        <w:trPr>
          <w:trHeight w:val="20"/>
        </w:trPr>
        <w:tc>
          <w:tcPr>
            <w:tcW w:w="3244" w:type="dxa"/>
            <w:tcBorders>
              <w:top w:val="nil"/>
              <w:left w:val="single" w:sz="4" w:space="0" w:color="auto"/>
              <w:bottom w:val="single" w:sz="4" w:space="0" w:color="auto"/>
              <w:right w:val="single" w:sz="4" w:space="0" w:color="auto"/>
            </w:tcBorders>
            <w:shd w:val="clear" w:color="auto" w:fill="auto"/>
            <w:hideMark/>
          </w:tcPr>
          <w:p w14:paraId="53E57DD6"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Лабораторные отклонения</w:t>
            </w:r>
          </w:p>
        </w:tc>
        <w:tc>
          <w:tcPr>
            <w:tcW w:w="1544" w:type="dxa"/>
            <w:tcBorders>
              <w:top w:val="nil"/>
              <w:left w:val="nil"/>
              <w:bottom w:val="single" w:sz="4" w:space="0" w:color="auto"/>
              <w:right w:val="single" w:sz="4" w:space="0" w:color="auto"/>
            </w:tcBorders>
            <w:shd w:val="clear" w:color="auto" w:fill="auto"/>
            <w:hideMark/>
          </w:tcPr>
          <w:p w14:paraId="261958A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Часто</w:t>
            </w:r>
          </w:p>
        </w:tc>
        <w:tc>
          <w:tcPr>
            <w:tcW w:w="4568" w:type="dxa"/>
            <w:tcBorders>
              <w:top w:val="nil"/>
              <w:left w:val="nil"/>
              <w:bottom w:val="single" w:sz="4" w:space="0" w:color="auto"/>
              <w:right w:val="single" w:sz="4" w:space="0" w:color="auto"/>
            </w:tcBorders>
            <w:shd w:val="clear" w:color="auto" w:fill="auto"/>
            <w:hideMark/>
          </w:tcPr>
          <w:p w14:paraId="3569E2D1" w14:textId="77777777" w:rsidR="00007348" w:rsidRPr="00C24B3F" w:rsidRDefault="00007348" w:rsidP="00C01452">
            <w:pPr>
              <w:spacing w:after="0" w:line="240" w:lineRule="auto"/>
              <w:jc w:val="left"/>
              <w:rPr>
                <w:rFonts w:eastAsia="Times New Roman"/>
                <w:color w:val="000000"/>
                <w:lang w:eastAsia="ru-RU"/>
              </w:rPr>
            </w:pPr>
            <w:r w:rsidRPr="00C24B3F">
              <w:rPr>
                <w:rFonts w:eastAsia="Times New Roman"/>
                <w:color w:val="000000"/>
                <w:lang w:eastAsia="ru-RU"/>
              </w:rPr>
              <w:t>Отклонения концентрации печеночных ферментов</w:t>
            </w:r>
            <w:r w:rsidRPr="00C24B3F">
              <w:rPr>
                <w:rFonts w:eastAsia="Times New Roman"/>
                <w:color w:val="000000"/>
                <w:vertAlign w:val="superscript"/>
                <w:lang w:eastAsia="ru-RU"/>
              </w:rPr>
              <w:t>8</w:t>
            </w:r>
          </w:p>
        </w:tc>
      </w:tr>
      <w:tr w:rsidR="005D0AAE" w:rsidRPr="00C24B3F" w14:paraId="115B616B" w14:textId="77777777" w:rsidTr="00C01452">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775ADD52" w14:textId="77777777" w:rsidR="005D0AAE" w:rsidRPr="00E03613" w:rsidRDefault="005D0AAE" w:rsidP="00C01452">
            <w:pPr>
              <w:pStyle w:val="Default"/>
              <w:rPr>
                <w:b/>
                <w:sz w:val="20"/>
                <w:szCs w:val="20"/>
              </w:rPr>
            </w:pPr>
            <w:r w:rsidRPr="00E03613">
              <w:rPr>
                <w:b/>
                <w:sz w:val="20"/>
                <w:szCs w:val="20"/>
              </w:rPr>
              <w:t>Примечание:</w:t>
            </w:r>
          </w:p>
          <w:p w14:paraId="73E97CCF" w14:textId="77777777" w:rsidR="005D0AAE" w:rsidRPr="00E03613" w:rsidRDefault="005D0AAE" w:rsidP="00C01452">
            <w:pPr>
              <w:pStyle w:val="Default"/>
              <w:rPr>
                <w:sz w:val="20"/>
                <w:szCs w:val="20"/>
              </w:rPr>
            </w:pPr>
            <w:r w:rsidRPr="00E03613">
              <w:rPr>
                <w:sz w:val="20"/>
                <w:szCs w:val="20"/>
              </w:rPr>
              <w:t>1</w:t>
            </w:r>
            <w:r>
              <w:rPr>
                <w:sz w:val="20"/>
                <w:szCs w:val="20"/>
              </w:rPr>
              <w:t xml:space="preserve"> </w:t>
            </w:r>
            <w:r w:rsidRPr="00E03613">
              <w:rPr>
                <w:sz w:val="20"/>
                <w:szCs w:val="20"/>
              </w:rPr>
              <w:t>часто при трансплантации почек и печени</w:t>
            </w:r>
          </w:p>
          <w:p w14:paraId="5F66124D" w14:textId="77777777" w:rsidR="005D0AAE" w:rsidRPr="00E03613" w:rsidRDefault="005D0AAE" w:rsidP="00C01452">
            <w:pPr>
              <w:pStyle w:val="Default"/>
              <w:rPr>
                <w:sz w:val="20"/>
                <w:szCs w:val="20"/>
              </w:rPr>
            </w:pPr>
            <w:r w:rsidRPr="00E03613">
              <w:rPr>
                <w:sz w:val="20"/>
                <w:szCs w:val="20"/>
              </w:rPr>
              <w:t>2</w:t>
            </w:r>
            <w:r>
              <w:rPr>
                <w:sz w:val="20"/>
                <w:szCs w:val="20"/>
              </w:rPr>
              <w:t xml:space="preserve"> </w:t>
            </w:r>
            <w:r w:rsidRPr="00E03613">
              <w:rPr>
                <w:sz w:val="20"/>
                <w:szCs w:val="20"/>
              </w:rPr>
              <w:t>часто при трансплантации сердца и печени</w:t>
            </w:r>
          </w:p>
          <w:p w14:paraId="69D8EC9C" w14:textId="77777777" w:rsidR="005D0AAE" w:rsidRPr="00E03613" w:rsidRDefault="005D0AAE" w:rsidP="00C01452">
            <w:pPr>
              <w:pStyle w:val="Default"/>
              <w:rPr>
                <w:sz w:val="20"/>
                <w:szCs w:val="20"/>
              </w:rPr>
            </w:pPr>
            <w:r>
              <w:rPr>
                <w:sz w:val="20"/>
                <w:szCs w:val="20"/>
              </w:rPr>
              <w:t>3 при</w:t>
            </w:r>
            <w:r w:rsidRPr="00E03613">
              <w:rPr>
                <w:sz w:val="20"/>
                <w:szCs w:val="20"/>
              </w:rPr>
              <w:t xml:space="preserve"> трансплантации сердца</w:t>
            </w:r>
          </w:p>
          <w:p w14:paraId="41FA184E" w14:textId="77777777" w:rsidR="005D0AAE" w:rsidRDefault="005D0AAE" w:rsidP="00C01452">
            <w:pPr>
              <w:pStyle w:val="Default"/>
              <w:rPr>
                <w:sz w:val="20"/>
                <w:szCs w:val="20"/>
              </w:rPr>
            </w:pPr>
            <w:r w:rsidRPr="00E03613">
              <w:rPr>
                <w:sz w:val="20"/>
                <w:szCs w:val="20"/>
              </w:rPr>
              <w:t>4</w:t>
            </w:r>
            <w:r>
              <w:rPr>
                <w:sz w:val="20"/>
                <w:szCs w:val="20"/>
              </w:rPr>
              <w:t xml:space="preserve"> </w:t>
            </w:r>
            <w:r w:rsidRPr="00E03613">
              <w:rPr>
                <w:sz w:val="20"/>
                <w:szCs w:val="20"/>
              </w:rPr>
              <w:t>при трансплантации почек и сердца</w:t>
            </w:r>
          </w:p>
          <w:p w14:paraId="328336F0" w14:textId="77777777" w:rsidR="005D0AAE" w:rsidRPr="00E03613" w:rsidRDefault="005D0AAE" w:rsidP="00C01452">
            <w:pPr>
              <w:pStyle w:val="Default"/>
              <w:rPr>
                <w:sz w:val="20"/>
                <w:szCs w:val="20"/>
              </w:rPr>
            </w:pPr>
            <w:r w:rsidRPr="00E03613">
              <w:rPr>
                <w:sz w:val="20"/>
                <w:szCs w:val="20"/>
              </w:rPr>
              <w:t>5</w:t>
            </w:r>
            <w:r>
              <w:rPr>
                <w:sz w:val="20"/>
                <w:szCs w:val="20"/>
              </w:rPr>
              <w:t xml:space="preserve"> также включены</w:t>
            </w:r>
            <w:r w:rsidRPr="00E03613">
              <w:rPr>
                <w:sz w:val="20"/>
                <w:szCs w:val="20"/>
              </w:rPr>
              <w:t xml:space="preserve"> случаи</w:t>
            </w:r>
            <w:r>
              <w:rPr>
                <w:sz w:val="20"/>
                <w:szCs w:val="20"/>
              </w:rPr>
              <w:t xml:space="preserve"> ИЗЛ</w:t>
            </w:r>
            <w:r w:rsidRPr="00E03613">
              <w:rPr>
                <w:sz w:val="20"/>
                <w:szCs w:val="20"/>
              </w:rPr>
              <w:t>, вызванные</w:t>
            </w:r>
            <w:r>
              <w:rPr>
                <w:sz w:val="20"/>
                <w:szCs w:val="20"/>
              </w:rPr>
              <w:t xml:space="preserve"> связанными событиями, например,</w:t>
            </w:r>
            <w:r w:rsidRPr="00E03613">
              <w:rPr>
                <w:sz w:val="20"/>
                <w:szCs w:val="20"/>
              </w:rPr>
              <w:t xml:space="preserve"> инфекциями. Приведенная здесь категория частоты получена на основе медицинского обзора известных случаев.</w:t>
            </w:r>
          </w:p>
          <w:p w14:paraId="6EDF5D6A" w14:textId="77777777" w:rsidR="005D0AAE" w:rsidRPr="00E03613" w:rsidRDefault="005D0AAE" w:rsidP="00C01452">
            <w:pPr>
              <w:pStyle w:val="Default"/>
              <w:rPr>
                <w:sz w:val="20"/>
                <w:szCs w:val="20"/>
              </w:rPr>
            </w:pPr>
            <w:r w:rsidRPr="00E03613">
              <w:rPr>
                <w:sz w:val="20"/>
                <w:szCs w:val="20"/>
              </w:rPr>
              <w:t>6</w:t>
            </w:r>
            <w:r>
              <w:rPr>
                <w:sz w:val="20"/>
                <w:szCs w:val="20"/>
              </w:rPr>
              <w:t xml:space="preserve"> </w:t>
            </w:r>
            <w:r w:rsidRPr="00E03613">
              <w:rPr>
                <w:sz w:val="20"/>
                <w:szCs w:val="20"/>
              </w:rPr>
              <w:t>преимущественно у пациентов, получающих сопутствующую терапию ингибиторами АПФ</w:t>
            </w:r>
          </w:p>
          <w:p w14:paraId="0A0FAF9C" w14:textId="77777777" w:rsidR="005D0AAE" w:rsidRPr="00E03613" w:rsidRDefault="005D0AAE" w:rsidP="00C01452">
            <w:pPr>
              <w:pStyle w:val="Default"/>
              <w:rPr>
                <w:sz w:val="20"/>
                <w:szCs w:val="20"/>
              </w:rPr>
            </w:pPr>
            <w:r w:rsidRPr="00E03613">
              <w:rPr>
                <w:sz w:val="20"/>
                <w:szCs w:val="20"/>
              </w:rPr>
              <w:t>7 при пересадке почки</w:t>
            </w:r>
          </w:p>
          <w:p w14:paraId="56A84B3E" w14:textId="2EAD3D74" w:rsidR="005D0AAE" w:rsidRPr="005D0AAE" w:rsidRDefault="005D0AAE" w:rsidP="00C01452">
            <w:pPr>
              <w:pStyle w:val="Default"/>
              <w:rPr>
                <w:sz w:val="20"/>
                <w:szCs w:val="20"/>
              </w:rPr>
            </w:pPr>
            <w:r w:rsidRPr="00E03613">
              <w:rPr>
                <w:sz w:val="20"/>
                <w:szCs w:val="20"/>
              </w:rPr>
              <w:t>8</w:t>
            </w:r>
            <w:r>
              <w:rPr>
                <w:sz w:val="20"/>
                <w:szCs w:val="20"/>
              </w:rPr>
              <w:t xml:space="preserve"> </w:t>
            </w:r>
            <w:r w:rsidRPr="00E03613">
              <w:rPr>
                <w:sz w:val="20"/>
                <w:szCs w:val="20"/>
                <w:lang w:val="en-US"/>
              </w:rPr>
              <w:t>γ</w:t>
            </w:r>
            <w:r>
              <w:rPr>
                <w:sz w:val="20"/>
                <w:szCs w:val="20"/>
              </w:rPr>
              <w:t>-ГТ, АСТ, АЛТ</w:t>
            </w:r>
          </w:p>
        </w:tc>
      </w:tr>
    </w:tbl>
    <w:p w14:paraId="1F1977A1" w14:textId="77777777" w:rsidR="0085687C" w:rsidRDefault="0085687C" w:rsidP="00007348">
      <w:pPr>
        <w:spacing w:after="0" w:line="240" w:lineRule="auto"/>
        <w:rPr>
          <w:iCs/>
        </w:rPr>
      </w:pPr>
    </w:p>
    <w:p w14:paraId="0C3F2699" w14:textId="77777777" w:rsidR="00C916DE" w:rsidRDefault="00C916DE" w:rsidP="00C916DE">
      <w:pPr>
        <w:spacing w:after="0" w:line="240" w:lineRule="auto"/>
        <w:ind w:firstLine="709"/>
      </w:pPr>
      <w:r>
        <w:rPr>
          <w:lang w:eastAsia="ru-RU"/>
        </w:rPr>
        <w:t>Случаев прекращения участия в КИ здоровыми добровольцами по причине развития НЯ при приеме эверолимуса не отмечено.</w:t>
      </w:r>
      <w:bookmarkStart w:id="370" w:name="_Hlk484365438"/>
      <w:bookmarkEnd w:id="370"/>
    </w:p>
    <w:p w14:paraId="6DB86431" w14:textId="3EF46799" w:rsidR="00C916DE" w:rsidRDefault="00C916DE" w:rsidP="00C916DE">
      <w:pPr>
        <w:spacing w:after="0" w:line="240" w:lineRule="auto"/>
        <w:ind w:firstLine="709"/>
      </w:pPr>
      <w:r>
        <w:rPr>
          <w:iCs/>
        </w:rPr>
        <w:t xml:space="preserve">В настоящем исследовании каждый доброволец получит по </w:t>
      </w:r>
      <w:r w:rsidR="00816F37" w:rsidRPr="0071249E">
        <w:rPr>
          <w:iCs/>
        </w:rPr>
        <w:t>4</w:t>
      </w:r>
      <w:r w:rsidR="00816F37">
        <w:rPr>
          <w:iCs/>
        </w:rPr>
        <w:t xml:space="preserve"> </w:t>
      </w:r>
      <w:r>
        <w:rPr>
          <w:iCs/>
        </w:rPr>
        <w:t>при</w:t>
      </w:r>
      <w:r w:rsidR="00007348">
        <w:rPr>
          <w:iCs/>
        </w:rPr>
        <w:t xml:space="preserve">ема эверолимуса в разовой дозе </w:t>
      </w:r>
      <w:r>
        <w:rPr>
          <w:iCs/>
        </w:rPr>
        <w:t>0</w:t>
      </w:r>
      <w:r w:rsidR="00007348">
        <w:rPr>
          <w:iCs/>
        </w:rPr>
        <w:t>,75</w:t>
      </w:r>
      <w:r>
        <w:rPr>
          <w:iCs/>
        </w:rPr>
        <w:t xml:space="preserve"> мг. Каждый прием будет отделен от последующего отмывочным периодом </w:t>
      </w:r>
      <w:r w:rsidRPr="00D133AE">
        <w:rPr>
          <w:iCs/>
        </w:rPr>
        <w:t>в 14 дней.</w:t>
      </w:r>
      <w:r>
        <w:rPr>
          <w:iCs/>
        </w:rPr>
        <w:t xml:space="preserve">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эверолимуса и характеризоваться преимущественно легкой или умеренной степенью выраженности. </w:t>
      </w:r>
    </w:p>
    <w:p w14:paraId="55E896DF" w14:textId="77777777" w:rsidR="00C916DE" w:rsidRDefault="00C916DE" w:rsidP="00C916DE">
      <w:pPr>
        <w:spacing w:after="0" w:line="240" w:lineRule="auto"/>
        <w:ind w:firstLine="709"/>
      </w:pPr>
      <w:r>
        <w:rPr>
          <w:iCs/>
        </w:rPr>
        <w:t xml:space="preserve">Прием лекарственных препаратов, характеризующихся известным взаимодействием с эверолимусом, в исследовании будет запрещен. </w:t>
      </w:r>
    </w:p>
    <w:p w14:paraId="7414CBD5" w14:textId="56F0D894" w:rsidR="00A72CBF" w:rsidRPr="00707D60" w:rsidRDefault="00C916DE" w:rsidP="00C916DE">
      <w:pPr>
        <w:spacing w:after="0" w:line="240" w:lineRule="auto"/>
        <w:ind w:firstLine="709"/>
        <w:rPr>
          <w:iCs/>
        </w:rPr>
      </w:pPr>
      <w:r>
        <w:rPr>
          <w:iCs/>
        </w:rPr>
        <w:t>В связи с приведенными аргументами риск развития нежелательных явлений для здоровых добровольцев будет минимальным</w:t>
      </w:r>
      <w:r w:rsidR="00A72CBF" w:rsidRPr="00707D60">
        <w:rPr>
          <w:iCs/>
        </w:rPr>
        <w:t>.</w:t>
      </w:r>
      <w:bookmarkEnd w:id="366"/>
      <w:bookmarkEnd w:id="367"/>
    </w:p>
    <w:p w14:paraId="3A7FE4A8" w14:textId="77777777" w:rsidR="008B7FBF" w:rsidRPr="00C1412D" w:rsidRDefault="008B7FBF" w:rsidP="00707D60">
      <w:pPr>
        <w:pStyle w:val="2"/>
        <w:spacing w:line="240" w:lineRule="auto"/>
        <w:rPr>
          <w:color w:val="000000" w:themeColor="text1"/>
          <w:szCs w:val="24"/>
        </w:rPr>
      </w:pPr>
      <w:bookmarkStart w:id="371" w:name="_Toc115217985"/>
      <w:bookmarkStart w:id="372" w:name="_Toc118124227"/>
      <w:bookmarkStart w:id="373" w:name="_Toc119313793"/>
      <w:r w:rsidRPr="00C1412D">
        <w:rPr>
          <w:color w:val="000000" w:themeColor="text1"/>
          <w:szCs w:val="24"/>
        </w:rPr>
        <w:t>5.3. Инструкции для исследователя</w:t>
      </w:r>
      <w:bookmarkEnd w:id="364"/>
      <w:bookmarkEnd w:id="365"/>
      <w:bookmarkEnd w:id="371"/>
      <w:bookmarkEnd w:id="372"/>
      <w:bookmarkEnd w:id="373"/>
    </w:p>
    <w:p w14:paraId="5773D028" w14:textId="0748DDCE" w:rsidR="008B7FBF" w:rsidRPr="00C1412D" w:rsidRDefault="008B7FBF" w:rsidP="00707D60">
      <w:pPr>
        <w:pStyle w:val="3"/>
        <w:spacing w:after="240" w:line="240" w:lineRule="auto"/>
        <w:rPr>
          <w:rFonts w:ascii="Times New Roman" w:hAnsi="Times New Roman"/>
          <w:color w:val="000000" w:themeColor="text1"/>
        </w:rPr>
      </w:pPr>
      <w:bookmarkStart w:id="374" w:name="_Toc301482878"/>
      <w:bookmarkStart w:id="375" w:name="_Toc298775568"/>
      <w:bookmarkStart w:id="376" w:name="_Toc115217986"/>
      <w:bookmarkStart w:id="377" w:name="_Toc118124228"/>
      <w:bookmarkStart w:id="378" w:name="_Toc119313794"/>
      <w:r w:rsidRPr="00C1412D">
        <w:rPr>
          <w:rFonts w:ascii="Times New Roman" w:hAnsi="Times New Roman"/>
          <w:color w:val="000000" w:themeColor="text1"/>
        </w:rPr>
        <w:t>5.3.1. Показания к применению</w:t>
      </w:r>
      <w:bookmarkEnd w:id="374"/>
      <w:bookmarkEnd w:id="375"/>
      <w:bookmarkEnd w:id="376"/>
      <w:bookmarkEnd w:id="377"/>
      <w:bookmarkEnd w:id="378"/>
    </w:p>
    <w:p w14:paraId="456E0E01" w14:textId="77777777" w:rsidR="00B52858" w:rsidRPr="00A650F3" w:rsidRDefault="00B52858" w:rsidP="00B52858">
      <w:pPr>
        <w:pStyle w:val="af3"/>
        <w:numPr>
          <w:ilvl w:val="0"/>
          <w:numId w:val="14"/>
        </w:numPr>
        <w:spacing w:after="0" w:line="240" w:lineRule="auto"/>
        <w:ind w:left="426"/>
        <w:rPr>
          <w:lang w:eastAsia="ru-RU"/>
        </w:rPr>
      </w:pPr>
      <w:bookmarkStart w:id="379" w:name="_Toc301482879"/>
      <w:bookmarkStart w:id="380" w:name="_Toc287529201"/>
      <w:bookmarkStart w:id="381" w:name="_Toc298775569"/>
      <w:bookmarkStart w:id="382" w:name="_Toc115217987"/>
      <w:r w:rsidRPr="00A650F3">
        <w:rPr>
          <w:lang w:eastAsia="ru-RU"/>
        </w:rPr>
        <w:t>Трансплантация почки и сердца.</w:t>
      </w:r>
    </w:p>
    <w:p w14:paraId="2A1C06EB" w14:textId="77777777" w:rsidR="00B52858" w:rsidRPr="00A650F3" w:rsidRDefault="00B52858" w:rsidP="00B52858">
      <w:pPr>
        <w:spacing w:after="0" w:line="240" w:lineRule="auto"/>
        <w:ind w:left="66"/>
        <w:contextualSpacing/>
        <w:rPr>
          <w:lang w:eastAsia="ru-RU"/>
        </w:rPr>
      </w:pPr>
      <w:r w:rsidRPr="00A650F3">
        <w:rPr>
          <w:lang w:eastAsia="ru-RU"/>
        </w:rPr>
        <w:t>Профилактика отторжения трансплантата у взрослых реципиентов почки и сердца с низким и средним иммунологическим риском, получающих базовую иммуносупрессивную терапия циклоспорином в форме микроэмульсии и глюкокортикостероидами.</w:t>
      </w:r>
    </w:p>
    <w:p w14:paraId="104234F3" w14:textId="77777777" w:rsidR="00B52858" w:rsidRPr="00A650F3" w:rsidRDefault="00B52858" w:rsidP="00B52858">
      <w:pPr>
        <w:pStyle w:val="af3"/>
        <w:numPr>
          <w:ilvl w:val="0"/>
          <w:numId w:val="14"/>
        </w:numPr>
        <w:spacing w:after="0" w:line="240" w:lineRule="auto"/>
        <w:ind w:left="426"/>
        <w:rPr>
          <w:lang w:eastAsia="ru-RU"/>
        </w:rPr>
      </w:pPr>
      <w:r w:rsidRPr="00A650F3">
        <w:rPr>
          <w:lang w:eastAsia="ru-RU"/>
        </w:rPr>
        <w:t>Трансплантация печени.</w:t>
      </w:r>
    </w:p>
    <w:p w14:paraId="56F5FE01" w14:textId="77777777" w:rsidR="00B52858" w:rsidRPr="00A650F3" w:rsidRDefault="00B52858" w:rsidP="00B52858">
      <w:pPr>
        <w:spacing w:after="0" w:line="240" w:lineRule="auto"/>
        <w:ind w:left="66"/>
        <w:contextualSpacing/>
        <w:rPr>
          <w:lang w:eastAsia="ru-RU"/>
        </w:rPr>
      </w:pPr>
      <w:r w:rsidRPr="00A650F3">
        <w:rPr>
          <w:lang w:eastAsia="ru-RU"/>
        </w:rPr>
        <w:t>Профилактика отторжения трансплантата у реципиентов печени с низки и средним иммунологическим риском, получающих базовую иммуносупрессивную терапия такролимусом и глюкокортикостероидами.</w:t>
      </w:r>
    </w:p>
    <w:p w14:paraId="2B33154F" w14:textId="77777777" w:rsidR="008B7FBF" w:rsidRPr="00101B33" w:rsidRDefault="008B7FBF" w:rsidP="00B52858">
      <w:pPr>
        <w:pStyle w:val="3"/>
        <w:spacing w:after="240" w:line="240" w:lineRule="auto"/>
        <w:rPr>
          <w:rFonts w:ascii="Times New Roman" w:hAnsi="Times New Roman"/>
          <w:color w:val="000000" w:themeColor="text1"/>
        </w:rPr>
      </w:pPr>
      <w:bookmarkStart w:id="383" w:name="_Toc118124229"/>
      <w:bookmarkStart w:id="384" w:name="_Toc119313795"/>
      <w:r w:rsidRPr="00101B33">
        <w:rPr>
          <w:rFonts w:ascii="Times New Roman" w:hAnsi="Times New Roman"/>
          <w:color w:val="000000" w:themeColor="text1"/>
        </w:rPr>
        <w:t>5.3.2. Противопоказания</w:t>
      </w:r>
      <w:bookmarkEnd w:id="379"/>
      <w:bookmarkEnd w:id="380"/>
      <w:bookmarkEnd w:id="381"/>
      <w:bookmarkEnd w:id="382"/>
      <w:bookmarkEnd w:id="383"/>
      <w:bookmarkEnd w:id="384"/>
    </w:p>
    <w:p w14:paraId="0B14FFC6" w14:textId="169A3F5C" w:rsidR="00456682" w:rsidRPr="00101B33" w:rsidRDefault="00456682" w:rsidP="00C916DE">
      <w:pPr>
        <w:pStyle w:val="af3"/>
        <w:numPr>
          <w:ilvl w:val="0"/>
          <w:numId w:val="20"/>
        </w:numPr>
        <w:spacing w:after="0" w:line="240" w:lineRule="auto"/>
        <w:rPr>
          <w:bCs/>
          <w:iCs/>
          <w:lang w:eastAsia="en-US"/>
        </w:rPr>
      </w:pPr>
      <w:bookmarkStart w:id="385" w:name="_Toc301482880"/>
      <w:bookmarkStart w:id="386" w:name="_Toc287529202"/>
      <w:bookmarkStart w:id="387" w:name="_Toc298775570"/>
      <w:r w:rsidRPr="00101B33">
        <w:rPr>
          <w:bCs/>
          <w:iCs/>
          <w:lang w:eastAsia="en-US"/>
        </w:rPr>
        <w:t>Повышенная чувствительность к эверолимусу,</w:t>
      </w:r>
      <w:r w:rsidR="00B52858">
        <w:rPr>
          <w:bCs/>
          <w:iCs/>
          <w:lang w:eastAsia="en-US"/>
        </w:rPr>
        <w:t xml:space="preserve"> сиролимусу или</w:t>
      </w:r>
      <w:r w:rsidRPr="00101B33">
        <w:rPr>
          <w:bCs/>
          <w:iCs/>
          <w:lang w:eastAsia="en-US"/>
        </w:rPr>
        <w:t xml:space="preserve"> другим </w:t>
      </w:r>
      <w:r w:rsidR="00B52858">
        <w:rPr>
          <w:bCs/>
          <w:iCs/>
          <w:lang w:eastAsia="en-US"/>
        </w:rPr>
        <w:t>компонентам</w:t>
      </w:r>
      <w:r w:rsidRPr="00101B33">
        <w:rPr>
          <w:bCs/>
          <w:iCs/>
          <w:lang w:eastAsia="en-US"/>
        </w:rPr>
        <w:t xml:space="preserve"> препарата.</w:t>
      </w:r>
    </w:p>
    <w:p w14:paraId="3FA50E9E" w14:textId="6930D4E9" w:rsidR="00456682" w:rsidRPr="00101B33" w:rsidRDefault="00B52858" w:rsidP="00C916DE">
      <w:pPr>
        <w:pStyle w:val="af3"/>
        <w:numPr>
          <w:ilvl w:val="0"/>
          <w:numId w:val="20"/>
        </w:numPr>
        <w:spacing w:after="0" w:line="240" w:lineRule="auto"/>
        <w:rPr>
          <w:bCs/>
          <w:iCs/>
          <w:lang w:eastAsia="en-US"/>
        </w:rPr>
      </w:pPr>
      <w:r>
        <w:rPr>
          <w:bCs/>
          <w:iCs/>
          <w:lang w:eastAsia="en-US"/>
        </w:rPr>
        <w:t>Дети и подростки до 18 лет.</w:t>
      </w:r>
    </w:p>
    <w:p w14:paraId="736C3EBF" w14:textId="2432A687" w:rsidR="00456682" w:rsidRDefault="00B52858" w:rsidP="00C916DE">
      <w:pPr>
        <w:pStyle w:val="af3"/>
        <w:numPr>
          <w:ilvl w:val="0"/>
          <w:numId w:val="20"/>
        </w:numPr>
        <w:spacing w:after="0" w:line="240" w:lineRule="auto"/>
        <w:rPr>
          <w:bCs/>
          <w:iCs/>
          <w:lang w:eastAsia="en-US"/>
        </w:rPr>
      </w:pPr>
      <w:r>
        <w:rPr>
          <w:bCs/>
          <w:iCs/>
          <w:lang w:eastAsia="en-US"/>
        </w:rPr>
        <w:t>Рекие наследственные заболевания, связанные с непереносимостью галактозы, тяжелой лактазной недостаточностью или глюкозо-галактозной мальабсорбцией.</w:t>
      </w:r>
    </w:p>
    <w:p w14:paraId="7D936E3F" w14:textId="3D2282DD" w:rsidR="00C916DE" w:rsidRDefault="00C916DE" w:rsidP="00C916DE">
      <w:pPr>
        <w:spacing w:after="0" w:line="240" w:lineRule="auto"/>
        <w:rPr>
          <w:rFonts w:eastAsia="Calibri"/>
          <w:b/>
          <w:color w:val="000000" w:themeColor="text1"/>
          <w:lang w:eastAsia="en-US"/>
        </w:rPr>
      </w:pPr>
      <w:r>
        <w:rPr>
          <w:rFonts w:eastAsia="Calibri"/>
          <w:b/>
          <w:color w:val="000000" w:themeColor="text1"/>
          <w:lang w:eastAsia="en-US"/>
        </w:rPr>
        <w:br/>
      </w:r>
      <w:r w:rsidR="002817E3" w:rsidRPr="002817E3">
        <w:rPr>
          <w:b/>
          <w:color w:val="000000" w:themeColor="text1"/>
        </w:rPr>
        <w:t>5.3.3.</w:t>
      </w:r>
      <w:r w:rsidR="002817E3" w:rsidRPr="00101B33">
        <w:rPr>
          <w:color w:val="000000" w:themeColor="text1"/>
        </w:rPr>
        <w:t xml:space="preserve"> </w:t>
      </w:r>
      <w:r w:rsidRPr="00C916DE">
        <w:rPr>
          <w:rFonts w:eastAsia="Calibri"/>
          <w:b/>
          <w:color w:val="000000" w:themeColor="text1"/>
          <w:lang w:eastAsia="en-US"/>
        </w:rPr>
        <w:t>С осторожностью:</w:t>
      </w:r>
    </w:p>
    <w:p w14:paraId="62765762" w14:textId="77777777" w:rsidR="00C916DE" w:rsidRPr="00C916DE" w:rsidRDefault="00C916DE" w:rsidP="00C916DE">
      <w:pPr>
        <w:spacing w:after="0" w:line="240" w:lineRule="auto"/>
        <w:rPr>
          <w:rFonts w:eastAsia="Calibri"/>
          <w:b/>
          <w:color w:val="000000" w:themeColor="text1"/>
          <w:lang w:eastAsia="en-US"/>
        </w:rPr>
      </w:pPr>
    </w:p>
    <w:p w14:paraId="0BEDCD24" w14:textId="288A0B7E" w:rsidR="00C916DE" w:rsidRDefault="00B52858" w:rsidP="00C916DE">
      <w:pPr>
        <w:pStyle w:val="af3"/>
        <w:numPr>
          <w:ilvl w:val="0"/>
          <w:numId w:val="21"/>
        </w:numPr>
        <w:spacing w:after="0" w:line="240" w:lineRule="auto"/>
        <w:rPr>
          <w:bCs/>
          <w:iCs/>
          <w:lang w:eastAsia="en-US"/>
        </w:rPr>
      </w:pPr>
      <w:r>
        <w:rPr>
          <w:bCs/>
          <w:iCs/>
          <w:lang w:eastAsia="en-US"/>
        </w:rPr>
        <w:t>Нарушение функции печени</w:t>
      </w:r>
    </w:p>
    <w:p w14:paraId="6A38DA96" w14:textId="213C712D" w:rsidR="00C916DE" w:rsidRDefault="00B52858" w:rsidP="00C916DE">
      <w:pPr>
        <w:pStyle w:val="af3"/>
        <w:numPr>
          <w:ilvl w:val="0"/>
          <w:numId w:val="21"/>
        </w:numPr>
        <w:spacing w:after="0" w:line="240" w:lineRule="auto"/>
        <w:rPr>
          <w:bCs/>
          <w:iCs/>
          <w:lang w:eastAsia="en-US"/>
        </w:rPr>
      </w:pPr>
      <w:r>
        <w:rPr>
          <w:bCs/>
          <w:iCs/>
          <w:lang w:eastAsia="en-US"/>
        </w:rPr>
        <w:t>Одновременное применение с другими лекарственными средствами, оказывающими отрицательное влияние на функцию почек.</w:t>
      </w:r>
    </w:p>
    <w:p w14:paraId="6316B960" w14:textId="53E24DB0" w:rsidR="00C916DE" w:rsidRDefault="00B52858" w:rsidP="00C916DE">
      <w:pPr>
        <w:pStyle w:val="af3"/>
        <w:numPr>
          <w:ilvl w:val="0"/>
          <w:numId w:val="21"/>
        </w:numPr>
        <w:spacing w:after="0" w:line="240" w:lineRule="auto"/>
        <w:rPr>
          <w:bCs/>
          <w:iCs/>
          <w:lang w:eastAsia="en-US"/>
        </w:rPr>
      </w:pPr>
      <w:r>
        <w:rPr>
          <w:bCs/>
          <w:iCs/>
          <w:lang w:eastAsia="en-US"/>
        </w:rPr>
        <w:t xml:space="preserve">Индукционная терапия тимоглобулином (кроличий антитимоцитарный глобулин) и схема иссуносупрессии </w:t>
      </w:r>
      <w:r w:rsidR="00B46839">
        <w:rPr>
          <w:bCs/>
          <w:iCs/>
          <w:lang w:eastAsia="en-US"/>
        </w:rPr>
        <w:t>препарат Сертикан</w:t>
      </w:r>
      <w:r w:rsidR="00B46839" w:rsidRPr="00B46839">
        <w:rPr>
          <w:bCs/>
          <w:iCs/>
          <w:vertAlign w:val="superscript"/>
          <w:lang w:eastAsia="en-US"/>
        </w:rPr>
        <w:t>®</w:t>
      </w:r>
      <w:r w:rsidR="00B46839">
        <w:rPr>
          <w:bCs/>
          <w:iCs/>
          <w:lang w:eastAsia="en-US"/>
        </w:rPr>
        <w:t>/циклоспорин/глюкокортикостероиды.</w:t>
      </w:r>
    </w:p>
    <w:p w14:paraId="420BA539" w14:textId="76621165" w:rsidR="00C916DE" w:rsidRDefault="00B46839" w:rsidP="00C916DE">
      <w:pPr>
        <w:pStyle w:val="af3"/>
        <w:numPr>
          <w:ilvl w:val="0"/>
          <w:numId w:val="21"/>
        </w:numPr>
        <w:spacing w:after="0" w:line="240" w:lineRule="auto"/>
        <w:rPr>
          <w:bCs/>
          <w:iCs/>
          <w:lang w:eastAsia="en-US"/>
        </w:rPr>
      </w:pPr>
      <w:r>
        <w:rPr>
          <w:bCs/>
          <w:iCs/>
          <w:lang w:eastAsia="en-US"/>
        </w:rPr>
        <w:t xml:space="preserve">Одновременное применение с субстратами изофермента </w:t>
      </w:r>
      <w:r>
        <w:rPr>
          <w:bCs/>
          <w:iCs/>
          <w:lang w:val="en-US" w:eastAsia="en-US"/>
        </w:rPr>
        <w:t>CYP</w:t>
      </w:r>
      <w:r w:rsidRPr="00B46839">
        <w:rPr>
          <w:bCs/>
          <w:iCs/>
          <w:lang w:eastAsia="en-US"/>
        </w:rPr>
        <w:t>3</w:t>
      </w:r>
      <w:r>
        <w:rPr>
          <w:bCs/>
          <w:iCs/>
          <w:lang w:val="en-US" w:eastAsia="en-US"/>
        </w:rPr>
        <w:t>A</w:t>
      </w:r>
      <w:r w:rsidRPr="00B46839">
        <w:rPr>
          <w:bCs/>
          <w:iCs/>
          <w:lang w:eastAsia="en-US"/>
        </w:rPr>
        <w:t>4</w:t>
      </w:r>
      <w:r>
        <w:rPr>
          <w:bCs/>
          <w:iCs/>
          <w:lang w:eastAsia="en-US"/>
        </w:rPr>
        <w:t xml:space="preserve"> с узким терапевтическим диапазоном (например, пимозид, терфенадин, астемизол, цизаприд, хинидин или производные алкалоидов спорыньи).</w:t>
      </w:r>
    </w:p>
    <w:p w14:paraId="27348732" w14:textId="7874B3C9" w:rsidR="00B46839" w:rsidRDefault="00B46839" w:rsidP="00B46839">
      <w:pPr>
        <w:pStyle w:val="af3"/>
        <w:numPr>
          <w:ilvl w:val="0"/>
          <w:numId w:val="21"/>
        </w:numPr>
        <w:spacing w:after="0" w:line="240" w:lineRule="auto"/>
        <w:rPr>
          <w:bCs/>
          <w:iCs/>
          <w:lang w:eastAsia="en-US"/>
        </w:rPr>
      </w:pPr>
      <w:bookmarkStart w:id="388" w:name="_Toc115217988"/>
      <w:r>
        <w:rPr>
          <w:bCs/>
          <w:iCs/>
          <w:lang w:eastAsia="en-US"/>
        </w:rPr>
        <w:t xml:space="preserve">Не рекомендовано одновременное применение с мощными ингибиторами или индукторами изофермента </w:t>
      </w:r>
      <w:r>
        <w:rPr>
          <w:bCs/>
          <w:iCs/>
          <w:lang w:val="en-US" w:eastAsia="en-US"/>
        </w:rPr>
        <w:t>CYP</w:t>
      </w:r>
      <w:r w:rsidRPr="00B46839">
        <w:rPr>
          <w:bCs/>
          <w:iCs/>
          <w:lang w:eastAsia="en-US"/>
        </w:rPr>
        <w:t>3</w:t>
      </w:r>
      <w:r>
        <w:rPr>
          <w:bCs/>
          <w:iCs/>
          <w:lang w:val="en-US" w:eastAsia="en-US"/>
        </w:rPr>
        <w:t>A</w:t>
      </w:r>
      <w:r w:rsidRPr="00B46839">
        <w:rPr>
          <w:bCs/>
          <w:iCs/>
          <w:lang w:eastAsia="en-US"/>
        </w:rPr>
        <w:t>4</w:t>
      </w:r>
      <w:r>
        <w:rPr>
          <w:bCs/>
          <w:iCs/>
          <w:lang w:eastAsia="en-US"/>
        </w:rPr>
        <w:t xml:space="preserve"> с узким терапевтическим диапазоном (например, кетоконазол, итраконазол, вориконазол, кларитромицин, телитромицин, ритонавир и/или рифампицин, рифабутин).</w:t>
      </w:r>
    </w:p>
    <w:p w14:paraId="27BFB440" w14:textId="33ED2D8F" w:rsidR="008B7FBF" w:rsidRPr="00101B33" w:rsidRDefault="002817E3" w:rsidP="00707D60">
      <w:pPr>
        <w:pStyle w:val="3"/>
        <w:spacing w:after="240" w:line="240" w:lineRule="auto"/>
        <w:rPr>
          <w:rFonts w:ascii="Times New Roman" w:hAnsi="Times New Roman"/>
          <w:color w:val="000000" w:themeColor="text1"/>
        </w:rPr>
      </w:pPr>
      <w:bookmarkStart w:id="389" w:name="_Toc118124230"/>
      <w:bookmarkStart w:id="390" w:name="_Toc119313796"/>
      <w:r>
        <w:rPr>
          <w:rFonts w:ascii="Times New Roman" w:hAnsi="Times New Roman"/>
          <w:color w:val="000000" w:themeColor="text1"/>
        </w:rPr>
        <w:t>5.3.4</w:t>
      </w:r>
      <w:r w:rsidR="008B7FBF" w:rsidRPr="00101B33">
        <w:rPr>
          <w:rFonts w:ascii="Times New Roman" w:hAnsi="Times New Roman"/>
          <w:color w:val="000000" w:themeColor="text1"/>
        </w:rPr>
        <w:t xml:space="preserve">. </w:t>
      </w:r>
      <w:bookmarkEnd w:id="385"/>
      <w:bookmarkEnd w:id="386"/>
      <w:bookmarkEnd w:id="387"/>
      <w:r w:rsidR="008B7FBF" w:rsidRPr="00101B33">
        <w:rPr>
          <w:rFonts w:ascii="Times New Roman" w:hAnsi="Times New Roman"/>
          <w:color w:val="000000" w:themeColor="text1"/>
        </w:rPr>
        <w:t>Применение при беременности и в период грудного вскармливания</w:t>
      </w:r>
      <w:bookmarkEnd w:id="388"/>
      <w:bookmarkEnd w:id="389"/>
      <w:bookmarkEnd w:id="390"/>
    </w:p>
    <w:p w14:paraId="07CE53F1" w14:textId="77777777" w:rsidR="00DF7760" w:rsidRPr="00C916DE" w:rsidRDefault="00DF7760" w:rsidP="00101B33">
      <w:pPr>
        <w:spacing w:after="0" w:line="240" w:lineRule="auto"/>
        <w:rPr>
          <w:b/>
          <w:color w:val="000000" w:themeColor="text1"/>
        </w:rPr>
      </w:pPr>
      <w:bookmarkStart w:id="391" w:name="_Toc301482881"/>
      <w:bookmarkStart w:id="392" w:name="_Toc287529203"/>
      <w:bookmarkStart w:id="393" w:name="_Toc298775571"/>
      <w:r w:rsidRPr="00C916DE">
        <w:rPr>
          <w:b/>
          <w:color w:val="000000" w:themeColor="text1"/>
        </w:rPr>
        <w:t>Беременность</w:t>
      </w:r>
    </w:p>
    <w:p w14:paraId="71BF7F9A" w14:textId="77777777" w:rsidR="00C916DE" w:rsidRDefault="00C916DE" w:rsidP="00101B33">
      <w:pPr>
        <w:spacing w:after="0" w:line="240" w:lineRule="auto"/>
        <w:rPr>
          <w:color w:val="000000" w:themeColor="text1"/>
        </w:rPr>
      </w:pPr>
    </w:p>
    <w:p w14:paraId="117708F7" w14:textId="19D3E9DD" w:rsidR="00DF7760" w:rsidRPr="00C916DE" w:rsidRDefault="00DF7760" w:rsidP="00101B33">
      <w:pPr>
        <w:spacing w:after="0" w:line="240" w:lineRule="auto"/>
        <w:rPr>
          <w:b/>
          <w:i/>
          <w:color w:val="000000" w:themeColor="text1"/>
        </w:rPr>
      </w:pPr>
      <w:r w:rsidRPr="00C916DE">
        <w:rPr>
          <w:b/>
          <w:i/>
          <w:color w:val="000000" w:themeColor="text1"/>
        </w:rPr>
        <w:t>Сводная характеристика рисков</w:t>
      </w:r>
    </w:p>
    <w:p w14:paraId="1E9F98FD" w14:textId="549A1A44" w:rsidR="00DF7760" w:rsidRPr="00707D60" w:rsidRDefault="00B46839" w:rsidP="00C916DE">
      <w:pPr>
        <w:spacing w:after="0" w:line="240" w:lineRule="auto"/>
        <w:ind w:firstLine="709"/>
        <w:rPr>
          <w:color w:val="000000" w:themeColor="text1"/>
        </w:rPr>
      </w:pPr>
      <w:r>
        <w:rPr>
          <w:color w:val="000000" w:themeColor="text1"/>
        </w:rPr>
        <w:t>Недостаточно</w:t>
      </w:r>
      <w:r w:rsidR="00DF7760" w:rsidRPr="00707D60">
        <w:rPr>
          <w:color w:val="000000" w:themeColor="text1"/>
        </w:rPr>
        <w:t xml:space="preserve"> данных о применении </w:t>
      </w:r>
      <w:r w:rsidR="00C916DE">
        <w:rPr>
          <w:color w:val="000000" w:themeColor="text1"/>
        </w:rPr>
        <w:t>эверолимуса</w:t>
      </w:r>
      <w:r w:rsidR="00DF7760" w:rsidRPr="00707D60">
        <w:rPr>
          <w:color w:val="000000" w:themeColor="text1"/>
        </w:rPr>
        <w:t xml:space="preserve"> у беременных женщин. Потенциальный риск для человека не известен. В исследованиях у животных выявлена репродуктивная токсичность, включая эмбрио- и фетотоксичность.</w:t>
      </w:r>
    </w:p>
    <w:p w14:paraId="6BBCF0A8" w14:textId="2F6A635F" w:rsidR="00DF7760" w:rsidRPr="00707D60" w:rsidRDefault="00B46839" w:rsidP="00C916DE">
      <w:pPr>
        <w:spacing w:after="0" w:line="240" w:lineRule="auto"/>
        <w:ind w:firstLine="709"/>
        <w:rPr>
          <w:color w:val="000000" w:themeColor="text1"/>
        </w:rPr>
      </w:pPr>
      <w:r>
        <w:rPr>
          <w:color w:val="000000" w:themeColor="text1"/>
        </w:rPr>
        <w:t>Не следует применять препарат у беременных женщин, за исключением тех случаев, когда ожидаемая польза от терапии превышает потенциальный риск для плода.</w:t>
      </w:r>
    </w:p>
    <w:p w14:paraId="4A695990" w14:textId="77777777" w:rsidR="00DF7760" w:rsidRPr="00815CA2" w:rsidRDefault="00DF7760" w:rsidP="00101B33">
      <w:pPr>
        <w:spacing w:after="0" w:line="240" w:lineRule="auto"/>
        <w:rPr>
          <w:b/>
          <w:i/>
          <w:color w:val="000000" w:themeColor="text1"/>
        </w:rPr>
      </w:pPr>
      <w:r w:rsidRPr="00815CA2">
        <w:rPr>
          <w:b/>
          <w:i/>
          <w:color w:val="000000" w:themeColor="text1"/>
        </w:rPr>
        <w:t>Исследования у животных</w:t>
      </w:r>
    </w:p>
    <w:p w14:paraId="469DBEF5" w14:textId="77777777" w:rsidR="00DF7760" w:rsidRPr="00707D60" w:rsidRDefault="00DF7760" w:rsidP="00A71E4E">
      <w:pPr>
        <w:spacing w:after="0" w:line="240" w:lineRule="auto"/>
        <w:ind w:firstLine="709"/>
        <w:rPr>
          <w:color w:val="000000" w:themeColor="text1"/>
        </w:rPr>
      </w:pPr>
      <w:r w:rsidRPr="00707D60">
        <w:rPr>
          <w:color w:val="000000" w:themeColor="text1"/>
        </w:rPr>
        <w:t>При применении эверолимуса внутрь у самок крыс в дозе 0,1 мг/кг (приблизительно 4% от суточной AUC у пациентов, принимающих препарат в дозе 10 мг/сут) частота преимплантационных потерь увеличивалась. Эверолимус проходит через гематоплацентарный барьер и оказывает токсическое действие на оплодотворенную яйцеклетку. У крыс эверолимус проявлял эмбрио- и фетотоксичность при системной экспозиции ниже терапевтической, что приводило к увеличению смертности или уменьшению массы тела плода. Частота возникновения вариантов развития скелета и скелетных мальформаций (например, расщелина грудной клетки) увеличивалась при применении эверолимуса в дозах 0,3 и 0,9 мг/кг. У кроликов эмбриотоксичность проявлялась увеличением частоты поздней резорбции плода при применении эверолимуса в дозе 0,8 мг/кг (9,6 мг/м</w:t>
      </w:r>
      <w:r w:rsidRPr="00A71E4E">
        <w:rPr>
          <w:color w:val="000000" w:themeColor="text1"/>
          <w:vertAlign w:val="superscript"/>
        </w:rPr>
        <w:t>2</w:t>
      </w:r>
      <w:r w:rsidRPr="00707D60">
        <w:rPr>
          <w:color w:val="000000" w:themeColor="text1"/>
        </w:rPr>
        <w:t>), что приблизительно в 1,6 раз выше дозы 10 мг для взрослых при применении по показанию СЭГА и в 1,3 раз выше средней дозы, применяемой при ТС и рефрактерной эпилепсии, рассчитанной по площади поверхности тела. Не было выявлено побочных действий на эмбрион и плод при применении эверолимуса у самцов крыс.</w:t>
      </w:r>
    </w:p>
    <w:p w14:paraId="2CB38815" w14:textId="77777777" w:rsidR="00DF7760" w:rsidRPr="00A71E4E" w:rsidRDefault="00DF7760" w:rsidP="00101B33">
      <w:pPr>
        <w:spacing w:after="0" w:line="240" w:lineRule="auto"/>
        <w:rPr>
          <w:b/>
          <w:i/>
          <w:color w:val="000000" w:themeColor="text1"/>
        </w:rPr>
      </w:pPr>
      <w:r w:rsidRPr="00A71E4E">
        <w:rPr>
          <w:b/>
          <w:i/>
          <w:color w:val="000000" w:themeColor="text1"/>
        </w:rPr>
        <w:t>Исследования у человека</w:t>
      </w:r>
    </w:p>
    <w:p w14:paraId="7E78679D" w14:textId="0A4594B4" w:rsidR="00DF7760" w:rsidRDefault="00DF7760" w:rsidP="00A71E4E">
      <w:pPr>
        <w:spacing w:after="0" w:line="240" w:lineRule="auto"/>
        <w:ind w:firstLine="709"/>
        <w:rPr>
          <w:color w:val="000000" w:themeColor="text1"/>
        </w:rPr>
      </w:pPr>
      <w:r w:rsidRPr="00707D60">
        <w:rPr>
          <w:color w:val="000000" w:themeColor="text1"/>
        </w:rPr>
        <w:t>Описаны случаи воздействия эверолимуса на плод во время беременности в результате приема препарата как матерью, так и отцом (беременность у женщины, являвшейся партнером пациента, принимавшего эверолимус). Сообщений о возникновении пороков развития плода не зарегистрировано. В некоторых случаях беременность протекала без осложнений и закончилась родами здоровым плодом без какой-либо патологии.</w:t>
      </w:r>
    </w:p>
    <w:p w14:paraId="2A668207" w14:textId="77777777" w:rsidR="00A71E4E" w:rsidRPr="00707D60" w:rsidRDefault="00A71E4E" w:rsidP="00A71E4E">
      <w:pPr>
        <w:spacing w:after="0" w:line="240" w:lineRule="auto"/>
        <w:ind w:firstLine="709"/>
        <w:rPr>
          <w:color w:val="000000" w:themeColor="text1"/>
        </w:rPr>
      </w:pPr>
    </w:p>
    <w:p w14:paraId="7476B5C4" w14:textId="6649B55A" w:rsidR="00DF7760" w:rsidRPr="00A71E4E" w:rsidRDefault="00DF7760" w:rsidP="00101B33">
      <w:pPr>
        <w:spacing w:after="0" w:line="240" w:lineRule="auto"/>
        <w:rPr>
          <w:b/>
          <w:color w:val="000000" w:themeColor="text1"/>
        </w:rPr>
      </w:pPr>
      <w:r w:rsidRPr="00A71E4E">
        <w:rPr>
          <w:b/>
          <w:color w:val="000000" w:themeColor="text1"/>
        </w:rPr>
        <w:t>Лактация</w:t>
      </w:r>
    </w:p>
    <w:p w14:paraId="66947A7E" w14:textId="77777777" w:rsidR="00A71E4E" w:rsidRDefault="00A71E4E" w:rsidP="00101B33">
      <w:pPr>
        <w:spacing w:after="0" w:line="240" w:lineRule="auto"/>
      </w:pPr>
    </w:p>
    <w:p w14:paraId="11265F03" w14:textId="6CADE76F" w:rsidR="00DF7760" w:rsidRPr="00A71E4E" w:rsidRDefault="00DF7760" w:rsidP="00101B33">
      <w:pPr>
        <w:spacing w:after="0" w:line="240" w:lineRule="auto"/>
        <w:rPr>
          <w:b/>
          <w:i/>
        </w:rPr>
      </w:pPr>
      <w:r w:rsidRPr="00A71E4E">
        <w:rPr>
          <w:b/>
          <w:i/>
        </w:rPr>
        <w:t>Сводная характеристика рисков</w:t>
      </w:r>
    </w:p>
    <w:p w14:paraId="0817A6F2" w14:textId="6391D2A4" w:rsidR="00DF7760" w:rsidRPr="00707D60" w:rsidRDefault="00DF7760" w:rsidP="00A71E4E">
      <w:pPr>
        <w:spacing w:after="0" w:line="240" w:lineRule="auto"/>
        <w:ind w:firstLine="709"/>
      </w:pPr>
      <w:r w:rsidRPr="00707D60">
        <w:t>Не известно</w:t>
      </w:r>
      <w:r w:rsidR="0015308C">
        <w:t>,</w:t>
      </w:r>
      <w:r w:rsidRPr="00707D60">
        <w:t xml:space="preserve"> проникает ли эверолимус в грудное молоко человека. Не зарегистрировано случаев воздействия эверолимуса на ребенка в период грудного вскармливания у человека. В исследованиях у животных эверолимус и/или его метаболиты легко и быстро проникали в молоко крыс в концентрации, в 3,5 раза превосходящей концентрацию в плазме крови матери. Женщинам, получающим эверолимус, не следует кормить грудью во время терапии и спустя 2 недели после приема последней дозы.</w:t>
      </w:r>
    </w:p>
    <w:p w14:paraId="4AA586EF" w14:textId="77777777" w:rsidR="00A71E4E" w:rsidRDefault="00A71E4E" w:rsidP="00101B33">
      <w:pPr>
        <w:spacing w:after="0" w:line="240" w:lineRule="auto"/>
      </w:pPr>
    </w:p>
    <w:p w14:paraId="0E6C55E1" w14:textId="47420423" w:rsidR="00DF7760" w:rsidRPr="00A71E4E" w:rsidRDefault="00DF7760" w:rsidP="00101B33">
      <w:pPr>
        <w:spacing w:after="0" w:line="240" w:lineRule="auto"/>
        <w:rPr>
          <w:b/>
        </w:rPr>
      </w:pPr>
      <w:r w:rsidRPr="00A71E4E">
        <w:rPr>
          <w:b/>
        </w:rPr>
        <w:t>Женщины и мужчины с сохраненным репродуктивным потенци</w:t>
      </w:r>
      <w:r w:rsidR="00C1412D" w:rsidRPr="00A71E4E">
        <w:rPr>
          <w:b/>
        </w:rPr>
        <w:t>алом</w:t>
      </w:r>
    </w:p>
    <w:p w14:paraId="4A7C5B76" w14:textId="77777777" w:rsidR="00A71E4E" w:rsidRDefault="00A71E4E" w:rsidP="00101B33">
      <w:pPr>
        <w:spacing w:after="0" w:line="240" w:lineRule="auto"/>
      </w:pPr>
    </w:p>
    <w:p w14:paraId="6D27428C" w14:textId="3CC0C618" w:rsidR="00DF7760" w:rsidRPr="00A71E4E" w:rsidRDefault="00DF7760" w:rsidP="00101B33">
      <w:pPr>
        <w:spacing w:after="0" w:line="240" w:lineRule="auto"/>
        <w:rPr>
          <w:b/>
          <w:i/>
        </w:rPr>
      </w:pPr>
      <w:r w:rsidRPr="00A71E4E">
        <w:rPr>
          <w:b/>
          <w:i/>
        </w:rPr>
        <w:t>Контрацепция</w:t>
      </w:r>
    </w:p>
    <w:p w14:paraId="1630DC57" w14:textId="77777777" w:rsidR="00DF7760" w:rsidRPr="00707D60" w:rsidRDefault="00DF7760" w:rsidP="00A71E4E">
      <w:pPr>
        <w:spacing w:after="0" w:line="240" w:lineRule="auto"/>
        <w:ind w:firstLine="709"/>
      </w:pPr>
      <w:r w:rsidRPr="00707D60">
        <w:t>Пациенток с сохраненным репродуктивным потенциалом следует проинформировать, что в исследованиях у животных было выявлено неблагоприятное влияние эверолимуса на развивающийся плод. Пациенткам с сохраненным репродуктивным потенциалом, ведущим активную половую жизнь, необходимо применять надежные способы контрацепции (при правильном и длительном применении которых частота наступления беременности составляет &lt;1%) во время терапии препаратом и минимум в течение 8 недель после ее завершения. Пациентам мужского пола, принимающим эверолимус, не следует отказываться от попыток зачатия.</w:t>
      </w:r>
    </w:p>
    <w:p w14:paraId="4B530F46" w14:textId="77777777" w:rsidR="00A71E4E" w:rsidRDefault="00A71E4E" w:rsidP="00101B33">
      <w:pPr>
        <w:spacing w:after="0" w:line="240" w:lineRule="auto"/>
      </w:pPr>
    </w:p>
    <w:p w14:paraId="6B81A33C" w14:textId="184C89E7" w:rsidR="00DF7760" w:rsidRPr="00A71E4E" w:rsidRDefault="00DF7760" w:rsidP="00101B33">
      <w:pPr>
        <w:spacing w:after="0" w:line="240" w:lineRule="auto"/>
        <w:rPr>
          <w:b/>
          <w:i/>
        </w:rPr>
      </w:pPr>
      <w:r w:rsidRPr="00A71E4E">
        <w:rPr>
          <w:b/>
          <w:i/>
        </w:rPr>
        <w:t>Фертильность</w:t>
      </w:r>
    </w:p>
    <w:p w14:paraId="67602663" w14:textId="77777777" w:rsidR="00DF7760" w:rsidRPr="00A71E4E" w:rsidRDefault="00DF7760" w:rsidP="00101B33">
      <w:pPr>
        <w:spacing w:after="0" w:line="240" w:lineRule="auto"/>
        <w:rPr>
          <w:i/>
        </w:rPr>
      </w:pPr>
      <w:r w:rsidRPr="00A71E4E">
        <w:rPr>
          <w:i/>
        </w:rPr>
        <w:t>Исследования у животных</w:t>
      </w:r>
    </w:p>
    <w:p w14:paraId="6EAD8BE3" w14:textId="55F816E1" w:rsidR="00DF7760" w:rsidRPr="00707D60" w:rsidRDefault="00DF7760" w:rsidP="00A71E4E">
      <w:pPr>
        <w:spacing w:after="0" w:line="240" w:lineRule="auto"/>
        <w:ind w:firstLine="709"/>
      </w:pPr>
      <w:r w:rsidRPr="00707D60">
        <w:t>В исследованиях у животных фертильность самок не изменялась, однако были зарегистрированы случаи преимплантационных потерь. У самцов крыс наблюдались морфологические изменения в яичках при применении эверолимуса в дозе 0,5 мг/кг и выше, а также снижение подвижности и уменьшение количества сперматозоидов и активности тестостерона при применении дозы 5 мг/кг, что соответствует терапевтической концентрации (52 нг</w:t>
      </w:r>
      <w:r w:rsidR="00A71E4E">
        <w:t>*</w:t>
      </w:r>
      <w:r w:rsidRPr="00707D60">
        <w:t xml:space="preserve">ч/мл и 414 нг*ч/мл соответственно в сравнении с терапевтической концентрацией 560 нг*ч/мл при применении препарата у человека в дозе </w:t>
      </w:r>
      <w:r w:rsidR="00A71E4E">
        <w:t>10</w:t>
      </w:r>
      <w:r w:rsidRPr="00707D60">
        <w:t xml:space="preserve"> мг/сут) и приводит к снижению фертильности у самцов. Имеются данные об обратимости данного эффекта.</w:t>
      </w:r>
    </w:p>
    <w:p w14:paraId="12DC8133" w14:textId="77777777" w:rsidR="00DF7760" w:rsidRPr="00A71E4E" w:rsidRDefault="00DF7760" w:rsidP="00101B33">
      <w:pPr>
        <w:spacing w:after="0" w:line="240" w:lineRule="auto"/>
        <w:rPr>
          <w:i/>
        </w:rPr>
      </w:pPr>
      <w:r w:rsidRPr="00A71E4E">
        <w:rPr>
          <w:i/>
        </w:rPr>
        <w:t>Исследования у человека</w:t>
      </w:r>
    </w:p>
    <w:p w14:paraId="30552D36" w14:textId="26BA787D" w:rsidR="00DF7760" w:rsidRPr="00707D60" w:rsidRDefault="00DF7760" w:rsidP="00A71E4E">
      <w:pPr>
        <w:spacing w:after="0" w:line="240" w:lineRule="auto"/>
        <w:ind w:firstLine="709"/>
      </w:pPr>
      <w:r w:rsidRPr="00707D60">
        <w:t xml:space="preserve">Терапия </w:t>
      </w:r>
      <w:r w:rsidR="00A71E4E">
        <w:t>эверолимусом</w:t>
      </w:r>
      <w:r w:rsidRPr="00707D60">
        <w:t xml:space="preserve"> может отрицательно сказаться на фертильности у пациентов мужского и женского пола.</w:t>
      </w:r>
    </w:p>
    <w:p w14:paraId="34BF3A87" w14:textId="23E03FAF" w:rsidR="00DF7760" w:rsidRPr="00707D60" w:rsidRDefault="00DF7760" w:rsidP="00A71E4E">
      <w:pPr>
        <w:spacing w:after="0" w:line="240" w:lineRule="auto"/>
        <w:ind w:firstLine="709"/>
        <w:rPr>
          <w:highlight w:val="yellow"/>
        </w:rPr>
      </w:pPr>
      <w:r w:rsidRPr="00707D60">
        <w:t xml:space="preserve">У пациенток, принимавших эверолимус, отмечались нерегулярный менструальный цикл, вторичная аменорея и нарушение баланса лютеинизирующего гормона (ЛГ) и </w:t>
      </w:r>
      <w:r w:rsidR="00A71E4E" w:rsidRPr="00707D60">
        <w:t>фолликулостимулирующего гормона</w:t>
      </w:r>
      <w:r w:rsidR="00A71E4E">
        <w:t xml:space="preserve"> (ФСГ). </w:t>
      </w:r>
      <w:r w:rsidR="00A71E4E" w:rsidRPr="00707D60">
        <w:t>У пациентов</w:t>
      </w:r>
      <w:r w:rsidR="00A71E4E">
        <w:t xml:space="preserve"> </w:t>
      </w:r>
      <w:r w:rsidR="00A71E4E" w:rsidRPr="00707D60">
        <w:t>мужского пола на</w:t>
      </w:r>
      <w:r w:rsidR="00A71E4E">
        <w:t xml:space="preserve"> </w:t>
      </w:r>
      <w:r w:rsidRPr="00707D60">
        <w:t>фоне применения эверолимуса отмечалось повышение активности ФСГ и ЛГ, снижение активности тестостерона, азооспермия</w:t>
      </w:r>
      <w:r w:rsidR="00B93CFB">
        <w:t xml:space="preserve"> и олигоспермия</w:t>
      </w:r>
      <w:r w:rsidRPr="00707D60">
        <w:t>.</w:t>
      </w:r>
    </w:p>
    <w:p w14:paraId="03CC2E4F" w14:textId="0D8492D2" w:rsidR="008B7FBF" w:rsidRPr="00257D64" w:rsidRDefault="002817E3" w:rsidP="00707D60">
      <w:pPr>
        <w:pStyle w:val="3"/>
        <w:spacing w:after="240" w:line="240" w:lineRule="auto"/>
        <w:rPr>
          <w:rFonts w:ascii="Times New Roman" w:hAnsi="Times New Roman"/>
          <w:color w:val="000000" w:themeColor="text1"/>
        </w:rPr>
      </w:pPr>
      <w:bookmarkStart w:id="394" w:name="_Toc115217989"/>
      <w:bookmarkStart w:id="395" w:name="_Toc118124231"/>
      <w:bookmarkStart w:id="396" w:name="_Toc119313797"/>
      <w:r>
        <w:rPr>
          <w:rFonts w:ascii="Times New Roman" w:hAnsi="Times New Roman"/>
          <w:color w:val="000000" w:themeColor="text1"/>
        </w:rPr>
        <w:t>5.3.5</w:t>
      </w:r>
      <w:r w:rsidR="008B7FBF" w:rsidRPr="00257D64">
        <w:rPr>
          <w:rFonts w:ascii="Times New Roman" w:hAnsi="Times New Roman"/>
          <w:color w:val="000000" w:themeColor="text1"/>
        </w:rPr>
        <w:t>. Способ применения и дозы</w:t>
      </w:r>
      <w:bookmarkEnd w:id="391"/>
      <w:bookmarkEnd w:id="392"/>
      <w:bookmarkEnd w:id="393"/>
      <w:bookmarkEnd w:id="394"/>
      <w:bookmarkEnd w:id="395"/>
      <w:bookmarkEnd w:id="396"/>
    </w:p>
    <w:p w14:paraId="4B19389B" w14:textId="77777777" w:rsidR="002002E8" w:rsidRPr="00257D64" w:rsidRDefault="002002E8" w:rsidP="00707D60">
      <w:pPr>
        <w:widowControl w:val="0"/>
        <w:spacing w:before="240" w:after="240" w:line="240" w:lineRule="auto"/>
        <w:rPr>
          <w:rFonts w:eastAsia="Courier New"/>
          <w:b/>
          <w:lang w:eastAsia="ru-RU" w:bidi="ru-RU"/>
        </w:rPr>
      </w:pPr>
      <w:bookmarkStart w:id="397" w:name="_Toc301482882"/>
      <w:bookmarkStart w:id="398" w:name="_Toc287529204"/>
      <w:bookmarkStart w:id="399" w:name="_Toc298775572"/>
      <w:r w:rsidRPr="00257D64">
        <w:rPr>
          <w:rFonts w:eastAsia="Courier New"/>
          <w:b/>
          <w:lang w:eastAsia="ru-RU" w:bidi="ru-RU"/>
        </w:rPr>
        <w:t>Способ применения</w:t>
      </w:r>
    </w:p>
    <w:p w14:paraId="64247D57" w14:textId="77777777" w:rsidR="0032000C" w:rsidRDefault="00DF7760" w:rsidP="00A71E4E">
      <w:pPr>
        <w:pStyle w:val="ab"/>
        <w:shd w:val="clear" w:color="auto" w:fill="FFFFFF"/>
        <w:tabs>
          <w:tab w:val="left" w:pos="8647"/>
        </w:tabs>
        <w:spacing w:before="0" w:beforeAutospacing="0" w:after="0" w:afterAutospacing="0"/>
        <w:ind w:firstLine="709"/>
        <w:jc w:val="both"/>
        <w:rPr>
          <w:color w:val="000000" w:themeColor="text1"/>
        </w:rPr>
      </w:pPr>
      <w:r w:rsidRPr="00707D60">
        <w:rPr>
          <w:color w:val="000000" w:themeColor="text1"/>
        </w:rPr>
        <w:t xml:space="preserve">Лечение </w:t>
      </w:r>
      <w:r w:rsidR="00A71E4E">
        <w:rPr>
          <w:color w:val="000000" w:themeColor="text1"/>
        </w:rPr>
        <w:t>эвролимусом</w:t>
      </w:r>
      <w:r w:rsidRPr="00707D60">
        <w:rPr>
          <w:color w:val="000000" w:themeColor="text1"/>
        </w:rPr>
        <w:t xml:space="preserve"> следует проводить только под наблюдением врача, имеющего опыт </w:t>
      </w:r>
      <w:r w:rsidR="00B93CFB">
        <w:rPr>
          <w:color w:val="000000" w:themeColor="text1"/>
        </w:rPr>
        <w:t>проведения иммуносупрессивной терапии после трансплантации органов, и при наличии возможности мониторинга концентрации эверолимуса в цельной крови</w:t>
      </w:r>
      <w:r w:rsidR="0032000C">
        <w:rPr>
          <w:color w:val="000000" w:themeColor="text1"/>
        </w:rPr>
        <w:t>.</w:t>
      </w:r>
    </w:p>
    <w:p w14:paraId="59B99706" w14:textId="77777777" w:rsidR="0032000C" w:rsidRDefault="00A71E4E" w:rsidP="00A71E4E">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 xml:space="preserve">Эверолимус </w:t>
      </w:r>
      <w:r w:rsidR="00DF7760" w:rsidRPr="00707D60">
        <w:rPr>
          <w:color w:val="000000" w:themeColor="text1"/>
        </w:rPr>
        <w:t xml:space="preserve">следует принимать внутрь </w:t>
      </w:r>
      <w:r w:rsidR="00B93CFB">
        <w:rPr>
          <w:color w:val="000000" w:themeColor="text1"/>
        </w:rPr>
        <w:t>два</w:t>
      </w:r>
      <w:r w:rsidR="00DF7760" w:rsidRPr="00707D60">
        <w:rPr>
          <w:color w:val="000000" w:themeColor="text1"/>
        </w:rPr>
        <w:t xml:space="preserve"> раз</w:t>
      </w:r>
      <w:r w:rsidR="00B93CFB">
        <w:rPr>
          <w:color w:val="000000" w:themeColor="text1"/>
        </w:rPr>
        <w:t>а</w:t>
      </w:r>
      <w:r w:rsidR="00DF7760" w:rsidRPr="00707D60">
        <w:rPr>
          <w:color w:val="000000" w:themeColor="text1"/>
        </w:rPr>
        <w:t xml:space="preserve"> в день ежедневно в одно и то же время </w:t>
      </w:r>
      <w:r>
        <w:rPr>
          <w:color w:val="000000" w:themeColor="text1"/>
        </w:rPr>
        <w:t xml:space="preserve">постоянно натощак или постоянно </w:t>
      </w:r>
      <w:r w:rsidR="00DF7760" w:rsidRPr="00707D60">
        <w:rPr>
          <w:color w:val="000000" w:themeColor="text1"/>
        </w:rPr>
        <w:t xml:space="preserve">после приема небольшого количества пищи, не содержащей жира. Таблетки следует проглатывать целиком, запивая стаканом воды, их </w:t>
      </w:r>
      <w:r w:rsidR="002A2854">
        <w:rPr>
          <w:color w:val="000000" w:themeColor="text1"/>
        </w:rPr>
        <w:t>нельзя разжевывать или дробить.</w:t>
      </w:r>
      <w:r w:rsidR="0032000C">
        <w:rPr>
          <w:color w:val="000000" w:themeColor="text1"/>
        </w:rPr>
        <w:t xml:space="preserve"> Препарат принимают в одно и то же время с циклоспорином в форме микроэмульсии или такролимусом.</w:t>
      </w:r>
    </w:p>
    <w:p w14:paraId="1BAA10DD" w14:textId="3FE3ACC7" w:rsidR="00DF7760" w:rsidRDefault="0032000C" w:rsidP="00A71E4E">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Может потребоваться коррекция режима дозирования эверолимуса с учетом концентрации эверолимуса в крови, переносимости, индивидуального ответа на лечение, коррекции одновременной медикаментозной терапии и клинической ситуации. Коррекцию режима дозирования можно проводить с интервалом 4-5 дней.</w:t>
      </w:r>
    </w:p>
    <w:p w14:paraId="062018C6" w14:textId="77777777" w:rsidR="00C6423D" w:rsidRPr="00A71E4E" w:rsidRDefault="00C6423D" w:rsidP="00A71E4E">
      <w:pPr>
        <w:pStyle w:val="ab"/>
        <w:shd w:val="clear" w:color="auto" w:fill="FFFFFF"/>
        <w:tabs>
          <w:tab w:val="left" w:pos="8647"/>
        </w:tabs>
        <w:spacing w:before="0" w:beforeAutospacing="0" w:after="0" w:afterAutospacing="0"/>
        <w:ind w:firstLine="709"/>
        <w:jc w:val="both"/>
        <w:rPr>
          <w:color w:val="000000" w:themeColor="text1"/>
        </w:rPr>
      </w:pPr>
    </w:p>
    <w:p w14:paraId="34E8A4D9" w14:textId="0CEE047F" w:rsidR="00A71E4E" w:rsidRPr="00C6423D" w:rsidRDefault="00C6423D" w:rsidP="00A71E4E">
      <w:pPr>
        <w:pStyle w:val="ab"/>
        <w:shd w:val="clear" w:color="auto" w:fill="FFFFFF"/>
        <w:tabs>
          <w:tab w:val="left" w:pos="8647"/>
        </w:tabs>
        <w:spacing w:before="0" w:beforeAutospacing="0" w:after="0" w:afterAutospacing="0"/>
        <w:jc w:val="both"/>
        <w:rPr>
          <w:b/>
          <w:i/>
          <w:color w:val="000000" w:themeColor="text1"/>
        </w:rPr>
      </w:pPr>
      <w:r w:rsidRPr="00C6423D">
        <w:rPr>
          <w:b/>
          <w:i/>
          <w:color w:val="000000" w:themeColor="text1"/>
        </w:rPr>
        <w:t>Трансплантация почки и сердца.</w:t>
      </w:r>
    </w:p>
    <w:p w14:paraId="1966844C" w14:textId="3525BB9D" w:rsidR="00C6423D" w:rsidRDefault="00C6423D" w:rsidP="0032000C">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Рекомендуемая начальная доза препарата для пациентов с трнасплантатом почки и сердца составляет 0,75 мг 2 раза в день; терапию следует начинать как можно раньше после трансплантации.</w:t>
      </w:r>
    </w:p>
    <w:p w14:paraId="74352051" w14:textId="77777777" w:rsidR="00C6423D" w:rsidRDefault="00C6423D" w:rsidP="00A71E4E">
      <w:pPr>
        <w:pStyle w:val="ab"/>
        <w:shd w:val="clear" w:color="auto" w:fill="FFFFFF"/>
        <w:tabs>
          <w:tab w:val="left" w:pos="8647"/>
        </w:tabs>
        <w:spacing w:before="0" w:beforeAutospacing="0" w:after="0" w:afterAutospacing="0"/>
        <w:jc w:val="both"/>
        <w:rPr>
          <w:color w:val="000000" w:themeColor="text1"/>
        </w:rPr>
      </w:pPr>
    </w:p>
    <w:p w14:paraId="039B3701" w14:textId="4D44C7BB" w:rsidR="00C6423D" w:rsidRPr="00C6423D" w:rsidRDefault="00C6423D" w:rsidP="00A71E4E">
      <w:pPr>
        <w:pStyle w:val="ab"/>
        <w:shd w:val="clear" w:color="auto" w:fill="FFFFFF"/>
        <w:tabs>
          <w:tab w:val="left" w:pos="8647"/>
        </w:tabs>
        <w:spacing w:before="0" w:beforeAutospacing="0" w:after="0" w:afterAutospacing="0"/>
        <w:jc w:val="both"/>
        <w:rPr>
          <w:b/>
          <w:i/>
          <w:color w:val="000000" w:themeColor="text1"/>
        </w:rPr>
      </w:pPr>
      <w:r w:rsidRPr="00C6423D">
        <w:rPr>
          <w:b/>
          <w:i/>
          <w:color w:val="000000" w:themeColor="text1"/>
        </w:rPr>
        <w:t>Трансплантация печени.</w:t>
      </w:r>
    </w:p>
    <w:p w14:paraId="11A06FAF" w14:textId="3C160347" w:rsidR="00C6423D" w:rsidRDefault="00C6423D" w:rsidP="0032000C">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 xml:space="preserve">Рекомендуемая начальная доза препарата для пациентов с трнасплантатом </w:t>
      </w:r>
      <w:r w:rsidR="00E85908">
        <w:rPr>
          <w:color w:val="000000" w:themeColor="text1"/>
        </w:rPr>
        <w:t>печени составляет 1,0</w:t>
      </w:r>
      <w:r>
        <w:rPr>
          <w:color w:val="000000" w:themeColor="text1"/>
        </w:rPr>
        <w:t xml:space="preserve"> мг 2 раза в день; терапию </w:t>
      </w:r>
      <w:r w:rsidR="00E85908">
        <w:rPr>
          <w:color w:val="000000" w:themeColor="text1"/>
        </w:rPr>
        <w:t>начинают приблизительно через 4 недели после трансплантации.</w:t>
      </w:r>
    </w:p>
    <w:p w14:paraId="5CC857DA" w14:textId="77777777" w:rsidR="00D34251" w:rsidRDefault="00D34251" w:rsidP="00D92B33">
      <w:pPr>
        <w:pStyle w:val="ab"/>
        <w:shd w:val="clear" w:color="auto" w:fill="FFFFFF"/>
        <w:tabs>
          <w:tab w:val="left" w:pos="142"/>
          <w:tab w:val="left" w:pos="8647"/>
        </w:tabs>
        <w:spacing w:before="0" w:beforeAutospacing="0" w:after="0" w:afterAutospacing="0"/>
        <w:jc w:val="both"/>
        <w:rPr>
          <w:i/>
          <w:color w:val="000000" w:themeColor="text1"/>
        </w:rPr>
      </w:pPr>
    </w:p>
    <w:p w14:paraId="77531319" w14:textId="7F24D884" w:rsidR="00760B37" w:rsidRPr="0032000C" w:rsidRDefault="00760B37" w:rsidP="00D92B33">
      <w:pPr>
        <w:pStyle w:val="ab"/>
        <w:shd w:val="clear" w:color="auto" w:fill="FFFFFF"/>
        <w:tabs>
          <w:tab w:val="left" w:pos="142"/>
          <w:tab w:val="left" w:pos="8647"/>
        </w:tabs>
        <w:spacing w:before="0" w:beforeAutospacing="0" w:after="0" w:afterAutospacing="0"/>
        <w:jc w:val="both"/>
        <w:rPr>
          <w:b/>
          <w:i/>
          <w:color w:val="000000" w:themeColor="text1"/>
        </w:rPr>
      </w:pPr>
      <w:r w:rsidRPr="0032000C">
        <w:rPr>
          <w:b/>
          <w:i/>
          <w:color w:val="000000" w:themeColor="text1"/>
        </w:rPr>
        <w:t>П</w:t>
      </w:r>
      <w:r w:rsidR="00E85908" w:rsidRPr="0032000C">
        <w:rPr>
          <w:b/>
          <w:i/>
          <w:color w:val="000000" w:themeColor="text1"/>
        </w:rPr>
        <w:t>редставители негроидной расы</w:t>
      </w:r>
    </w:p>
    <w:p w14:paraId="64F1104E" w14:textId="7D3A5E75" w:rsidR="00506392" w:rsidRPr="00E85908" w:rsidRDefault="00E85908" w:rsidP="00E85908">
      <w:pPr>
        <w:pStyle w:val="ab"/>
        <w:shd w:val="clear" w:color="auto" w:fill="FFFFFF"/>
        <w:tabs>
          <w:tab w:val="left" w:pos="8647"/>
        </w:tabs>
        <w:spacing w:before="0" w:beforeAutospacing="0" w:after="0" w:afterAutospacing="0"/>
        <w:ind w:firstLine="709"/>
        <w:jc w:val="both"/>
        <w:rPr>
          <w:color w:val="000000" w:themeColor="text1"/>
        </w:rPr>
      </w:pPr>
      <w:r w:rsidRPr="00E85908">
        <w:rPr>
          <w:color w:val="000000" w:themeColor="text1"/>
        </w:rPr>
        <w:t>Частота случаев развития острого отторжения трансплантата почки, подтвержденного биопсией, была выше у представителей негроидной расы по сравнению с пациентами в общей популяции. Согласно имеющейся ограниченной информации для достижения эффективности, сопоставимой с рекомендованой для взрослых дозой в общей популяции, представителям негроидной расы может потребоваться более высокая доза эверолимуса. Имеющихся в настоящее время данных по безопасности и эффективности недостаточно для предоставления специфических рекомендаций по применению эверолимуса у представителей негроидной расы.</w:t>
      </w:r>
    </w:p>
    <w:p w14:paraId="3679E45C" w14:textId="77777777" w:rsidR="00E85908" w:rsidRDefault="00E85908" w:rsidP="00E85908">
      <w:pPr>
        <w:pStyle w:val="ab"/>
        <w:shd w:val="clear" w:color="auto" w:fill="FFFFFF"/>
        <w:tabs>
          <w:tab w:val="left" w:pos="8647"/>
        </w:tabs>
        <w:spacing w:before="0" w:beforeAutospacing="0" w:after="0" w:afterAutospacing="0"/>
        <w:ind w:firstLine="709"/>
        <w:jc w:val="both"/>
        <w:rPr>
          <w:i/>
          <w:color w:val="000000" w:themeColor="text1"/>
        </w:rPr>
      </w:pPr>
    </w:p>
    <w:p w14:paraId="6BFA3DE7" w14:textId="77777777" w:rsidR="00C01452" w:rsidRDefault="00C01452" w:rsidP="00D92B33">
      <w:pPr>
        <w:pStyle w:val="ab"/>
        <w:shd w:val="clear" w:color="auto" w:fill="FFFFFF"/>
        <w:tabs>
          <w:tab w:val="left" w:pos="8647"/>
        </w:tabs>
        <w:spacing w:before="0" w:beforeAutospacing="0" w:after="0" w:afterAutospacing="0"/>
        <w:jc w:val="both"/>
        <w:rPr>
          <w:b/>
          <w:i/>
          <w:color w:val="000000" w:themeColor="text1"/>
        </w:rPr>
        <w:sectPr w:rsidR="00C01452" w:rsidSect="00AB01E2">
          <w:pgSz w:w="11906" w:h="16838"/>
          <w:pgMar w:top="1134" w:right="849" w:bottom="1134" w:left="1701" w:header="708" w:footer="709" w:gutter="0"/>
          <w:cols w:space="708"/>
          <w:docGrid w:linePitch="360"/>
        </w:sectPr>
      </w:pPr>
    </w:p>
    <w:p w14:paraId="6A98DA10" w14:textId="111BA0F3" w:rsidR="0056447E" w:rsidRPr="0032000C" w:rsidRDefault="00760B37" w:rsidP="00D92B33">
      <w:pPr>
        <w:pStyle w:val="ab"/>
        <w:shd w:val="clear" w:color="auto" w:fill="FFFFFF"/>
        <w:tabs>
          <w:tab w:val="left" w:pos="8647"/>
        </w:tabs>
        <w:spacing w:before="0" w:beforeAutospacing="0" w:after="0" w:afterAutospacing="0"/>
        <w:jc w:val="both"/>
        <w:rPr>
          <w:i/>
          <w:color w:val="000000" w:themeColor="text1"/>
        </w:rPr>
      </w:pPr>
      <w:r w:rsidRPr="0032000C">
        <w:rPr>
          <w:b/>
          <w:i/>
          <w:color w:val="000000" w:themeColor="text1"/>
        </w:rPr>
        <w:t xml:space="preserve">Пациенты в возрасте </w:t>
      </w:r>
      <w:r w:rsidR="0056447E" w:rsidRPr="0032000C">
        <w:rPr>
          <w:b/>
          <w:i/>
          <w:color w:val="000000" w:themeColor="text1"/>
        </w:rPr>
        <w:t>≥</w:t>
      </w:r>
      <w:r w:rsidR="00E85908" w:rsidRPr="0032000C">
        <w:rPr>
          <w:b/>
          <w:i/>
          <w:color w:val="000000" w:themeColor="text1"/>
        </w:rPr>
        <w:t>65 лет</w:t>
      </w:r>
    </w:p>
    <w:p w14:paraId="35AF6034" w14:textId="39590E2C" w:rsidR="00E85908" w:rsidRPr="00D92B33" w:rsidRDefault="00E85908" w:rsidP="00E85908">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Клинически опыт применения эверолимуса у пацентов в возрасте</w:t>
      </w:r>
      <w:r w:rsidRPr="00E85908">
        <w:rPr>
          <w:color w:val="000000" w:themeColor="text1"/>
        </w:rPr>
        <w:t xml:space="preserve"> ≥65 лет</w:t>
      </w:r>
      <w:r>
        <w:rPr>
          <w:color w:val="000000" w:themeColor="text1"/>
        </w:rPr>
        <w:t xml:space="preserve"> ограничен. Явных различий фармакокинетики не отмечалось. К</w:t>
      </w:r>
      <w:r w:rsidRPr="00D92B33">
        <w:rPr>
          <w:color w:val="000000" w:themeColor="text1"/>
        </w:rPr>
        <w:t>оррекции дозы препарата не требуется.</w:t>
      </w:r>
    </w:p>
    <w:p w14:paraId="4D5CE97F" w14:textId="77777777" w:rsidR="00506392" w:rsidRDefault="00506392" w:rsidP="00D92B33">
      <w:pPr>
        <w:pStyle w:val="ab"/>
        <w:shd w:val="clear" w:color="auto" w:fill="FFFFFF"/>
        <w:tabs>
          <w:tab w:val="left" w:pos="8647"/>
        </w:tabs>
        <w:spacing w:before="0" w:beforeAutospacing="0" w:after="0" w:afterAutospacing="0"/>
        <w:jc w:val="both"/>
        <w:rPr>
          <w:i/>
          <w:color w:val="000000" w:themeColor="text1"/>
        </w:rPr>
      </w:pPr>
    </w:p>
    <w:p w14:paraId="70132340" w14:textId="77777777" w:rsidR="00506392" w:rsidRDefault="00760B37" w:rsidP="00D92B33">
      <w:pPr>
        <w:pStyle w:val="ab"/>
        <w:shd w:val="clear" w:color="auto" w:fill="FFFFFF"/>
        <w:tabs>
          <w:tab w:val="left" w:pos="8647"/>
        </w:tabs>
        <w:spacing w:before="0" w:beforeAutospacing="0" w:after="0" w:afterAutospacing="0"/>
        <w:jc w:val="both"/>
        <w:rPr>
          <w:color w:val="000000" w:themeColor="text1"/>
        </w:rPr>
      </w:pPr>
      <w:r w:rsidRPr="0032000C">
        <w:rPr>
          <w:b/>
          <w:i/>
          <w:color w:val="000000" w:themeColor="text1"/>
        </w:rPr>
        <w:t>Пациенты с нарушениями функции почек</w:t>
      </w:r>
      <w:r w:rsidRPr="00506392">
        <w:rPr>
          <w:b/>
          <w:color w:val="000000" w:themeColor="text1"/>
        </w:rPr>
        <w:t>:</w:t>
      </w:r>
      <w:r w:rsidRPr="00D92B33">
        <w:rPr>
          <w:color w:val="000000" w:themeColor="text1"/>
        </w:rPr>
        <w:t xml:space="preserve"> коррекции дозы препарата не требуется. </w:t>
      </w:r>
    </w:p>
    <w:p w14:paraId="11882402" w14:textId="77777777" w:rsidR="00506392" w:rsidRDefault="00506392" w:rsidP="00D92B33">
      <w:pPr>
        <w:pStyle w:val="ab"/>
        <w:shd w:val="clear" w:color="auto" w:fill="FFFFFF"/>
        <w:tabs>
          <w:tab w:val="left" w:pos="8647"/>
        </w:tabs>
        <w:spacing w:before="0" w:beforeAutospacing="0" w:after="0" w:afterAutospacing="0"/>
        <w:jc w:val="both"/>
        <w:rPr>
          <w:color w:val="000000" w:themeColor="text1"/>
        </w:rPr>
      </w:pPr>
    </w:p>
    <w:p w14:paraId="19D71C94" w14:textId="3AB01E53" w:rsidR="00760B37" w:rsidRPr="0032000C" w:rsidRDefault="00760B37" w:rsidP="00D92B33">
      <w:pPr>
        <w:pStyle w:val="ab"/>
        <w:shd w:val="clear" w:color="auto" w:fill="FFFFFF"/>
        <w:tabs>
          <w:tab w:val="left" w:pos="8647"/>
        </w:tabs>
        <w:spacing w:before="0" w:beforeAutospacing="0" w:after="0" w:afterAutospacing="0"/>
        <w:jc w:val="both"/>
        <w:rPr>
          <w:b/>
          <w:i/>
          <w:color w:val="000000" w:themeColor="text1"/>
        </w:rPr>
      </w:pPr>
      <w:r w:rsidRPr="0032000C">
        <w:rPr>
          <w:b/>
          <w:i/>
          <w:color w:val="000000" w:themeColor="text1"/>
        </w:rPr>
        <w:t>Пациенты с нарушениями функции печени</w:t>
      </w:r>
    </w:p>
    <w:p w14:paraId="28818C52" w14:textId="36F2906A" w:rsidR="00E85908" w:rsidRDefault="00E85908" w:rsidP="00E85908">
      <w:pPr>
        <w:pStyle w:val="ab"/>
        <w:shd w:val="clear" w:color="auto" w:fill="FFFFFF"/>
        <w:tabs>
          <w:tab w:val="left" w:pos="8647"/>
        </w:tabs>
        <w:spacing w:before="0" w:beforeAutospacing="0" w:after="0" w:afterAutospacing="0"/>
        <w:ind w:firstLine="709"/>
        <w:jc w:val="both"/>
        <w:rPr>
          <w:color w:val="000000" w:themeColor="text1"/>
        </w:rPr>
      </w:pPr>
      <w:r>
        <w:rPr>
          <w:color w:val="000000" w:themeColor="text1"/>
        </w:rPr>
        <w:t>У пациентов с нарушением функции печени следует тщательно контролировать концентрацию эверолимуса в цельной крови. Рекомендации по уменьшению дозы эверолимуса у пациентов с нарушением функции печени представлены в таблице 5-1:</w:t>
      </w:r>
    </w:p>
    <w:p w14:paraId="30886446" w14:textId="77777777" w:rsidR="00E85908" w:rsidRDefault="00E85908" w:rsidP="00E85908">
      <w:pPr>
        <w:pStyle w:val="ab"/>
        <w:shd w:val="clear" w:color="auto" w:fill="FFFFFF"/>
        <w:tabs>
          <w:tab w:val="left" w:pos="8647"/>
        </w:tabs>
        <w:spacing w:before="0" w:beforeAutospacing="0" w:after="0" w:afterAutospacing="0"/>
        <w:ind w:firstLine="709"/>
        <w:jc w:val="both"/>
        <w:rPr>
          <w:color w:val="000000" w:themeColor="text1"/>
        </w:rPr>
      </w:pPr>
    </w:p>
    <w:p w14:paraId="7B7B9277" w14:textId="11A3D7C9" w:rsidR="00E85908" w:rsidRDefault="00E85908" w:rsidP="00E85908">
      <w:pPr>
        <w:pStyle w:val="ab"/>
        <w:shd w:val="clear" w:color="auto" w:fill="FFFFFF"/>
        <w:tabs>
          <w:tab w:val="left" w:pos="8647"/>
        </w:tabs>
        <w:spacing w:before="0" w:beforeAutospacing="0" w:after="0" w:afterAutospacing="0"/>
        <w:jc w:val="both"/>
        <w:rPr>
          <w:color w:val="000000" w:themeColor="text1"/>
        </w:rPr>
      </w:pPr>
      <w:r w:rsidRPr="00E85908">
        <w:rPr>
          <w:b/>
          <w:color w:val="000000" w:themeColor="text1"/>
        </w:rPr>
        <w:t>Таблица 5-1.</w:t>
      </w:r>
      <w:r w:rsidRPr="00E85908">
        <w:rPr>
          <w:color w:val="000000" w:themeColor="text1"/>
        </w:rPr>
        <w:t xml:space="preserve"> Уменьшение дозы эверолимуса у пациентов с нарушением функции печени.</w:t>
      </w:r>
    </w:p>
    <w:tbl>
      <w:tblPr>
        <w:tblW w:w="5000" w:type="pct"/>
        <w:tblInd w:w="-5" w:type="dxa"/>
        <w:tblLook w:val="04A0" w:firstRow="1" w:lastRow="0" w:firstColumn="1" w:lastColumn="0" w:noHBand="0" w:noVBand="1"/>
      </w:tblPr>
      <w:tblGrid>
        <w:gridCol w:w="2272"/>
        <w:gridCol w:w="1914"/>
        <w:gridCol w:w="1709"/>
        <w:gridCol w:w="1709"/>
        <w:gridCol w:w="1742"/>
      </w:tblGrid>
      <w:tr w:rsidR="00E85908" w:rsidRPr="00702505" w14:paraId="5D63E705" w14:textId="77777777" w:rsidTr="00C01452">
        <w:trPr>
          <w:trHeight w:val="20"/>
          <w:tblHeader/>
        </w:trPr>
        <w:tc>
          <w:tcPr>
            <w:tcW w:w="2274"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A04C0D1" w14:textId="77777777" w:rsidR="00E85908" w:rsidRPr="00702505" w:rsidRDefault="00E85908" w:rsidP="00E773EE">
            <w:pPr>
              <w:spacing w:after="0" w:line="240" w:lineRule="auto"/>
              <w:jc w:val="left"/>
              <w:rPr>
                <w:rFonts w:eastAsia="Times New Roman"/>
                <w:b/>
                <w:color w:val="000000"/>
                <w:lang w:eastAsia="ru-RU"/>
              </w:rPr>
            </w:pPr>
            <w:r w:rsidRPr="00702505">
              <w:rPr>
                <w:rFonts w:eastAsia="Times New Roman"/>
                <w:b/>
                <w:color w:val="000000"/>
                <w:lang w:eastAsia="ru-RU"/>
              </w:rPr>
              <w:t> </w:t>
            </w:r>
          </w:p>
        </w:tc>
        <w:tc>
          <w:tcPr>
            <w:tcW w:w="1916" w:type="dxa"/>
            <w:tcBorders>
              <w:top w:val="single" w:sz="4" w:space="0" w:color="auto"/>
              <w:left w:val="nil"/>
              <w:bottom w:val="single" w:sz="4" w:space="0" w:color="auto"/>
              <w:right w:val="single" w:sz="4" w:space="0" w:color="auto"/>
            </w:tcBorders>
            <w:shd w:val="clear" w:color="000000" w:fill="D9D9D9"/>
            <w:vAlign w:val="center"/>
            <w:hideMark/>
          </w:tcPr>
          <w:p w14:paraId="5365F14F" w14:textId="77777777" w:rsidR="00E85908" w:rsidRPr="00702505" w:rsidRDefault="00E85908" w:rsidP="00E773EE">
            <w:pPr>
              <w:spacing w:after="0" w:line="240" w:lineRule="auto"/>
              <w:jc w:val="center"/>
              <w:rPr>
                <w:rFonts w:eastAsia="Times New Roman"/>
                <w:b/>
                <w:color w:val="000000"/>
                <w:lang w:eastAsia="ru-RU"/>
              </w:rPr>
            </w:pPr>
            <w:r w:rsidRPr="00702505">
              <w:rPr>
                <w:rFonts w:eastAsia="Times New Roman"/>
                <w:b/>
                <w:color w:val="000000"/>
                <w:lang w:eastAsia="ru-RU"/>
              </w:rPr>
              <w:t>Нормальная функция печени</w:t>
            </w:r>
          </w:p>
        </w:tc>
        <w:tc>
          <w:tcPr>
            <w:tcW w:w="1711" w:type="dxa"/>
            <w:tcBorders>
              <w:top w:val="single" w:sz="4" w:space="0" w:color="auto"/>
              <w:left w:val="nil"/>
              <w:bottom w:val="single" w:sz="4" w:space="0" w:color="auto"/>
              <w:right w:val="single" w:sz="4" w:space="0" w:color="auto"/>
            </w:tcBorders>
            <w:shd w:val="clear" w:color="000000" w:fill="D9D9D9"/>
            <w:vAlign w:val="center"/>
            <w:hideMark/>
          </w:tcPr>
          <w:p w14:paraId="08E7464F" w14:textId="77777777" w:rsidR="00E85908" w:rsidRPr="00702505" w:rsidRDefault="00E85908" w:rsidP="00E773EE">
            <w:pPr>
              <w:spacing w:after="0" w:line="240" w:lineRule="auto"/>
              <w:jc w:val="center"/>
              <w:rPr>
                <w:rFonts w:eastAsia="Times New Roman"/>
                <w:b/>
                <w:color w:val="000000"/>
                <w:lang w:eastAsia="ru-RU"/>
              </w:rPr>
            </w:pPr>
            <w:r w:rsidRPr="00702505">
              <w:rPr>
                <w:rFonts w:eastAsia="Times New Roman"/>
                <w:b/>
                <w:color w:val="000000"/>
                <w:lang w:eastAsia="ru-RU"/>
              </w:rPr>
              <w:t>Легкое нарушение функции печени (Чайлд-Пью А)</w:t>
            </w:r>
          </w:p>
        </w:tc>
        <w:tc>
          <w:tcPr>
            <w:tcW w:w="1711" w:type="dxa"/>
            <w:tcBorders>
              <w:top w:val="single" w:sz="4" w:space="0" w:color="auto"/>
              <w:left w:val="nil"/>
              <w:bottom w:val="single" w:sz="4" w:space="0" w:color="auto"/>
              <w:right w:val="single" w:sz="4" w:space="0" w:color="auto"/>
            </w:tcBorders>
            <w:shd w:val="clear" w:color="000000" w:fill="D9D9D9"/>
            <w:vAlign w:val="center"/>
            <w:hideMark/>
          </w:tcPr>
          <w:p w14:paraId="2B80F9AD" w14:textId="77777777" w:rsidR="00E85908" w:rsidRPr="00702505" w:rsidRDefault="00E85908" w:rsidP="00E773EE">
            <w:pPr>
              <w:spacing w:after="0" w:line="240" w:lineRule="auto"/>
              <w:jc w:val="center"/>
              <w:rPr>
                <w:rFonts w:eastAsia="Times New Roman"/>
                <w:b/>
                <w:color w:val="000000"/>
                <w:lang w:eastAsia="ru-RU"/>
              </w:rPr>
            </w:pPr>
            <w:r w:rsidRPr="00702505">
              <w:rPr>
                <w:rFonts w:eastAsia="Times New Roman"/>
                <w:b/>
                <w:color w:val="000000"/>
                <w:lang w:eastAsia="ru-RU"/>
              </w:rPr>
              <w:t>Умеренное нарушение функции печени (Чайлд-Пью В)</w:t>
            </w:r>
          </w:p>
        </w:tc>
        <w:tc>
          <w:tcPr>
            <w:tcW w:w="1744" w:type="dxa"/>
            <w:tcBorders>
              <w:top w:val="single" w:sz="4" w:space="0" w:color="auto"/>
              <w:left w:val="nil"/>
              <w:bottom w:val="single" w:sz="4" w:space="0" w:color="auto"/>
              <w:right w:val="single" w:sz="4" w:space="0" w:color="auto"/>
            </w:tcBorders>
            <w:shd w:val="clear" w:color="000000" w:fill="D9D9D9"/>
            <w:vAlign w:val="center"/>
            <w:hideMark/>
          </w:tcPr>
          <w:p w14:paraId="0DF72570" w14:textId="77777777" w:rsidR="00E85908" w:rsidRPr="00702505" w:rsidRDefault="00E85908" w:rsidP="00E773EE">
            <w:pPr>
              <w:spacing w:after="0" w:line="240" w:lineRule="auto"/>
              <w:jc w:val="center"/>
              <w:rPr>
                <w:rFonts w:eastAsia="Times New Roman"/>
                <w:b/>
                <w:color w:val="000000"/>
                <w:lang w:eastAsia="ru-RU"/>
              </w:rPr>
            </w:pPr>
            <w:r w:rsidRPr="00702505">
              <w:rPr>
                <w:rFonts w:eastAsia="Times New Roman"/>
                <w:b/>
                <w:color w:val="000000"/>
                <w:lang w:eastAsia="ru-RU"/>
              </w:rPr>
              <w:t>Тяжелое нарушение функции печени (Чайлд-Пью С)</w:t>
            </w:r>
          </w:p>
        </w:tc>
      </w:tr>
      <w:tr w:rsidR="00E85908" w:rsidRPr="00702505" w14:paraId="3D73C4AF" w14:textId="77777777" w:rsidTr="00C01452">
        <w:trPr>
          <w:trHeight w:val="20"/>
        </w:trPr>
        <w:tc>
          <w:tcPr>
            <w:tcW w:w="2274" w:type="dxa"/>
            <w:tcBorders>
              <w:top w:val="nil"/>
              <w:left w:val="single" w:sz="4" w:space="0" w:color="auto"/>
              <w:bottom w:val="single" w:sz="4" w:space="0" w:color="auto"/>
              <w:right w:val="single" w:sz="4" w:space="0" w:color="auto"/>
            </w:tcBorders>
            <w:shd w:val="clear" w:color="auto" w:fill="auto"/>
            <w:vAlign w:val="bottom"/>
            <w:hideMark/>
          </w:tcPr>
          <w:p w14:paraId="5CA28088"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Трансплантация сердца/почки</w:t>
            </w:r>
          </w:p>
        </w:tc>
        <w:tc>
          <w:tcPr>
            <w:tcW w:w="1916" w:type="dxa"/>
            <w:tcBorders>
              <w:top w:val="nil"/>
              <w:left w:val="nil"/>
              <w:bottom w:val="single" w:sz="4" w:space="0" w:color="auto"/>
              <w:right w:val="single" w:sz="4" w:space="0" w:color="auto"/>
            </w:tcBorders>
            <w:shd w:val="clear" w:color="auto" w:fill="auto"/>
            <w:vAlign w:val="bottom"/>
            <w:hideMark/>
          </w:tcPr>
          <w:p w14:paraId="6129D9D0"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0,75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1D95FCCC"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1E0FD7BB"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44" w:type="dxa"/>
            <w:tcBorders>
              <w:top w:val="nil"/>
              <w:left w:val="nil"/>
              <w:bottom w:val="single" w:sz="4" w:space="0" w:color="auto"/>
              <w:right w:val="single" w:sz="4" w:space="0" w:color="auto"/>
            </w:tcBorders>
            <w:shd w:val="clear" w:color="auto" w:fill="auto"/>
            <w:vAlign w:val="bottom"/>
            <w:hideMark/>
          </w:tcPr>
          <w:p w14:paraId="60D3EE8F"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0,25 мг 2 раза в день</w:t>
            </w:r>
          </w:p>
        </w:tc>
      </w:tr>
      <w:tr w:rsidR="00E85908" w:rsidRPr="00702505" w14:paraId="03BBBF30" w14:textId="77777777" w:rsidTr="00C01452">
        <w:trPr>
          <w:trHeight w:val="20"/>
        </w:trPr>
        <w:tc>
          <w:tcPr>
            <w:tcW w:w="2274" w:type="dxa"/>
            <w:tcBorders>
              <w:top w:val="nil"/>
              <w:left w:val="single" w:sz="4" w:space="0" w:color="auto"/>
              <w:bottom w:val="single" w:sz="4" w:space="0" w:color="auto"/>
              <w:right w:val="single" w:sz="4" w:space="0" w:color="auto"/>
            </w:tcBorders>
            <w:shd w:val="clear" w:color="auto" w:fill="auto"/>
            <w:vAlign w:val="bottom"/>
            <w:hideMark/>
          </w:tcPr>
          <w:p w14:paraId="1D4D3429"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Трансплантация печени</w:t>
            </w:r>
          </w:p>
        </w:tc>
        <w:tc>
          <w:tcPr>
            <w:tcW w:w="1916" w:type="dxa"/>
            <w:tcBorders>
              <w:top w:val="nil"/>
              <w:left w:val="nil"/>
              <w:bottom w:val="single" w:sz="4" w:space="0" w:color="auto"/>
              <w:right w:val="single" w:sz="4" w:space="0" w:color="auto"/>
            </w:tcBorders>
            <w:shd w:val="clear" w:color="auto" w:fill="auto"/>
            <w:vAlign w:val="bottom"/>
            <w:hideMark/>
          </w:tcPr>
          <w:p w14:paraId="35D6C06B"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1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0AA09334"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0,75 мг 2 раза в день</w:t>
            </w:r>
          </w:p>
        </w:tc>
        <w:tc>
          <w:tcPr>
            <w:tcW w:w="1711" w:type="dxa"/>
            <w:tcBorders>
              <w:top w:val="nil"/>
              <w:left w:val="nil"/>
              <w:bottom w:val="single" w:sz="4" w:space="0" w:color="auto"/>
              <w:right w:val="single" w:sz="4" w:space="0" w:color="auto"/>
            </w:tcBorders>
            <w:shd w:val="clear" w:color="auto" w:fill="auto"/>
            <w:vAlign w:val="bottom"/>
            <w:hideMark/>
          </w:tcPr>
          <w:p w14:paraId="4D3BEC8F"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c>
          <w:tcPr>
            <w:tcW w:w="1744" w:type="dxa"/>
            <w:tcBorders>
              <w:top w:val="nil"/>
              <w:left w:val="nil"/>
              <w:bottom w:val="single" w:sz="4" w:space="0" w:color="auto"/>
              <w:right w:val="single" w:sz="4" w:space="0" w:color="auto"/>
            </w:tcBorders>
            <w:shd w:val="clear" w:color="auto" w:fill="auto"/>
            <w:vAlign w:val="bottom"/>
            <w:hideMark/>
          </w:tcPr>
          <w:p w14:paraId="0EEF0C69" w14:textId="77777777" w:rsidR="00E85908" w:rsidRPr="00702505" w:rsidRDefault="00E85908" w:rsidP="00E773EE">
            <w:pPr>
              <w:spacing w:after="0" w:line="240" w:lineRule="auto"/>
              <w:jc w:val="left"/>
              <w:rPr>
                <w:rFonts w:eastAsia="Times New Roman"/>
                <w:color w:val="000000"/>
                <w:lang w:eastAsia="ru-RU"/>
              </w:rPr>
            </w:pPr>
            <w:r w:rsidRPr="00702505">
              <w:rPr>
                <w:rFonts w:eastAsia="Times New Roman"/>
                <w:color w:val="000000"/>
                <w:lang w:eastAsia="ru-RU"/>
              </w:rPr>
              <w:t>0,5 мг 2 раза в день</w:t>
            </w:r>
          </w:p>
        </w:tc>
      </w:tr>
    </w:tbl>
    <w:p w14:paraId="129B053B" w14:textId="77777777" w:rsidR="00E85908" w:rsidRPr="00D92B33" w:rsidRDefault="00E85908" w:rsidP="00E85908">
      <w:pPr>
        <w:pStyle w:val="ab"/>
        <w:shd w:val="clear" w:color="auto" w:fill="FFFFFF"/>
        <w:tabs>
          <w:tab w:val="left" w:pos="8647"/>
        </w:tabs>
        <w:spacing w:before="0" w:beforeAutospacing="0" w:after="0" w:afterAutospacing="0"/>
        <w:jc w:val="both"/>
        <w:rPr>
          <w:color w:val="000000" w:themeColor="text1"/>
        </w:rPr>
      </w:pPr>
    </w:p>
    <w:p w14:paraId="24E2109F" w14:textId="77777777" w:rsidR="0032000C" w:rsidRDefault="00760B37" w:rsidP="0032000C">
      <w:pPr>
        <w:pStyle w:val="ab"/>
        <w:shd w:val="clear" w:color="auto" w:fill="FFFFFF"/>
        <w:tabs>
          <w:tab w:val="left" w:pos="8647"/>
        </w:tabs>
        <w:spacing w:before="0" w:beforeAutospacing="0" w:after="0" w:afterAutospacing="0"/>
        <w:contextualSpacing/>
        <w:jc w:val="both"/>
        <w:rPr>
          <w:b/>
          <w:color w:val="000000" w:themeColor="text1"/>
        </w:rPr>
      </w:pPr>
      <w:r w:rsidRPr="009023BA">
        <w:rPr>
          <w:b/>
          <w:color w:val="000000" w:themeColor="text1"/>
        </w:rPr>
        <w:t>Терапевтический мониторинг концентрации эверолимуса</w:t>
      </w:r>
      <w:bookmarkStart w:id="400" w:name="_Toc115217990"/>
    </w:p>
    <w:p w14:paraId="777DFF2B" w14:textId="77777777" w:rsidR="0032000C" w:rsidRPr="0032000C" w:rsidRDefault="0032000C" w:rsidP="0032000C">
      <w:pPr>
        <w:pStyle w:val="ab"/>
        <w:shd w:val="clear" w:color="auto" w:fill="FFFFFF"/>
        <w:tabs>
          <w:tab w:val="left" w:pos="8647"/>
        </w:tabs>
        <w:spacing w:before="0" w:beforeAutospacing="0" w:after="0" w:afterAutospacing="0"/>
        <w:contextualSpacing/>
        <w:jc w:val="both"/>
        <w:rPr>
          <w:b/>
          <w:color w:val="000000" w:themeColor="text1"/>
        </w:rPr>
      </w:pPr>
    </w:p>
    <w:p w14:paraId="61E6FCE3" w14:textId="4D5B74F7" w:rsidR="0032000C" w:rsidRDefault="0032000C" w:rsidP="0032000C">
      <w:pPr>
        <w:pStyle w:val="ab"/>
        <w:shd w:val="clear" w:color="auto" w:fill="FFFFFF"/>
        <w:tabs>
          <w:tab w:val="left" w:pos="8647"/>
        </w:tabs>
        <w:spacing w:before="0" w:beforeAutospacing="0" w:after="0" w:afterAutospacing="0"/>
        <w:ind w:firstLine="709"/>
        <w:contextualSpacing/>
        <w:jc w:val="both"/>
        <w:rPr>
          <w:color w:val="000000" w:themeColor="text1"/>
        </w:rPr>
      </w:pPr>
      <w:r w:rsidRPr="0032000C">
        <w:rPr>
          <w:color w:val="000000" w:themeColor="text1"/>
        </w:rPr>
        <w:t>Эверолимус обладает узким терапевтическим действием, что может требовать коррекции режима дозирования для поддержания терапевтического эффекта.</w:t>
      </w:r>
      <w:r>
        <w:rPr>
          <w:color w:val="000000" w:themeColor="text1"/>
        </w:rPr>
        <w:t xml:space="preserve"> Рекомендован регулярный контроль концентрации эверолимуса в цельной крови. Рекомендуемый верхний предел диапазона терапевтической концентрации эверолимуса составляет 8 нг/мл.</w:t>
      </w:r>
    </w:p>
    <w:p w14:paraId="14D5138B" w14:textId="07D09DBC" w:rsidR="0032000C" w:rsidRDefault="0032000C" w:rsidP="0032000C">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 xml:space="preserve">Особенно важно контролировать концентрацию эверолимуса в крови у пациентов с нарушением функции печени, при одновременном применении мощных индукторов и/или ингибиторов изофермента </w:t>
      </w:r>
      <w:r>
        <w:rPr>
          <w:color w:val="000000" w:themeColor="text1"/>
          <w:lang w:val="en-US"/>
        </w:rPr>
        <w:t>CYP</w:t>
      </w:r>
      <w:r w:rsidRPr="0032000C">
        <w:rPr>
          <w:color w:val="000000" w:themeColor="text1"/>
        </w:rPr>
        <w:t>3</w:t>
      </w:r>
      <w:r>
        <w:rPr>
          <w:color w:val="000000" w:themeColor="text1"/>
          <w:lang w:val="en-US"/>
        </w:rPr>
        <w:t>A</w:t>
      </w:r>
      <w:r w:rsidRPr="0032000C">
        <w:rPr>
          <w:color w:val="000000" w:themeColor="text1"/>
        </w:rPr>
        <w:t>4</w:t>
      </w:r>
      <w:r>
        <w:rPr>
          <w:color w:val="000000" w:themeColor="text1"/>
        </w:rPr>
        <w:t>, при перехое на другую лекарственную форму препарата и/или при значительном уменьшении дозы циклоспорина. Концентрация эверолимуса в крови может быть несколько ниже при приеме препарата в форме диспергируемых таблеток.</w:t>
      </w:r>
    </w:p>
    <w:p w14:paraId="1DF2D48B" w14:textId="2322575B" w:rsidR="0032000C" w:rsidRDefault="0032000C" w:rsidP="0032000C">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 xml:space="preserve">Оптимально корректировать дозу препарата исходя из его концентрации в крови через 4-5 дней после предыдущей коррекции. Вследствие взаимодействия возможно снижение концентрации эверолимуса в крови после значительного снижения дозы циклоспоринов. </w:t>
      </w:r>
    </w:p>
    <w:p w14:paraId="39B7A2CA" w14:textId="77777777" w:rsidR="0032000C" w:rsidRDefault="0032000C" w:rsidP="0032000C">
      <w:pPr>
        <w:pStyle w:val="ab"/>
        <w:shd w:val="clear" w:color="auto" w:fill="FFFFFF"/>
        <w:tabs>
          <w:tab w:val="left" w:pos="8647"/>
        </w:tabs>
        <w:spacing w:before="0" w:beforeAutospacing="0" w:after="0" w:afterAutospacing="0"/>
        <w:ind w:firstLine="709"/>
        <w:contextualSpacing/>
        <w:jc w:val="both"/>
        <w:rPr>
          <w:color w:val="000000" w:themeColor="text1"/>
        </w:rPr>
      </w:pPr>
    </w:p>
    <w:p w14:paraId="6726BDCF" w14:textId="177334A7" w:rsidR="0032000C" w:rsidRDefault="0032000C" w:rsidP="0032000C">
      <w:pPr>
        <w:pStyle w:val="ab"/>
        <w:shd w:val="clear" w:color="auto" w:fill="FFFFFF"/>
        <w:tabs>
          <w:tab w:val="left" w:pos="8647"/>
        </w:tabs>
        <w:spacing w:before="0" w:beforeAutospacing="0" w:after="0" w:afterAutospacing="0"/>
        <w:contextualSpacing/>
        <w:jc w:val="both"/>
        <w:rPr>
          <w:b/>
          <w:i/>
          <w:color w:val="000000" w:themeColor="text1"/>
        </w:rPr>
      </w:pPr>
      <w:r w:rsidRPr="0032000C">
        <w:rPr>
          <w:b/>
          <w:i/>
          <w:color w:val="000000" w:themeColor="text1"/>
        </w:rPr>
        <w:t>Коррекция режима дозирования циклоспорина в комбинированной терапии с эверолимусом у пациентов после трансплантации почки</w:t>
      </w:r>
    </w:p>
    <w:p w14:paraId="54ECFB18" w14:textId="3A60F3AC" w:rsidR="0032000C" w:rsidRDefault="0032000C" w:rsidP="0032000C">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 xml:space="preserve">Не следует применять длительную комбинированную терапию препаратом с полной дозой циклоспорина. У реципиентов почки, получавших лечение эверолимусом, уменьшение экспозиции </w:t>
      </w:r>
      <w:r w:rsidR="00075020">
        <w:rPr>
          <w:color w:val="000000" w:themeColor="text1"/>
        </w:rPr>
        <w:t>циклоспорина приводит к улучшению функции почек. Снижение дозы циклоспорина следует начинать непосредственно после трансплантации в преелах указанного ниже рекомендованного диапазоа концентрации:</w:t>
      </w:r>
    </w:p>
    <w:p w14:paraId="3470DCFC" w14:textId="77777777" w:rsidR="00075020" w:rsidRDefault="00075020" w:rsidP="0032000C">
      <w:pPr>
        <w:pStyle w:val="ab"/>
        <w:shd w:val="clear" w:color="auto" w:fill="FFFFFF"/>
        <w:tabs>
          <w:tab w:val="left" w:pos="8647"/>
        </w:tabs>
        <w:spacing w:before="0" w:beforeAutospacing="0" w:after="0" w:afterAutospacing="0"/>
        <w:ind w:firstLine="709"/>
        <w:contextualSpacing/>
        <w:jc w:val="both"/>
        <w:rPr>
          <w:color w:val="000000" w:themeColor="text1"/>
        </w:rPr>
      </w:pPr>
    </w:p>
    <w:p w14:paraId="68DA7EAB" w14:textId="4C4BEF5B" w:rsidR="00075020" w:rsidRDefault="00075020" w:rsidP="00075020">
      <w:pPr>
        <w:pStyle w:val="ab"/>
        <w:shd w:val="clear" w:color="auto" w:fill="FFFFFF"/>
        <w:tabs>
          <w:tab w:val="left" w:pos="8647"/>
        </w:tabs>
        <w:spacing w:before="0" w:beforeAutospacing="0" w:after="0" w:afterAutospacing="0"/>
        <w:contextualSpacing/>
        <w:jc w:val="both"/>
        <w:rPr>
          <w:color w:val="000000" w:themeColor="text1"/>
        </w:rPr>
      </w:pPr>
      <w:r w:rsidRPr="00075020">
        <w:rPr>
          <w:b/>
          <w:color w:val="000000" w:themeColor="text1"/>
        </w:rPr>
        <w:t>Таблица 5-2.</w:t>
      </w:r>
      <w:r w:rsidRPr="00075020">
        <w:rPr>
          <w:color w:val="000000" w:themeColor="text1"/>
        </w:rPr>
        <w:t xml:space="preserve"> Рекомендованный диапазон концентрации циклоспорина у реципиентов почки, получающих эверолимус.</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554"/>
        <w:gridCol w:w="1554"/>
        <w:gridCol w:w="1554"/>
        <w:gridCol w:w="1570"/>
      </w:tblGrid>
      <w:tr w:rsidR="00075020" w:rsidRPr="00075020" w14:paraId="73F69A5C" w14:textId="77777777" w:rsidTr="00C01452">
        <w:trPr>
          <w:trHeight w:val="20"/>
        </w:trPr>
        <w:tc>
          <w:tcPr>
            <w:tcW w:w="3116" w:type="dxa"/>
            <w:shd w:val="clear" w:color="000000" w:fill="D9D9D9"/>
            <w:vAlign w:val="center"/>
            <w:hideMark/>
          </w:tcPr>
          <w:p w14:paraId="7D6DDBAD" w14:textId="77777777" w:rsidR="00075020" w:rsidRPr="00075020" w:rsidRDefault="00075020" w:rsidP="00075020">
            <w:pPr>
              <w:spacing w:after="0" w:line="240" w:lineRule="auto"/>
              <w:contextualSpacing/>
              <w:jc w:val="left"/>
              <w:rPr>
                <w:rFonts w:eastAsia="Times New Roman"/>
                <w:b/>
                <w:bCs/>
                <w:color w:val="000000"/>
                <w:lang w:eastAsia="ru-RU"/>
              </w:rPr>
            </w:pPr>
            <w:r w:rsidRPr="00075020">
              <w:rPr>
                <w:rFonts w:eastAsia="Times New Roman"/>
                <w:b/>
                <w:bCs/>
                <w:color w:val="000000"/>
                <w:lang w:eastAsia="ru-RU"/>
              </w:rPr>
              <w:t> </w:t>
            </w:r>
          </w:p>
        </w:tc>
        <w:tc>
          <w:tcPr>
            <w:tcW w:w="1556" w:type="dxa"/>
            <w:shd w:val="clear" w:color="000000" w:fill="D9D9D9"/>
            <w:vAlign w:val="center"/>
            <w:hideMark/>
          </w:tcPr>
          <w:p w14:paraId="7A91765A" w14:textId="77777777" w:rsidR="00075020" w:rsidRPr="00075020" w:rsidRDefault="00075020" w:rsidP="00075020">
            <w:pPr>
              <w:spacing w:after="0" w:line="240" w:lineRule="auto"/>
              <w:contextualSpacing/>
              <w:jc w:val="left"/>
              <w:rPr>
                <w:rFonts w:eastAsia="Times New Roman"/>
                <w:b/>
                <w:bCs/>
                <w:color w:val="000000"/>
                <w:lang w:eastAsia="ru-RU"/>
              </w:rPr>
            </w:pPr>
            <w:r w:rsidRPr="00075020">
              <w:rPr>
                <w:rFonts w:eastAsia="Times New Roman"/>
                <w:b/>
                <w:bCs/>
                <w:color w:val="000000"/>
                <w:lang w:eastAsia="ru-RU"/>
              </w:rPr>
              <w:t>месяц 1</w:t>
            </w:r>
          </w:p>
        </w:tc>
        <w:tc>
          <w:tcPr>
            <w:tcW w:w="1556" w:type="dxa"/>
            <w:shd w:val="clear" w:color="000000" w:fill="D9D9D9"/>
            <w:vAlign w:val="center"/>
            <w:hideMark/>
          </w:tcPr>
          <w:p w14:paraId="39765A4D" w14:textId="77777777" w:rsidR="00075020" w:rsidRPr="00075020" w:rsidRDefault="00075020" w:rsidP="00075020">
            <w:pPr>
              <w:spacing w:after="0" w:line="240" w:lineRule="auto"/>
              <w:contextualSpacing/>
              <w:jc w:val="left"/>
              <w:rPr>
                <w:rFonts w:eastAsia="Times New Roman"/>
                <w:b/>
                <w:bCs/>
                <w:color w:val="000000"/>
                <w:lang w:eastAsia="ru-RU"/>
              </w:rPr>
            </w:pPr>
            <w:r w:rsidRPr="00075020">
              <w:rPr>
                <w:rFonts w:eastAsia="Times New Roman"/>
                <w:b/>
                <w:bCs/>
                <w:color w:val="000000"/>
                <w:lang w:eastAsia="ru-RU"/>
              </w:rPr>
              <w:t>месяц 2-3</w:t>
            </w:r>
          </w:p>
        </w:tc>
        <w:tc>
          <w:tcPr>
            <w:tcW w:w="1556" w:type="dxa"/>
            <w:shd w:val="clear" w:color="000000" w:fill="D9D9D9"/>
            <w:vAlign w:val="center"/>
            <w:hideMark/>
          </w:tcPr>
          <w:p w14:paraId="0C72FC57" w14:textId="77777777" w:rsidR="00075020" w:rsidRPr="00075020" w:rsidRDefault="00075020" w:rsidP="00075020">
            <w:pPr>
              <w:spacing w:after="0" w:line="240" w:lineRule="auto"/>
              <w:contextualSpacing/>
              <w:jc w:val="left"/>
              <w:rPr>
                <w:rFonts w:eastAsia="Times New Roman"/>
                <w:b/>
                <w:bCs/>
                <w:color w:val="000000"/>
                <w:lang w:eastAsia="ru-RU"/>
              </w:rPr>
            </w:pPr>
            <w:r w:rsidRPr="00075020">
              <w:rPr>
                <w:rFonts w:eastAsia="Times New Roman"/>
                <w:b/>
                <w:bCs/>
                <w:color w:val="000000"/>
                <w:lang w:eastAsia="ru-RU"/>
              </w:rPr>
              <w:t>месяц 4-5</w:t>
            </w:r>
          </w:p>
        </w:tc>
        <w:tc>
          <w:tcPr>
            <w:tcW w:w="1572" w:type="dxa"/>
            <w:shd w:val="clear" w:color="000000" w:fill="D9D9D9"/>
            <w:vAlign w:val="center"/>
            <w:hideMark/>
          </w:tcPr>
          <w:p w14:paraId="32474A35" w14:textId="77777777" w:rsidR="00075020" w:rsidRPr="00075020" w:rsidRDefault="00075020" w:rsidP="00075020">
            <w:pPr>
              <w:spacing w:after="0" w:line="240" w:lineRule="auto"/>
              <w:contextualSpacing/>
              <w:jc w:val="left"/>
              <w:rPr>
                <w:rFonts w:eastAsia="Times New Roman"/>
                <w:b/>
                <w:bCs/>
                <w:color w:val="000000"/>
                <w:lang w:eastAsia="ru-RU"/>
              </w:rPr>
            </w:pPr>
            <w:r w:rsidRPr="00075020">
              <w:rPr>
                <w:rFonts w:eastAsia="Times New Roman"/>
                <w:b/>
                <w:bCs/>
                <w:color w:val="000000"/>
                <w:lang w:eastAsia="ru-RU"/>
              </w:rPr>
              <w:t>месяц 6-12</w:t>
            </w:r>
          </w:p>
        </w:tc>
      </w:tr>
      <w:tr w:rsidR="00075020" w:rsidRPr="00075020" w14:paraId="46C1C8FA" w14:textId="77777777" w:rsidTr="00C01452">
        <w:trPr>
          <w:trHeight w:val="20"/>
        </w:trPr>
        <w:tc>
          <w:tcPr>
            <w:tcW w:w="3116" w:type="dxa"/>
            <w:shd w:val="clear" w:color="auto" w:fill="auto"/>
            <w:vAlign w:val="center"/>
            <w:hideMark/>
          </w:tcPr>
          <w:p w14:paraId="568CA3B9" w14:textId="77777777" w:rsidR="00075020" w:rsidRPr="00075020" w:rsidRDefault="00075020" w:rsidP="00075020">
            <w:pPr>
              <w:spacing w:after="0" w:line="240" w:lineRule="auto"/>
              <w:contextualSpacing/>
              <w:jc w:val="left"/>
              <w:rPr>
                <w:rFonts w:eastAsia="Times New Roman"/>
                <w:color w:val="000000"/>
                <w:lang w:eastAsia="ru-RU"/>
              </w:rPr>
            </w:pPr>
            <w:r w:rsidRPr="00075020">
              <w:rPr>
                <w:rFonts w:eastAsia="Times New Roman"/>
                <w:color w:val="000000"/>
                <w:lang w:eastAsia="ru-RU"/>
              </w:rPr>
              <w:t>Целевой диапазон С</w:t>
            </w:r>
            <w:r w:rsidRPr="00075020">
              <w:rPr>
                <w:rFonts w:eastAsia="Times New Roman"/>
                <w:color w:val="000000"/>
                <w:vertAlign w:val="subscript"/>
                <w:lang w:eastAsia="ru-RU"/>
              </w:rPr>
              <w:t xml:space="preserve">0 </w:t>
            </w:r>
            <w:r w:rsidRPr="00075020">
              <w:rPr>
                <w:rFonts w:eastAsia="Times New Roman"/>
                <w:color w:val="000000"/>
                <w:lang w:eastAsia="ru-RU"/>
              </w:rPr>
              <w:t>концентрации циклоспорина, нг/мл</w:t>
            </w:r>
          </w:p>
        </w:tc>
        <w:tc>
          <w:tcPr>
            <w:tcW w:w="1556" w:type="dxa"/>
            <w:shd w:val="clear" w:color="auto" w:fill="auto"/>
            <w:vAlign w:val="center"/>
            <w:hideMark/>
          </w:tcPr>
          <w:p w14:paraId="6C71C40D" w14:textId="77777777" w:rsidR="00075020" w:rsidRPr="00075020" w:rsidRDefault="00075020" w:rsidP="0071249E">
            <w:pPr>
              <w:spacing w:after="0" w:line="240" w:lineRule="auto"/>
              <w:contextualSpacing/>
              <w:jc w:val="center"/>
              <w:rPr>
                <w:rFonts w:eastAsia="Times New Roman"/>
                <w:color w:val="000000"/>
                <w:lang w:eastAsia="ru-RU"/>
              </w:rPr>
            </w:pPr>
            <w:r w:rsidRPr="00075020">
              <w:rPr>
                <w:rFonts w:eastAsia="Times New Roman"/>
                <w:color w:val="000000"/>
                <w:lang w:eastAsia="ru-RU"/>
              </w:rPr>
              <w:t>100-200</w:t>
            </w:r>
          </w:p>
        </w:tc>
        <w:tc>
          <w:tcPr>
            <w:tcW w:w="1556" w:type="dxa"/>
            <w:shd w:val="clear" w:color="auto" w:fill="auto"/>
            <w:vAlign w:val="center"/>
            <w:hideMark/>
          </w:tcPr>
          <w:p w14:paraId="637B0A60" w14:textId="77777777" w:rsidR="00075020" w:rsidRPr="00075020" w:rsidRDefault="00075020" w:rsidP="0071249E">
            <w:pPr>
              <w:spacing w:after="0" w:line="240" w:lineRule="auto"/>
              <w:contextualSpacing/>
              <w:jc w:val="center"/>
              <w:rPr>
                <w:rFonts w:eastAsia="Times New Roman"/>
                <w:color w:val="000000"/>
                <w:lang w:eastAsia="ru-RU"/>
              </w:rPr>
            </w:pPr>
            <w:r w:rsidRPr="00075020">
              <w:rPr>
                <w:rFonts w:eastAsia="Times New Roman"/>
                <w:color w:val="000000"/>
                <w:lang w:eastAsia="ru-RU"/>
              </w:rPr>
              <w:t>75-150</w:t>
            </w:r>
          </w:p>
        </w:tc>
        <w:tc>
          <w:tcPr>
            <w:tcW w:w="1556" w:type="dxa"/>
            <w:shd w:val="clear" w:color="auto" w:fill="auto"/>
            <w:vAlign w:val="center"/>
            <w:hideMark/>
          </w:tcPr>
          <w:p w14:paraId="0249F50C" w14:textId="77777777" w:rsidR="00075020" w:rsidRPr="00075020" w:rsidRDefault="00075020" w:rsidP="0071249E">
            <w:pPr>
              <w:spacing w:after="0" w:line="240" w:lineRule="auto"/>
              <w:contextualSpacing/>
              <w:jc w:val="center"/>
              <w:rPr>
                <w:rFonts w:eastAsia="Times New Roman"/>
                <w:color w:val="000000"/>
                <w:lang w:eastAsia="ru-RU"/>
              </w:rPr>
            </w:pPr>
            <w:r w:rsidRPr="00075020">
              <w:rPr>
                <w:rFonts w:eastAsia="Times New Roman"/>
                <w:color w:val="000000"/>
                <w:lang w:eastAsia="ru-RU"/>
              </w:rPr>
              <w:t>50-100</w:t>
            </w:r>
          </w:p>
        </w:tc>
        <w:tc>
          <w:tcPr>
            <w:tcW w:w="1572" w:type="dxa"/>
            <w:shd w:val="clear" w:color="auto" w:fill="auto"/>
            <w:vAlign w:val="center"/>
            <w:hideMark/>
          </w:tcPr>
          <w:p w14:paraId="6A4A7D9C" w14:textId="77777777" w:rsidR="00075020" w:rsidRPr="00075020" w:rsidRDefault="00075020" w:rsidP="0071249E">
            <w:pPr>
              <w:spacing w:after="0" w:line="240" w:lineRule="auto"/>
              <w:contextualSpacing/>
              <w:jc w:val="center"/>
              <w:rPr>
                <w:rFonts w:eastAsia="Times New Roman"/>
                <w:color w:val="000000"/>
                <w:lang w:eastAsia="ru-RU"/>
              </w:rPr>
            </w:pPr>
            <w:r w:rsidRPr="00075020">
              <w:rPr>
                <w:rFonts w:eastAsia="Times New Roman"/>
                <w:color w:val="000000"/>
                <w:lang w:eastAsia="ru-RU"/>
              </w:rPr>
              <w:t>25-50</w:t>
            </w:r>
          </w:p>
        </w:tc>
      </w:tr>
    </w:tbl>
    <w:p w14:paraId="5825F4BC" w14:textId="77777777" w:rsidR="00C01452" w:rsidRDefault="00C01452" w:rsidP="00C01452">
      <w:pPr>
        <w:spacing w:after="0" w:line="240" w:lineRule="auto"/>
        <w:rPr>
          <w:rFonts w:eastAsia="Times New Roman"/>
          <w:color w:val="000000" w:themeColor="text1"/>
          <w:lang w:eastAsia="ru-RU"/>
        </w:rPr>
      </w:pPr>
      <w:bookmarkStart w:id="401" w:name="_Toc118124232"/>
    </w:p>
    <w:p w14:paraId="75806AC0" w14:textId="7951F4B6" w:rsidR="0032000C" w:rsidRDefault="00075020" w:rsidP="00C01452">
      <w:pPr>
        <w:spacing w:after="0" w:line="240" w:lineRule="auto"/>
        <w:ind w:firstLine="709"/>
        <w:rPr>
          <w:rFonts w:eastAsia="Times New Roman"/>
          <w:b/>
          <w:bCs/>
          <w:color w:val="000000" w:themeColor="text1"/>
          <w:lang w:eastAsia="ru-RU"/>
        </w:rPr>
      </w:pPr>
      <w:r>
        <w:rPr>
          <w:rFonts w:eastAsia="Times New Roman"/>
          <w:color w:val="000000" w:themeColor="text1"/>
          <w:lang w:eastAsia="ru-RU"/>
        </w:rPr>
        <w:t>Перед снижением дозы циклоспорина необходимо удостовериться, ято равновесная С</w:t>
      </w:r>
      <w:r w:rsidRPr="00075020">
        <w:rPr>
          <w:rFonts w:eastAsia="Times New Roman"/>
          <w:color w:val="000000" w:themeColor="text1"/>
          <w:vertAlign w:val="subscript"/>
          <w:lang w:eastAsia="ru-RU"/>
        </w:rPr>
        <w:t>0</w:t>
      </w:r>
      <w:r>
        <w:rPr>
          <w:rFonts w:eastAsia="Times New Roman"/>
          <w:color w:val="000000" w:themeColor="text1"/>
          <w:lang w:eastAsia="ru-RU"/>
        </w:rPr>
        <w:t xml:space="preserve"> эверолимуса в крови равна или выше 3 нг/мл. Ограничены данные по прменению эверолимуса в поддерживающей фазе у реципиентов почки в комбинации с циклоспорином пр и его С</w:t>
      </w:r>
      <w:r w:rsidRPr="00075020">
        <w:rPr>
          <w:rFonts w:eastAsia="Times New Roman"/>
          <w:color w:val="000000" w:themeColor="text1"/>
          <w:vertAlign w:val="subscript"/>
          <w:lang w:eastAsia="ru-RU"/>
        </w:rPr>
        <w:t>0</w:t>
      </w:r>
      <w:r>
        <w:rPr>
          <w:rFonts w:eastAsia="Times New Roman"/>
          <w:color w:val="000000" w:themeColor="text1"/>
          <w:lang w:eastAsia="ru-RU"/>
        </w:rPr>
        <w:t xml:space="preserve"> </w:t>
      </w:r>
      <w:r w:rsidRPr="00075020">
        <w:rPr>
          <w:rFonts w:eastAsia="Times New Roman"/>
          <w:color w:val="000000" w:themeColor="text1"/>
          <w:lang w:eastAsia="ru-RU"/>
        </w:rPr>
        <w:t>&lt;</w:t>
      </w:r>
      <w:r>
        <w:rPr>
          <w:rFonts w:eastAsia="Times New Roman"/>
          <w:color w:val="000000" w:themeColor="text1"/>
          <w:lang w:eastAsia="ru-RU"/>
        </w:rPr>
        <w:t>50 нг/мл или С</w:t>
      </w:r>
      <w:r w:rsidRPr="00075020">
        <w:rPr>
          <w:rFonts w:eastAsia="Times New Roman"/>
          <w:color w:val="000000" w:themeColor="text1"/>
          <w:vertAlign w:val="subscript"/>
          <w:lang w:eastAsia="ru-RU"/>
        </w:rPr>
        <w:t>2</w:t>
      </w:r>
      <w:r>
        <w:rPr>
          <w:rFonts w:eastAsia="Times New Roman"/>
          <w:color w:val="000000" w:themeColor="text1"/>
          <w:lang w:eastAsia="ru-RU"/>
        </w:rPr>
        <w:t xml:space="preserve"> (концентрация в крови через 2 часа) </w:t>
      </w:r>
      <w:r w:rsidRPr="00075020">
        <w:rPr>
          <w:rFonts w:eastAsia="Times New Roman"/>
          <w:color w:val="000000" w:themeColor="text1"/>
          <w:lang w:eastAsia="ru-RU"/>
        </w:rPr>
        <w:t xml:space="preserve">&lt;350 </w:t>
      </w:r>
      <w:r>
        <w:rPr>
          <w:rFonts w:eastAsia="Times New Roman"/>
          <w:color w:val="000000" w:themeColor="text1"/>
          <w:lang w:eastAsia="ru-RU"/>
        </w:rPr>
        <w:t>нг/мл. При ииндивидуальной непереносимости сниженной экспозиции циклоспорина следует пересмотреть возможность дальнейшего применения эверолимуса.</w:t>
      </w:r>
      <w:bookmarkEnd w:id="401"/>
    </w:p>
    <w:p w14:paraId="4CAB79E6" w14:textId="77777777" w:rsidR="00C01452" w:rsidRDefault="00C01452" w:rsidP="00075020">
      <w:pPr>
        <w:pStyle w:val="ab"/>
        <w:shd w:val="clear" w:color="auto" w:fill="FFFFFF"/>
        <w:tabs>
          <w:tab w:val="left" w:pos="8647"/>
        </w:tabs>
        <w:spacing w:before="0" w:beforeAutospacing="0" w:after="0" w:afterAutospacing="0"/>
        <w:contextualSpacing/>
        <w:jc w:val="both"/>
        <w:rPr>
          <w:b/>
          <w:i/>
          <w:color w:val="000000" w:themeColor="text1"/>
        </w:rPr>
      </w:pPr>
    </w:p>
    <w:p w14:paraId="771CD958" w14:textId="41ED6E41" w:rsidR="00075020" w:rsidRDefault="00075020" w:rsidP="00075020">
      <w:pPr>
        <w:pStyle w:val="ab"/>
        <w:shd w:val="clear" w:color="auto" w:fill="FFFFFF"/>
        <w:tabs>
          <w:tab w:val="left" w:pos="8647"/>
        </w:tabs>
        <w:spacing w:before="0" w:beforeAutospacing="0" w:after="0" w:afterAutospacing="0"/>
        <w:contextualSpacing/>
        <w:jc w:val="both"/>
        <w:rPr>
          <w:b/>
          <w:i/>
          <w:color w:val="000000" w:themeColor="text1"/>
        </w:rPr>
      </w:pPr>
      <w:r w:rsidRPr="0032000C">
        <w:rPr>
          <w:b/>
          <w:i/>
          <w:color w:val="000000" w:themeColor="text1"/>
        </w:rPr>
        <w:t xml:space="preserve">Коррекция режима дозирования циклоспорина в комбинированной терапии с эверолимусом у пациентов после трансплантации </w:t>
      </w:r>
      <w:r>
        <w:rPr>
          <w:b/>
          <w:i/>
          <w:color w:val="000000" w:themeColor="text1"/>
        </w:rPr>
        <w:t>сердца</w:t>
      </w:r>
    </w:p>
    <w:p w14:paraId="370CC37F" w14:textId="46A844DD" w:rsidR="00075020" w:rsidRDefault="00075020" w:rsidP="00075020">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 xml:space="preserve">У реципиентов сердца в поддерживающей фазе следует снижать дозу циклоспорина, исходя из переносимости, через месяц после трансплантации с целью улучшения функции почек. При рогрессировании нарушения функции почек или при уменьшении клиренса креатинина </w:t>
      </w:r>
      <w:r w:rsidRPr="00075020">
        <w:rPr>
          <w:color w:val="000000" w:themeColor="text1"/>
        </w:rPr>
        <w:t xml:space="preserve"> &lt;</w:t>
      </w:r>
      <w:r>
        <w:rPr>
          <w:color w:val="000000" w:themeColor="text1"/>
        </w:rPr>
        <w:t>60 мл/мин необходима коррекция режима терапии.</w:t>
      </w:r>
    </w:p>
    <w:p w14:paraId="50B6A6D8" w14:textId="3B925C03" w:rsidR="006151D0" w:rsidRDefault="006151D0" w:rsidP="00075020">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Коррекцию режима дозирования циклоспорина, у пациентов</w:t>
      </w:r>
      <w:r w:rsidR="00816F37">
        <w:rPr>
          <w:color w:val="000000" w:themeColor="text1"/>
        </w:rPr>
        <w:t>,</w:t>
      </w:r>
      <w:r>
        <w:rPr>
          <w:color w:val="000000" w:themeColor="text1"/>
        </w:rPr>
        <w:t xml:space="preserve"> принимающих эверолимус, следует проводить в пределах указанного ниже рекомендованного диапазона концентрации:</w:t>
      </w:r>
    </w:p>
    <w:p w14:paraId="49458C22" w14:textId="77777777" w:rsidR="006151D0" w:rsidRDefault="006151D0" w:rsidP="00075020">
      <w:pPr>
        <w:pStyle w:val="ab"/>
        <w:shd w:val="clear" w:color="auto" w:fill="FFFFFF"/>
        <w:tabs>
          <w:tab w:val="left" w:pos="8647"/>
        </w:tabs>
        <w:spacing w:before="0" w:beforeAutospacing="0" w:after="0" w:afterAutospacing="0"/>
        <w:ind w:firstLine="709"/>
        <w:contextualSpacing/>
        <w:jc w:val="both"/>
        <w:rPr>
          <w:color w:val="000000" w:themeColor="text1"/>
        </w:rPr>
      </w:pPr>
    </w:p>
    <w:p w14:paraId="0C1DCF3E" w14:textId="7C27CD64" w:rsidR="006151D0" w:rsidRPr="00075020" w:rsidRDefault="006151D0" w:rsidP="006151D0">
      <w:pPr>
        <w:pStyle w:val="ab"/>
        <w:shd w:val="clear" w:color="auto" w:fill="FFFFFF"/>
        <w:tabs>
          <w:tab w:val="left" w:pos="8647"/>
        </w:tabs>
        <w:spacing w:before="0" w:beforeAutospacing="0" w:after="0" w:afterAutospacing="0"/>
        <w:contextualSpacing/>
        <w:jc w:val="both"/>
        <w:rPr>
          <w:color w:val="000000" w:themeColor="text1"/>
        </w:rPr>
      </w:pPr>
      <w:r w:rsidRPr="006151D0">
        <w:rPr>
          <w:b/>
          <w:color w:val="000000" w:themeColor="text1"/>
        </w:rPr>
        <w:t>Таблица 5-2.</w:t>
      </w:r>
      <w:r>
        <w:rPr>
          <w:color w:val="000000" w:themeColor="text1"/>
        </w:rPr>
        <w:t xml:space="preserve"> Рекомендованый диапазон концентрации циклоспорина у реципиентов сердца, получающих эверолимус.</w:t>
      </w:r>
    </w:p>
    <w:tbl>
      <w:tblPr>
        <w:tblW w:w="5000" w:type="pct"/>
        <w:tblInd w:w="-5" w:type="dxa"/>
        <w:tblLook w:val="04A0" w:firstRow="1" w:lastRow="0" w:firstColumn="1" w:lastColumn="0" w:noHBand="0" w:noVBand="1"/>
      </w:tblPr>
      <w:tblGrid>
        <w:gridCol w:w="2666"/>
        <w:gridCol w:w="1333"/>
        <w:gridCol w:w="1332"/>
        <w:gridCol w:w="1332"/>
        <w:gridCol w:w="1332"/>
        <w:gridCol w:w="1351"/>
      </w:tblGrid>
      <w:tr w:rsidR="006151D0" w:rsidRPr="006151D0" w14:paraId="75BE5FF3" w14:textId="77777777" w:rsidTr="00D05498">
        <w:trPr>
          <w:trHeight w:val="20"/>
        </w:trPr>
        <w:tc>
          <w:tcPr>
            <w:tcW w:w="267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637F6CE" w14:textId="77777777" w:rsidR="006151D0" w:rsidRPr="006151D0" w:rsidRDefault="006151D0" w:rsidP="006151D0">
            <w:pPr>
              <w:spacing w:after="0" w:line="240" w:lineRule="auto"/>
              <w:jc w:val="left"/>
              <w:rPr>
                <w:rFonts w:eastAsia="Times New Roman"/>
                <w:b/>
                <w:bCs/>
                <w:color w:val="000000"/>
                <w:lang w:eastAsia="ru-RU"/>
              </w:rPr>
            </w:pPr>
            <w:r w:rsidRPr="006151D0">
              <w:rPr>
                <w:rFonts w:eastAsia="Times New Roman"/>
                <w:b/>
                <w:bCs/>
                <w:color w:val="000000"/>
                <w:lang w:eastAsia="ru-RU"/>
              </w:rPr>
              <w:t> </w:t>
            </w:r>
          </w:p>
        </w:tc>
        <w:tc>
          <w:tcPr>
            <w:tcW w:w="1335" w:type="dxa"/>
            <w:tcBorders>
              <w:top w:val="single" w:sz="4" w:space="0" w:color="auto"/>
              <w:left w:val="nil"/>
              <w:bottom w:val="single" w:sz="4" w:space="0" w:color="auto"/>
              <w:right w:val="single" w:sz="4" w:space="0" w:color="auto"/>
            </w:tcBorders>
            <w:shd w:val="clear" w:color="000000" w:fill="D9D9D9"/>
            <w:vAlign w:val="center"/>
            <w:hideMark/>
          </w:tcPr>
          <w:p w14:paraId="2C04006C" w14:textId="77777777" w:rsidR="006151D0" w:rsidRPr="006151D0" w:rsidRDefault="006151D0" w:rsidP="00D05498">
            <w:pPr>
              <w:spacing w:after="0" w:line="240" w:lineRule="auto"/>
              <w:jc w:val="center"/>
              <w:rPr>
                <w:rFonts w:eastAsia="Times New Roman"/>
                <w:b/>
                <w:bCs/>
                <w:color w:val="000000"/>
                <w:lang w:eastAsia="ru-RU"/>
              </w:rPr>
            </w:pPr>
            <w:r w:rsidRPr="006151D0">
              <w:rPr>
                <w:rFonts w:eastAsia="Times New Roman"/>
                <w:b/>
                <w:bCs/>
                <w:color w:val="000000"/>
                <w:lang w:eastAsia="ru-RU"/>
              </w:rPr>
              <w:t>месяц 1</w:t>
            </w:r>
          </w:p>
        </w:tc>
        <w:tc>
          <w:tcPr>
            <w:tcW w:w="1333" w:type="dxa"/>
            <w:tcBorders>
              <w:top w:val="single" w:sz="4" w:space="0" w:color="auto"/>
              <w:left w:val="nil"/>
              <w:bottom w:val="single" w:sz="4" w:space="0" w:color="auto"/>
              <w:right w:val="single" w:sz="4" w:space="0" w:color="auto"/>
            </w:tcBorders>
            <w:shd w:val="clear" w:color="000000" w:fill="D9D9D9"/>
            <w:vAlign w:val="center"/>
            <w:hideMark/>
          </w:tcPr>
          <w:p w14:paraId="309102EE" w14:textId="77777777" w:rsidR="006151D0" w:rsidRPr="006151D0" w:rsidRDefault="006151D0" w:rsidP="00D05498">
            <w:pPr>
              <w:spacing w:after="0" w:line="240" w:lineRule="auto"/>
              <w:jc w:val="center"/>
              <w:rPr>
                <w:rFonts w:eastAsia="Times New Roman"/>
                <w:b/>
                <w:bCs/>
                <w:color w:val="000000"/>
                <w:lang w:eastAsia="ru-RU"/>
              </w:rPr>
            </w:pPr>
            <w:r w:rsidRPr="006151D0">
              <w:rPr>
                <w:rFonts w:eastAsia="Times New Roman"/>
                <w:b/>
                <w:bCs/>
                <w:color w:val="000000"/>
                <w:lang w:eastAsia="ru-RU"/>
              </w:rPr>
              <w:t>месяц 2</w:t>
            </w:r>
          </w:p>
        </w:tc>
        <w:tc>
          <w:tcPr>
            <w:tcW w:w="1333" w:type="dxa"/>
            <w:tcBorders>
              <w:top w:val="single" w:sz="4" w:space="0" w:color="auto"/>
              <w:left w:val="nil"/>
              <w:bottom w:val="single" w:sz="4" w:space="0" w:color="auto"/>
              <w:right w:val="single" w:sz="4" w:space="0" w:color="auto"/>
            </w:tcBorders>
            <w:shd w:val="clear" w:color="000000" w:fill="D9D9D9"/>
            <w:vAlign w:val="center"/>
            <w:hideMark/>
          </w:tcPr>
          <w:p w14:paraId="462A3A2E" w14:textId="77777777" w:rsidR="006151D0" w:rsidRPr="006151D0" w:rsidRDefault="006151D0" w:rsidP="00D05498">
            <w:pPr>
              <w:spacing w:after="0" w:line="240" w:lineRule="auto"/>
              <w:jc w:val="center"/>
              <w:rPr>
                <w:rFonts w:eastAsia="Times New Roman"/>
                <w:b/>
                <w:bCs/>
                <w:color w:val="000000"/>
                <w:lang w:eastAsia="ru-RU"/>
              </w:rPr>
            </w:pPr>
            <w:r w:rsidRPr="006151D0">
              <w:rPr>
                <w:rFonts w:eastAsia="Times New Roman"/>
                <w:b/>
                <w:bCs/>
                <w:color w:val="000000"/>
                <w:lang w:eastAsia="ru-RU"/>
              </w:rPr>
              <w:t>месяц 3-4</w:t>
            </w:r>
          </w:p>
        </w:tc>
        <w:tc>
          <w:tcPr>
            <w:tcW w:w="1333" w:type="dxa"/>
            <w:tcBorders>
              <w:top w:val="single" w:sz="4" w:space="0" w:color="auto"/>
              <w:left w:val="nil"/>
              <w:bottom w:val="single" w:sz="4" w:space="0" w:color="auto"/>
              <w:right w:val="single" w:sz="4" w:space="0" w:color="auto"/>
            </w:tcBorders>
            <w:shd w:val="clear" w:color="000000" w:fill="D9D9D9"/>
            <w:vAlign w:val="center"/>
            <w:hideMark/>
          </w:tcPr>
          <w:p w14:paraId="5D06C8C2" w14:textId="77777777" w:rsidR="006151D0" w:rsidRPr="006151D0" w:rsidRDefault="006151D0" w:rsidP="00D05498">
            <w:pPr>
              <w:spacing w:after="0" w:line="240" w:lineRule="auto"/>
              <w:jc w:val="center"/>
              <w:rPr>
                <w:rFonts w:eastAsia="Times New Roman"/>
                <w:b/>
                <w:bCs/>
                <w:color w:val="000000"/>
                <w:lang w:eastAsia="ru-RU"/>
              </w:rPr>
            </w:pPr>
            <w:r w:rsidRPr="006151D0">
              <w:rPr>
                <w:rFonts w:eastAsia="Times New Roman"/>
                <w:b/>
                <w:bCs/>
                <w:color w:val="000000"/>
                <w:lang w:eastAsia="ru-RU"/>
              </w:rPr>
              <w:t>месяц 5-7</w:t>
            </w:r>
          </w:p>
        </w:tc>
        <w:tc>
          <w:tcPr>
            <w:tcW w:w="1352" w:type="dxa"/>
            <w:tcBorders>
              <w:top w:val="single" w:sz="4" w:space="0" w:color="auto"/>
              <w:left w:val="nil"/>
              <w:bottom w:val="single" w:sz="4" w:space="0" w:color="auto"/>
              <w:right w:val="single" w:sz="4" w:space="0" w:color="auto"/>
            </w:tcBorders>
            <w:shd w:val="clear" w:color="000000" w:fill="D9D9D9"/>
            <w:vAlign w:val="center"/>
            <w:hideMark/>
          </w:tcPr>
          <w:p w14:paraId="68509058" w14:textId="77777777" w:rsidR="006151D0" w:rsidRPr="006151D0" w:rsidRDefault="006151D0" w:rsidP="00D05498">
            <w:pPr>
              <w:spacing w:after="0" w:line="240" w:lineRule="auto"/>
              <w:ind w:right="-115"/>
              <w:jc w:val="center"/>
              <w:rPr>
                <w:rFonts w:eastAsia="Times New Roman"/>
                <w:b/>
                <w:bCs/>
                <w:color w:val="000000"/>
                <w:lang w:eastAsia="ru-RU"/>
              </w:rPr>
            </w:pPr>
            <w:r w:rsidRPr="006151D0">
              <w:rPr>
                <w:rFonts w:eastAsia="Times New Roman"/>
                <w:b/>
                <w:bCs/>
                <w:color w:val="000000"/>
                <w:lang w:eastAsia="ru-RU"/>
              </w:rPr>
              <w:t>месяц 7-12</w:t>
            </w:r>
          </w:p>
        </w:tc>
      </w:tr>
      <w:tr w:rsidR="006151D0" w:rsidRPr="006151D0" w14:paraId="59C9D028" w14:textId="77777777" w:rsidTr="00D05498">
        <w:trPr>
          <w:trHeight w:val="20"/>
        </w:trPr>
        <w:tc>
          <w:tcPr>
            <w:tcW w:w="2670" w:type="dxa"/>
            <w:tcBorders>
              <w:top w:val="nil"/>
              <w:left w:val="single" w:sz="4" w:space="0" w:color="auto"/>
              <w:bottom w:val="single" w:sz="4" w:space="0" w:color="auto"/>
              <w:right w:val="single" w:sz="4" w:space="0" w:color="auto"/>
            </w:tcBorders>
            <w:shd w:val="clear" w:color="auto" w:fill="auto"/>
            <w:vAlign w:val="center"/>
            <w:hideMark/>
          </w:tcPr>
          <w:p w14:paraId="2373E145" w14:textId="77777777" w:rsidR="006151D0" w:rsidRPr="006151D0" w:rsidRDefault="006151D0" w:rsidP="006151D0">
            <w:pPr>
              <w:spacing w:after="0" w:line="240" w:lineRule="auto"/>
              <w:jc w:val="left"/>
              <w:rPr>
                <w:rFonts w:eastAsia="Times New Roman"/>
                <w:color w:val="000000"/>
                <w:lang w:eastAsia="ru-RU"/>
              </w:rPr>
            </w:pPr>
            <w:r w:rsidRPr="006151D0">
              <w:rPr>
                <w:rFonts w:eastAsia="Times New Roman"/>
                <w:color w:val="000000"/>
                <w:lang w:eastAsia="ru-RU"/>
              </w:rPr>
              <w:t>Целевой диапазон С</w:t>
            </w:r>
            <w:r w:rsidRPr="00696E4D">
              <w:rPr>
                <w:rFonts w:eastAsia="Times New Roman"/>
                <w:color w:val="000000"/>
                <w:vertAlign w:val="subscript"/>
                <w:lang w:eastAsia="ru-RU"/>
              </w:rPr>
              <w:t xml:space="preserve">0 </w:t>
            </w:r>
            <w:r w:rsidRPr="006151D0">
              <w:rPr>
                <w:rFonts w:eastAsia="Times New Roman"/>
                <w:color w:val="000000"/>
                <w:lang w:eastAsia="ru-RU"/>
              </w:rPr>
              <w:t>концентрации циклоспорина, нг/мл</w:t>
            </w:r>
          </w:p>
        </w:tc>
        <w:tc>
          <w:tcPr>
            <w:tcW w:w="1335" w:type="dxa"/>
            <w:tcBorders>
              <w:top w:val="nil"/>
              <w:left w:val="nil"/>
              <w:bottom w:val="single" w:sz="4" w:space="0" w:color="auto"/>
              <w:right w:val="single" w:sz="4" w:space="0" w:color="auto"/>
            </w:tcBorders>
            <w:shd w:val="clear" w:color="auto" w:fill="auto"/>
            <w:vAlign w:val="center"/>
            <w:hideMark/>
          </w:tcPr>
          <w:p w14:paraId="2F95CE70" w14:textId="77777777" w:rsidR="006151D0" w:rsidRPr="006151D0" w:rsidRDefault="006151D0" w:rsidP="00D05498">
            <w:pPr>
              <w:spacing w:after="0" w:line="240" w:lineRule="auto"/>
              <w:jc w:val="center"/>
              <w:rPr>
                <w:rFonts w:eastAsia="Times New Roman"/>
                <w:color w:val="000000"/>
                <w:lang w:eastAsia="ru-RU"/>
              </w:rPr>
            </w:pPr>
            <w:r w:rsidRPr="006151D0">
              <w:rPr>
                <w:rFonts w:eastAsia="Times New Roman"/>
                <w:color w:val="000000"/>
                <w:lang w:eastAsia="ru-RU"/>
              </w:rPr>
              <w:t>200-350</w:t>
            </w:r>
          </w:p>
        </w:tc>
        <w:tc>
          <w:tcPr>
            <w:tcW w:w="1333" w:type="dxa"/>
            <w:tcBorders>
              <w:top w:val="nil"/>
              <w:left w:val="nil"/>
              <w:bottom w:val="single" w:sz="4" w:space="0" w:color="auto"/>
              <w:right w:val="single" w:sz="4" w:space="0" w:color="auto"/>
            </w:tcBorders>
            <w:shd w:val="clear" w:color="auto" w:fill="auto"/>
            <w:vAlign w:val="center"/>
            <w:hideMark/>
          </w:tcPr>
          <w:p w14:paraId="211D6546" w14:textId="77777777" w:rsidR="006151D0" w:rsidRPr="006151D0" w:rsidRDefault="006151D0" w:rsidP="00D05498">
            <w:pPr>
              <w:spacing w:after="0" w:line="240" w:lineRule="auto"/>
              <w:jc w:val="center"/>
              <w:rPr>
                <w:rFonts w:eastAsia="Times New Roman"/>
                <w:color w:val="000000"/>
                <w:lang w:eastAsia="ru-RU"/>
              </w:rPr>
            </w:pPr>
            <w:r w:rsidRPr="006151D0">
              <w:rPr>
                <w:rFonts w:eastAsia="Times New Roman"/>
                <w:color w:val="000000"/>
                <w:lang w:eastAsia="ru-RU"/>
              </w:rPr>
              <w:t>150-200</w:t>
            </w:r>
          </w:p>
        </w:tc>
        <w:tc>
          <w:tcPr>
            <w:tcW w:w="1333" w:type="dxa"/>
            <w:tcBorders>
              <w:top w:val="nil"/>
              <w:left w:val="nil"/>
              <w:bottom w:val="single" w:sz="4" w:space="0" w:color="auto"/>
              <w:right w:val="single" w:sz="4" w:space="0" w:color="auto"/>
            </w:tcBorders>
            <w:shd w:val="clear" w:color="auto" w:fill="auto"/>
            <w:vAlign w:val="center"/>
            <w:hideMark/>
          </w:tcPr>
          <w:p w14:paraId="7FC2E5F3" w14:textId="77777777" w:rsidR="006151D0" w:rsidRPr="006151D0" w:rsidRDefault="006151D0" w:rsidP="00D05498">
            <w:pPr>
              <w:spacing w:after="0" w:line="240" w:lineRule="auto"/>
              <w:jc w:val="center"/>
              <w:rPr>
                <w:rFonts w:eastAsia="Times New Roman"/>
                <w:color w:val="000000"/>
                <w:lang w:eastAsia="ru-RU"/>
              </w:rPr>
            </w:pPr>
            <w:r w:rsidRPr="006151D0">
              <w:rPr>
                <w:rFonts w:eastAsia="Times New Roman"/>
                <w:color w:val="000000"/>
                <w:lang w:eastAsia="ru-RU"/>
              </w:rPr>
              <w:t>100-200</w:t>
            </w:r>
          </w:p>
        </w:tc>
        <w:tc>
          <w:tcPr>
            <w:tcW w:w="1333" w:type="dxa"/>
            <w:tcBorders>
              <w:top w:val="nil"/>
              <w:left w:val="nil"/>
              <w:bottom w:val="single" w:sz="4" w:space="0" w:color="auto"/>
              <w:right w:val="single" w:sz="4" w:space="0" w:color="auto"/>
            </w:tcBorders>
            <w:shd w:val="clear" w:color="auto" w:fill="auto"/>
            <w:vAlign w:val="center"/>
            <w:hideMark/>
          </w:tcPr>
          <w:p w14:paraId="72FC8BF7" w14:textId="77777777" w:rsidR="006151D0" w:rsidRPr="006151D0" w:rsidRDefault="006151D0" w:rsidP="00D05498">
            <w:pPr>
              <w:spacing w:after="0" w:line="240" w:lineRule="auto"/>
              <w:jc w:val="center"/>
              <w:rPr>
                <w:rFonts w:eastAsia="Times New Roman"/>
                <w:color w:val="000000"/>
                <w:lang w:eastAsia="ru-RU"/>
              </w:rPr>
            </w:pPr>
            <w:r w:rsidRPr="006151D0">
              <w:rPr>
                <w:rFonts w:eastAsia="Times New Roman"/>
                <w:color w:val="000000"/>
                <w:lang w:eastAsia="ru-RU"/>
              </w:rPr>
              <w:t>75-150</w:t>
            </w:r>
          </w:p>
        </w:tc>
        <w:tc>
          <w:tcPr>
            <w:tcW w:w="1352" w:type="dxa"/>
            <w:tcBorders>
              <w:top w:val="nil"/>
              <w:left w:val="nil"/>
              <w:bottom w:val="single" w:sz="4" w:space="0" w:color="auto"/>
              <w:right w:val="single" w:sz="4" w:space="0" w:color="auto"/>
            </w:tcBorders>
            <w:shd w:val="clear" w:color="auto" w:fill="auto"/>
            <w:vAlign w:val="center"/>
            <w:hideMark/>
          </w:tcPr>
          <w:p w14:paraId="5D928A20" w14:textId="77777777" w:rsidR="006151D0" w:rsidRPr="006151D0" w:rsidRDefault="006151D0" w:rsidP="00D05498">
            <w:pPr>
              <w:spacing w:after="0" w:line="240" w:lineRule="auto"/>
              <w:jc w:val="center"/>
              <w:rPr>
                <w:rFonts w:eastAsia="Times New Roman"/>
                <w:color w:val="000000"/>
                <w:lang w:eastAsia="ru-RU"/>
              </w:rPr>
            </w:pPr>
            <w:r w:rsidRPr="006151D0">
              <w:rPr>
                <w:rFonts w:eastAsia="Times New Roman"/>
                <w:color w:val="000000"/>
                <w:lang w:eastAsia="ru-RU"/>
              </w:rPr>
              <w:t>50-100</w:t>
            </w:r>
          </w:p>
        </w:tc>
      </w:tr>
    </w:tbl>
    <w:p w14:paraId="41CF790C" w14:textId="77777777" w:rsidR="00C01452" w:rsidRDefault="00C01452" w:rsidP="00C01452">
      <w:pPr>
        <w:spacing w:after="0" w:line="240" w:lineRule="auto"/>
        <w:ind w:firstLine="709"/>
        <w:rPr>
          <w:rFonts w:eastAsia="Times New Roman"/>
          <w:color w:val="000000" w:themeColor="text1"/>
          <w:lang w:eastAsia="ru-RU"/>
        </w:rPr>
      </w:pPr>
      <w:bookmarkStart w:id="402" w:name="_Toc118124233"/>
    </w:p>
    <w:p w14:paraId="51FC1576" w14:textId="0C58B2C9" w:rsidR="0032000C" w:rsidRPr="00C01452" w:rsidRDefault="006151D0" w:rsidP="00C01452">
      <w:pPr>
        <w:spacing w:after="0" w:line="240" w:lineRule="auto"/>
        <w:ind w:firstLine="709"/>
        <w:rPr>
          <w:rFonts w:eastAsia="Times New Roman"/>
          <w:color w:val="000000" w:themeColor="text1"/>
          <w:lang w:eastAsia="ru-RU"/>
        </w:rPr>
      </w:pPr>
      <w:r>
        <w:rPr>
          <w:rFonts w:eastAsia="Times New Roman"/>
          <w:color w:val="000000" w:themeColor="text1"/>
          <w:lang w:eastAsia="ru-RU"/>
        </w:rPr>
        <w:t>Перед снижением дозы циклоспорина необходимо удостовериться, ято равновесная С</w:t>
      </w:r>
      <w:r w:rsidRPr="00C01452">
        <w:rPr>
          <w:rFonts w:eastAsia="Times New Roman"/>
          <w:color w:val="000000" w:themeColor="text1"/>
          <w:lang w:eastAsia="ru-RU"/>
        </w:rPr>
        <w:t>0</w:t>
      </w:r>
      <w:r>
        <w:rPr>
          <w:rFonts w:eastAsia="Times New Roman"/>
          <w:color w:val="000000" w:themeColor="text1"/>
          <w:lang w:eastAsia="ru-RU"/>
        </w:rPr>
        <w:t xml:space="preserve"> эверолимуса в крови равна или выше 3 нг/мл. Ограничены данные по прменению эверолимуса у реципиентов сердца в комбинации с циклоспорином пр и его С</w:t>
      </w:r>
      <w:r w:rsidRPr="00C01452">
        <w:rPr>
          <w:rFonts w:eastAsia="Times New Roman"/>
          <w:color w:val="000000" w:themeColor="text1"/>
          <w:lang w:eastAsia="ru-RU"/>
        </w:rPr>
        <w:t>0</w:t>
      </w:r>
      <w:r>
        <w:rPr>
          <w:rFonts w:eastAsia="Times New Roman"/>
          <w:color w:val="000000" w:themeColor="text1"/>
          <w:lang w:eastAsia="ru-RU"/>
        </w:rPr>
        <w:t xml:space="preserve"> 50-100 нг/мл после 12 месяцев терапии.</w:t>
      </w:r>
      <w:bookmarkEnd w:id="402"/>
    </w:p>
    <w:p w14:paraId="025FB6A1" w14:textId="77777777" w:rsidR="00D05498" w:rsidRDefault="00D05498" w:rsidP="006151D0">
      <w:pPr>
        <w:pStyle w:val="ab"/>
        <w:shd w:val="clear" w:color="auto" w:fill="FFFFFF"/>
        <w:tabs>
          <w:tab w:val="left" w:pos="8647"/>
        </w:tabs>
        <w:spacing w:before="0" w:beforeAutospacing="0" w:after="0" w:afterAutospacing="0"/>
        <w:contextualSpacing/>
        <w:jc w:val="both"/>
        <w:rPr>
          <w:b/>
          <w:i/>
          <w:color w:val="000000" w:themeColor="text1"/>
        </w:rPr>
      </w:pPr>
    </w:p>
    <w:p w14:paraId="45CB2B1B" w14:textId="03482929" w:rsidR="006151D0" w:rsidRDefault="006151D0" w:rsidP="006151D0">
      <w:pPr>
        <w:pStyle w:val="ab"/>
        <w:shd w:val="clear" w:color="auto" w:fill="FFFFFF"/>
        <w:tabs>
          <w:tab w:val="left" w:pos="8647"/>
        </w:tabs>
        <w:spacing w:before="0" w:beforeAutospacing="0" w:after="0" w:afterAutospacing="0"/>
        <w:contextualSpacing/>
        <w:jc w:val="both"/>
        <w:rPr>
          <w:b/>
          <w:i/>
          <w:color w:val="000000" w:themeColor="text1"/>
        </w:rPr>
      </w:pPr>
      <w:r w:rsidRPr="0032000C">
        <w:rPr>
          <w:b/>
          <w:i/>
          <w:color w:val="000000" w:themeColor="text1"/>
        </w:rPr>
        <w:t xml:space="preserve">Коррекция режима дозирования </w:t>
      </w:r>
      <w:r>
        <w:rPr>
          <w:b/>
          <w:i/>
          <w:color w:val="000000" w:themeColor="text1"/>
        </w:rPr>
        <w:t>такролимуса</w:t>
      </w:r>
      <w:r w:rsidRPr="0032000C">
        <w:rPr>
          <w:b/>
          <w:i/>
          <w:color w:val="000000" w:themeColor="text1"/>
        </w:rPr>
        <w:t xml:space="preserve"> в комбинированной терапии с эверолимусом у пациентов после трансплантации </w:t>
      </w:r>
      <w:r>
        <w:rPr>
          <w:b/>
          <w:i/>
          <w:color w:val="000000" w:themeColor="text1"/>
        </w:rPr>
        <w:t>печени</w:t>
      </w:r>
    </w:p>
    <w:p w14:paraId="4ED02057" w14:textId="503DDD55" w:rsidR="0032000C" w:rsidRDefault="006151D0" w:rsidP="006151D0">
      <w:pPr>
        <w:pStyle w:val="ab"/>
        <w:shd w:val="clear" w:color="auto" w:fill="FFFFFF"/>
        <w:tabs>
          <w:tab w:val="left" w:pos="8647"/>
        </w:tabs>
        <w:spacing w:before="0" w:beforeAutospacing="0" w:after="0" w:afterAutospacing="0"/>
        <w:ind w:firstLine="709"/>
        <w:contextualSpacing/>
        <w:jc w:val="both"/>
        <w:rPr>
          <w:color w:val="000000" w:themeColor="text1"/>
        </w:rPr>
      </w:pPr>
      <w:r>
        <w:rPr>
          <w:color w:val="000000" w:themeColor="text1"/>
        </w:rPr>
        <w:t>У пациентов после трансплантации печени следует снижать дозу такролимуса с целью минимизирваь токсическое влияние ингибиторов кальциневрина на почки. Снижение дозы такролимуса следует начинать примерно через 3 часа после начала комбинированной терапии эверолимусм до достижения в крови целевой С</w:t>
      </w:r>
      <w:r w:rsidRPr="006151D0">
        <w:rPr>
          <w:color w:val="000000" w:themeColor="text1"/>
          <w:vertAlign w:val="subscript"/>
        </w:rPr>
        <w:t>0</w:t>
      </w:r>
      <w:r>
        <w:rPr>
          <w:color w:val="000000" w:themeColor="text1"/>
        </w:rPr>
        <w:t xml:space="preserve"> такролимуса в пределах 3-5 нг/мл. Терапия эверолимусом в комбинации с полной дозой такролимуса в контролируемых клинических исследованиях не изучена.</w:t>
      </w:r>
    </w:p>
    <w:p w14:paraId="089A8EE8" w14:textId="77D95DD9" w:rsidR="008B7FBF" w:rsidRPr="00707D60" w:rsidRDefault="002817E3" w:rsidP="00075020">
      <w:pPr>
        <w:pStyle w:val="3"/>
        <w:tabs>
          <w:tab w:val="left" w:pos="8647"/>
        </w:tabs>
        <w:spacing w:after="240" w:line="240" w:lineRule="auto"/>
        <w:contextualSpacing/>
        <w:rPr>
          <w:rFonts w:ascii="Times New Roman" w:hAnsi="Times New Roman"/>
          <w:color w:val="000000" w:themeColor="text1"/>
        </w:rPr>
      </w:pPr>
      <w:bookmarkStart w:id="403" w:name="_Toc118124234"/>
      <w:bookmarkStart w:id="404" w:name="_Toc119313798"/>
      <w:r>
        <w:rPr>
          <w:rFonts w:ascii="Times New Roman" w:hAnsi="Times New Roman"/>
          <w:color w:val="000000" w:themeColor="text1"/>
        </w:rPr>
        <w:t>5.3.6</w:t>
      </w:r>
      <w:r w:rsidR="008B7FBF" w:rsidRPr="009023BA">
        <w:rPr>
          <w:rFonts w:ascii="Times New Roman" w:hAnsi="Times New Roman"/>
          <w:color w:val="000000" w:themeColor="text1"/>
        </w:rPr>
        <w:t>. Побочн</w:t>
      </w:r>
      <w:bookmarkEnd w:id="397"/>
      <w:bookmarkEnd w:id="398"/>
      <w:bookmarkEnd w:id="399"/>
      <w:r w:rsidR="008B7FBF" w:rsidRPr="009023BA">
        <w:rPr>
          <w:rFonts w:ascii="Times New Roman" w:hAnsi="Times New Roman"/>
          <w:color w:val="000000" w:themeColor="text1"/>
        </w:rPr>
        <w:t>ое действие</w:t>
      </w:r>
      <w:bookmarkEnd w:id="400"/>
      <w:bookmarkEnd w:id="403"/>
      <w:bookmarkEnd w:id="404"/>
    </w:p>
    <w:p w14:paraId="1F49F2C0" w14:textId="45D9DD15" w:rsidR="006151D0" w:rsidRPr="002E4B25" w:rsidRDefault="006151D0" w:rsidP="006151D0">
      <w:pPr>
        <w:spacing w:after="0" w:line="240" w:lineRule="auto"/>
        <w:ind w:firstLine="709"/>
        <w:rPr>
          <w:color w:val="000000"/>
          <w:lang w:eastAsia="ru-RU"/>
        </w:rPr>
      </w:pPr>
      <w:bookmarkStart w:id="405" w:name="bookmark5"/>
      <w:r>
        <w:rPr>
          <w:bCs/>
        </w:rPr>
        <w:t>Безопасность эверолимуса</w:t>
      </w:r>
      <w:r w:rsidRPr="00E03613">
        <w:rPr>
          <w:bCs/>
        </w:rPr>
        <w:t xml:space="preserve"> в комбинации с циклоспорином изучался в пяти исследованиях у реципиентов почечного трансплантата с общим числом пациентов 2497 (включая два исследования без контрольной группы, не получавшей </w:t>
      </w:r>
      <w:r>
        <w:rPr>
          <w:bCs/>
        </w:rPr>
        <w:t>эверолимус</w:t>
      </w:r>
      <w:r w:rsidRPr="00E03613">
        <w:rPr>
          <w:bCs/>
        </w:rPr>
        <w:t>), и в трех исследованиях с участием реципиентов трансплантированного сердц</w:t>
      </w:r>
      <w:r>
        <w:rPr>
          <w:bCs/>
        </w:rPr>
        <w:t>а с общим числом пациентов 1531. Эверолимус</w:t>
      </w:r>
      <w:r w:rsidRPr="00E03613">
        <w:rPr>
          <w:bCs/>
        </w:rPr>
        <w:t xml:space="preserve"> в комбинации с такролимусом изучали в одном исследовании, вк</w:t>
      </w:r>
      <w:r>
        <w:rPr>
          <w:bCs/>
        </w:rPr>
        <w:t>лючавшем 719 реципиентов печени</w:t>
      </w:r>
      <w:r w:rsidRPr="002E4B25">
        <w:rPr>
          <w:bCs/>
        </w:rPr>
        <w:t>.</w:t>
      </w:r>
    </w:p>
    <w:p w14:paraId="520347CB" w14:textId="79FEA53D" w:rsidR="006151D0" w:rsidRPr="00917CBF" w:rsidRDefault="006151D0" w:rsidP="00917CBF">
      <w:pPr>
        <w:spacing w:after="0" w:line="240" w:lineRule="auto"/>
        <w:ind w:firstLine="709"/>
        <w:rPr>
          <w:bCs/>
        </w:rPr>
      </w:pPr>
      <w:r w:rsidRPr="001B72F5">
        <w:rPr>
          <w:color w:val="000000"/>
          <w:lang w:eastAsia="ru-RU"/>
        </w:rPr>
        <w:t xml:space="preserve">Наиболее частыми побочными реакциями (частота ≥1/10) из объединенных данных </w:t>
      </w:r>
      <w:r>
        <w:rPr>
          <w:color w:val="000000"/>
          <w:lang w:eastAsia="ru-RU"/>
        </w:rPr>
        <w:t>по безопасности были (</w:t>
      </w:r>
      <w:r w:rsidRPr="001B72F5">
        <w:rPr>
          <w:color w:val="000000"/>
          <w:lang w:eastAsia="ru-RU"/>
        </w:rPr>
        <w:t xml:space="preserve">в порядке убывания): </w:t>
      </w:r>
      <w:r w:rsidRPr="00E03613">
        <w:rPr>
          <w:bCs/>
        </w:rPr>
        <w:t>инфекции, анемия, гиперлипиде</w:t>
      </w:r>
      <w:r>
        <w:rPr>
          <w:bCs/>
        </w:rPr>
        <w:t>мия, вновь выявленный сахарный диабет</w:t>
      </w:r>
      <w:r w:rsidRPr="00E03613">
        <w:rPr>
          <w:bCs/>
        </w:rPr>
        <w:t>, бессонница, головная боль, артериальная гипертензия, кашель, запор, тошнота, периферические отеки, нарушение заживления</w:t>
      </w:r>
      <w:r>
        <w:rPr>
          <w:bCs/>
        </w:rPr>
        <w:t xml:space="preserve"> ран</w:t>
      </w:r>
      <w:r w:rsidRPr="00E03613">
        <w:rPr>
          <w:bCs/>
        </w:rPr>
        <w:t xml:space="preserve"> (включая плевральный и перикардиальный выпот).</w:t>
      </w:r>
    </w:p>
    <w:p w14:paraId="38E7A5AB" w14:textId="7424511F" w:rsidR="00485AF8" w:rsidRDefault="00485AF8" w:rsidP="00707D60">
      <w:pPr>
        <w:spacing w:after="0" w:line="240" w:lineRule="auto"/>
        <w:rPr>
          <w:bCs/>
        </w:rPr>
      </w:pPr>
      <w:r w:rsidRPr="00506392">
        <w:rPr>
          <w:bCs/>
          <w:i/>
        </w:rPr>
        <w:t>Инфекционные и паразитарные заболевания:</w:t>
      </w:r>
      <w:r w:rsidRPr="00707D60">
        <w:rPr>
          <w:bCs/>
        </w:rPr>
        <w:t xml:space="preserve"> очень часто - инфекции (</w:t>
      </w:r>
      <w:r w:rsidR="00917CBF">
        <w:rPr>
          <w:bCs/>
        </w:rPr>
        <w:t>бактериальные, врусные и грибковые), инфекции нижних дыхательных путей (в</w:t>
      </w:r>
      <w:r w:rsidR="00816F37">
        <w:rPr>
          <w:bCs/>
        </w:rPr>
        <w:t xml:space="preserve"> </w:t>
      </w:r>
      <w:r w:rsidR="00917CBF">
        <w:rPr>
          <w:bCs/>
        </w:rPr>
        <w:t>т.ч. пневмония</w:t>
      </w:r>
      <w:r w:rsidR="00917CBF" w:rsidRPr="00917CBF">
        <w:rPr>
          <w:bCs/>
          <w:vertAlign w:val="superscript"/>
        </w:rPr>
        <w:t>1</w:t>
      </w:r>
      <w:r w:rsidR="00917CBF">
        <w:rPr>
          <w:bCs/>
        </w:rPr>
        <w:t>), инфекции верхних дыхательных путей, инфекции мочевыделительных путей</w:t>
      </w:r>
      <w:r w:rsidR="00917CBF" w:rsidRPr="00917CBF">
        <w:rPr>
          <w:bCs/>
          <w:vertAlign w:val="superscript"/>
        </w:rPr>
        <w:t>2</w:t>
      </w:r>
      <w:r w:rsidR="00917CBF">
        <w:rPr>
          <w:bCs/>
        </w:rPr>
        <w:t>; часто – сепсис, раневая инфекция.</w:t>
      </w:r>
    </w:p>
    <w:p w14:paraId="2198D32E" w14:textId="2B1C694D" w:rsidR="00917CBF" w:rsidRPr="00707D60" w:rsidRDefault="00917CBF" w:rsidP="00707D60">
      <w:pPr>
        <w:spacing w:after="0" w:line="240" w:lineRule="auto"/>
        <w:rPr>
          <w:bCs/>
        </w:rPr>
      </w:pPr>
      <w:r w:rsidRPr="00917CBF">
        <w:rPr>
          <w:bCs/>
          <w:i/>
        </w:rPr>
        <w:t>Доброкачественные, злокачественные и неуточненные заболевания:</w:t>
      </w:r>
      <w:r>
        <w:rPr>
          <w:bCs/>
        </w:rPr>
        <w:t xml:space="preserve"> часто – злокачественные или неуточненные новообразования, злокачественные или неуточненные новообразования кожи; нечасто – лимфомы/посттрансплантационный лимфопроливеративный синдром.</w:t>
      </w:r>
    </w:p>
    <w:p w14:paraId="786F1818" w14:textId="7CC841C7" w:rsidR="00485AF8" w:rsidRDefault="00485AF8" w:rsidP="00707D60">
      <w:pPr>
        <w:spacing w:after="0" w:line="240" w:lineRule="auto"/>
        <w:rPr>
          <w:bCs/>
        </w:rPr>
      </w:pPr>
      <w:r w:rsidRPr="00506392">
        <w:rPr>
          <w:bCs/>
          <w:i/>
        </w:rPr>
        <w:t>Нарушения со стороны крови и лимфатической системы:</w:t>
      </w:r>
      <w:r w:rsidRPr="00707D60">
        <w:rPr>
          <w:bCs/>
        </w:rPr>
        <w:t xml:space="preserve"> очень часто </w:t>
      </w:r>
      <w:r w:rsidR="00917CBF">
        <w:rPr>
          <w:bCs/>
        </w:rPr>
        <w:t>–</w:t>
      </w:r>
      <w:r w:rsidRPr="00707D60">
        <w:rPr>
          <w:bCs/>
        </w:rPr>
        <w:t xml:space="preserve"> анемия</w:t>
      </w:r>
      <w:r w:rsidR="00917CBF">
        <w:rPr>
          <w:bCs/>
        </w:rPr>
        <w:t>/эритропения, лейкопения, тромбоцитопения</w:t>
      </w:r>
      <w:r w:rsidRPr="00707D60">
        <w:rPr>
          <w:bCs/>
        </w:rPr>
        <w:t xml:space="preserve">; часто </w:t>
      </w:r>
      <w:r w:rsidR="00917CBF">
        <w:rPr>
          <w:bCs/>
        </w:rPr>
        <w:t>–</w:t>
      </w:r>
      <w:r w:rsidRPr="00707D60">
        <w:rPr>
          <w:bCs/>
        </w:rPr>
        <w:t xml:space="preserve"> </w:t>
      </w:r>
      <w:r w:rsidR="00917CBF">
        <w:rPr>
          <w:bCs/>
        </w:rPr>
        <w:t>панцитопения, тромботическая микроангиопатия (в т.ч. тромботическая тромбоцитопеническая пурпура/гемолитический уремический синдром).</w:t>
      </w:r>
    </w:p>
    <w:p w14:paraId="07204A1F" w14:textId="790804C9" w:rsidR="00917CBF" w:rsidRPr="00707D60" w:rsidRDefault="00917CBF" w:rsidP="00707D60">
      <w:pPr>
        <w:spacing w:after="0" w:line="240" w:lineRule="auto"/>
        <w:rPr>
          <w:bCs/>
        </w:rPr>
      </w:pPr>
      <w:r w:rsidRPr="00917CBF">
        <w:rPr>
          <w:bCs/>
          <w:i/>
        </w:rPr>
        <w:t>Нарушения со стороны эндокринной системы:</w:t>
      </w:r>
      <w:r>
        <w:rPr>
          <w:bCs/>
        </w:rPr>
        <w:t xml:space="preserve"> нечасто – гипогонадизм у мужчин (снижение концентрации тестостерона, повышение концентрации ФСГ и ЛГ).</w:t>
      </w:r>
    </w:p>
    <w:p w14:paraId="58FC3B0A" w14:textId="358F27C3" w:rsidR="00485AF8" w:rsidRPr="00707D60" w:rsidRDefault="00485AF8" w:rsidP="00707D60">
      <w:pPr>
        <w:spacing w:after="0" w:line="240" w:lineRule="auto"/>
        <w:rPr>
          <w:bCs/>
        </w:rPr>
      </w:pPr>
      <w:r w:rsidRPr="00BF2C08">
        <w:rPr>
          <w:bCs/>
          <w:i/>
        </w:rPr>
        <w:t>Нарушения со стороны обмена веществ и питания:</w:t>
      </w:r>
      <w:r w:rsidRPr="00707D60">
        <w:rPr>
          <w:bCs/>
        </w:rPr>
        <w:t xml:space="preserve"> очень часто </w:t>
      </w:r>
      <w:r w:rsidR="00917CBF">
        <w:rPr>
          <w:bCs/>
        </w:rPr>
        <w:t>–</w:t>
      </w:r>
      <w:r w:rsidRPr="00707D60">
        <w:rPr>
          <w:bCs/>
        </w:rPr>
        <w:t xml:space="preserve"> </w:t>
      </w:r>
      <w:r w:rsidR="00917CBF">
        <w:rPr>
          <w:bCs/>
        </w:rPr>
        <w:t>гиперлипидемия (холестерин, тригилицериды), впервые выявленный сахарный диабет, гипокалиемия.</w:t>
      </w:r>
    </w:p>
    <w:p w14:paraId="5F71E53E" w14:textId="6FABE059" w:rsidR="00485AF8" w:rsidRPr="00707D60" w:rsidRDefault="00485AF8" w:rsidP="00707D60">
      <w:pPr>
        <w:spacing w:after="0" w:line="240" w:lineRule="auto"/>
        <w:rPr>
          <w:bCs/>
        </w:rPr>
      </w:pPr>
      <w:r w:rsidRPr="00BF2C08">
        <w:rPr>
          <w:bCs/>
          <w:i/>
        </w:rPr>
        <w:t>Нарушения психики:</w:t>
      </w:r>
      <w:r w:rsidRPr="00707D60">
        <w:rPr>
          <w:bCs/>
        </w:rPr>
        <w:t xml:space="preserve"> </w:t>
      </w:r>
      <w:r w:rsidR="00917CBF">
        <w:rPr>
          <w:bCs/>
        </w:rPr>
        <w:t xml:space="preserve">очень </w:t>
      </w:r>
      <w:r w:rsidRPr="00707D60">
        <w:rPr>
          <w:bCs/>
        </w:rPr>
        <w:t xml:space="preserve">часто </w:t>
      </w:r>
      <w:r w:rsidR="00917CBF">
        <w:rPr>
          <w:bCs/>
        </w:rPr>
        <w:t>–</w:t>
      </w:r>
      <w:r w:rsidRPr="00707D60">
        <w:rPr>
          <w:bCs/>
        </w:rPr>
        <w:t xml:space="preserve"> бессонница</w:t>
      </w:r>
      <w:r w:rsidR="00917CBF">
        <w:rPr>
          <w:bCs/>
        </w:rPr>
        <w:t>, тревожность</w:t>
      </w:r>
      <w:r w:rsidRPr="00707D60">
        <w:rPr>
          <w:bCs/>
        </w:rPr>
        <w:t>.</w:t>
      </w:r>
    </w:p>
    <w:p w14:paraId="2F7469F8" w14:textId="64581C37" w:rsidR="00485AF8" w:rsidRPr="00707D60" w:rsidRDefault="00485AF8" w:rsidP="00707D60">
      <w:pPr>
        <w:spacing w:after="0" w:line="240" w:lineRule="auto"/>
        <w:rPr>
          <w:bCs/>
        </w:rPr>
      </w:pPr>
      <w:r w:rsidRPr="00BF2C08">
        <w:rPr>
          <w:bCs/>
          <w:i/>
        </w:rPr>
        <w:t>Нарушения со стороны нервной системы:</w:t>
      </w:r>
      <w:r w:rsidRPr="00707D60">
        <w:rPr>
          <w:bCs/>
        </w:rPr>
        <w:t xml:space="preserve"> очень часто </w:t>
      </w:r>
      <w:r w:rsidR="00917CBF">
        <w:rPr>
          <w:bCs/>
        </w:rPr>
        <w:t>– головная боль.</w:t>
      </w:r>
    </w:p>
    <w:p w14:paraId="273929CB" w14:textId="77777777" w:rsidR="00917CBF" w:rsidRDefault="00485AF8" w:rsidP="00707D60">
      <w:pPr>
        <w:spacing w:after="0" w:line="240" w:lineRule="auto"/>
        <w:rPr>
          <w:bCs/>
        </w:rPr>
      </w:pPr>
      <w:r w:rsidRPr="00F66A90">
        <w:rPr>
          <w:bCs/>
          <w:i/>
        </w:rPr>
        <w:t>Нарушения со стороны сердца:</w:t>
      </w:r>
      <w:r w:rsidRPr="00F66A90">
        <w:rPr>
          <w:bCs/>
        </w:rPr>
        <w:t xml:space="preserve"> </w:t>
      </w:r>
      <w:r w:rsidR="00917CBF" w:rsidRPr="00F66A90">
        <w:rPr>
          <w:bCs/>
        </w:rPr>
        <w:t>очень часто – перикардиальный выпот</w:t>
      </w:r>
      <w:r w:rsidR="00917CBF" w:rsidRPr="00F66A90">
        <w:rPr>
          <w:bCs/>
          <w:vertAlign w:val="superscript"/>
        </w:rPr>
        <w:t>3</w:t>
      </w:r>
      <w:r w:rsidR="00917CBF" w:rsidRPr="00F66A90">
        <w:rPr>
          <w:bCs/>
        </w:rPr>
        <w:t>, часто – тахикардия.</w:t>
      </w:r>
    </w:p>
    <w:p w14:paraId="5366682C" w14:textId="53C791E6" w:rsidR="00485AF8" w:rsidRPr="00707D60" w:rsidRDefault="00485AF8" w:rsidP="00707D60">
      <w:pPr>
        <w:spacing w:after="0" w:line="240" w:lineRule="auto"/>
        <w:rPr>
          <w:bCs/>
        </w:rPr>
      </w:pPr>
      <w:r w:rsidRPr="00BF2C08">
        <w:rPr>
          <w:bCs/>
          <w:i/>
        </w:rPr>
        <w:t>Нарушения</w:t>
      </w:r>
      <w:r w:rsidR="00EC764E" w:rsidRPr="00BF2C08">
        <w:rPr>
          <w:bCs/>
          <w:i/>
        </w:rPr>
        <w:t xml:space="preserve"> </w:t>
      </w:r>
      <w:r w:rsidRPr="00BF2C08">
        <w:rPr>
          <w:bCs/>
          <w:i/>
        </w:rPr>
        <w:t>со стороны сосудов:</w:t>
      </w:r>
      <w:r w:rsidRPr="00707D60">
        <w:rPr>
          <w:bCs/>
        </w:rPr>
        <w:t xml:space="preserve"> </w:t>
      </w:r>
      <w:r w:rsidR="00917CBF">
        <w:rPr>
          <w:bCs/>
        </w:rPr>
        <w:t>очень часто – артериальная гипертензия, венозный тромбоз; часто – носовое кровотечение, лимфоцеле</w:t>
      </w:r>
      <w:r w:rsidR="00917CBF" w:rsidRPr="00917CBF">
        <w:rPr>
          <w:bCs/>
          <w:vertAlign w:val="superscript"/>
        </w:rPr>
        <w:t>4</w:t>
      </w:r>
      <w:r w:rsidR="00917CBF">
        <w:rPr>
          <w:bCs/>
        </w:rPr>
        <w:t>, тромбоз сосудов трансплантированной почки; частота неизвестна – лейкоцитокластический васкулит.</w:t>
      </w:r>
    </w:p>
    <w:p w14:paraId="08B53847" w14:textId="580F7B8E" w:rsidR="00485AF8" w:rsidRPr="00707D60" w:rsidRDefault="00485AF8" w:rsidP="00707D60">
      <w:pPr>
        <w:spacing w:after="0" w:line="240" w:lineRule="auto"/>
      </w:pPr>
      <w:r w:rsidRPr="00BF2C08">
        <w:rPr>
          <w:i/>
        </w:rPr>
        <w:t>Нарушения со стороны дыхательной системы, органов грудной клетки и средостения:</w:t>
      </w:r>
      <w:r w:rsidRPr="00707D60">
        <w:t xml:space="preserve"> очень часто </w:t>
      </w:r>
      <w:r w:rsidR="00F66A90">
        <w:t>–</w:t>
      </w:r>
      <w:r w:rsidRPr="00707D60">
        <w:t xml:space="preserve"> </w:t>
      </w:r>
      <w:r w:rsidR="00F66A90">
        <w:t>плевральный выпот</w:t>
      </w:r>
      <w:r w:rsidR="00F66A90" w:rsidRPr="00F66A90">
        <w:rPr>
          <w:vertAlign w:val="superscript"/>
        </w:rPr>
        <w:t>1</w:t>
      </w:r>
      <w:r w:rsidR="00F66A90">
        <w:t>, кашель</w:t>
      </w:r>
      <w:r w:rsidR="00F66A90" w:rsidRPr="00F66A90">
        <w:rPr>
          <w:vertAlign w:val="superscript"/>
        </w:rPr>
        <w:t>1</w:t>
      </w:r>
      <w:r w:rsidR="00F66A90">
        <w:t>, одышка</w:t>
      </w:r>
      <w:r w:rsidR="00F66A90" w:rsidRPr="00F66A90">
        <w:rPr>
          <w:vertAlign w:val="superscript"/>
        </w:rPr>
        <w:t>1</w:t>
      </w:r>
      <w:r w:rsidR="00F66A90">
        <w:t>; нечасто – интерстициальная болезнь легких</w:t>
      </w:r>
      <w:r w:rsidR="00F66A90" w:rsidRPr="00F66A90">
        <w:rPr>
          <w:vertAlign w:val="superscript"/>
        </w:rPr>
        <w:t>5</w:t>
      </w:r>
      <w:r w:rsidR="00F66A90">
        <w:t>; частота неизвестна – легочный альвеолярный протеиноз.</w:t>
      </w:r>
    </w:p>
    <w:p w14:paraId="2B3CC36B" w14:textId="678974E0" w:rsidR="00485AF8" w:rsidRDefault="00485AF8" w:rsidP="00707D60">
      <w:pPr>
        <w:spacing w:after="0" w:line="240" w:lineRule="auto"/>
      </w:pPr>
      <w:r w:rsidRPr="00BF2C08">
        <w:rPr>
          <w:i/>
        </w:rPr>
        <w:t>Нарушения со с</w:t>
      </w:r>
      <w:r w:rsidR="00506392" w:rsidRPr="00BF2C08">
        <w:rPr>
          <w:i/>
        </w:rPr>
        <w:t>тороны желудочно-кишечного трак</w:t>
      </w:r>
      <w:r w:rsidRPr="00BF2C08">
        <w:rPr>
          <w:i/>
        </w:rPr>
        <w:t>та:</w:t>
      </w:r>
      <w:r w:rsidRPr="00707D60">
        <w:t xml:space="preserve"> очень часто </w:t>
      </w:r>
      <w:r w:rsidR="00F66A90">
        <w:t>–</w:t>
      </w:r>
      <w:r w:rsidRPr="00707D60">
        <w:t xml:space="preserve"> </w:t>
      </w:r>
      <w:r w:rsidR="00F66A90">
        <w:t>диарея, тошнота, рвота, боль в животе; часто – боль в области ротоглотки, панкреатит, стоматит/изъязвление слизистой оболочки полости рта.</w:t>
      </w:r>
    </w:p>
    <w:p w14:paraId="1FD5C8EA" w14:textId="271F6278" w:rsidR="00F66A90" w:rsidRPr="00707D60" w:rsidRDefault="00F66A90" w:rsidP="00707D60">
      <w:pPr>
        <w:spacing w:after="0" w:line="240" w:lineRule="auto"/>
      </w:pPr>
      <w:r w:rsidRPr="00F66A90">
        <w:rPr>
          <w:i/>
        </w:rPr>
        <w:t>Нарушения со стороны печени и желчевыводящих путей:</w:t>
      </w:r>
      <w:r>
        <w:t xml:space="preserve"> нечасто – гепатит неинфекционной этиологии, желтуха.</w:t>
      </w:r>
    </w:p>
    <w:p w14:paraId="55219CF7" w14:textId="3F1480DC" w:rsidR="00485AF8" w:rsidRPr="00707D60" w:rsidRDefault="00485AF8" w:rsidP="00707D60">
      <w:pPr>
        <w:spacing w:after="0" w:line="240" w:lineRule="auto"/>
      </w:pPr>
      <w:r w:rsidRPr="00BF2C08">
        <w:rPr>
          <w:i/>
        </w:rPr>
        <w:t>Нарушения со стороны кожи и подкожных тканей:</w:t>
      </w:r>
      <w:r w:rsidR="00F66A90">
        <w:t xml:space="preserve"> </w:t>
      </w:r>
      <w:r w:rsidRPr="00707D60">
        <w:t xml:space="preserve">часто </w:t>
      </w:r>
      <w:r w:rsidR="00F66A90">
        <w:t>–</w:t>
      </w:r>
      <w:r w:rsidRPr="00707D60">
        <w:t xml:space="preserve"> </w:t>
      </w:r>
      <w:r w:rsidR="00F66A90">
        <w:t>акне, ангионевротический отек</w:t>
      </w:r>
      <w:r w:rsidR="00F66A90" w:rsidRPr="00F66A90">
        <w:rPr>
          <w:vertAlign w:val="superscript"/>
        </w:rPr>
        <w:t>6</w:t>
      </w:r>
      <w:r w:rsidR="00F66A90">
        <w:t>, кожная сыпь; частота неизвестна – эритродермия.</w:t>
      </w:r>
    </w:p>
    <w:p w14:paraId="24D11D09" w14:textId="77777777" w:rsidR="00F66A90" w:rsidRDefault="00485AF8" w:rsidP="00707D60">
      <w:pPr>
        <w:spacing w:after="0" w:line="240" w:lineRule="auto"/>
      </w:pPr>
      <w:r w:rsidRPr="00BF2C08">
        <w:rPr>
          <w:i/>
        </w:rPr>
        <w:t>Наруш</w:t>
      </w:r>
      <w:r w:rsidR="00506392" w:rsidRPr="00BF2C08">
        <w:rPr>
          <w:i/>
        </w:rPr>
        <w:t>ения со стороны ск</w:t>
      </w:r>
      <w:r w:rsidRPr="00BF2C08">
        <w:rPr>
          <w:i/>
        </w:rPr>
        <w:t>елетно-мышечной и соединительной ткани:</w:t>
      </w:r>
      <w:r w:rsidRPr="00707D60">
        <w:t xml:space="preserve"> часто </w:t>
      </w:r>
      <w:r w:rsidR="00F66A90">
        <w:t>–</w:t>
      </w:r>
      <w:r w:rsidRPr="00707D60">
        <w:t xml:space="preserve"> </w:t>
      </w:r>
      <w:r w:rsidR="00F66A90">
        <w:t>миалгия, артралгия.</w:t>
      </w:r>
    </w:p>
    <w:p w14:paraId="058F926A" w14:textId="3B08DFAF" w:rsidR="00485AF8" w:rsidRPr="00707D60" w:rsidRDefault="00506392" w:rsidP="00707D60">
      <w:pPr>
        <w:spacing w:after="0" w:line="240" w:lineRule="auto"/>
      </w:pPr>
      <w:r w:rsidRPr="00BF2C08">
        <w:rPr>
          <w:i/>
        </w:rPr>
        <w:t xml:space="preserve">Нарушения со стороны почек </w:t>
      </w:r>
      <w:r w:rsidR="00485AF8" w:rsidRPr="00BF2C08">
        <w:rPr>
          <w:i/>
        </w:rPr>
        <w:t>и мочевыводящих путей:</w:t>
      </w:r>
      <w:r w:rsidR="00485AF8" w:rsidRPr="00707D60">
        <w:t xml:space="preserve"> часто - протеинурия, </w:t>
      </w:r>
      <w:r w:rsidR="00F66A90">
        <w:t>некроз почечных канальцев</w:t>
      </w:r>
      <w:r w:rsidR="00F66A90" w:rsidRPr="00F66A90">
        <w:rPr>
          <w:vertAlign w:val="superscript"/>
        </w:rPr>
        <w:t>7</w:t>
      </w:r>
      <w:r w:rsidR="00485AF8" w:rsidRPr="00707D60">
        <w:t>.</w:t>
      </w:r>
    </w:p>
    <w:p w14:paraId="1AE2A083" w14:textId="4B5B3EAF" w:rsidR="00A82044" w:rsidRPr="00F66A90" w:rsidRDefault="00485AF8" w:rsidP="00707D60">
      <w:pPr>
        <w:spacing w:after="0" w:line="240" w:lineRule="auto"/>
      </w:pPr>
      <w:r w:rsidRPr="00BF2C08">
        <w:rPr>
          <w:i/>
        </w:rPr>
        <w:t>Нарушения со стороны половых органов и молочной железы:</w:t>
      </w:r>
      <w:r w:rsidR="00F66A90">
        <w:t xml:space="preserve"> часто – эректильная дисфункция; частота неизвестна – киста яичника.</w:t>
      </w:r>
    </w:p>
    <w:p w14:paraId="24438262" w14:textId="6B317455" w:rsidR="00485AF8" w:rsidRPr="00707D60" w:rsidRDefault="00485AF8" w:rsidP="00707D60">
      <w:pPr>
        <w:spacing w:after="0" w:line="240" w:lineRule="auto"/>
      </w:pPr>
      <w:r w:rsidRPr="00A82044">
        <w:rPr>
          <w:i/>
        </w:rPr>
        <w:t>Общие расстройства и нару</w:t>
      </w:r>
      <w:r w:rsidR="00EC764E" w:rsidRPr="00A82044">
        <w:rPr>
          <w:i/>
        </w:rPr>
        <w:t>ше</w:t>
      </w:r>
      <w:r w:rsidRPr="00A82044">
        <w:rPr>
          <w:i/>
        </w:rPr>
        <w:t>ния в месте введения:</w:t>
      </w:r>
      <w:r w:rsidRPr="00707D60">
        <w:t xml:space="preserve"> очень часто </w:t>
      </w:r>
      <w:r w:rsidR="00F66A90">
        <w:t>–</w:t>
      </w:r>
      <w:r w:rsidRPr="00707D60">
        <w:t xml:space="preserve"> </w:t>
      </w:r>
      <w:r w:rsidR="00F66A90">
        <w:t>боль, лихорадка, пеиферические отеки, замедление репаративных процессов, часто – послеоперационная грыжа.</w:t>
      </w:r>
    </w:p>
    <w:p w14:paraId="6DAD97AC" w14:textId="78C1567B" w:rsidR="00485AF8" w:rsidRDefault="00485AF8" w:rsidP="00F66A90">
      <w:pPr>
        <w:spacing w:after="0" w:line="240" w:lineRule="auto"/>
      </w:pPr>
      <w:r w:rsidRPr="00A82044">
        <w:rPr>
          <w:i/>
        </w:rPr>
        <w:t>Лабораторные и инструментальные показатели:</w:t>
      </w:r>
      <w:r w:rsidR="00F66A90">
        <w:t xml:space="preserve"> </w:t>
      </w:r>
      <w:r w:rsidRPr="00707D60">
        <w:t xml:space="preserve">часто </w:t>
      </w:r>
      <w:r w:rsidR="00F66A90">
        <w:t>–</w:t>
      </w:r>
      <w:r w:rsidRPr="00707D60">
        <w:t xml:space="preserve"> </w:t>
      </w:r>
      <w:r w:rsidR="00F66A90">
        <w:t>повышение активности ферментов печени (АСТ, АЛТ, ГГТ).</w:t>
      </w:r>
    </w:p>
    <w:p w14:paraId="5560AC5D" w14:textId="4ABA841D" w:rsidR="00F66A90" w:rsidRPr="00F66A90" w:rsidRDefault="00F66A90" w:rsidP="00F66A90">
      <w:pPr>
        <w:spacing w:after="0" w:line="240" w:lineRule="auto"/>
        <w:rPr>
          <w:b/>
          <w:sz w:val="20"/>
          <w:szCs w:val="20"/>
        </w:rPr>
      </w:pPr>
      <w:r w:rsidRPr="00F66A90">
        <w:rPr>
          <w:b/>
          <w:sz w:val="20"/>
          <w:szCs w:val="20"/>
        </w:rPr>
        <w:t>Примечани</w:t>
      </w:r>
      <w:r w:rsidR="005D0AAE">
        <w:rPr>
          <w:b/>
          <w:sz w:val="20"/>
          <w:szCs w:val="20"/>
        </w:rPr>
        <w:t>е</w:t>
      </w:r>
      <w:r w:rsidRPr="00F66A90">
        <w:rPr>
          <w:b/>
          <w:sz w:val="20"/>
          <w:szCs w:val="20"/>
        </w:rPr>
        <w:t>:</w:t>
      </w:r>
    </w:p>
    <w:p w14:paraId="3EC53A3D" w14:textId="11938F10" w:rsidR="00F66A90" w:rsidRPr="00F66A90" w:rsidRDefault="00F66A90" w:rsidP="00F66A90">
      <w:pPr>
        <w:spacing w:after="0" w:line="240" w:lineRule="auto"/>
        <w:rPr>
          <w:sz w:val="20"/>
          <w:szCs w:val="20"/>
        </w:rPr>
      </w:pPr>
      <w:r w:rsidRPr="00F66A90">
        <w:rPr>
          <w:sz w:val="20"/>
          <w:szCs w:val="20"/>
        </w:rPr>
        <w:t>1 – встречаются часто при трансплантации почек и печени</w:t>
      </w:r>
    </w:p>
    <w:p w14:paraId="6EFD96EA" w14:textId="7A31FD25" w:rsidR="00F66A90" w:rsidRPr="00F66A90" w:rsidRDefault="00F66A90" w:rsidP="00F66A90">
      <w:pPr>
        <w:spacing w:after="0" w:line="240" w:lineRule="auto"/>
        <w:rPr>
          <w:sz w:val="20"/>
          <w:szCs w:val="20"/>
        </w:rPr>
      </w:pPr>
      <w:r w:rsidRPr="00F66A90">
        <w:rPr>
          <w:sz w:val="20"/>
          <w:szCs w:val="20"/>
        </w:rPr>
        <w:t>2 - встречаются часто при трансплантации сердца и печени</w:t>
      </w:r>
    </w:p>
    <w:p w14:paraId="6AC95DB4" w14:textId="43AEF643" w:rsidR="00F66A90" w:rsidRPr="00F66A90" w:rsidRDefault="00F66A90" w:rsidP="00F66A90">
      <w:pPr>
        <w:spacing w:after="0" w:line="240" w:lineRule="auto"/>
        <w:rPr>
          <w:sz w:val="20"/>
          <w:szCs w:val="20"/>
        </w:rPr>
      </w:pPr>
      <w:r w:rsidRPr="00F66A90">
        <w:rPr>
          <w:sz w:val="20"/>
          <w:szCs w:val="20"/>
        </w:rPr>
        <w:t>3 - встречаются часто при трансплантации сердца</w:t>
      </w:r>
    </w:p>
    <w:p w14:paraId="0CD432D6" w14:textId="03FC733D" w:rsidR="00F66A90" w:rsidRPr="00F66A90" w:rsidRDefault="00F66A90" w:rsidP="00F66A90">
      <w:pPr>
        <w:spacing w:after="0" w:line="240" w:lineRule="auto"/>
        <w:rPr>
          <w:sz w:val="20"/>
          <w:szCs w:val="20"/>
        </w:rPr>
      </w:pPr>
      <w:r w:rsidRPr="00F66A90">
        <w:rPr>
          <w:sz w:val="20"/>
          <w:szCs w:val="20"/>
        </w:rPr>
        <w:t>4 - встречаются часто при трансплантации почек и сердца</w:t>
      </w:r>
    </w:p>
    <w:p w14:paraId="63991D0D" w14:textId="44FB5027" w:rsidR="00F66A90" w:rsidRPr="00F66A90" w:rsidRDefault="00F66A90" w:rsidP="00F66A90">
      <w:pPr>
        <w:spacing w:after="0" w:line="240" w:lineRule="auto"/>
        <w:rPr>
          <w:sz w:val="20"/>
          <w:szCs w:val="20"/>
        </w:rPr>
      </w:pPr>
      <w:r w:rsidRPr="00F66A90">
        <w:rPr>
          <w:sz w:val="20"/>
          <w:szCs w:val="20"/>
        </w:rPr>
        <w:t xml:space="preserve">5 – по результатам широкого поиска в ьазе данных безопасности по запросу по термину «интерстициальная болезнь легких», данные явления так же включали случаи, в т.ч. обусловленные соппутствующими явлениями, например, инфекциями. </w:t>
      </w:r>
    </w:p>
    <w:p w14:paraId="783EB74A" w14:textId="42996079" w:rsidR="00F66A90" w:rsidRPr="00F66A90" w:rsidRDefault="00F66A90" w:rsidP="00F66A90">
      <w:pPr>
        <w:spacing w:after="0" w:line="240" w:lineRule="auto"/>
        <w:rPr>
          <w:sz w:val="20"/>
          <w:szCs w:val="20"/>
        </w:rPr>
      </w:pPr>
      <w:r w:rsidRPr="00F66A90">
        <w:rPr>
          <w:sz w:val="20"/>
          <w:szCs w:val="20"/>
        </w:rPr>
        <w:t>6 – в основном у пациентов, получающих лечение ингибиторами ангиотензинпревращающего фермента (АПФ)</w:t>
      </w:r>
    </w:p>
    <w:p w14:paraId="69210D14" w14:textId="3C6D0269" w:rsidR="00F66A90" w:rsidRDefault="00F66A90" w:rsidP="00F66A90">
      <w:pPr>
        <w:spacing w:after="0" w:line="240" w:lineRule="auto"/>
        <w:rPr>
          <w:sz w:val="20"/>
          <w:szCs w:val="20"/>
        </w:rPr>
      </w:pPr>
      <w:r w:rsidRPr="00F66A90">
        <w:rPr>
          <w:sz w:val="20"/>
          <w:szCs w:val="20"/>
        </w:rPr>
        <w:t>7 – встречаются при трансплантации почек</w:t>
      </w:r>
    </w:p>
    <w:p w14:paraId="08525A63" w14:textId="30C6BE31" w:rsidR="00CF6EBF" w:rsidRPr="00707D60" w:rsidRDefault="002817E3" w:rsidP="00707D60">
      <w:pPr>
        <w:pStyle w:val="3"/>
        <w:tabs>
          <w:tab w:val="left" w:pos="8647"/>
        </w:tabs>
        <w:spacing w:after="240" w:line="240" w:lineRule="auto"/>
        <w:rPr>
          <w:rFonts w:ascii="Times New Roman" w:hAnsi="Times New Roman"/>
          <w:color w:val="000000" w:themeColor="text1"/>
        </w:rPr>
      </w:pPr>
      <w:bookmarkStart w:id="406" w:name="_Toc115217991"/>
      <w:bookmarkStart w:id="407" w:name="_Toc118124235"/>
      <w:bookmarkStart w:id="408" w:name="_Toc119313799"/>
      <w:r>
        <w:rPr>
          <w:rFonts w:ascii="Times New Roman" w:hAnsi="Times New Roman"/>
          <w:color w:val="000000" w:themeColor="text1"/>
        </w:rPr>
        <w:t>5.3.7</w:t>
      </w:r>
      <w:r w:rsidR="00CF6EBF" w:rsidRPr="00707D60">
        <w:rPr>
          <w:rFonts w:ascii="Times New Roman" w:hAnsi="Times New Roman"/>
          <w:color w:val="000000" w:themeColor="text1"/>
        </w:rPr>
        <w:t>. Передозировка</w:t>
      </w:r>
      <w:bookmarkEnd w:id="406"/>
      <w:bookmarkEnd w:id="407"/>
      <w:bookmarkEnd w:id="408"/>
    </w:p>
    <w:p w14:paraId="61F764FB" w14:textId="77777777" w:rsidR="00816F37" w:rsidRDefault="00816F37" w:rsidP="00816F37">
      <w:pPr>
        <w:spacing w:after="0" w:line="240" w:lineRule="auto"/>
        <w:ind w:firstLine="709"/>
        <w:rPr>
          <w:bCs/>
          <w:lang w:bidi="ru-RU"/>
        </w:rPr>
      </w:pPr>
      <w:r>
        <w:rPr>
          <w:bCs/>
          <w:lang w:bidi="ru-RU"/>
        </w:rPr>
        <w:t>В экспериментальных исследованиях было показано, что эверолимус обладает низким потенциалом острой токсичности. После однократных доз 2000 мг</w:t>
      </w:r>
      <w:r w:rsidRPr="00694B1C">
        <w:rPr>
          <w:bCs/>
          <w:lang w:bidi="ru-RU"/>
        </w:rPr>
        <w:t>/</w:t>
      </w:r>
      <w:r>
        <w:rPr>
          <w:bCs/>
          <w:lang w:bidi="ru-RU"/>
        </w:rPr>
        <w:t>кг перорально не наблюдалось летальных исходов или тяжелой токсичности у мышей и крыс (контроль по диапазону значений).</w:t>
      </w:r>
    </w:p>
    <w:p w14:paraId="1DAC5FC2" w14:textId="7C931B29" w:rsidR="00DF7760" w:rsidRPr="00D05498" w:rsidRDefault="00816F37" w:rsidP="00D05498">
      <w:pPr>
        <w:spacing w:after="0" w:line="240" w:lineRule="auto"/>
        <w:ind w:firstLine="709"/>
        <w:rPr>
          <w:bCs/>
        </w:rPr>
      </w:pPr>
      <w:r>
        <w:rPr>
          <w:bCs/>
          <w:lang w:bidi="ru-RU"/>
        </w:rPr>
        <w:t>Сообщения о случаях передозировки у человека очень ограничены. Имеется единственный факт случайного приема внутрь 1,5 мг эверолимуса ребенком в возрасте 2 лет, при этом не наблюдалось развития НЯ. При однократном приеме внутрь в дозах вплоть до 25 мг у пациентов после трансплантации отмечалась приемлемая переносимость препарата.</w:t>
      </w:r>
      <w:r w:rsidRPr="00816F37">
        <w:rPr>
          <w:bCs/>
          <w:lang w:bidi="ru-RU"/>
        </w:rPr>
        <w:t xml:space="preserve"> </w:t>
      </w:r>
      <w:r>
        <w:rPr>
          <w:bCs/>
          <w:lang w:bidi="ru-RU"/>
        </w:rPr>
        <w:t>Во всех случаях передозировки следует назначать проведение общих поддерживающих мероприятий.</w:t>
      </w:r>
    </w:p>
    <w:p w14:paraId="3781C97D" w14:textId="77777777" w:rsidR="00506392" w:rsidRPr="00F417CF" w:rsidRDefault="00506392" w:rsidP="00506392">
      <w:pPr>
        <w:spacing w:after="0" w:line="240" w:lineRule="auto"/>
        <w:rPr>
          <w:bCs/>
          <w:iCs/>
          <w:lang w:eastAsia="en-US"/>
        </w:rPr>
      </w:pPr>
    </w:p>
    <w:p w14:paraId="495B0BF9" w14:textId="466E4D2E" w:rsidR="00CF6EBF" w:rsidRPr="00707D60" w:rsidRDefault="002817E3" w:rsidP="00506392">
      <w:pPr>
        <w:pStyle w:val="3"/>
        <w:tabs>
          <w:tab w:val="left" w:pos="8647"/>
        </w:tabs>
        <w:spacing w:before="0" w:after="0" w:line="240" w:lineRule="auto"/>
        <w:rPr>
          <w:rFonts w:ascii="Times New Roman" w:hAnsi="Times New Roman"/>
          <w:color w:val="000000" w:themeColor="text1"/>
        </w:rPr>
      </w:pPr>
      <w:bookmarkStart w:id="409" w:name="_Toc115217992"/>
      <w:bookmarkStart w:id="410" w:name="_Toc118124236"/>
      <w:bookmarkStart w:id="411" w:name="_Toc119313800"/>
      <w:r>
        <w:rPr>
          <w:rFonts w:ascii="Times New Roman" w:hAnsi="Times New Roman"/>
          <w:color w:val="000000" w:themeColor="text1"/>
        </w:rPr>
        <w:t>5.3.8</w:t>
      </w:r>
      <w:r w:rsidR="00CF6EBF" w:rsidRPr="00707D60">
        <w:rPr>
          <w:rFonts w:ascii="Times New Roman" w:hAnsi="Times New Roman"/>
          <w:color w:val="000000" w:themeColor="text1"/>
        </w:rPr>
        <w:t xml:space="preserve">. </w:t>
      </w:r>
      <w:r w:rsidR="00CF6EBF" w:rsidRPr="00707D60">
        <w:rPr>
          <w:rFonts w:ascii="Times New Roman" w:eastAsia="Courier New" w:hAnsi="Times New Roman"/>
          <w:szCs w:val="24"/>
          <w:lang w:eastAsia="ru-RU" w:bidi="ru-RU"/>
        </w:rPr>
        <w:t>Взаимодействие с другими лекарственными средствами</w:t>
      </w:r>
      <w:bookmarkEnd w:id="409"/>
      <w:bookmarkEnd w:id="410"/>
      <w:bookmarkEnd w:id="411"/>
    </w:p>
    <w:bookmarkEnd w:id="405"/>
    <w:p w14:paraId="7CBA19DC" w14:textId="77777777" w:rsidR="00506392" w:rsidRDefault="00506392" w:rsidP="00506392">
      <w:pPr>
        <w:spacing w:after="0" w:line="240" w:lineRule="auto"/>
        <w:ind w:firstLine="709"/>
        <w:rPr>
          <w:color w:val="000000" w:themeColor="text1"/>
        </w:rPr>
      </w:pPr>
    </w:p>
    <w:p w14:paraId="26763D21" w14:textId="5771F306" w:rsidR="00BD068C" w:rsidRPr="00BD068C" w:rsidRDefault="00BD068C" w:rsidP="0071249E">
      <w:pPr>
        <w:spacing w:after="0" w:line="240" w:lineRule="auto"/>
        <w:ind w:right="28" w:firstLine="709"/>
      </w:pPr>
      <w:r w:rsidRPr="00BD068C">
        <w:t xml:space="preserve">Эверолимус метаболизируется главным образом в печени и в некоторой степени в кишечной стенке при участии изофермента </w:t>
      </w:r>
      <w:r>
        <w:rPr>
          <w:lang w:val="en-US"/>
        </w:rPr>
        <w:t>CYP</w:t>
      </w:r>
      <w:r w:rsidRPr="0071249E">
        <w:t>3</w:t>
      </w:r>
      <w:r w:rsidRPr="00BD068C">
        <w:t xml:space="preserve">А4. Также эверолимус является субстратом для белкапереносчика Р-гликопротеина. Следовательно, на абсорбцию и последующую элиминацию эверолимуса после его всасывания в системный кровоток могут оказывать влияние препараты, взаимодействующие с изоферментом </w:t>
      </w:r>
      <w:r>
        <w:rPr>
          <w:lang w:val="en-US"/>
        </w:rPr>
        <w:t>CYP</w:t>
      </w:r>
      <w:r w:rsidRPr="0071249E">
        <w:t>3</w:t>
      </w:r>
      <w:r w:rsidRPr="00BD068C">
        <w:t>А4 и/или Р-гликопротеином.</w:t>
      </w:r>
    </w:p>
    <w:p w14:paraId="468B5B90" w14:textId="77777777" w:rsidR="005D0AAE" w:rsidRDefault="005D0AAE" w:rsidP="0071249E">
      <w:pPr>
        <w:spacing w:after="0" w:line="240" w:lineRule="auto"/>
        <w:ind w:right="28"/>
        <w:rPr>
          <w:b/>
          <w:i/>
        </w:rPr>
      </w:pPr>
    </w:p>
    <w:p w14:paraId="11DEC96D" w14:textId="48001751" w:rsidR="00BD068C" w:rsidRPr="0071249E" w:rsidRDefault="00BD068C" w:rsidP="0071249E">
      <w:pPr>
        <w:spacing w:after="0" w:line="240" w:lineRule="auto"/>
        <w:ind w:right="28"/>
        <w:rPr>
          <w:b/>
          <w:i/>
        </w:rPr>
      </w:pPr>
      <w:r w:rsidRPr="0071249E">
        <w:rPr>
          <w:b/>
          <w:i/>
        </w:rPr>
        <w:t xml:space="preserve">Выявленные нежелательные взаимодействия (одновременное применение не рекомендуется) </w:t>
      </w:r>
    </w:p>
    <w:p w14:paraId="2113E58B" w14:textId="13F750AD" w:rsidR="00BD068C" w:rsidRPr="0071249E" w:rsidRDefault="00BD068C" w:rsidP="0071249E">
      <w:pPr>
        <w:spacing w:after="0" w:line="240" w:lineRule="auto"/>
        <w:ind w:right="28"/>
        <w:rPr>
          <w:i/>
        </w:rPr>
      </w:pPr>
      <w:r w:rsidRPr="0071249E">
        <w:rPr>
          <w:i/>
        </w:rPr>
        <w:t xml:space="preserve">Рифампицин (индуктор изофермента </w:t>
      </w:r>
      <w:r w:rsidRPr="0071249E">
        <w:rPr>
          <w:i/>
          <w:lang w:val="en-US"/>
        </w:rPr>
        <w:t>CYP</w:t>
      </w:r>
      <w:r w:rsidRPr="0071249E">
        <w:rPr>
          <w:i/>
        </w:rPr>
        <w:t>3А4)</w:t>
      </w:r>
    </w:p>
    <w:p w14:paraId="1359D513" w14:textId="57668EBD" w:rsidR="00BD068C" w:rsidRPr="00BD068C" w:rsidRDefault="00BD068C" w:rsidP="0071249E">
      <w:pPr>
        <w:spacing w:after="0" w:line="240" w:lineRule="auto"/>
        <w:ind w:right="28" w:firstLine="709"/>
      </w:pPr>
      <w:r w:rsidRPr="00BD068C">
        <w:t xml:space="preserve">После приема многократных доз рифампицина с последующей однократной дозой </w:t>
      </w:r>
      <w:r>
        <w:t>эверолимуса</w:t>
      </w:r>
      <w:r w:rsidRPr="00BD068C">
        <w:t xml:space="preserve"> у здоровых добровольцев наблюдалось почти </w:t>
      </w:r>
      <w:r>
        <w:t>3</w:t>
      </w:r>
      <w:r w:rsidRPr="00BD068C">
        <w:t>-кратное повышение клиренса эверолимуса, уменьшение С</w:t>
      </w:r>
      <w:r w:rsidRPr="0071249E">
        <w:rPr>
          <w:vertAlign w:val="subscript"/>
          <w:lang w:val="en-US"/>
        </w:rPr>
        <w:t>max</w:t>
      </w:r>
      <w:r w:rsidRPr="00BD068C">
        <w:t xml:space="preserve"> на 58</w:t>
      </w:r>
      <w:r w:rsidRPr="0071249E">
        <w:t>%</w:t>
      </w:r>
      <w:r w:rsidRPr="00BD068C">
        <w:t xml:space="preserve"> и AUC — на 63</w:t>
      </w:r>
      <w:r w:rsidRPr="0071249E">
        <w:t>%</w:t>
      </w:r>
      <w:r w:rsidRPr="00BD068C">
        <w:t xml:space="preserve">. Одновременное применение </w:t>
      </w:r>
      <w:r>
        <w:t>эверолимуса</w:t>
      </w:r>
      <w:r w:rsidRPr="00BD068C">
        <w:rPr>
          <w:vertAlign w:val="superscript"/>
        </w:rPr>
        <w:t xml:space="preserve"> </w:t>
      </w:r>
      <w:r w:rsidRPr="00BD068C">
        <w:t>с рифампицином не рекомендуется.</w:t>
      </w:r>
    </w:p>
    <w:p w14:paraId="784FE9A1" w14:textId="7049B002" w:rsidR="00BD068C" w:rsidRPr="0071249E" w:rsidRDefault="00BD068C" w:rsidP="0071249E">
      <w:pPr>
        <w:spacing w:after="0" w:line="240" w:lineRule="auto"/>
        <w:rPr>
          <w:i/>
        </w:rPr>
      </w:pPr>
      <w:r w:rsidRPr="0071249E">
        <w:rPr>
          <w:i/>
        </w:rPr>
        <w:t xml:space="preserve">Кетоконазол (ингибитор изофермента </w:t>
      </w:r>
      <w:r w:rsidRPr="002F4664">
        <w:rPr>
          <w:i/>
          <w:lang w:val="en-US"/>
        </w:rPr>
        <w:t>CYP</w:t>
      </w:r>
      <w:r w:rsidRPr="002F4664">
        <w:rPr>
          <w:i/>
        </w:rPr>
        <w:t>3А4</w:t>
      </w:r>
      <w:r w:rsidRPr="0071249E">
        <w:rPr>
          <w:i/>
        </w:rPr>
        <w:t>)</w:t>
      </w:r>
    </w:p>
    <w:p w14:paraId="2CC2BA61" w14:textId="23195B46" w:rsidR="00BD068C" w:rsidRPr="00BD068C" w:rsidRDefault="00BD068C" w:rsidP="0071249E">
      <w:pPr>
        <w:spacing w:after="0" w:line="240" w:lineRule="auto"/>
        <w:ind w:right="28" w:firstLine="709"/>
      </w:pPr>
      <w:r w:rsidRPr="00BD068C">
        <w:t xml:space="preserve">После приема многократных доз кетоконазола с последующей однократной дозой </w:t>
      </w:r>
      <w:r>
        <w:t xml:space="preserve">эыеролимуса </w:t>
      </w:r>
      <w:r w:rsidRPr="00BD068C">
        <w:t>у здоровых добровольцев наблюдалось увеличение С</w:t>
      </w:r>
      <w:r w:rsidRPr="0071249E">
        <w:rPr>
          <w:vertAlign w:val="subscript"/>
          <w:lang w:val="en-US"/>
        </w:rPr>
        <w:t>max</w:t>
      </w:r>
      <w:r w:rsidRPr="00BD068C">
        <w:t xml:space="preserve"> эверолимуса почти в 4 раза, а AUC — в 15 раз.</w:t>
      </w:r>
    </w:p>
    <w:p w14:paraId="3EABA3DE" w14:textId="77777777" w:rsidR="005D0AAE" w:rsidRDefault="005D0AAE" w:rsidP="0071249E">
      <w:pPr>
        <w:spacing w:after="0" w:line="240" w:lineRule="auto"/>
        <w:ind w:right="94"/>
        <w:rPr>
          <w:b/>
          <w:i/>
        </w:rPr>
      </w:pPr>
    </w:p>
    <w:p w14:paraId="4149CDFD" w14:textId="220F43E0" w:rsidR="00BD068C" w:rsidRPr="0071249E" w:rsidRDefault="00BD068C" w:rsidP="0071249E">
      <w:pPr>
        <w:spacing w:after="0" w:line="240" w:lineRule="auto"/>
        <w:ind w:right="94"/>
        <w:rPr>
          <w:b/>
          <w:i/>
        </w:rPr>
      </w:pPr>
      <w:r w:rsidRPr="0071249E">
        <w:rPr>
          <w:b/>
          <w:i/>
        </w:rPr>
        <w:t xml:space="preserve">Ожидаемые нежелательные взаимодействия (одновременное применение не рекомендуется) </w:t>
      </w:r>
    </w:p>
    <w:p w14:paraId="4574DC80" w14:textId="36F2D459" w:rsidR="00BD068C" w:rsidRPr="00BD068C" w:rsidRDefault="00BD068C" w:rsidP="0071249E">
      <w:pPr>
        <w:spacing w:after="0" w:line="240" w:lineRule="auto"/>
        <w:ind w:right="94" w:firstLine="709"/>
      </w:pPr>
      <w:r w:rsidRPr="00BD068C">
        <w:t xml:space="preserve">Одновременное применение </w:t>
      </w:r>
      <w:r>
        <w:t xml:space="preserve">эверолимуса </w:t>
      </w:r>
      <w:r w:rsidRPr="00BD068C">
        <w:t>с</w:t>
      </w:r>
      <w:r>
        <w:t xml:space="preserve"> </w:t>
      </w:r>
      <w:r w:rsidRPr="00BD068C">
        <w:t xml:space="preserve">мощными ингибиторами или индукторами изофермента </w:t>
      </w:r>
      <w:r>
        <w:rPr>
          <w:lang w:val="en-US"/>
        </w:rPr>
        <w:t>CYP</w:t>
      </w:r>
      <w:r w:rsidRPr="0071249E">
        <w:t>3</w:t>
      </w:r>
      <w:r>
        <w:rPr>
          <w:lang w:val="en-US"/>
        </w:rPr>
        <w:t>A</w:t>
      </w:r>
      <w:r w:rsidRPr="0071249E">
        <w:t>4</w:t>
      </w:r>
      <w:r w:rsidRPr="00BD068C">
        <w:t xml:space="preserve"> не рекомендуется (например, итраконазол, вориконазол, кларитромицин, телитромицин, ритонавир, рифабутин).</w:t>
      </w:r>
    </w:p>
    <w:p w14:paraId="7A9FAF52" w14:textId="77777777" w:rsidR="005D0AAE" w:rsidRDefault="005D0AAE" w:rsidP="0071249E">
      <w:pPr>
        <w:spacing w:after="0" w:line="240" w:lineRule="auto"/>
        <w:ind w:right="28"/>
        <w:rPr>
          <w:b/>
          <w:i/>
        </w:rPr>
      </w:pPr>
    </w:p>
    <w:p w14:paraId="2F3BFC5C" w14:textId="37380189" w:rsidR="00BD068C" w:rsidRPr="0071249E" w:rsidRDefault="00BD068C" w:rsidP="0071249E">
      <w:pPr>
        <w:spacing w:after="0" w:line="240" w:lineRule="auto"/>
        <w:ind w:right="28"/>
        <w:rPr>
          <w:b/>
          <w:i/>
        </w:rPr>
      </w:pPr>
      <w:r w:rsidRPr="0071249E">
        <w:rPr>
          <w:b/>
          <w:i/>
        </w:rPr>
        <w:t>Лекарственные взаимодействия, которые следует учитывать при одновременном применении</w:t>
      </w:r>
    </w:p>
    <w:p w14:paraId="262271E8" w14:textId="77777777" w:rsidR="0076709F" w:rsidRPr="0071249E" w:rsidRDefault="00BD068C" w:rsidP="0071249E">
      <w:pPr>
        <w:spacing w:after="0" w:line="240" w:lineRule="auto"/>
        <w:rPr>
          <w:i/>
          <w:u w:val="single"/>
        </w:rPr>
      </w:pPr>
      <w:r w:rsidRPr="0071249E">
        <w:rPr>
          <w:i/>
          <w:u w:val="single"/>
        </w:rPr>
        <w:t xml:space="preserve">Препараты, влияющие на </w:t>
      </w:r>
      <w:r w:rsidR="0076709F" w:rsidRPr="0071249E">
        <w:rPr>
          <w:i/>
          <w:u w:val="single"/>
        </w:rPr>
        <w:t>д</w:t>
      </w:r>
      <w:r w:rsidRPr="0071249E">
        <w:rPr>
          <w:i/>
          <w:u w:val="single"/>
        </w:rPr>
        <w:t xml:space="preserve">ействие </w:t>
      </w:r>
      <w:r w:rsidR="0076709F" w:rsidRPr="0071249E">
        <w:rPr>
          <w:i/>
          <w:u w:val="single"/>
        </w:rPr>
        <w:t>эверолимуса</w:t>
      </w:r>
    </w:p>
    <w:p w14:paraId="46A2E27C" w14:textId="319116BF" w:rsidR="00BD068C" w:rsidRPr="0071249E" w:rsidRDefault="00BD068C" w:rsidP="0071249E">
      <w:pPr>
        <w:spacing w:after="0" w:line="240" w:lineRule="auto"/>
        <w:rPr>
          <w:i/>
        </w:rPr>
      </w:pPr>
      <w:r w:rsidRPr="0071249E">
        <w:rPr>
          <w:i/>
        </w:rPr>
        <w:t xml:space="preserve">Циклоспорин (ингибитор изофермента </w:t>
      </w:r>
      <w:r w:rsidR="0076709F" w:rsidRPr="0071249E">
        <w:rPr>
          <w:i/>
          <w:lang w:val="en-US"/>
        </w:rPr>
        <w:t>CYP</w:t>
      </w:r>
      <w:r w:rsidR="0076709F" w:rsidRPr="0071249E">
        <w:rPr>
          <w:i/>
        </w:rPr>
        <w:t>3</w:t>
      </w:r>
      <w:r w:rsidRPr="0071249E">
        <w:rPr>
          <w:i/>
        </w:rPr>
        <w:t>А4/ Р-гликопротеина)</w:t>
      </w:r>
    </w:p>
    <w:p w14:paraId="71D77EFE" w14:textId="12D02A5D" w:rsidR="00BD068C" w:rsidRPr="00BD068C" w:rsidRDefault="00BD068C" w:rsidP="0071249E">
      <w:pPr>
        <w:spacing w:after="0" w:line="240" w:lineRule="auto"/>
        <w:ind w:right="28" w:firstLine="709"/>
      </w:pPr>
      <w:r w:rsidRPr="00BD068C">
        <w:t>Биодоступность эверолимуса значительно увеличивалась при одновременном применении циклоспорина. В исследовании однократной дозы у здоровых добровольцев циклоспорин в виде микроэмульсии увеличивал AUC эверолимуса на 168</w:t>
      </w:r>
      <w:r w:rsidR="0076709F" w:rsidRPr="0071249E">
        <w:t>%</w:t>
      </w:r>
      <w:r w:rsidRPr="00BD068C">
        <w:t xml:space="preserve"> (46-365 </w:t>
      </w:r>
      <w:r w:rsidR="0076709F" w:rsidRPr="0071249E">
        <w:t>%</w:t>
      </w:r>
      <w:r w:rsidRPr="00BD068C">
        <w:t>) и С</w:t>
      </w:r>
      <w:r w:rsidR="0076709F" w:rsidRPr="0071249E">
        <w:rPr>
          <w:vertAlign w:val="subscript"/>
          <w:lang w:val="en-US"/>
        </w:rPr>
        <w:t>max</w:t>
      </w:r>
      <w:r w:rsidRPr="00BD068C">
        <w:t xml:space="preserve"> на 82</w:t>
      </w:r>
      <w:r w:rsidR="0076709F" w:rsidRPr="0071249E">
        <w:t>%</w:t>
      </w:r>
      <w:r w:rsidRPr="00BD068C">
        <w:t xml:space="preserve"> (25</w:t>
      </w:r>
      <w:r w:rsidR="0076709F" w:rsidRPr="0071249E">
        <w:t>-</w:t>
      </w:r>
      <w:r w:rsidRPr="00BD068C">
        <w:t>158</w:t>
      </w:r>
      <w:r w:rsidR="0076709F" w:rsidRPr="0071249E">
        <w:t>%</w:t>
      </w:r>
      <w:r w:rsidRPr="00BD068C">
        <w:t>) по сравнению с применением только одного эверолимуса. При изменении дозы циклоспорина может потребоваться коррекция режима дозирования эверолимуса.</w:t>
      </w:r>
    </w:p>
    <w:p w14:paraId="732FCF34" w14:textId="18BA829D" w:rsidR="00BD068C" w:rsidRPr="0071249E" w:rsidRDefault="00BD068C" w:rsidP="0071249E">
      <w:pPr>
        <w:spacing w:after="0"/>
        <w:rPr>
          <w:i/>
        </w:rPr>
      </w:pPr>
      <w:r w:rsidRPr="0071249E">
        <w:rPr>
          <w:i/>
        </w:rPr>
        <w:t xml:space="preserve">Эритромицин (ингибитор изофермента </w:t>
      </w:r>
      <w:r w:rsidR="0076709F">
        <w:rPr>
          <w:i/>
          <w:lang w:val="en-US"/>
        </w:rPr>
        <w:t>CYP</w:t>
      </w:r>
      <w:r w:rsidR="0076709F" w:rsidRPr="0071249E">
        <w:rPr>
          <w:i/>
        </w:rPr>
        <w:t>3</w:t>
      </w:r>
      <w:r w:rsidR="0076709F">
        <w:rPr>
          <w:i/>
          <w:lang w:val="en-US"/>
        </w:rPr>
        <w:t>A</w:t>
      </w:r>
      <w:r w:rsidR="0076709F" w:rsidRPr="0071249E">
        <w:rPr>
          <w:i/>
        </w:rPr>
        <w:t>4</w:t>
      </w:r>
      <w:r w:rsidRPr="0071249E">
        <w:rPr>
          <w:i/>
        </w:rPr>
        <w:t>)</w:t>
      </w:r>
    </w:p>
    <w:p w14:paraId="0C2D04B1" w14:textId="32EE6B08" w:rsidR="00BD068C" w:rsidRPr="00BD068C" w:rsidRDefault="00BD068C" w:rsidP="0071249E">
      <w:pPr>
        <w:spacing w:after="0" w:line="240" w:lineRule="auto"/>
        <w:ind w:right="28" w:firstLine="709"/>
      </w:pPr>
      <w:r w:rsidRPr="00BD068C">
        <w:t xml:space="preserve">После приема многократных доз эритромицина с последующей однократной дозой </w:t>
      </w:r>
      <w:r w:rsidR="0076709F">
        <w:t>эверолимуса</w:t>
      </w:r>
      <w:r w:rsidRPr="00BD068C">
        <w:t xml:space="preserve"> у здоровых добровольцев наблюдалось увеличение С</w:t>
      </w:r>
      <w:r w:rsidR="0076709F" w:rsidRPr="0071249E">
        <w:rPr>
          <w:vertAlign w:val="subscript"/>
          <w:lang w:val="en-US"/>
        </w:rPr>
        <w:t>max</w:t>
      </w:r>
      <w:r w:rsidRPr="00BD068C">
        <w:t xml:space="preserve"> эверолимуса в 2 раза, и AUC в 4,5 раз.</w:t>
      </w:r>
    </w:p>
    <w:p w14:paraId="3619A516" w14:textId="747DB5F3" w:rsidR="00BD068C" w:rsidRPr="0071249E" w:rsidRDefault="00BD068C" w:rsidP="0071249E">
      <w:pPr>
        <w:spacing w:after="0" w:line="240" w:lineRule="auto"/>
        <w:rPr>
          <w:i/>
        </w:rPr>
      </w:pPr>
      <w:r w:rsidRPr="0071249E">
        <w:rPr>
          <w:i/>
        </w:rPr>
        <w:t xml:space="preserve">Верстами (ингибитор изофермента </w:t>
      </w:r>
      <w:r w:rsidR="0076709F" w:rsidRPr="0076709F">
        <w:rPr>
          <w:i/>
          <w:lang w:val="en-US"/>
        </w:rPr>
        <w:t>CYP</w:t>
      </w:r>
      <w:r w:rsidR="0076709F" w:rsidRPr="0076709F">
        <w:rPr>
          <w:i/>
        </w:rPr>
        <w:t>3</w:t>
      </w:r>
      <w:r w:rsidR="0076709F" w:rsidRPr="0076709F">
        <w:rPr>
          <w:i/>
          <w:lang w:val="en-US"/>
        </w:rPr>
        <w:t>A</w:t>
      </w:r>
      <w:r w:rsidR="0076709F" w:rsidRPr="0076709F">
        <w:rPr>
          <w:i/>
        </w:rPr>
        <w:t>4</w:t>
      </w:r>
      <w:r w:rsidRPr="0071249E">
        <w:rPr>
          <w:i/>
        </w:rPr>
        <w:t>)</w:t>
      </w:r>
    </w:p>
    <w:p w14:paraId="57DAEDCD" w14:textId="6CBEC03B" w:rsidR="00BD068C" w:rsidRPr="00BD068C" w:rsidRDefault="00BD068C" w:rsidP="0071249E">
      <w:pPr>
        <w:spacing w:after="0" w:line="240" w:lineRule="auto"/>
        <w:ind w:right="28" w:firstLine="709"/>
      </w:pPr>
      <w:r w:rsidRPr="00BD068C">
        <w:t xml:space="preserve">После приема многократных доз верапамила с последующей однократной дозой </w:t>
      </w:r>
      <w:r w:rsidR="0076709F">
        <w:t xml:space="preserve">эверолимуса </w:t>
      </w:r>
      <w:r w:rsidRPr="00BD068C">
        <w:t>у здоровых добровольцев С</w:t>
      </w:r>
      <w:r w:rsidR="0076709F" w:rsidRPr="0071249E">
        <w:rPr>
          <w:vertAlign w:val="subscript"/>
          <w:lang w:val="en-US"/>
        </w:rPr>
        <w:t>max</w:t>
      </w:r>
      <w:r w:rsidRPr="00BD068C">
        <w:t xml:space="preserve"> эверолимуса возрастала в 2,3 раза, а AUC — в 3,5 раз.</w:t>
      </w:r>
    </w:p>
    <w:p w14:paraId="641E5568" w14:textId="77777777" w:rsidR="0076709F" w:rsidRPr="0071249E" w:rsidRDefault="0076709F" w:rsidP="0071249E">
      <w:pPr>
        <w:spacing w:after="0" w:line="240" w:lineRule="auto"/>
        <w:ind w:right="28"/>
        <w:rPr>
          <w:i/>
          <w:u w:val="single"/>
        </w:rPr>
      </w:pPr>
      <w:r w:rsidRPr="0071249E">
        <w:rPr>
          <w:i/>
          <w:u w:val="single"/>
        </w:rPr>
        <w:t xml:space="preserve">Влияние эверолимуса </w:t>
      </w:r>
      <w:r w:rsidR="00BD068C" w:rsidRPr="0071249E">
        <w:rPr>
          <w:i/>
          <w:u w:val="single"/>
        </w:rPr>
        <w:t xml:space="preserve">на </w:t>
      </w:r>
      <w:r w:rsidRPr="0071249E">
        <w:rPr>
          <w:i/>
          <w:u w:val="single"/>
        </w:rPr>
        <w:t>д</w:t>
      </w:r>
      <w:r w:rsidR="00BD068C" w:rsidRPr="0071249E">
        <w:rPr>
          <w:i/>
          <w:u w:val="single"/>
        </w:rPr>
        <w:t>ействие о</w:t>
      </w:r>
      <w:r w:rsidRPr="0071249E">
        <w:rPr>
          <w:i/>
          <w:u w:val="single"/>
        </w:rPr>
        <w:t>д</w:t>
      </w:r>
      <w:r w:rsidR="00BD068C" w:rsidRPr="0071249E">
        <w:rPr>
          <w:i/>
          <w:u w:val="single"/>
        </w:rPr>
        <w:t xml:space="preserve">новременно применяемых препаратов </w:t>
      </w:r>
    </w:p>
    <w:p w14:paraId="04E1C0F8" w14:textId="5DC83176" w:rsidR="00BD068C" w:rsidRPr="00BD068C" w:rsidRDefault="00BD068C" w:rsidP="0071249E">
      <w:pPr>
        <w:spacing w:after="0" w:line="240" w:lineRule="auto"/>
        <w:ind w:right="28"/>
      </w:pPr>
      <w:r w:rsidRPr="0071249E">
        <w:rPr>
          <w:i/>
        </w:rPr>
        <w:t>Циклоспорин</w:t>
      </w:r>
    </w:p>
    <w:p w14:paraId="63B4A85B" w14:textId="04EAFB36" w:rsidR="00BD068C" w:rsidRPr="00BD068C" w:rsidRDefault="00BD068C" w:rsidP="0071249E">
      <w:pPr>
        <w:spacing w:after="0" w:line="240" w:lineRule="auto"/>
        <w:ind w:right="28" w:firstLine="709"/>
      </w:pPr>
      <w:r w:rsidRPr="00BD068C">
        <w:t xml:space="preserve">Клиническая значимость влияния </w:t>
      </w:r>
      <w:r w:rsidR="0076709F">
        <w:t>эвероимуса</w:t>
      </w:r>
      <w:r w:rsidRPr="00BD068C">
        <w:t xml:space="preserve"> на фармакокинетику циклоспорина минимальна у пациентов с трансплантатом почки и сердца, получающих циклоспорин в форме микроэмульсии.</w:t>
      </w:r>
    </w:p>
    <w:p w14:paraId="24ABA917" w14:textId="2C8FBC6C" w:rsidR="00BD068C" w:rsidRPr="0071249E" w:rsidRDefault="00BD068C" w:rsidP="0071249E">
      <w:pPr>
        <w:spacing w:after="0" w:line="240" w:lineRule="auto"/>
        <w:rPr>
          <w:i/>
        </w:rPr>
      </w:pPr>
      <w:r w:rsidRPr="0071249E">
        <w:rPr>
          <w:i/>
        </w:rPr>
        <w:t>Октреоти</w:t>
      </w:r>
      <w:r w:rsidR="0076709F" w:rsidRPr="0071249E">
        <w:rPr>
          <w:i/>
        </w:rPr>
        <w:t>д</w:t>
      </w:r>
    </w:p>
    <w:p w14:paraId="68829EC3" w14:textId="77777777" w:rsidR="00BD068C" w:rsidRPr="00BD068C" w:rsidRDefault="00BD068C" w:rsidP="0071249E">
      <w:pPr>
        <w:spacing w:after="0" w:line="240" w:lineRule="auto"/>
        <w:ind w:right="28" w:firstLine="709"/>
      </w:pPr>
      <w:r w:rsidRPr="00BD068C">
        <w:t>При одновременном применении эверолимуса и октреотида C</w:t>
      </w:r>
      <w:r w:rsidRPr="0071249E">
        <w:rPr>
          <w:vertAlign w:val="subscript"/>
        </w:rPr>
        <w:t>min</w:t>
      </w:r>
      <w:r w:rsidRPr="00BD068C">
        <w:t xml:space="preserve"> последнего увеличивалась со средним геометрическим отношением (эверолимус к плацебо) в 1,47 раз.</w:t>
      </w:r>
    </w:p>
    <w:p w14:paraId="76117CA6" w14:textId="1A1E2E50" w:rsidR="00BD068C" w:rsidRPr="0071249E" w:rsidRDefault="00BD068C" w:rsidP="0071249E">
      <w:pPr>
        <w:spacing w:after="0" w:line="240" w:lineRule="auto"/>
        <w:rPr>
          <w:i/>
        </w:rPr>
      </w:pPr>
      <w:r w:rsidRPr="0071249E">
        <w:rPr>
          <w:i/>
        </w:rPr>
        <w:t>Аторваста</w:t>
      </w:r>
      <w:r w:rsidR="0076709F" w:rsidRPr="0071249E">
        <w:rPr>
          <w:i/>
        </w:rPr>
        <w:t>тин</w:t>
      </w:r>
      <w:r w:rsidRPr="0071249E">
        <w:rPr>
          <w:i/>
        </w:rPr>
        <w:t xml:space="preserve"> (субстрат изофермента </w:t>
      </w:r>
      <w:r w:rsidR="0076709F" w:rsidRPr="0071249E">
        <w:rPr>
          <w:i/>
          <w:lang w:val="en-US"/>
        </w:rPr>
        <w:t>CYP</w:t>
      </w:r>
      <w:r w:rsidR="0076709F" w:rsidRPr="0071249E">
        <w:rPr>
          <w:i/>
        </w:rPr>
        <w:t>3</w:t>
      </w:r>
      <w:r w:rsidR="0076709F" w:rsidRPr="0071249E">
        <w:rPr>
          <w:i/>
          <w:lang w:val="en-US"/>
        </w:rPr>
        <w:t>A</w:t>
      </w:r>
      <w:r w:rsidR="0076709F" w:rsidRPr="0071249E">
        <w:rPr>
          <w:i/>
        </w:rPr>
        <w:t>4</w:t>
      </w:r>
      <w:r w:rsidRPr="0071249E">
        <w:rPr>
          <w:i/>
        </w:rPr>
        <w:t>) и правастатин (субстрат Р</w:t>
      </w:r>
      <w:r w:rsidR="0076709F" w:rsidRPr="0071249E">
        <w:rPr>
          <w:i/>
        </w:rPr>
        <w:t>-</w:t>
      </w:r>
      <w:r w:rsidRPr="0071249E">
        <w:rPr>
          <w:i/>
        </w:rPr>
        <w:t>гликопротеина)</w:t>
      </w:r>
    </w:p>
    <w:p w14:paraId="17E7D608" w14:textId="77777777" w:rsidR="00BD068C" w:rsidRPr="00BD068C" w:rsidRDefault="00BD068C" w:rsidP="0071249E">
      <w:pPr>
        <w:spacing w:after="0" w:line="240" w:lineRule="auto"/>
        <w:ind w:right="28" w:firstLine="709"/>
      </w:pPr>
      <w:r w:rsidRPr="00BD068C">
        <w:t>При приеме однократной дозы препарата с аторвастатином или правастатином у здоровых добровольцев не отмечено клинически значимого влияния на фармакокинетику аторвастатина, правастатина и эверолимуса, так же, как и на общую биореактивность ГМГ-КоА-редуктазы в плазме крови. Однако, эти результаты не могут быть экстраполированы на другие ингибиторы ГМГ-КоА-редуктазы. Пациентов, получающих ингибиторы ГМГ-КоА-редуктазы, следует наблюдать на предмет развития рабдомиолиза и других НЯ в соответствии с инструкцией по медицинскому применению вышеуказанных средств.</w:t>
      </w:r>
    </w:p>
    <w:p w14:paraId="340AAFC6" w14:textId="5B9E1FF3" w:rsidR="00BD068C" w:rsidRPr="0071249E" w:rsidRDefault="00BD068C" w:rsidP="0071249E">
      <w:pPr>
        <w:spacing w:after="0" w:line="240" w:lineRule="auto"/>
        <w:rPr>
          <w:i/>
        </w:rPr>
      </w:pPr>
      <w:r w:rsidRPr="0071249E">
        <w:rPr>
          <w:i/>
        </w:rPr>
        <w:t>Ми</w:t>
      </w:r>
      <w:r w:rsidR="0076709F" w:rsidRPr="0071249E">
        <w:rPr>
          <w:i/>
        </w:rPr>
        <w:t>д</w:t>
      </w:r>
      <w:r w:rsidRPr="0071249E">
        <w:rPr>
          <w:i/>
        </w:rPr>
        <w:t xml:space="preserve">азолам (субстрат изофермента </w:t>
      </w:r>
      <w:r w:rsidR="0076709F" w:rsidRPr="0071249E">
        <w:rPr>
          <w:i/>
          <w:lang w:val="en-US"/>
        </w:rPr>
        <w:t>CYP</w:t>
      </w:r>
      <w:r w:rsidR="0076709F" w:rsidRPr="0071249E">
        <w:rPr>
          <w:i/>
        </w:rPr>
        <w:t>3</w:t>
      </w:r>
      <w:r w:rsidR="0076709F" w:rsidRPr="0071249E">
        <w:rPr>
          <w:i/>
          <w:lang w:val="en-US"/>
        </w:rPr>
        <w:t>A</w:t>
      </w:r>
      <w:r w:rsidR="0076709F" w:rsidRPr="0071249E">
        <w:rPr>
          <w:i/>
        </w:rPr>
        <w:t>4</w:t>
      </w:r>
      <w:r w:rsidRPr="0071249E">
        <w:rPr>
          <w:i/>
        </w:rPr>
        <w:t>)</w:t>
      </w:r>
    </w:p>
    <w:p w14:paraId="1906019E" w14:textId="6C122941" w:rsidR="00BD068C" w:rsidRPr="00BD068C" w:rsidRDefault="00BD068C" w:rsidP="0071249E">
      <w:pPr>
        <w:spacing w:after="0" w:line="240" w:lineRule="auto"/>
        <w:ind w:firstLine="709"/>
      </w:pPr>
      <w:r w:rsidRPr="00BD068C">
        <w:t>В перекрестном исследовании лекарственного взаимодействия с фиксированной последовательностью приема с двумя периодами 25 здоровых добровольцев получали 4 мг мидазолама однократно внутрь в первом периоде; во втором периоде добровольцы принимали эверолимус один раз в сутки в дозе 10 мг в течение 5 дней, а также 4 мг мидазолама однократно с</w:t>
      </w:r>
      <w:r w:rsidR="0076709F">
        <w:t xml:space="preserve"> последней дозой эверолимуса. С</w:t>
      </w:r>
      <w:r w:rsidR="0076709F" w:rsidRPr="0071249E">
        <w:rPr>
          <w:vertAlign w:val="subscript"/>
          <w:lang w:val="en-US"/>
        </w:rPr>
        <w:t>max</w:t>
      </w:r>
      <w:r w:rsidRPr="00BD068C">
        <w:t xml:space="preserve"> мидазолама увеличивалась в 1,25 раз (90</w:t>
      </w:r>
      <w:r w:rsidR="0076709F" w:rsidRPr="0071249E">
        <w:t>%</w:t>
      </w:r>
      <w:r w:rsidR="0076709F">
        <w:t xml:space="preserve"> ДИ, 1,14-1</w:t>
      </w:r>
      <w:r w:rsidRPr="00BD068C">
        <w:t xml:space="preserve">,37), AUC (терминальной) мидазолама - в 1,3 раза (1,22-1,39). Период полувыведения мидазолама не изменялся. В результате исследования показано, что мидазолам является слабым ингибитором изофермента </w:t>
      </w:r>
      <w:r w:rsidR="0076709F">
        <w:rPr>
          <w:lang w:val="en-US"/>
        </w:rPr>
        <w:t>CYP</w:t>
      </w:r>
      <w:r w:rsidR="0076709F" w:rsidRPr="0071249E">
        <w:t>3</w:t>
      </w:r>
      <w:r w:rsidRPr="00BD068C">
        <w:t>А4.</w:t>
      </w:r>
    </w:p>
    <w:p w14:paraId="21CBC050" w14:textId="77777777" w:rsidR="005D0AAE" w:rsidRDefault="005D0AAE" w:rsidP="0071249E">
      <w:pPr>
        <w:spacing w:after="0" w:line="240" w:lineRule="auto"/>
        <w:ind w:right="28"/>
        <w:rPr>
          <w:b/>
          <w:i/>
        </w:rPr>
      </w:pPr>
    </w:p>
    <w:p w14:paraId="1678D734" w14:textId="2680445F" w:rsidR="00BD068C" w:rsidRPr="0071249E" w:rsidRDefault="00BD068C" w:rsidP="0071249E">
      <w:pPr>
        <w:spacing w:after="0" w:line="240" w:lineRule="auto"/>
        <w:ind w:right="28"/>
        <w:rPr>
          <w:b/>
          <w:i/>
        </w:rPr>
      </w:pPr>
      <w:r w:rsidRPr="0071249E">
        <w:rPr>
          <w:b/>
          <w:i/>
        </w:rPr>
        <w:t>Ожидаемые лекарственные взаимо</w:t>
      </w:r>
      <w:r w:rsidR="0076709F" w:rsidRPr="0071249E">
        <w:rPr>
          <w:b/>
          <w:i/>
        </w:rPr>
        <w:t>д</w:t>
      </w:r>
      <w:r w:rsidRPr="0071249E">
        <w:rPr>
          <w:b/>
          <w:i/>
        </w:rPr>
        <w:t>ействия, которые сле</w:t>
      </w:r>
      <w:r w:rsidR="0076709F" w:rsidRPr="0071249E">
        <w:rPr>
          <w:b/>
          <w:i/>
        </w:rPr>
        <w:t>д</w:t>
      </w:r>
      <w:r w:rsidRPr="0071249E">
        <w:rPr>
          <w:b/>
          <w:i/>
        </w:rPr>
        <w:t>ует учитывать при одновременном применении</w:t>
      </w:r>
    </w:p>
    <w:p w14:paraId="34E4A056" w14:textId="0B5C6B0A" w:rsidR="00BD068C" w:rsidRPr="0071249E" w:rsidRDefault="00BD068C" w:rsidP="0071249E">
      <w:pPr>
        <w:spacing w:after="0" w:line="240" w:lineRule="auto"/>
        <w:rPr>
          <w:i/>
          <w:u w:val="single"/>
        </w:rPr>
      </w:pPr>
      <w:r w:rsidRPr="0071249E">
        <w:rPr>
          <w:i/>
          <w:u w:val="single"/>
        </w:rPr>
        <w:t xml:space="preserve">Препараты, влияющие на </w:t>
      </w:r>
      <w:r w:rsidR="0076709F" w:rsidRPr="0071249E">
        <w:rPr>
          <w:i/>
          <w:u w:val="single"/>
        </w:rPr>
        <w:t>д</w:t>
      </w:r>
      <w:r w:rsidRPr="0071249E">
        <w:rPr>
          <w:i/>
          <w:u w:val="single"/>
        </w:rPr>
        <w:t xml:space="preserve">ействие </w:t>
      </w:r>
      <w:r w:rsidR="0076709F" w:rsidRPr="0071249E">
        <w:rPr>
          <w:i/>
          <w:u w:val="single"/>
        </w:rPr>
        <w:t>эверолимуса</w:t>
      </w:r>
    </w:p>
    <w:p w14:paraId="41E7D0CB" w14:textId="7C2529BC" w:rsidR="00BD068C" w:rsidRPr="0071249E" w:rsidRDefault="00BD068C" w:rsidP="0071249E">
      <w:pPr>
        <w:spacing w:after="0" w:line="240" w:lineRule="auto"/>
        <w:ind w:right="28"/>
        <w:rPr>
          <w:i/>
        </w:rPr>
      </w:pPr>
      <w:r w:rsidRPr="0071249E">
        <w:rPr>
          <w:i/>
        </w:rPr>
        <w:t>Умеренные ин</w:t>
      </w:r>
      <w:r w:rsidR="0076709F" w:rsidRPr="0071249E">
        <w:rPr>
          <w:i/>
        </w:rPr>
        <w:t>д</w:t>
      </w:r>
      <w:r w:rsidRPr="0071249E">
        <w:rPr>
          <w:i/>
        </w:rPr>
        <w:t xml:space="preserve">укторы изофермента </w:t>
      </w:r>
      <w:r w:rsidR="0076709F" w:rsidRPr="0071249E">
        <w:rPr>
          <w:i/>
          <w:lang w:val="en-US"/>
        </w:rPr>
        <w:t>CYP</w:t>
      </w:r>
      <w:r w:rsidR="0076709F" w:rsidRPr="0071249E">
        <w:rPr>
          <w:i/>
        </w:rPr>
        <w:t>3</w:t>
      </w:r>
      <w:r w:rsidR="0076709F" w:rsidRPr="0071249E">
        <w:rPr>
          <w:i/>
          <w:lang w:val="en-US"/>
        </w:rPr>
        <w:t>A</w:t>
      </w:r>
      <w:r w:rsidR="0076709F" w:rsidRPr="0071249E">
        <w:rPr>
          <w:i/>
        </w:rPr>
        <w:t>4</w:t>
      </w:r>
    </w:p>
    <w:p w14:paraId="7541D582" w14:textId="41AF6587" w:rsidR="00BD068C" w:rsidRPr="00BD068C" w:rsidRDefault="00BD068C" w:rsidP="0071249E">
      <w:pPr>
        <w:spacing w:after="0" w:line="240" w:lineRule="auto"/>
        <w:ind w:right="28" w:firstLine="709"/>
      </w:pPr>
      <w:r w:rsidRPr="00BD068C">
        <w:t xml:space="preserve">Умеренные индукторы изофермента </w:t>
      </w:r>
      <w:r w:rsidR="0076709F">
        <w:rPr>
          <w:lang w:val="en-US"/>
        </w:rPr>
        <w:t>CYP</w:t>
      </w:r>
      <w:r w:rsidR="0076709F" w:rsidRPr="0071249E">
        <w:t>3</w:t>
      </w:r>
      <w:r w:rsidR="0076709F">
        <w:rPr>
          <w:lang w:val="en-US"/>
        </w:rPr>
        <w:t>A</w:t>
      </w:r>
      <w:r w:rsidR="0076709F" w:rsidRPr="0076709F">
        <w:t>4</w:t>
      </w:r>
      <w:r w:rsidRPr="00BD068C">
        <w:t xml:space="preserve"> могут повышать метаболизм эверолимуса и уменьшать концентрации эверолимуса в крови (например, Зверобой продырявленный; противосудорожные средства: карбамазепин, фенобарбитал, фенитоин; противовирусные средства, в том числе для лечения ВИЧ-инфекции: эфавиренц, невирапин).</w:t>
      </w:r>
    </w:p>
    <w:p w14:paraId="79A8CD4A" w14:textId="2854A68C" w:rsidR="00BD068C" w:rsidRPr="0071249E" w:rsidRDefault="00BD068C" w:rsidP="0071249E">
      <w:pPr>
        <w:spacing w:after="0" w:line="240" w:lineRule="auto"/>
        <w:ind w:right="28"/>
        <w:jc w:val="left"/>
        <w:rPr>
          <w:i/>
        </w:rPr>
      </w:pPr>
      <w:r w:rsidRPr="0071249E">
        <w:rPr>
          <w:i/>
        </w:rPr>
        <w:t xml:space="preserve">Умеренные ингибиторы изофермента </w:t>
      </w:r>
      <w:r w:rsidR="0076709F" w:rsidRPr="002F4664">
        <w:rPr>
          <w:i/>
          <w:lang w:val="en-US"/>
        </w:rPr>
        <w:t>CYP</w:t>
      </w:r>
      <w:r w:rsidR="0076709F" w:rsidRPr="002F4664">
        <w:rPr>
          <w:i/>
        </w:rPr>
        <w:t>3</w:t>
      </w:r>
      <w:r w:rsidR="0076709F" w:rsidRPr="002F4664">
        <w:rPr>
          <w:i/>
          <w:lang w:val="en-US"/>
        </w:rPr>
        <w:t>A</w:t>
      </w:r>
      <w:r w:rsidR="0076709F" w:rsidRPr="002F4664">
        <w:rPr>
          <w:i/>
        </w:rPr>
        <w:t>4</w:t>
      </w:r>
    </w:p>
    <w:p w14:paraId="5BD893D5" w14:textId="13897E19" w:rsidR="00BD068C" w:rsidRPr="00BD068C" w:rsidRDefault="00BD068C" w:rsidP="0071249E">
      <w:pPr>
        <w:spacing w:after="0" w:line="240" w:lineRule="auto"/>
        <w:ind w:right="28" w:firstLine="709"/>
      </w:pPr>
      <w:r w:rsidRPr="00BD068C">
        <w:t xml:space="preserve">Умеренные ингибиторы изофермента </w:t>
      </w:r>
      <w:r w:rsidR="0076709F">
        <w:rPr>
          <w:lang w:val="en-US"/>
        </w:rPr>
        <w:t>CYP</w:t>
      </w:r>
      <w:r w:rsidR="0076709F" w:rsidRPr="0071249E">
        <w:t>3</w:t>
      </w:r>
      <w:r w:rsidR="0076709F">
        <w:rPr>
          <w:lang w:val="en-US"/>
        </w:rPr>
        <w:t>A</w:t>
      </w:r>
      <w:r w:rsidR="0076709F" w:rsidRPr="0071249E">
        <w:t>4</w:t>
      </w:r>
      <w:r w:rsidRPr="00BD068C">
        <w:t xml:space="preserve"> и Р-гликопротеина могут повышать концентрацию эверолимуса в крови (например, противогрибковые средства - флуконазол; блокаторы «медленных» кальциевых каналов - никардипин, дилтиазем; противовирусные средства (ингибиторы протеазы), в том числе для лечения ВИЧ-инфекции: нелфинавир, индинавир, ампренавир).</w:t>
      </w:r>
    </w:p>
    <w:p w14:paraId="1EAC2746" w14:textId="77777777" w:rsidR="00BD068C" w:rsidRPr="0071249E" w:rsidRDefault="00BD068C" w:rsidP="0071249E">
      <w:pPr>
        <w:spacing w:after="0" w:line="240" w:lineRule="auto"/>
        <w:ind w:right="28"/>
        <w:rPr>
          <w:i/>
        </w:rPr>
      </w:pPr>
      <w:r w:rsidRPr="0071249E">
        <w:rPr>
          <w:i/>
        </w:rPr>
        <w:t>Ингибиторы Р-гликопротеина</w:t>
      </w:r>
    </w:p>
    <w:p w14:paraId="4D6B7A8D" w14:textId="3D4015C9" w:rsidR="00BD068C" w:rsidRPr="0076709F" w:rsidRDefault="00BD068C" w:rsidP="0071249E">
      <w:pPr>
        <w:spacing w:after="0" w:line="240" w:lineRule="auto"/>
        <w:ind w:right="28" w:firstLine="709"/>
      </w:pPr>
      <w:r w:rsidRPr="00BD068C">
        <w:t>Ингибиторы Р-гликопротеина могут снизить высвобождение эверолимуса из кишечных клеток и повысить концентрацию эверолимуса в крови.</w:t>
      </w:r>
    </w:p>
    <w:p w14:paraId="2F49500F" w14:textId="436BFA4A" w:rsidR="00BD068C" w:rsidRPr="0071249E" w:rsidRDefault="00BD068C" w:rsidP="0071249E">
      <w:pPr>
        <w:spacing w:after="0" w:line="240" w:lineRule="auto"/>
        <w:ind w:right="28"/>
        <w:rPr>
          <w:i/>
        </w:rPr>
      </w:pPr>
      <w:r w:rsidRPr="0071249E">
        <w:rPr>
          <w:i/>
        </w:rPr>
        <w:t xml:space="preserve">Изоферменты </w:t>
      </w:r>
      <w:r w:rsidR="0076709F" w:rsidRPr="0071249E">
        <w:rPr>
          <w:i/>
          <w:lang w:val="en-US"/>
        </w:rPr>
        <w:t>CYP</w:t>
      </w:r>
      <w:r w:rsidR="0076709F" w:rsidRPr="0071249E">
        <w:rPr>
          <w:i/>
        </w:rPr>
        <w:t>3</w:t>
      </w:r>
      <w:r w:rsidRPr="0071249E">
        <w:rPr>
          <w:i/>
        </w:rPr>
        <w:t>А4 и CYP2D6</w:t>
      </w:r>
    </w:p>
    <w:p w14:paraId="2A912B50" w14:textId="7297A04B" w:rsidR="00BD068C" w:rsidRPr="0076709F" w:rsidRDefault="00BD068C" w:rsidP="0071249E">
      <w:pPr>
        <w:spacing w:after="0" w:line="240" w:lineRule="auto"/>
        <w:ind w:right="28" w:firstLine="709"/>
      </w:pPr>
      <w:r w:rsidRPr="0071249E">
        <w:rPr>
          <w:i/>
        </w:rPr>
        <w:t>In vitro</w:t>
      </w:r>
      <w:r w:rsidRPr="0076709F">
        <w:t xml:space="preserve"> эверолимус являлся конкурентным ингибитором изоферментов </w:t>
      </w:r>
      <w:r w:rsidR="0076709F">
        <w:rPr>
          <w:lang w:val="en-US"/>
        </w:rPr>
        <w:t>CYP</w:t>
      </w:r>
      <w:r w:rsidR="0076709F" w:rsidRPr="0071249E">
        <w:t>3</w:t>
      </w:r>
      <w:r w:rsidRPr="0076709F">
        <w:t xml:space="preserve">А4 и CYP2D6, потенциально увеличивающим концентрации препаратов, выводящихся при участии этих изоферментов. Таким образом, следует соблюдать осторожность при одновременном применении </w:t>
      </w:r>
      <w:r w:rsidR="0076709F">
        <w:t xml:space="preserve">эверолимуса </w:t>
      </w:r>
      <w:r w:rsidRPr="0076709F">
        <w:t xml:space="preserve">с субстратами изоферментов </w:t>
      </w:r>
      <w:r w:rsidR="0076709F">
        <w:rPr>
          <w:lang w:val="en-US"/>
        </w:rPr>
        <w:t>CYP</w:t>
      </w:r>
      <w:r w:rsidR="0076709F" w:rsidRPr="0071249E">
        <w:t>3</w:t>
      </w:r>
      <w:r w:rsidRPr="0076709F">
        <w:t>А4 (например, пимозид, терфенадин, астемизол, цизаприд, хинидин или производные алкалоидов спорыньи) и CYP2D6, имеющими узкий терапевтический диапазон.</w:t>
      </w:r>
    </w:p>
    <w:p w14:paraId="1E376A11" w14:textId="53B73CC8" w:rsidR="00BD068C" w:rsidRPr="0071249E" w:rsidRDefault="00BD068C" w:rsidP="0071249E">
      <w:pPr>
        <w:spacing w:after="0" w:line="240" w:lineRule="auto"/>
        <w:ind w:right="28"/>
        <w:rPr>
          <w:i/>
        </w:rPr>
      </w:pPr>
      <w:r w:rsidRPr="0071249E">
        <w:rPr>
          <w:i/>
        </w:rPr>
        <w:t xml:space="preserve">Такролимус (ингибитор изофермента </w:t>
      </w:r>
      <w:r w:rsidR="0076709F" w:rsidRPr="0071249E">
        <w:rPr>
          <w:i/>
          <w:lang w:val="en-US"/>
        </w:rPr>
        <w:t>CYP</w:t>
      </w:r>
      <w:r w:rsidR="0076709F" w:rsidRPr="0071249E">
        <w:rPr>
          <w:i/>
        </w:rPr>
        <w:t>3</w:t>
      </w:r>
      <w:r w:rsidRPr="0071249E">
        <w:rPr>
          <w:i/>
        </w:rPr>
        <w:t>А4)</w:t>
      </w:r>
    </w:p>
    <w:p w14:paraId="6C4F4F85" w14:textId="17459023" w:rsidR="00BD068C" w:rsidRPr="0076709F" w:rsidRDefault="00BD068C" w:rsidP="0071249E">
      <w:pPr>
        <w:spacing w:after="0" w:line="240" w:lineRule="auto"/>
        <w:ind w:right="28" w:firstLine="709"/>
      </w:pPr>
      <w:r w:rsidRPr="0076709F">
        <w:t xml:space="preserve">Такролимус ингибирует только </w:t>
      </w:r>
      <w:r w:rsidR="0076709F">
        <w:rPr>
          <w:lang w:val="en-US"/>
        </w:rPr>
        <w:t>CYP</w:t>
      </w:r>
      <w:r w:rsidR="0076709F" w:rsidRPr="0071249E">
        <w:t>3</w:t>
      </w:r>
      <w:r w:rsidRPr="0076709F">
        <w:t>А4, не влияя на актив</w:t>
      </w:r>
      <w:r w:rsidR="0076709F">
        <w:t>ность Р-гликопротеина, и, таким</w:t>
      </w:r>
      <w:r w:rsidR="0076709F" w:rsidRPr="0071249E">
        <w:t xml:space="preserve"> </w:t>
      </w:r>
      <w:r w:rsidRPr="0076709F">
        <w:t>образом, не оказывает клинически значимого влияния на фармакокинетику эверолимуса.</w:t>
      </w:r>
    </w:p>
    <w:p w14:paraId="1588D264" w14:textId="77777777" w:rsidR="005D0AAE" w:rsidRDefault="005D0AAE" w:rsidP="0071249E">
      <w:pPr>
        <w:spacing w:after="0" w:line="240" w:lineRule="auto"/>
        <w:ind w:right="28"/>
        <w:rPr>
          <w:b/>
          <w:i/>
        </w:rPr>
      </w:pPr>
    </w:p>
    <w:p w14:paraId="39AA8113" w14:textId="6529F42A" w:rsidR="00BD068C" w:rsidRPr="0071249E" w:rsidRDefault="00BD068C" w:rsidP="0071249E">
      <w:pPr>
        <w:spacing w:after="0" w:line="240" w:lineRule="auto"/>
        <w:ind w:right="28"/>
        <w:rPr>
          <w:b/>
          <w:i/>
        </w:rPr>
      </w:pPr>
      <w:r w:rsidRPr="0071249E">
        <w:rPr>
          <w:b/>
          <w:i/>
        </w:rPr>
        <w:t>Другое возможное взаимодействие</w:t>
      </w:r>
    </w:p>
    <w:p w14:paraId="4C254D84" w14:textId="77777777" w:rsidR="00A61901" w:rsidRDefault="00BD068C" w:rsidP="0071249E">
      <w:pPr>
        <w:spacing w:after="0" w:line="240" w:lineRule="auto"/>
        <w:ind w:right="28" w:firstLine="709"/>
      </w:pPr>
      <w:r w:rsidRPr="0076709F">
        <w:t xml:space="preserve">Грейпфрут и грейпфрутовый сок влияют на активность цитохрома Р450 и Р-гликопротеина, поэтому следует избегать их употребления на фоне применения </w:t>
      </w:r>
      <w:r w:rsidR="00A61901">
        <w:t>эверолимуса.</w:t>
      </w:r>
    </w:p>
    <w:p w14:paraId="76891AF0" w14:textId="77777777" w:rsidR="005D0AAE" w:rsidRDefault="005D0AAE" w:rsidP="0071249E">
      <w:pPr>
        <w:spacing w:after="0" w:line="240" w:lineRule="auto"/>
        <w:ind w:right="28"/>
        <w:rPr>
          <w:b/>
          <w:i/>
        </w:rPr>
      </w:pPr>
    </w:p>
    <w:p w14:paraId="5D269522" w14:textId="75591BB6" w:rsidR="00BD068C" w:rsidRPr="0071249E" w:rsidRDefault="00BD068C" w:rsidP="0071249E">
      <w:pPr>
        <w:spacing w:after="0" w:line="240" w:lineRule="auto"/>
        <w:ind w:right="28"/>
        <w:rPr>
          <w:b/>
          <w:i/>
        </w:rPr>
      </w:pPr>
      <w:r w:rsidRPr="0071249E">
        <w:rPr>
          <w:b/>
          <w:i/>
        </w:rPr>
        <w:t>Вакцинация</w:t>
      </w:r>
    </w:p>
    <w:p w14:paraId="645D007F" w14:textId="37001F6A" w:rsidR="005D0AAE" w:rsidRDefault="00BD068C" w:rsidP="005D0AAE">
      <w:pPr>
        <w:spacing w:after="0" w:line="240" w:lineRule="auto"/>
        <w:ind w:right="28" w:firstLine="709"/>
      </w:pPr>
      <w:r w:rsidRPr="00BD068C">
        <w:t>Иммунодепрессанты могут оказывать влияние на ответ при вакцинации; на фоне лечения препаратом вакцинация может быть менее эффективной. Следует из</w:t>
      </w:r>
      <w:bookmarkStart w:id="412" w:name="_Toc115217993"/>
      <w:bookmarkStart w:id="413" w:name="_Toc118124237"/>
      <w:r w:rsidR="005D0AAE">
        <w:t>бегать применения живых вакцин.</w:t>
      </w:r>
    </w:p>
    <w:p w14:paraId="1C78877B" w14:textId="0F1891A0" w:rsidR="00E773EE" w:rsidRDefault="00CF6EBF" w:rsidP="00D05498">
      <w:pPr>
        <w:pStyle w:val="3"/>
        <w:tabs>
          <w:tab w:val="left" w:pos="8647"/>
        </w:tabs>
        <w:spacing w:after="240" w:line="240" w:lineRule="auto"/>
        <w:rPr>
          <w:rFonts w:ascii="Times New Roman" w:eastAsia="Courier New" w:hAnsi="Times New Roman"/>
          <w:szCs w:val="24"/>
          <w:lang w:eastAsia="ru-RU" w:bidi="ru-RU"/>
        </w:rPr>
      </w:pPr>
      <w:bookmarkStart w:id="414" w:name="_Toc119313801"/>
      <w:r w:rsidRPr="00302036">
        <w:rPr>
          <w:rFonts w:ascii="Times New Roman" w:hAnsi="Times New Roman"/>
          <w:color w:val="000000" w:themeColor="text1"/>
        </w:rPr>
        <w:t>5.3.</w:t>
      </w:r>
      <w:r w:rsidR="002817E3">
        <w:rPr>
          <w:rFonts w:ascii="Times New Roman" w:hAnsi="Times New Roman"/>
          <w:color w:val="000000" w:themeColor="text1"/>
        </w:rPr>
        <w:t>9</w:t>
      </w:r>
      <w:r w:rsidRPr="00302036">
        <w:rPr>
          <w:rFonts w:ascii="Times New Roman" w:hAnsi="Times New Roman"/>
          <w:color w:val="000000" w:themeColor="text1"/>
        </w:rPr>
        <w:t xml:space="preserve">. </w:t>
      </w:r>
      <w:r w:rsidRPr="00302036">
        <w:rPr>
          <w:rFonts w:ascii="Times New Roman" w:eastAsia="Courier New" w:hAnsi="Times New Roman"/>
          <w:szCs w:val="24"/>
          <w:lang w:eastAsia="ru-RU" w:bidi="ru-RU"/>
        </w:rPr>
        <w:t>Особые указания</w:t>
      </w:r>
      <w:bookmarkEnd w:id="412"/>
      <w:bookmarkEnd w:id="413"/>
      <w:bookmarkEnd w:id="414"/>
    </w:p>
    <w:p w14:paraId="2859623D" w14:textId="1C40093C" w:rsidR="00ED4DC1" w:rsidRPr="0071249E" w:rsidRDefault="00E773EE" w:rsidP="005D0AAE">
      <w:pPr>
        <w:spacing w:after="0" w:line="240" w:lineRule="auto"/>
        <w:rPr>
          <w:b/>
          <w:i/>
          <w:lang w:eastAsia="ru-RU" w:bidi="ru-RU"/>
        </w:rPr>
      </w:pPr>
      <w:r w:rsidRPr="0071249E">
        <w:rPr>
          <w:b/>
          <w:i/>
          <w:lang w:eastAsia="ru-RU" w:bidi="ru-RU"/>
        </w:rPr>
        <w:t>Контроль иммуносупрессии</w:t>
      </w:r>
    </w:p>
    <w:p w14:paraId="5FAF0435" w14:textId="0402419D" w:rsidR="00E773EE" w:rsidRDefault="00E773EE" w:rsidP="00D05498">
      <w:pPr>
        <w:spacing w:after="0" w:line="240" w:lineRule="auto"/>
        <w:ind w:firstLine="709"/>
        <w:rPr>
          <w:lang w:eastAsia="ru-RU" w:bidi="ru-RU"/>
        </w:rPr>
      </w:pPr>
      <w:r>
        <w:rPr>
          <w:lang w:eastAsia="ru-RU" w:bidi="ru-RU"/>
        </w:rPr>
        <w:t xml:space="preserve">Данные о применении препарата без ингибиторов кальциневрина (циклоспорин или такролимус) ограничены. У пациентов, которые прекратили прием ингибиторов кальциневрина, отмечено увеличение риска развития острого отторжения трансплантата по сравненю с теми, кто продолжил прием указанных препаратов. В клинических исследованиях препарат эверолимус применяли в комбинации с циклоспорином в форме микроэмульсии, или с такролимусом, базиликсимабом и </w:t>
      </w:r>
      <w:r w:rsidR="00816F37">
        <w:rPr>
          <w:lang w:eastAsia="ru-RU" w:bidi="ru-RU"/>
        </w:rPr>
        <w:t>глюкокортикостероидами.</w:t>
      </w:r>
      <w:r>
        <w:rPr>
          <w:lang w:eastAsia="ru-RU" w:bidi="ru-RU"/>
        </w:rPr>
        <w:t xml:space="preserve"> Применение препарата с иными иммуносупрессантами изучено недостаточно. Применение препарата у пациентов с высоким иммунологическим риском изучено недостаточно.</w:t>
      </w:r>
    </w:p>
    <w:p w14:paraId="58CF7D4F" w14:textId="77777777" w:rsidR="00E773EE" w:rsidRDefault="00E773EE" w:rsidP="00E773EE">
      <w:pPr>
        <w:spacing w:after="0" w:line="240" w:lineRule="auto"/>
        <w:rPr>
          <w:lang w:eastAsia="ru-RU" w:bidi="ru-RU"/>
        </w:rPr>
      </w:pPr>
    </w:p>
    <w:p w14:paraId="4EC9C27F" w14:textId="659BE825" w:rsidR="00E773EE" w:rsidRPr="00E773EE" w:rsidRDefault="00E773EE" w:rsidP="00E773EE">
      <w:pPr>
        <w:spacing w:after="0" w:line="240" w:lineRule="auto"/>
        <w:rPr>
          <w:i/>
          <w:lang w:eastAsia="ru-RU" w:bidi="ru-RU"/>
        </w:rPr>
      </w:pPr>
      <w:r w:rsidRPr="0071249E">
        <w:rPr>
          <w:b/>
          <w:i/>
          <w:lang w:eastAsia="ru-RU" w:bidi="ru-RU"/>
        </w:rPr>
        <w:t>Комбинированная терапия с индукцией тимоглобулином</w:t>
      </w:r>
    </w:p>
    <w:p w14:paraId="40F86A2C" w14:textId="5C4349F1" w:rsidR="00E773EE" w:rsidRDefault="00E773EE" w:rsidP="00D05498">
      <w:pPr>
        <w:spacing w:after="0" w:line="240" w:lineRule="auto"/>
        <w:ind w:firstLine="709"/>
        <w:rPr>
          <w:lang w:eastAsia="ru-RU" w:bidi="ru-RU"/>
        </w:rPr>
      </w:pPr>
      <w:r>
        <w:rPr>
          <w:lang w:eastAsia="ru-RU" w:bidi="ru-RU"/>
        </w:rPr>
        <w:t>Следует соблюдать осторожность при индукции тимоглобулином (кроличий антитимоцитарный антиген) и комбинированным режимом иммуносупрессии эверолимус/циклоспорин/глюкокортикостероид. В клиническом исследовании у подгруппы реципиентов сердца, получавших индукционную терапию тимоглобулином в комбинации с эверолимусом, уиклоспорином и глюкокортикостероидом отмечено увеличение частоты развития серьезных инфекций в первые 3 месяца после трансплантации. Отмечена так же ассоциация данныого явления с увеличением смертности у пациентов, которым перед проведением трансплантации требовалась госпитализация или устройство для вспомогательного кровообращеия, предполоительно в связи с тем, что данные пациены более уязвимы при проведении интенсивной иммуносупрессии.</w:t>
      </w:r>
    </w:p>
    <w:p w14:paraId="24402791" w14:textId="77777777" w:rsidR="00F12794" w:rsidRDefault="00F12794" w:rsidP="00E773EE">
      <w:pPr>
        <w:spacing w:after="0" w:line="240" w:lineRule="auto"/>
        <w:rPr>
          <w:lang w:eastAsia="ru-RU" w:bidi="ru-RU"/>
        </w:rPr>
      </w:pPr>
    </w:p>
    <w:p w14:paraId="4C3A9AF3" w14:textId="2925B18E" w:rsidR="00F12794" w:rsidRPr="00F12794" w:rsidRDefault="00F12794" w:rsidP="00E773EE">
      <w:pPr>
        <w:spacing w:after="0" w:line="240" w:lineRule="auto"/>
        <w:rPr>
          <w:i/>
          <w:lang w:eastAsia="ru-RU" w:bidi="ru-RU"/>
        </w:rPr>
      </w:pPr>
      <w:r w:rsidRPr="0071249E">
        <w:rPr>
          <w:b/>
          <w:i/>
          <w:lang w:eastAsia="ru-RU" w:bidi="ru-RU"/>
        </w:rPr>
        <w:t>Серьезные и оппортунистические инфекции</w:t>
      </w:r>
    </w:p>
    <w:p w14:paraId="6F411943" w14:textId="2541B85E" w:rsidR="00F12794" w:rsidRDefault="00F12794" w:rsidP="00D05498">
      <w:pPr>
        <w:spacing w:after="0" w:line="240" w:lineRule="auto"/>
        <w:ind w:firstLine="709"/>
        <w:rPr>
          <w:lang w:eastAsia="ru-RU" w:bidi="ru-RU"/>
        </w:rPr>
      </w:pPr>
      <w:r>
        <w:rPr>
          <w:lang w:eastAsia="ru-RU" w:bidi="ru-RU"/>
        </w:rPr>
        <w:t xml:space="preserve">Пациенты, получающие иммуносупрессанты, в том числе, эверолимус, входят в группу риска развития инфекций, в особенности вызываемых оппортунистическими патогенами (бактериями, грибами, вирусами, простейшими). У пациентов, получавших терапию эверолимусом, получены сообщения о развитии инфекций и сепсиа с летальным исходом. К оппортунистическим инфекциясм, к которым могут наиболее подвержены пациенты, получающие иммуносупрессивную терапи., относится полиомавирусная инфекция, с возможным развитием ВК вирус-ассоциированной нефропатии, привоядщей к отторжению трансплантата почки, и потенциально фатальный </w:t>
      </w:r>
      <w:r>
        <w:rPr>
          <w:lang w:val="en-US" w:eastAsia="ru-RU" w:bidi="ru-RU"/>
        </w:rPr>
        <w:t>JC</w:t>
      </w:r>
      <w:r>
        <w:rPr>
          <w:lang w:eastAsia="ru-RU" w:bidi="ru-RU"/>
        </w:rPr>
        <w:t xml:space="preserve"> вирус-ассоциированный прогрессирующий множественной лейкоэнцефалопатии (ПМЛ). Эти инфекции, зачастую обусловленные общим коплексом иммуносупрессии, следует учитывать при дифференциальной диагностике в случае ухудшения функции пересаженной почки и при развитии неврологической симптоматики. В клинических исследо</w:t>
      </w:r>
      <w:r w:rsidR="00CD618A">
        <w:rPr>
          <w:lang w:eastAsia="ru-RU" w:bidi="ru-RU"/>
        </w:rPr>
        <w:t>в</w:t>
      </w:r>
      <w:r>
        <w:rPr>
          <w:lang w:eastAsia="ru-RU" w:bidi="ru-RU"/>
        </w:rPr>
        <w:t xml:space="preserve">аниях рекоменовали проведение профилактики развития пневмонии, вызванной </w:t>
      </w:r>
      <w:r w:rsidRPr="003E7920">
        <w:rPr>
          <w:i/>
          <w:lang w:val="en-US" w:eastAsia="ru-RU" w:bidi="ru-RU"/>
        </w:rPr>
        <w:t>Pneumocyctis</w:t>
      </w:r>
      <w:r w:rsidRPr="003E7920">
        <w:rPr>
          <w:i/>
          <w:lang w:eastAsia="ru-RU" w:bidi="ru-RU"/>
        </w:rPr>
        <w:t xml:space="preserve"> </w:t>
      </w:r>
      <w:r w:rsidRPr="003E7920">
        <w:rPr>
          <w:i/>
          <w:lang w:val="en-US" w:eastAsia="ru-RU" w:bidi="ru-RU"/>
        </w:rPr>
        <w:t>jiroveci</w:t>
      </w:r>
      <w:r w:rsidRPr="003E7920">
        <w:rPr>
          <w:i/>
          <w:lang w:eastAsia="ru-RU" w:bidi="ru-RU"/>
        </w:rPr>
        <w:t xml:space="preserve"> (</w:t>
      </w:r>
      <w:r w:rsidRPr="003E7920">
        <w:rPr>
          <w:i/>
          <w:lang w:val="en-US" w:eastAsia="ru-RU" w:bidi="ru-RU"/>
        </w:rPr>
        <w:t>carini</w:t>
      </w:r>
      <w:r w:rsidRPr="003E7920">
        <w:rPr>
          <w:i/>
          <w:lang w:eastAsia="ru-RU" w:bidi="ru-RU"/>
        </w:rPr>
        <w:t>)</w:t>
      </w:r>
      <w:r>
        <w:rPr>
          <w:lang w:eastAsia="ru-RU" w:bidi="ru-RU"/>
        </w:rPr>
        <w:t xml:space="preserve"> и цитомегаловирусной инфекции после трансплантации, в особенности у пациентов с повышенным риском развития оппортунистических инфекций.</w:t>
      </w:r>
    </w:p>
    <w:p w14:paraId="3C7A5EA2" w14:textId="77777777" w:rsidR="00F12794" w:rsidRDefault="00F12794" w:rsidP="00E773EE">
      <w:pPr>
        <w:spacing w:after="0" w:line="240" w:lineRule="auto"/>
        <w:rPr>
          <w:lang w:eastAsia="ru-RU" w:bidi="ru-RU"/>
        </w:rPr>
      </w:pPr>
    </w:p>
    <w:p w14:paraId="6F708AE2" w14:textId="26194D75" w:rsidR="00F12794" w:rsidRPr="0071249E" w:rsidRDefault="00F12794" w:rsidP="00E773EE">
      <w:pPr>
        <w:spacing w:after="0" w:line="240" w:lineRule="auto"/>
        <w:rPr>
          <w:b/>
          <w:i/>
          <w:lang w:eastAsia="ru-RU" w:bidi="ru-RU"/>
        </w:rPr>
      </w:pPr>
      <w:r w:rsidRPr="0071249E">
        <w:rPr>
          <w:b/>
          <w:i/>
          <w:lang w:eastAsia="ru-RU" w:bidi="ru-RU"/>
        </w:rPr>
        <w:t>Нарушение функции печени</w:t>
      </w:r>
    </w:p>
    <w:p w14:paraId="7BB8FD6C" w14:textId="7C3B89DD" w:rsidR="00F12794" w:rsidRDefault="00F12794" w:rsidP="00D05498">
      <w:pPr>
        <w:spacing w:after="0" w:line="240" w:lineRule="auto"/>
        <w:ind w:firstLine="709"/>
        <w:rPr>
          <w:lang w:eastAsia="ru-RU" w:bidi="ru-RU"/>
        </w:rPr>
      </w:pPr>
      <w:r>
        <w:rPr>
          <w:lang w:eastAsia="ru-RU" w:bidi="ru-RU"/>
        </w:rPr>
        <w:t>У пациентов с наушением функции печени следует тщательно контролировать концентрацию эверолимуса в цельной крови и корректировать его дозу.</w:t>
      </w:r>
    </w:p>
    <w:p w14:paraId="1324DC39" w14:textId="77777777" w:rsidR="00F12794" w:rsidRDefault="00F12794" w:rsidP="00E773EE">
      <w:pPr>
        <w:spacing w:after="0" w:line="240" w:lineRule="auto"/>
        <w:rPr>
          <w:lang w:eastAsia="ru-RU" w:bidi="ru-RU"/>
        </w:rPr>
      </w:pPr>
    </w:p>
    <w:p w14:paraId="082130A1" w14:textId="24063453" w:rsidR="00F12794" w:rsidRPr="0071249E" w:rsidRDefault="00F12794" w:rsidP="00E773EE">
      <w:pPr>
        <w:spacing w:after="0" w:line="240" w:lineRule="auto"/>
        <w:rPr>
          <w:b/>
          <w:i/>
          <w:lang w:eastAsia="ru-RU" w:bidi="ru-RU"/>
        </w:rPr>
      </w:pPr>
      <w:r w:rsidRPr="0071249E">
        <w:rPr>
          <w:b/>
          <w:i/>
          <w:lang w:eastAsia="ru-RU" w:bidi="ru-RU"/>
        </w:rPr>
        <w:t xml:space="preserve">Взаимодействие с мощными ингибиторами изофермента </w:t>
      </w:r>
      <w:r w:rsidRPr="0071249E">
        <w:rPr>
          <w:b/>
          <w:i/>
          <w:lang w:val="en-US" w:eastAsia="ru-RU" w:bidi="ru-RU"/>
        </w:rPr>
        <w:t>CYP</w:t>
      </w:r>
      <w:r w:rsidRPr="0071249E">
        <w:rPr>
          <w:b/>
          <w:i/>
          <w:lang w:eastAsia="ru-RU" w:bidi="ru-RU"/>
        </w:rPr>
        <w:t>3</w:t>
      </w:r>
      <w:r w:rsidRPr="0071249E">
        <w:rPr>
          <w:b/>
          <w:i/>
          <w:lang w:val="en-US" w:eastAsia="ru-RU" w:bidi="ru-RU"/>
        </w:rPr>
        <w:t>A</w:t>
      </w:r>
      <w:r w:rsidRPr="0071249E">
        <w:rPr>
          <w:b/>
          <w:i/>
          <w:lang w:eastAsia="ru-RU" w:bidi="ru-RU"/>
        </w:rPr>
        <w:t>4</w:t>
      </w:r>
    </w:p>
    <w:p w14:paraId="3EBD6F59" w14:textId="77777777" w:rsidR="00EB43AF" w:rsidRPr="00E03613" w:rsidRDefault="00EB43AF" w:rsidP="00EB43AF">
      <w:pPr>
        <w:pStyle w:val="Default"/>
        <w:ind w:firstLine="709"/>
        <w:contextualSpacing/>
        <w:jc w:val="both"/>
      </w:pPr>
      <w:r w:rsidRPr="00E03613">
        <w:t xml:space="preserve">Следует соблюдать осторожность при приеме </w:t>
      </w:r>
      <w:r>
        <w:t>эверолимус</w:t>
      </w:r>
      <w:r w:rsidRPr="00E03613">
        <w:t xml:space="preserve">а в комбинации с перорально вводимыми субстратами </w:t>
      </w:r>
      <w:r w:rsidRPr="00E03613">
        <w:rPr>
          <w:lang w:val="en-US"/>
        </w:rPr>
        <w:t>CYP</w:t>
      </w:r>
      <w:r w:rsidRPr="00E03613">
        <w:t>3</w:t>
      </w:r>
      <w:r w:rsidRPr="00E03613">
        <w:rPr>
          <w:lang w:val="en-US"/>
        </w:rPr>
        <w:t>A</w:t>
      </w:r>
      <w:r w:rsidRPr="00E03613">
        <w:t xml:space="preserve">4 с узким терапевтическим индексом из-за возможного лекарственного взаимодействия. Если </w:t>
      </w:r>
      <w:r>
        <w:t>эверолимус</w:t>
      </w:r>
      <w:r w:rsidRPr="00E03613">
        <w:t xml:space="preserve"> принимается с перорально вводимыми субстратами </w:t>
      </w:r>
      <w:r w:rsidRPr="00E03613">
        <w:rPr>
          <w:lang w:val="en-US"/>
        </w:rPr>
        <w:t>CYP</w:t>
      </w:r>
      <w:r w:rsidRPr="00E03613">
        <w:t>3</w:t>
      </w:r>
      <w:r w:rsidRPr="00E03613">
        <w:rPr>
          <w:lang w:val="en-US"/>
        </w:rPr>
        <w:t>A</w:t>
      </w:r>
      <w:r w:rsidRPr="00E03613">
        <w:t>4 с узким терапевтическим индексом (например, пимозидом, терфенадином, астемизолом, цизапридом, хинидином или производными алкалоидов спорыньи), пациент должен находиться под наблюдением на предмет</w:t>
      </w:r>
      <w:r>
        <w:t xml:space="preserve"> выявления</w:t>
      </w:r>
      <w:r w:rsidRPr="00E03613">
        <w:t xml:space="preserve"> нежелательных эффектов, описанных в информации о препарате перорально вводимого субстрата </w:t>
      </w:r>
      <w:r w:rsidRPr="00E03613">
        <w:rPr>
          <w:lang w:val="en-US"/>
        </w:rPr>
        <w:t>CYP</w:t>
      </w:r>
      <w:r w:rsidRPr="00E03613">
        <w:t>3</w:t>
      </w:r>
      <w:r w:rsidRPr="00E03613">
        <w:rPr>
          <w:lang w:val="en-US"/>
        </w:rPr>
        <w:t>A</w:t>
      </w:r>
      <w:r w:rsidRPr="00E03613">
        <w:t>4</w:t>
      </w:r>
      <w:r>
        <w:t>.</w:t>
      </w:r>
    </w:p>
    <w:p w14:paraId="04656D4C" w14:textId="77777777" w:rsidR="00EB43AF" w:rsidRPr="00E03613" w:rsidRDefault="00EB43AF" w:rsidP="00EB43AF">
      <w:pPr>
        <w:pStyle w:val="Default"/>
        <w:ind w:firstLine="709"/>
        <w:contextualSpacing/>
        <w:jc w:val="both"/>
      </w:pPr>
      <w:r w:rsidRPr="00E03613">
        <w:t xml:space="preserve">Одновременное применение с сильными ингибиторами </w:t>
      </w:r>
      <w:r w:rsidRPr="00E03613">
        <w:rPr>
          <w:lang w:val="en-US"/>
        </w:rPr>
        <w:t>CYP</w:t>
      </w:r>
      <w:r w:rsidRPr="00E03613">
        <w:t>3</w:t>
      </w:r>
      <w:r w:rsidRPr="00E03613">
        <w:rPr>
          <w:lang w:val="en-US"/>
        </w:rPr>
        <w:t>A</w:t>
      </w:r>
      <w:r w:rsidRPr="00E03613">
        <w:t xml:space="preserve">4 и/или </w:t>
      </w:r>
      <w:r w:rsidRPr="00E03613">
        <w:rPr>
          <w:lang w:val="en-US"/>
        </w:rPr>
        <w:t>P</w:t>
      </w:r>
      <w:r w:rsidRPr="00E03613">
        <w:t>-гликопротеина (</w:t>
      </w:r>
      <w:r w:rsidRPr="00E03613">
        <w:rPr>
          <w:lang w:val="en-US"/>
        </w:rPr>
        <w:t>PgP</w:t>
      </w:r>
      <w:r w:rsidRPr="00E03613">
        <w:t xml:space="preserve">) (например, кетоконазола, итраконазола, вориконазола, кларитромицина, телитромицина, ритонавира) с сильными ингибиторами </w:t>
      </w:r>
      <w:r w:rsidRPr="00E03613">
        <w:rPr>
          <w:lang w:val="en-US"/>
        </w:rPr>
        <w:t>CYP</w:t>
      </w:r>
      <w:r w:rsidRPr="00E03613">
        <w:t>3</w:t>
      </w:r>
      <w:r w:rsidRPr="00E03613">
        <w:rPr>
          <w:lang w:val="en-US"/>
        </w:rPr>
        <w:t>A</w:t>
      </w:r>
      <w:r w:rsidRPr="00E03613">
        <w:t>4 и/или помпы оттока нескольких препаратов (например, кетоконазола, итраконазола, вориконазола, кларитромицина, телитромицина, ритонавира) может повышать уровень эверолимуса в крови и не рекомендуется, если польза не превышает риск.</w:t>
      </w:r>
    </w:p>
    <w:p w14:paraId="1D121305" w14:textId="24DBB041" w:rsidR="00F12794" w:rsidRDefault="00EB43AF" w:rsidP="00EB43AF">
      <w:pPr>
        <w:spacing w:after="0" w:line="240" w:lineRule="auto"/>
      </w:pPr>
      <w:r w:rsidRPr="00E03613">
        <w:t xml:space="preserve">Одновременное применение с сильными индукторами </w:t>
      </w:r>
      <w:r w:rsidRPr="00E03613">
        <w:rPr>
          <w:lang w:val="en-US"/>
        </w:rPr>
        <w:t>CYP</w:t>
      </w:r>
      <w:r w:rsidRPr="00E03613">
        <w:t>3</w:t>
      </w:r>
      <w:r w:rsidRPr="00E03613">
        <w:rPr>
          <w:lang w:val="en-US"/>
        </w:rPr>
        <w:t>A</w:t>
      </w:r>
      <w:r w:rsidRPr="00E03613">
        <w:t xml:space="preserve">4 и/или </w:t>
      </w:r>
      <w:r w:rsidRPr="00E03613">
        <w:rPr>
          <w:lang w:val="en-US"/>
        </w:rPr>
        <w:t>PgP</w:t>
      </w:r>
      <w:r w:rsidRPr="00E03613">
        <w:t xml:space="preserve"> (например, рифампицином, рифабутином, карбамазепином, фенитоином) не рекомендуется, за исключением случаев, когда польза превышает риск. Если невозможно избежать одновременного применения индукторов или ингибиторов </w:t>
      </w:r>
      <w:r w:rsidRPr="00E03613">
        <w:rPr>
          <w:lang w:val="en-US"/>
        </w:rPr>
        <w:t>CYP</w:t>
      </w:r>
      <w:r w:rsidRPr="00E03613">
        <w:t>3</w:t>
      </w:r>
      <w:r w:rsidRPr="00E03613">
        <w:rPr>
          <w:lang w:val="en-US"/>
        </w:rPr>
        <w:t>A</w:t>
      </w:r>
      <w:r w:rsidRPr="00E03613">
        <w:t xml:space="preserve">4 и/или </w:t>
      </w:r>
      <w:r w:rsidRPr="00E03613">
        <w:rPr>
          <w:lang w:val="en-US"/>
        </w:rPr>
        <w:t>PgP</w:t>
      </w:r>
      <w:r w:rsidRPr="00E03613">
        <w:t xml:space="preserve">, рекомендуется контролировать минимальные концентрации эверолимуса в цельной крови и клиническое состояние пациента во время их одновременного применения с эверолимусом и после их отмены. </w:t>
      </w:r>
      <w:r w:rsidRPr="00C24B3F">
        <w:t>Может потребоваться коррекция дозы эверолимуса</w:t>
      </w:r>
      <w:r>
        <w:t>.</w:t>
      </w:r>
    </w:p>
    <w:p w14:paraId="2CE33E59" w14:textId="77777777" w:rsidR="00EB43AF" w:rsidRDefault="00EB43AF" w:rsidP="00EB43AF">
      <w:pPr>
        <w:spacing w:after="0" w:line="240" w:lineRule="auto"/>
        <w:rPr>
          <w:lang w:eastAsia="ru-RU" w:bidi="ru-RU"/>
        </w:rPr>
      </w:pPr>
    </w:p>
    <w:p w14:paraId="0045BF39" w14:textId="77777777" w:rsidR="00EB43AF" w:rsidRPr="0071249E" w:rsidRDefault="00EB43AF" w:rsidP="00EB43AF">
      <w:pPr>
        <w:pStyle w:val="Default"/>
        <w:contextualSpacing/>
        <w:rPr>
          <w:b/>
          <w:i/>
        </w:rPr>
      </w:pPr>
      <w:bookmarkStart w:id="415" w:name="_Toc81410160"/>
      <w:bookmarkStart w:id="416" w:name="_Toc115217994"/>
      <w:r w:rsidRPr="0071249E">
        <w:rPr>
          <w:b/>
          <w:i/>
        </w:rPr>
        <w:t>Лимфомы и другие злокачественные новообразования</w:t>
      </w:r>
    </w:p>
    <w:p w14:paraId="0EC5AA1A" w14:textId="77777777" w:rsidR="00EB43AF" w:rsidRDefault="00EB43AF" w:rsidP="00EB43AF">
      <w:pPr>
        <w:pStyle w:val="Default"/>
        <w:ind w:firstLine="709"/>
        <w:contextualSpacing/>
        <w:jc w:val="both"/>
      </w:pPr>
      <w:r w:rsidRPr="00E03613">
        <w:t xml:space="preserve">Пациенты, получающие лечение иммунодепрессантами, включая </w:t>
      </w:r>
      <w:r>
        <w:t>эверолимус</w:t>
      </w:r>
      <w:r w:rsidRPr="00E03613">
        <w:t>, подвержены повышенному риску развития лимфомы или других злокачественных</w:t>
      </w:r>
      <w:r>
        <w:t xml:space="preserve"> новообразований, особенно кожи</w:t>
      </w:r>
      <w:r w:rsidRPr="00E03613">
        <w:t>. Абсолютный риск, по-видимому, связан с продолжительностью и интенсивностью иммуносупрессии, а не с применением конкретного лекарственного средства. Пациентов следует регулярно обследовать на наличие новообразований кожи и рекомендовать свести к минимуму воздействие УФ-излучения и солнечного света, а также использовать соответствующие солнце</w:t>
      </w:r>
      <w:r>
        <w:t>защитные средства.</w:t>
      </w:r>
    </w:p>
    <w:p w14:paraId="501B6A5B" w14:textId="77777777" w:rsidR="00EB43AF" w:rsidRDefault="00EB43AF" w:rsidP="00EB43AF">
      <w:pPr>
        <w:pStyle w:val="Default"/>
        <w:ind w:firstLine="709"/>
        <w:contextualSpacing/>
        <w:jc w:val="both"/>
      </w:pPr>
    </w:p>
    <w:p w14:paraId="46CC1522" w14:textId="77777777" w:rsidR="00EB43AF" w:rsidRPr="0071249E" w:rsidRDefault="00EB43AF" w:rsidP="00EB43AF">
      <w:pPr>
        <w:pStyle w:val="Default"/>
        <w:contextualSpacing/>
        <w:rPr>
          <w:b/>
          <w:i/>
        </w:rPr>
      </w:pPr>
      <w:r w:rsidRPr="0071249E">
        <w:rPr>
          <w:b/>
          <w:i/>
        </w:rPr>
        <w:t>Гиперлипидемия</w:t>
      </w:r>
    </w:p>
    <w:p w14:paraId="1E5390DF" w14:textId="77777777" w:rsidR="00EB43AF" w:rsidRDefault="00EB43AF" w:rsidP="00EB43AF">
      <w:pPr>
        <w:pStyle w:val="Default"/>
        <w:ind w:firstLine="709"/>
        <w:contextualSpacing/>
        <w:jc w:val="both"/>
      </w:pPr>
      <w:r w:rsidRPr="00E03613">
        <w:t xml:space="preserve">Применение </w:t>
      </w:r>
      <w:r>
        <w:t>эверолимус</w:t>
      </w:r>
      <w:r w:rsidRPr="00E03613">
        <w:t xml:space="preserve">а с циклоспорином в виде микроэмульсии или </w:t>
      </w:r>
      <w:r>
        <w:t xml:space="preserve">с </w:t>
      </w:r>
      <w:r w:rsidRPr="00E03613">
        <w:t>такролимусом у пациентов после трансплантации было связано с повышением уровня холестерина и триглицеридов в сыворотке крови,</w:t>
      </w:r>
      <w:r>
        <w:t xml:space="preserve"> что может потребовать лечения.</w:t>
      </w:r>
    </w:p>
    <w:p w14:paraId="06E9747C" w14:textId="019FB991" w:rsidR="00EB43AF" w:rsidRDefault="00EB43AF" w:rsidP="00EB43AF">
      <w:pPr>
        <w:spacing w:line="240" w:lineRule="auto"/>
        <w:contextualSpacing/>
      </w:pPr>
      <w:r w:rsidRPr="00E03613">
        <w:t xml:space="preserve">Пациенты, получающие </w:t>
      </w:r>
      <w:r>
        <w:t>эверолимус</w:t>
      </w:r>
      <w:r w:rsidRPr="00E03613">
        <w:t>, должны находиться под наблюдением на предмет</w:t>
      </w:r>
      <w:r>
        <w:t xml:space="preserve"> </w:t>
      </w:r>
      <w:r w:rsidR="00816F37">
        <w:t xml:space="preserve">выявления </w:t>
      </w:r>
      <w:r w:rsidR="00816F37" w:rsidRPr="00E03613">
        <w:t>гиперлипидемии</w:t>
      </w:r>
      <w:r w:rsidRPr="00E03613">
        <w:t xml:space="preserve"> и, при необходимости, получать</w:t>
      </w:r>
      <w:r>
        <w:t xml:space="preserve"> гиполипидемические препараты,</w:t>
      </w:r>
      <w:r w:rsidRPr="00E03613">
        <w:t xml:space="preserve"> также должны быть внесены соответствующие корректив</w:t>
      </w:r>
      <w:r>
        <w:t xml:space="preserve">ы в диету. </w:t>
      </w:r>
      <w:r w:rsidRPr="00E03613">
        <w:t>У пациентов с установленной гиперлипидемией следует оценить соотношение риск/польза перед нач</w:t>
      </w:r>
      <w:r>
        <w:t>алом иммуносупрессивной терапии</w:t>
      </w:r>
      <w:r w:rsidRPr="00E03613">
        <w:t xml:space="preserve"> </w:t>
      </w:r>
      <w:r>
        <w:t>с применением</w:t>
      </w:r>
      <w:r w:rsidRPr="00E03613">
        <w:t xml:space="preserve"> </w:t>
      </w:r>
      <w:r>
        <w:t>эверолимуса</w:t>
      </w:r>
      <w:r w:rsidRPr="00E03613">
        <w:t xml:space="preserve">. Аналогичным образом, у пациентов с тяжелой рефрактерной гиперлипидемией необходимо повторно оценить соотношение риск/польза продолжения терапии </w:t>
      </w:r>
      <w:r>
        <w:t>эверолимус</w:t>
      </w:r>
      <w:r w:rsidRPr="00E03613">
        <w:t>ом. Пациенты, получающие ингибитор</w:t>
      </w:r>
      <w:r>
        <w:t>ы</w:t>
      </w:r>
      <w:r w:rsidRPr="00E03613">
        <w:t xml:space="preserve"> ГМГ-КоА-редуктазы и/или фибрат</w:t>
      </w:r>
      <w:r>
        <w:t>ы</w:t>
      </w:r>
      <w:r w:rsidRPr="00E03613">
        <w:t>, должны находиться под наблюдением на предмет возможного развития рабдомиолиза и других побочных эффектов</w:t>
      </w:r>
      <w:r>
        <w:t>.</w:t>
      </w:r>
    </w:p>
    <w:p w14:paraId="452678BC" w14:textId="77777777" w:rsidR="00EB43AF" w:rsidRPr="0071249E" w:rsidRDefault="00EB43AF" w:rsidP="00EB43AF">
      <w:pPr>
        <w:pStyle w:val="Default"/>
        <w:contextualSpacing/>
        <w:rPr>
          <w:b/>
          <w:i/>
        </w:rPr>
      </w:pPr>
      <w:r w:rsidRPr="0071249E">
        <w:rPr>
          <w:b/>
          <w:i/>
        </w:rPr>
        <w:t>Ангионевротический отек</w:t>
      </w:r>
    </w:p>
    <w:p w14:paraId="6FF2AD45" w14:textId="77777777" w:rsidR="00EB43AF" w:rsidRDefault="00EB43AF" w:rsidP="00EB43AF">
      <w:pPr>
        <w:pStyle w:val="Default"/>
        <w:ind w:firstLine="709"/>
        <w:contextualSpacing/>
        <w:jc w:val="both"/>
      </w:pPr>
      <w:r>
        <w:t>Применение эверолимуса ассоциировалось</w:t>
      </w:r>
      <w:r w:rsidRPr="00E03613">
        <w:t xml:space="preserve"> с развитием ангионевротического отека. В большинстве зарегистрированных случаев пациенты получали ингибиторы АПФ в качестве сопутствующей терапии.</w:t>
      </w:r>
    </w:p>
    <w:p w14:paraId="4BEE1C43" w14:textId="77777777" w:rsidR="00EB43AF" w:rsidRDefault="00EB43AF" w:rsidP="00EB43AF">
      <w:pPr>
        <w:pStyle w:val="Default"/>
        <w:ind w:firstLine="709"/>
        <w:contextualSpacing/>
        <w:jc w:val="both"/>
      </w:pPr>
    </w:p>
    <w:p w14:paraId="08BF1B46" w14:textId="77777777" w:rsidR="00EB43AF" w:rsidRPr="0071249E" w:rsidRDefault="00EB43AF" w:rsidP="00EB43AF">
      <w:pPr>
        <w:pStyle w:val="Default"/>
        <w:contextualSpacing/>
        <w:rPr>
          <w:b/>
          <w:i/>
        </w:rPr>
      </w:pPr>
      <w:r w:rsidRPr="0071249E">
        <w:rPr>
          <w:b/>
          <w:i/>
        </w:rPr>
        <w:t>Почечная дисфункция, вызванная эверолимусом и ингибиторами кальциневрина</w:t>
      </w:r>
    </w:p>
    <w:p w14:paraId="2685F33F" w14:textId="12B8E4AA" w:rsidR="00EB43AF" w:rsidRDefault="00EB43AF" w:rsidP="00EB43AF">
      <w:pPr>
        <w:pStyle w:val="Default"/>
        <w:ind w:firstLine="709"/>
        <w:contextualSpacing/>
        <w:jc w:val="both"/>
      </w:pPr>
      <w:r w:rsidRPr="00E03613">
        <w:t xml:space="preserve">При трансплантации почек и сердца применение </w:t>
      </w:r>
      <w:r>
        <w:t>эверолимус</w:t>
      </w:r>
      <w:r w:rsidRPr="00E03613">
        <w:t xml:space="preserve">а с полной дозой циклоспорина повышает риск почечной дисфункции. Для применения в комбинации с </w:t>
      </w:r>
      <w:r>
        <w:t>эверолимусом требуются снижение</w:t>
      </w:r>
      <w:r w:rsidRPr="00E03613">
        <w:t xml:space="preserve"> дозы циклоспорина, чтобы избежать нарушения функции почек. У пациентов с повышенным уровнем креатинина в сыворотке следует рассмотреть вопрос о соответствующей коррекции режима иммуносупрессивной терапии, в частности о снижении дозы циклоспорина.</w:t>
      </w:r>
      <w:r>
        <w:t xml:space="preserve"> В клиническом исследовании у реципиентов печени применение эверолимуса в сочетании со сниженной экспози</w:t>
      </w:r>
      <w:r w:rsidR="00514993">
        <w:t>ц</w:t>
      </w:r>
      <w:r>
        <w:t>ией такролимуса не приводило к ухудшению функции почек по сравнению со стандартной экспозицией такролимуса.</w:t>
      </w:r>
    </w:p>
    <w:p w14:paraId="7BD16ECE" w14:textId="77777777" w:rsidR="00EB43AF" w:rsidRPr="00ED6680" w:rsidRDefault="00EB43AF" w:rsidP="00EB43AF">
      <w:pPr>
        <w:pStyle w:val="Default"/>
        <w:contextualSpacing/>
        <w:rPr>
          <w:i/>
        </w:rPr>
      </w:pPr>
    </w:p>
    <w:p w14:paraId="2C94DA82" w14:textId="77777777" w:rsidR="00EB43AF" w:rsidRPr="0071249E" w:rsidRDefault="00EB43AF" w:rsidP="00EB43AF">
      <w:pPr>
        <w:pStyle w:val="Default"/>
        <w:contextualSpacing/>
        <w:rPr>
          <w:b/>
          <w:i/>
        </w:rPr>
      </w:pPr>
      <w:r w:rsidRPr="0071249E">
        <w:rPr>
          <w:b/>
          <w:i/>
        </w:rPr>
        <w:t>Протеинурия</w:t>
      </w:r>
    </w:p>
    <w:p w14:paraId="658F88DD" w14:textId="77777777" w:rsidR="00EB43AF" w:rsidRDefault="00EB43AF" w:rsidP="00EB43AF">
      <w:pPr>
        <w:pStyle w:val="Default"/>
        <w:ind w:firstLine="709"/>
        <w:contextualSpacing/>
        <w:jc w:val="both"/>
      </w:pPr>
      <w:r w:rsidRPr="00E03613">
        <w:t xml:space="preserve">Применение </w:t>
      </w:r>
      <w:r>
        <w:t>эверолимус</w:t>
      </w:r>
      <w:r w:rsidRPr="00E03613">
        <w:t xml:space="preserve">а с ингибиторами кальциневрина у реципиентов трансплантата </w:t>
      </w:r>
      <w:r>
        <w:t xml:space="preserve">почки </w:t>
      </w:r>
      <w:r w:rsidRPr="00E03613">
        <w:t>связано с увеличением протеинур</w:t>
      </w:r>
      <w:r>
        <w:t>ии. Риск увеличивается при</w:t>
      </w:r>
      <w:r w:rsidRPr="00E03613">
        <w:t xml:space="preserve"> высоких концентрациях эверолимуса в крови. У пациентов с трансплантацией почки с легкой протеинурией на фоне поддерживающей иммуносупрессивной терапии, включающей ингибиторы кальциневрина (ИКН), сообщалось об ухудшении протеинурии при замене ингибиторов кальциневрина на </w:t>
      </w:r>
      <w:r>
        <w:t>эверолимус</w:t>
      </w:r>
      <w:r w:rsidRPr="00E03613">
        <w:t xml:space="preserve">. Обратимость наблюдалась при прекращении приема </w:t>
      </w:r>
      <w:r>
        <w:t>эверолимус</w:t>
      </w:r>
      <w:r w:rsidRPr="00E03613">
        <w:t xml:space="preserve">а и повторном введении ИКН. Безопасность и эффективность перехода с ингибиторов кальциневрина на </w:t>
      </w:r>
      <w:r>
        <w:t>эверолимус</w:t>
      </w:r>
      <w:r w:rsidRPr="00E03613">
        <w:t xml:space="preserve"> у таких пациентов не установлены. Пациенты, получающие </w:t>
      </w:r>
      <w:r>
        <w:t>эверолимус</w:t>
      </w:r>
      <w:r w:rsidRPr="00E03613">
        <w:t xml:space="preserve">, должны находиться под наблюдением на предмет </w:t>
      </w:r>
      <w:r>
        <w:t xml:space="preserve">выявления </w:t>
      </w:r>
      <w:r w:rsidRPr="00E03613">
        <w:t>протеинурии.</w:t>
      </w:r>
    </w:p>
    <w:p w14:paraId="4E8265BE" w14:textId="77777777" w:rsidR="00EB43AF" w:rsidRDefault="00EB43AF" w:rsidP="00EB43AF">
      <w:pPr>
        <w:pStyle w:val="Default"/>
        <w:ind w:firstLine="709"/>
        <w:contextualSpacing/>
        <w:jc w:val="both"/>
      </w:pPr>
    </w:p>
    <w:p w14:paraId="7B861398" w14:textId="77777777" w:rsidR="00EB43AF" w:rsidRPr="0071249E" w:rsidRDefault="00EB43AF" w:rsidP="00EB43AF">
      <w:pPr>
        <w:pStyle w:val="Default"/>
        <w:contextualSpacing/>
        <w:rPr>
          <w:b/>
          <w:i/>
        </w:rPr>
      </w:pPr>
      <w:r w:rsidRPr="0071249E">
        <w:rPr>
          <w:b/>
          <w:i/>
        </w:rPr>
        <w:t>Тромбоз почечного трансплантата</w:t>
      </w:r>
    </w:p>
    <w:p w14:paraId="61AAABCC" w14:textId="77777777" w:rsidR="00EB43AF" w:rsidRDefault="00EB43AF" w:rsidP="00EB43AF">
      <w:pPr>
        <w:pStyle w:val="Default"/>
        <w:ind w:firstLine="709"/>
        <w:contextualSpacing/>
        <w:jc w:val="both"/>
      </w:pPr>
      <w:r w:rsidRPr="00E03613">
        <w:t>Сообщалось о повышенном риске почечного артериального и венозного тромбоза, приводящего к потере трансплантата, в основном в течение первых 30 дней после трансплантации.</w:t>
      </w:r>
    </w:p>
    <w:p w14:paraId="6B8D9B6E" w14:textId="77777777" w:rsidR="00EB43AF" w:rsidRDefault="00EB43AF" w:rsidP="00EB43AF">
      <w:pPr>
        <w:pStyle w:val="Default"/>
        <w:ind w:firstLine="709"/>
        <w:contextualSpacing/>
      </w:pPr>
    </w:p>
    <w:p w14:paraId="3290C180" w14:textId="77777777" w:rsidR="00EB43AF" w:rsidRPr="0071249E" w:rsidRDefault="00EB43AF" w:rsidP="00EB43AF">
      <w:pPr>
        <w:pStyle w:val="Default"/>
        <w:contextualSpacing/>
        <w:rPr>
          <w:b/>
          <w:i/>
        </w:rPr>
      </w:pPr>
      <w:r w:rsidRPr="0071249E">
        <w:rPr>
          <w:b/>
          <w:i/>
        </w:rPr>
        <w:t>Осложнения заживления ран</w:t>
      </w:r>
    </w:p>
    <w:p w14:paraId="765C0C9C" w14:textId="77777777" w:rsidR="00EB43AF" w:rsidRDefault="00EB43AF" w:rsidP="00EB43AF">
      <w:pPr>
        <w:pStyle w:val="Default"/>
        <w:ind w:firstLine="709"/>
        <w:contextualSpacing/>
        <w:jc w:val="both"/>
      </w:pPr>
      <w:r>
        <w:t>Эверолимус</w:t>
      </w:r>
      <w:r w:rsidRPr="00E03613">
        <w:t>, как и другие ингибиторы mTOR, может ухудшить заживление</w:t>
      </w:r>
      <w:r>
        <w:t xml:space="preserve"> ран</w:t>
      </w:r>
      <w:r w:rsidRPr="00E03613">
        <w:t xml:space="preserve">, увеличивая частоту посттрансплантационных осложнений, таких как расхождение швов раны, скопление жидкости и раневая инфекция, которые могут потребовать дальнейшего хирургического вмешательства. Лимфоцеле является наиболее частым таким событием у реципиентов почечного трансплантата и </w:t>
      </w:r>
      <w:r>
        <w:t>чаще встречается у пациентов с</w:t>
      </w:r>
      <w:r w:rsidRPr="00E03613">
        <w:t xml:space="preserve"> высоким индексом массы тела. Частота перикардиального и плеврального выпота увеличивается у реципиентов трансплантата сердца, а частота послеоперационных грыж увеличивается у ре</w:t>
      </w:r>
      <w:r>
        <w:t>ципиентов трансплантата печени.</w:t>
      </w:r>
    </w:p>
    <w:p w14:paraId="445CB6F4" w14:textId="77777777" w:rsidR="00EB43AF" w:rsidRPr="00ED6680" w:rsidRDefault="00EB43AF" w:rsidP="00EB43AF">
      <w:pPr>
        <w:pStyle w:val="Default"/>
        <w:ind w:firstLine="709"/>
        <w:contextualSpacing/>
        <w:jc w:val="both"/>
      </w:pPr>
    </w:p>
    <w:p w14:paraId="33E39944" w14:textId="77777777" w:rsidR="00EB43AF" w:rsidRPr="0071249E" w:rsidRDefault="00EB43AF" w:rsidP="00EB43AF">
      <w:pPr>
        <w:pStyle w:val="Default"/>
        <w:contextualSpacing/>
        <w:rPr>
          <w:b/>
          <w:i/>
        </w:rPr>
      </w:pPr>
      <w:r w:rsidRPr="0071249E">
        <w:rPr>
          <w:b/>
          <w:i/>
        </w:rPr>
        <w:t>Тромботические микроангиоптаии</w:t>
      </w:r>
    </w:p>
    <w:p w14:paraId="3D7B8B63" w14:textId="77777777" w:rsidR="00EB43AF" w:rsidRPr="00E03613" w:rsidRDefault="00EB43AF" w:rsidP="00EB43AF">
      <w:pPr>
        <w:pStyle w:val="Default"/>
        <w:ind w:firstLine="709"/>
        <w:contextualSpacing/>
        <w:jc w:val="both"/>
      </w:pPr>
      <w:r w:rsidRPr="00E03613">
        <w:t xml:space="preserve">Одновременное применение </w:t>
      </w:r>
      <w:r>
        <w:t>Эверолимус</w:t>
      </w:r>
      <w:r w:rsidRPr="00E03613">
        <w:t>а с ингибитором кальциневрина (ИКН) может уве</w:t>
      </w:r>
      <w:r>
        <w:t>личить риск индуцированного ИКН</w:t>
      </w:r>
      <w:r w:rsidRPr="00E03613">
        <w:t xml:space="preserve"> гемолитико-уремического синдрома/тромботической тромбоцитопенической пурпуры/тромботической микроангиопатии.</w:t>
      </w:r>
    </w:p>
    <w:p w14:paraId="479F2BF5" w14:textId="77777777" w:rsidR="00EB43AF" w:rsidRDefault="00EB43AF" w:rsidP="00EB43AF">
      <w:pPr>
        <w:pStyle w:val="Default"/>
        <w:contextualSpacing/>
      </w:pPr>
    </w:p>
    <w:p w14:paraId="40662B6C" w14:textId="77777777" w:rsidR="00EB43AF" w:rsidRPr="0071249E" w:rsidRDefault="00EB43AF" w:rsidP="00EB43AF">
      <w:pPr>
        <w:pStyle w:val="Default"/>
        <w:contextualSpacing/>
        <w:rPr>
          <w:b/>
          <w:i/>
        </w:rPr>
      </w:pPr>
      <w:r w:rsidRPr="0071249E">
        <w:rPr>
          <w:b/>
          <w:i/>
        </w:rPr>
        <w:t>Интерстициальное заболевание легких/неинфекционный пневмонит</w:t>
      </w:r>
    </w:p>
    <w:p w14:paraId="2A9CAAC6" w14:textId="77777777" w:rsidR="00EB43AF" w:rsidRDefault="00EB43AF" w:rsidP="00EB43AF">
      <w:pPr>
        <w:pStyle w:val="Default"/>
        <w:ind w:firstLine="709"/>
        <w:contextualSpacing/>
        <w:jc w:val="both"/>
      </w:pPr>
      <w:r w:rsidRPr="00E03613">
        <w:t xml:space="preserve">Диагноз интерстициального заболевания легких (ИЗЛ) следует рассматривать у пациентов с симптомами, характерными для инфекционной пневмонии, но не отвечающих на антибактериальную терапию, и у которых инфекционные, опухолевые и другие немедикаментозные причины были исключены с помощью соответствующих исследований. Сообщалось о случаях ИЗЛ при применении </w:t>
      </w:r>
      <w:r>
        <w:t>эверолимус</w:t>
      </w:r>
      <w:r w:rsidRPr="00E03613">
        <w:t>а, которые, как правило, проходят после прекращения приема препарата с применением глюкокортикоидов или без них. Однако также имели мест</w:t>
      </w:r>
      <w:r>
        <w:t>о случаи со смертельным исходом.</w:t>
      </w:r>
    </w:p>
    <w:p w14:paraId="57502DEB" w14:textId="77777777" w:rsidR="00EB43AF" w:rsidRDefault="00EB43AF" w:rsidP="00EB43AF">
      <w:pPr>
        <w:pStyle w:val="Default"/>
        <w:ind w:firstLine="709"/>
        <w:contextualSpacing/>
        <w:jc w:val="both"/>
      </w:pPr>
    </w:p>
    <w:p w14:paraId="39FE6EDB" w14:textId="77777777" w:rsidR="00EB43AF" w:rsidRPr="0071249E" w:rsidRDefault="00EB43AF" w:rsidP="00EB43AF">
      <w:pPr>
        <w:pStyle w:val="Default"/>
        <w:contextualSpacing/>
        <w:rPr>
          <w:b/>
          <w:i/>
        </w:rPr>
      </w:pPr>
      <w:r w:rsidRPr="0071249E">
        <w:rPr>
          <w:b/>
          <w:i/>
        </w:rPr>
        <w:t>Вновь выявленный сахарный диабет</w:t>
      </w:r>
    </w:p>
    <w:p w14:paraId="70EFA345" w14:textId="77777777" w:rsidR="00EB43AF" w:rsidRPr="00E03613" w:rsidRDefault="00EB43AF" w:rsidP="00EB43AF">
      <w:pPr>
        <w:pStyle w:val="Default"/>
        <w:ind w:firstLine="709"/>
        <w:contextualSpacing/>
        <w:jc w:val="both"/>
      </w:pPr>
      <w:r w:rsidRPr="00E03613">
        <w:t xml:space="preserve">Было показано, что </w:t>
      </w:r>
      <w:r>
        <w:t>эверолимус</w:t>
      </w:r>
      <w:r w:rsidRPr="00E03613">
        <w:t xml:space="preserve"> увеличивает риск развития сахарного диабета после трансплантации. У пациентов, получающих лечение </w:t>
      </w:r>
      <w:r>
        <w:t>эверолимус</w:t>
      </w:r>
      <w:r w:rsidRPr="00E03613">
        <w:t>ом, следует тщательно контролировать концентрацию глюкозы в крови.</w:t>
      </w:r>
    </w:p>
    <w:p w14:paraId="3457747F" w14:textId="77777777" w:rsidR="00EB43AF" w:rsidRDefault="00EB43AF" w:rsidP="00EB43AF">
      <w:pPr>
        <w:pStyle w:val="Default"/>
        <w:contextualSpacing/>
      </w:pPr>
    </w:p>
    <w:p w14:paraId="1A1CEB4E" w14:textId="77777777" w:rsidR="00EB43AF" w:rsidRPr="0071249E" w:rsidRDefault="00EB43AF" w:rsidP="00EB43AF">
      <w:pPr>
        <w:pStyle w:val="Default"/>
        <w:contextualSpacing/>
        <w:rPr>
          <w:b/>
          <w:i/>
        </w:rPr>
      </w:pPr>
      <w:r w:rsidRPr="0071249E">
        <w:rPr>
          <w:b/>
          <w:i/>
        </w:rPr>
        <w:t>Мужское бесплодие</w:t>
      </w:r>
    </w:p>
    <w:p w14:paraId="627BC788" w14:textId="77777777" w:rsidR="00EB43AF" w:rsidRPr="00E03613" w:rsidRDefault="00EB43AF" w:rsidP="00EB43AF">
      <w:pPr>
        <w:pStyle w:val="Default"/>
        <w:ind w:firstLine="709"/>
        <w:contextualSpacing/>
        <w:jc w:val="both"/>
      </w:pPr>
      <w:r w:rsidRPr="00E03613">
        <w:t xml:space="preserve">Имеются литературные сообщения об обратимой азооспермии и олигоспермии у пациентов, получавших ингибиторы mTOR. Поскольку доклинические токсикологические исследования показали, что эверолимус может снижать сперматогенез, мужское бесплодие следует рассматривать как потенциальный риск длительной терапии </w:t>
      </w:r>
      <w:r>
        <w:t>эверолимус</w:t>
      </w:r>
      <w:r w:rsidRPr="00E03613">
        <w:t>ом.</w:t>
      </w:r>
    </w:p>
    <w:p w14:paraId="6A9D8C2A" w14:textId="4CC56976" w:rsidR="0025168A" w:rsidRPr="0029030A" w:rsidRDefault="0025168A" w:rsidP="00D1244F">
      <w:pPr>
        <w:pStyle w:val="3"/>
        <w:spacing w:after="0" w:line="240" w:lineRule="auto"/>
        <w:rPr>
          <w:rFonts w:ascii="Times New Roman" w:hAnsi="Times New Roman"/>
          <w:color w:val="000000" w:themeColor="text1"/>
        </w:rPr>
      </w:pPr>
      <w:bookmarkStart w:id="417" w:name="_Toc118124238"/>
      <w:bookmarkStart w:id="418" w:name="_Toc119313802"/>
      <w:r w:rsidRPr="0029030A">
        <w:rPr>
          <w:rFonts w:ascii="Times New Roman" w:hAnsi="Times New Roman"/>
          <w:color w:val="000000" w:themeColor="text1"/>
        </w:rPr>
        <w:t>5.3.</w:t>
      </w:r>
      <w:r w:rsidR="002817E3">
        <w:rPr>
          <w:rFonts w:ascii="Times New Roman" w:hAnsi="Times New Roman"/>
          <w:color w:val="000000" w:themeColor="text1"/>
        </w:rPr>
        <w:t>10</w:t>
      </w:r>
      <w:r w:rsidRPr="0029030A">
        <w:rPr>
          <w:rFonts w:ascii="Times New Roman" w:hAnsi="Times New Roman"/>
          <w:color w:val="000000" w:themeColor="text1"/>
        </w:rPr>
        <w:t xml:space="preserve"> Влияние на способность управлять транспортными средствами и механизмами</w:t>
      </w:r>
      <w:bookmarkEnd w:id="415"/>
      <w:bookmarkEnd w:id="416"/>
      <w:bookmarkEnd w:id="417"/>
      <w:bookmarkEnd w:id="418"/>
    </w:p>
    <w:p w14:paraId="5F941B2B" w14:textId="77777777" w:rsidR="00D1244F" w:rsidRDefault="00D1244F" w:rsidP="00506392">
      <w:pPr>
        <w:tabs>
          <w:tab w:val="left" w:pos="8647"/>
        </w:tabs>
        <w:spacing w:after="0" w:line="240" w:lineRule="auto"/>
        <w:ind w:firstLine="709"/>
      </w:pPr>
    </w:p>
    <w:p w14:paraId="61B88B19" w14:textId="15C55F0A" w:rsidR="0025168A" w:rsidRDefault="00DF7760" w:rsidP="00506392">
      <w:pPr>
        <w:tabs>
          <w:tab w:val="left" w:pos="8647"/>
        </w:tabs>
        <w:spacing w:after="0" w:line="240" w:lineRule="auto"/>
        <w:ind w:firstLine="709"/>
      </w:pPr>
      <w:r w:rsidRPr="00707D60">
        <w:t xml:space="preserve">Исследования влияния </w:t>
      </w:r>
      <w:r w:rsidR="00D1244F">
        <w:t>эверолимуса</w:t>
      </w:r>
      <w:r w:rsidRPr="00707D60">
        <w:t xml:space="preserve"> на способность управлять транспортными средствами и механизмами не проводились. Учитывая возможность развития некоторых побочных реакций на фоне приема </w:t>
      </w:r>
      <w:r w:rsidR="00D1244F">
        <w:t>эверолимуса</w:t>
      </w:r>
      <w:r w:rsidRPr="00707D60">
        <w:t xml:space="preserve"> (усталость, головокружение, сонливость), пациентам следует соблюдать осторожность при управлении транспортными средствами и занятиях другими потенциально опасными видами деятельности, требующими повышенной концентрации внимания.</w:t>
      </w:r>
    </w:p>
    <w:p w14:paraId="3C9C425A" w14:textId="40A5F7E4" w:rsidR="008B7FBF" w:rsidRPr="0029030A" w:rsidRDefault="008B7FBF" w:rsidP="00707D60">
      <w:pPr>
        <w:pStyle w:val="12"/>
        <w:spacing w:line="240" w:lineRule="auto"/>
        <w:rPr>
          <w:rStyle w:val="src"/>
          <w:rFonts w:cs="Times New Roman"/>
          <w:color w:val="000000" w:themeColor="text1"/>
          <w:szCs w:val="24"/>
        </w:rPr>
      </w:pPr>
      <w:bookmarkStart w:id="419" w:name="_Toc115217995"/>
      <w:bookmarkStart w:id="420" w:name="_Toc118124239"/>
      <w:bookmarkStart w:id="421" w:name="_Toc119313803"/>
      <w:r w:rsidRPr="0029030A">
        <w:rPr>
          <w:rStyle w:val="src"/>
          <w:rFonts w:cs="Times New Roman"/>
          <w:color w:val="000000" w:themeColor="text1"/>
          <w:szCs w:val="24"/>
        </w:rPr>
        <w:t>6. ЗАКЛЮЧЕНИЕ</w:t>
      </w:r>
      <w:bookmarkEnd w:id="419"/>
      <w:bookmarkEnd w:id="420"/>
      <w:bookmarkEnd w:id="421"/>
    </w:p>
    <w:p w14:paraId="50420885" w14:textId="0BE23E2D" w:rsidR="00302036" w:rsidRPr="00ED6680" w:rsidRDefault="00302036" w:rsidP="00302036">
      <w:pPr>
        <w:spacing w:after="0" w:line="240" w:lineRule="auto"/>
        <w:ind w:right="21" w:firstLine="709"/>
        <w:rPr>
          <w:color w:val="000000"/>
        </w:rPr>
      </w:pPr>
      <w:r w:rsidRPr="00ED6680">
        <w:rPr>
          <w:color w:val="000000" w:themeColor="text1"/>
          <w:lang w:eastAsia="ru-RU"/>
        </w:rPr>
        <w:t>К настоящему моменту накоплен большой объем данных о безопасности эверолимуса, как в клинических исследованиях, так и в постмаркетинговом наблюдении.</w:t>
      </w:r>
      <w:r w:rsidRPr="00ED6680">
        <w:rPr>
          <w:color w:val="000000"/>
        </w:rPr>
        <w:t xml:space="preserve"> </w:t>
      </w:r>
      <w:r w:rsidRPr="00ED6680">
        <w:rPr>
          <w:color w:val="000000"/>
          <w:szCs w:val="23"/>
        </w:rPr>
        <w:t xml:space="preserve">Эверолимус – пероральный препарат, относящийся к группе ингибиторов mTOR. Эверолимус – аналог рапамицина, выделенного из бактерий </w:t>
      </w:r>
      <w:r w:rsidRPr="00ED6680">
        <w:rPr>
          <w:i/>
          <w:color w:val="000000"/>
          <w:szCs w:val="23"/>
        </w:rPr>
        <w:t>Streptomyces hygroscopicus</w:t>
      </w:r>
      <w:r w:rsidRPr="00ED6680">
        <w:rPr>
          <w:color w:val="000000"/>
          <w:szCs w:val="23"/>
        </w:rPr>
        <w:t xml:space="preserve"> и обладающего иммуно-супрессивной, противомикробной и противоопухолевой активностью. Мишень рапамицина у млекопитающих, mTOR, представляет собой серин-треониновую киназу, которая играет важную роль в регуляции клеточного роста и пролиферации, а также увеличивает экспрессию гена HIFla, в результате чего происходит стимуляция ангиогенеза. Патогенез злокачественной трансформации напрямую сопряжен с гиперактивацией этой киназы, поэтому применение ингибиторов mTOR зачастую сопровождается противоопухолевым эффектом.</w:t>
      </w:r>
      <w:r w:rsidRPr="00ED6680">
        <w:t xml:space="preserve"> </w:t>
      </w:r>
      <w:r w:rsidRPr="00ED6680">
        <w:rPr>
          <w:bCs/>
          <w:iCs/>
        </w:rPr>
        <w:t xml:space="preserve">В России эверолимус зарегистрирован и применяется в клинической практике с </w:t>
      </w:r>
      <w:r w:rsidR="00816F37" w:rsidRPr="00ED6680">
        <w:rPr>
          <w:bCs/>
          <w:iCs/>
        </w:rPr>
        <w:t>201</w:t>
      </w:r>
      <w:r w:rsidR="00816F37">
        <w:rPr>
          <w:bCs/>
          <w:iCs/>
        </w:rPr>
        <w:t>1</w:t>
      </w:r>
      <w:r w:rsidR="00816F37" w:rsidRPr="00ED6680">
        <w:rPr>
          <w:bCs/>
          <w:iCs/>
        </w:rPr>
        <w:t xml:space="preserve"> </w:t>
      </w:r>
      <w:r w:rsidRPr="00ED6680">
        <w:rPr>
          <w:bCs/>
          <w:iCs/>
        </w:rPr>
        <w:t>г.</w:t>
      </w:r>
    </w:p>
    <w:p w14:paraId="104DB255" w14:textId="77777777" w:rsidR="00302036" w:rsidRDefault="00302036" w:rsidP="00302036">
      <w:pPr>
        <w:spacing w:after="0" w:line="240" w:lineRule="auto"/>
        <w:ind w:firstLine="708"/>
      </w:pPr>
      <w:r w:rsidRPr="00ED6680">
        <w:rPr>
          <w:rFonts w:eastAsia="Times New Roman"/>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Pr="00ED6680">
        <w:rPr>
          <w:rFonts w:eastAsia="Times New Roman"/>
          <w:i/>
          <w:color w:val="000000" w:themeColor="text1"/>
          <w:lang w:val="en-US" w:eastAsia="ru-RU"/>
        </w:rPr>
        <w:t>in</w:t>
      </w:r>
      <w:r w:rsidRPr="00ED6680">
        <w:rPr>
          <w:rFonts w:eastAsia="Times New Roman"/>
          <w:i/>
          <w:color w:val="000000" w:themeColor="text1"/>
          <w:lang w:eastAsia="ru-RU"/>
        </w:rPr>
        <w:t xml:space="preserve"> </w:t>
      </w:r>
      <w:r w:rsidRPr="00ED6680">
        <w:rPr>
          <w:rFonts w:eastAsia="Times New Roman"/>
          <w:i/>
          <w:color w:val="000000" w:themeColor="text1"/>
          <w:lang w:val="en-US" w:eastAsia="ru-RU"/>
        </w:rPr>
        <w:t>vitro</w:t>
      </w:r>
      <w:r w:rsidRPr="00ED6680">
        <w:rPr>
          <w:rFonts w:eastAsia="Times New Roman"/>
          <w:i/>
          <w:color w:val="000000" w:themeColor="text1"/>
          <w:lang w:eastAsia="ru-RU"/>
        </w:rPr>
        <w:t xml:space="preserve">, </w:t>
      </w:r>
      <w:r w:rsidRPr="00ED6680">
        <w:rPr>
          <w:rFonts w:eastAsia="Times New Roman"/>
          <w:i/>
          <w:color w:val="000000" w:themeColor="text1"/>
          <w:lang w:val="en-US" w:eastAsia="ru-RU"/>
        </w:rPr>
        <w:t>in</w:t>
      </w:r>
      <w:r w:rsidRPr="00ED6680">
        <w:rPr>
          <w:rFonts w:eastAsia="Times New Roman"/>
          <w:i/>
          <w:color w:val="000000" w:themeColor="text1"/>
          <w:lang w:eastAsia="ru-RU"/>
        </w:rPr>
        <w:t xml:space="preserve"> </w:t>
      </w:r>
      <w:r w:rsidRPr="00ED6680">
        <w:rPr>
          <w:rFonts w:eastAsia="Times New Roman"/>
          <w:i/>
          <w:color w:val="000000" w:themeColor="text1"/>
          <w:lang w:val="en-US" w:eastAsia="ru-RU"/>
        </w:rPr>
        <w:t>vivo</w:t>
      </w:r>
      <w:r w:rsidRPr="00ED6680">
        <w:rPr>
          <w:rFonts w:eastAsia="Times New Roman"/>
          <w:color w:val="000000" w:themeColor="text1"/>
          <w:lang w:eastAsia="ru-RU"/>
        </w:rPr>
        <w:t>, фармакологическая безопасность, фармакокинетика и токсичность эверолимуса. У эверолимуса не было выявлено генотоксичности, канцерогенности и тератогенности, однако препарат способен оказывать эмбрио- и фетотоксическое действие, а также оказывает влияение на фертильность.</w:t>
      </w:r>
    </w:p>
    <w:p w14:paraId="0FBF1C75" w14:textId="77777777" w:rsidR="00302036" w:rsidRPr="00364A28" w:rsidRDefault="00302036" w:rsidP="00302036">
      <w:pPr>
        <w:spacing w:after="0" w:line="240" w:lineRule="auto"/>
        <w:ind w:firstLine="708"/>
        <w:rPr>
          <w:highlight w:val="yellow"/>
        </w:rPr>
      </w:pPr>
      <w:r w:rsidRPr="00ED6680">
        <w:t xml:space="preserve">В клинической практике эверолимус используется в схемах комбинированной иммуносупрессивной терапии для лечения реципиентов трансплантата почки, сердца и печени. </w:t>
      </w:r>
      <w:r w:rsidRPr="009E4F95">
        <w:t xml:space="preserve">В </w:t>
      </w:r>
      <w:r w:rsidRPr="00DA0DA9">
        <w:t>регистрационных исследованиях эверолимуса</w:t>
      </w:r>
      <w:r>
        <w:t>, как иммунодепрессанта для реципиентов трансплантатов органов (почка, сердце, печень),</w:t>
      </w:r>
      <w:r w:rsidRPr="00DA0DA9">
        <w:t xml:space="preserve"> принял</w:t>
      </w:r>
      <w:r>
        <w:t xml:space="preserve">о участие в общей сложности 4449 пациентов. </w:t>
      </w:r>
      <w:r w:rsidRPr="00ED6680">
        <w:rPr>
          <w:color w:val="000000"/>
          <w:lang w:eastAsia="ru-RU"/>
        </w:rPr>
        <w:t xml:space="preserve">К настоящему моменту доступны данные о безопасности эверолимуса, полученные в ходе клинических исследований эверолимуса и в ходе постмаркетингового наблюдения.  </w:t>
      </w:r>
    </w:p>
    <w:p w14:paraId="31B3631C" w14:textId="77777777" w:rsidR="00302036" w:rsidRPr="00ED6680" w:rsidRDefault="00302036" w:rsidP="00302036">
      <w:pPr>
        <w:spacing w:after="0" w:line="240" w:lineRule="auto"/>
        <w:ind w:firstLine="708"/>
        <w:rPr>
          <w:color w:val="000000"/>
          <w:shd w:val="clear" w:color="auto" w:fill="FFFFFF"/>
        </w:rPr>
      </w:pPr>
      <w:r w:rsidRPr="00ED6680">
        <w:t xml:space="preserve">Согласно данным, полученным в исследованиях </w:t>
      </w:r>
      <w:r w:rsidRPr="00ED6680">
        <w:rPr>
          <w:lang w:val="en-US"/>
        </w:rPr>
        <w:t>III</w:t>
      </w:r>
      <w:r w:rsidRPr="00ED6680">
        <w:t xml:space="preserve"> фазы, </w:t>
      </w:r>
      <w:r w:rsidRPr="00ED6680">
        <w:rPr>
          <w:color w:val="000000"/>
          <w:shd w:val="clear" w:color="auto" w:fill="FFFFFF"/>
        </w:rPr>
        <w:t>эверолимус обладает статистически значимым преимуществом по первичной комбинированной конечной точке или любому из ее компонентов (</w:t>
      </w:r>
      <w:r w:rsidRPr="00ED6680">
        <w:rPr>
          <w:rFonts w:eastAsia="Times New Roman"/>
          <w:color w:val="000000"/>
          <w:lang w:eastAsia="ru-RU"/>
        </w:rPr>
        <w:t>отторжение трансплантата или смерть</w:t>
      </w:r>
      <w:r w:rsidRPr="00ED6680">
        <w:rPr>
          <w:color w:val="000000"/>
          <w:shd w:val="clear" w:color="auto" w:fill="FFFFFF"/>
        </w:rPr>
        <w:t xml:space="preserve">) в сравнении с группой препаратов сравнения во всех исследованиях. </w:t>
      </w:r>
    </w:p>
    <w:p w14:paraId="49EE0243" w14:textId="77777777" w:rsidR="00302036" w:rsidRPr="00ED6680" w:rsidRDefault="00302036" w:rsidP="00302036">
      <w:pPr>
        <w:spacing w:after="0" w:line="240" w:lineRule="auto"/>
        <w:ind w:firstLine="709"/>
        <w:rPr>
          <w:color w:val="000000" w:themeColor="text1"/>
        </w:rPr>
      </w:pPr>
      <w:r w:rsidRPr="00ED6680">
        <w:rPr>
          <w:color w:val="000000" w:themeColor="text1"/>
        </w:rPr>
        <w:t>Имеющаяся информация свидетельствует, о том, что оригинальный препарата эверолимуса (препарат Сертикан</w:t>
      </w:r>
      <w:r w:rsidRPr="00ED6680">
        <w:rPr>
          <w:color w:val="000000" w:themeColor="text1"/>
          <w:vertAlign w:val="superscript"/>
        </w:rPr>
        <w:t>®</w:t>
      </w:r>
      <w:r w:rsidRPr="00ED6680">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4AD99D0E" w14:textId="0C9EDB81" w:rsidR="00302036" w:rsidRPr="002558B3" w:rsidRDefault="00302036" w:rsidP="00302036">
      <w:pPr>
        <w:spacing w:after="0" w:line="240" w:lineRule="auto"/>
        <w:ind w:firstLine="709"/>
        <w:rPr>
          <w:color w:val="000000"/>
        </w:rPr>
      </w:pPr>
      <w:r w:rsidRPr="002558B3">
        <w:rPr>
          <w:lang w:val="en-US"/>
        </w:rPr>
        <w:t>DT</w:t>
      </w:r>
      <w:r w:rsidRPr="002558B3">
        <w:t>-</w:t>
      </w:r>
      <w:r>
        <w:rPr>
          <w:lang w:val="en-US"/>
        </w:rPr>
        <w:t>EVR</w:t>
      </w:r>
      <w:r>
        <w:rPr>
          <w:bCs/>
          <w:lang w:eastAsia="ru-RU"/>
        </w:rPr>
        <w:t>, таблетки, 0,25 мг, 0,5 мг и 0,75 мг</w:t>
      </w:r>
      <w:r w:rsidRPr="002558B3">
        <w:rPr>
          <w:bCs/>
          <w:lang w:eastAsia="ru-RU"/>
        </w:rPr>
        <w:t xml:space="preserve"> - воспроизведенный препарат </w:t>
      </w:r>
      <w:r>
        <w:rPr>
          <w:bCs/>
          <w:lang w:eastAsia="ru-RU"/>
        </w:rPr>
        <w:t>эверолимуса</w:t>
      </w:r>
      <w:r w:rsidRPr="002558B3">
        <w:rPr>
          <w:bCs/>
          <w:lang w:eastAsia="ru-RU"/>
        </w:rPr>
        <w:t>, разработанный</w:t>
      </w:r>
      <w:r>
        <w:rPr>
          <w:bCs/>
          <w:lang w:eastAsia="ru-RU"/>
        </w:rPr>
        <w:t xml:space="preserve"> дочерним подразделением ГК</w:t>
      </w:r>
      <w:r w:rsidRPr="002558B3">
        <w:rPr>
          <w:bCs/>
          <w:lang w:eastAsia="ru-RU"/>
        </w:rPr>
        <w:t xml:space="preserve"> «Р-Фарм», Россия</w:t>
      </w:r>
      <w:r>
        <w:rPr>
          <w:bCs/>
          <w:lang w:eastAsia="ru-RU"/>
        </w:rPr>
        <w:t xml:space="preserve"> – </w:t>
      </w:r>
      <w:r w:rsidR="00816F37">
        <w:rPr>
          <w:bCs/>
          <w:lang w:eastAsia="ru-RU"/>
        </w:rPr>
        <w:t xml:space="preserve">ООО </w:t>
      </w:r>
      <w:r>
        <w:rPr>
          <w:bCs/>
          <w:lang w:eastAsia="ru-RU"/>
        </w:rPr>
        <w:t>«</w:t>
      </w:r>
      <w:r w:rsidR="00816F37">
        <w:rPr>
          <w:bCs/>
          <w:lang w:eastAsia="ru-RU"/>
        </w:rPr>
        <w:t xml:space="preserve">Технология </w:t>
      </w:r>
      <w:r w:rsidR="00514993">
        <w:rPr>
          <w:bCs/>
          <w:lang w:eastAsia="ru-RU"/>
        </w:rPr>
        <w:t>лекарств</w:t>
      </w:r>
      <w:r>
        <w:rPr>
          <w:bCs/>
          <w:lang w:eastAsia="ru-RU"/>
        </w:rPr>
        <w:t>», по заказу АО «Р-Фарм»</w:t>
      </w:r>
      <w:r w:rsidRPr="002558B3">
        <w:rPr>
          <w:bCs/>
          <w:lang w:eastAsia="ru-RU"/>
        </w:rPr>
        <w:t xml:space="preserve">. </w:t>
      </w:r>
      <w:r>
        <w:rPr>
          <w:color w:val="000000"/>
        </w:rPr>
        <w:t xml:space="preserve">Он полностью соответствует по качественному и количественному составу действующего и </w:t>
      </w:r>
      <w:r w:rsidR="00816F37">
        <w:rPr>
          <w:color w:val="000000"/>
        </w:rPr>
        <w:t xml:space="preserve">основных </w:t>
      </w:r>
      <w:r>
        <w:rPr>
          <w:color w:val="000000"/>
        </w:rPr>
        <w:t>вспомогательных веществ, лекарственной форме и дозировке референтному препарату эверолимуса Сертикан</w:t>
      </w:r>
      <w:r>
        <w:rPr>
          <w:color w:val="000000"/>
          <w:vertAlign w:val="superscript"/>
        </w:rPr>
        <w:t>®</w:t>
      </w:r>
      <w:r>
        <w:rPr>
          <w:color w:val="000000"/>
        </w:rPr>
        <w:t xml:space="preserve"> </w:t>
      </w:r>
      <w:r>
        <w:rPr>
          <w:lang w:eastAsia="ru-RU"/>
        </w:rPr>
        <w:t xml:space="preserve">(владелец РУ - </w:t>
      </w:r>
      <w:r>
        <w:rPr>
          <w:rFonts w:eastAsia="Calibri"/>
        </w:rPr>
        <w:t>Новартис Фарма АГ, Швейцария</w:t>
      </w:r>
      <w:r>
        <w:rPr>
          <w:lang w:eastAsia="ru-RU"/>
        </w:rPr>
        <w:t xml:space="preserve">), </w:t>
      </w:r>
      <w:r w:rsidR="00816F37">
        <w:rPr>
          <w:lang w:eastAsia="ru-RU"/>
        </w:rPr>
        <w:t>имея отличия в качественном и количественном составе некоторых вспомогательных веществ</w:t>
      </w:r>
      <w:r>
        <w:rPr>
          <w:lang w:eastAsia="ru-RU"/>
        </w:rPr>
        <w:t>.</w:t>
      </w:r>
      <w:r>
        <w:rPr>
          <w:color w:val="000000"/>
        </w:rPr>
        <w:t xml:space="preserve"> Для доказательства эквивалентности препарата </w:t>
      </w:r>
      <w:r>
        <w:rPr>
          <w:color w:val="000000"/>
          <w:lang w:val="en-US"/>
        </w:rPr>
        <w:t>DT</w:t>
      </w:r>
      <w:r>
        <w:rPr>
          <w:color w:val="000000"/>
        </w:rPr>
        <w:t>-</w:t>
      </w:r>
      <w:r>
        <w:rPr>
          <w:color w:val="000000"/>
          <w:lang w:val="en-US"/>
        </w:rPr>
        <w:t>EVR</w:t>
      </w:r>
      <w:r>
        <w:rPr>
          <w:color w:val="000000"/>
        </w:rPr>
        <w:t xml:space="preserve"> были проведены исследования сравнительной кинетики растворения в сравнении с референтным препаратом Сертикан</w:t>
      </w:r>
      <w:r>
        <w:rPr>
          <w:color w:val="000000"/>
          <w:vertAlign w:val="superscript"/>
        </w:rPr>
        <w:t>®</w:t>
      </w:r>
      <w:r>
        <w:rPr>
          <w:color w:val="000000"/>
        </w:rPr>
        <w:t xml:space="preserve"> (Новартис Фарма АГ, Швейцария)</w:t>
      </w:r>
      <w:r>
        <w:rPr>
          <w:rFonts w:eastAsia="Calibri"/>
          <w:color w:val="000000"/>
        </w:rPr>
        <w:t xml:space="preserve"> в дозировке 0,75 мг </w:t>
      </w:r>
      <w:r>
        <w:rPr>
          <w:color w:val="000000"/>
        </w:rPr>
        <w:t xml:space="preserve">(в трех модельных средах с рН 1,2; 4,5, 6,8, а также в среде по НД (0,4% раствор натрия лаурилсульфата). Согласно полученным данным, кинетика растворения </w:t>
      </w:r>
      <w:r>
        <w:rPr>
          <w:color w:val="000000"/>
          <w:lang w:val="en-US"/>
        </w:rPr>
        <w:t>DT</w:t>
      </w:r>
      <w:r>
        <w:rPr>
          <w:color w:val="000000"/>
        </w:rPr>
        <w:t>-</w:t>
      </w:r>
      <w:r>
        <w:rPr>
          <w:color w:val="000000"/>
          <w:lang w:val="en-US"/>
        </w:rPr>
        <w:t>EVR</w:t>
      </w:r>
      <w:r>
        <w:rPr>
          <w:color w:val="000000"/>
        </w:rPr>
        <w:t>, таблетки, эквивалентна кинетике растворения референтного препарата Сертикан</w:t>
      </w:r>
      <w:r>
        <w:rPr>
          <w:color w:val="000000"/>
          <w:vertAlign w:val="superscript"/>
        </w:rPr>
        <w:t>®</w:t>
      </w:r>
      <w:r>
        <w:rPr>
          <w:color w:val="000000"/>
        </w:rPr>
        <w:t>, таблетки, что позволяет предполагать также эквивалентность фармакологических свойств обоих препаратов</w:t>
      </w:r>
      <w:r>
        <w:rPr>
          <w:color w:val="000000" w:themeColor="text1"/>
        </w:rPr>
        <w:t>.</w:t>
      </w:r>
    </w:p>
    <w:p w14:paraId="196AFE53" w14:textId="77777777" w:rsidR="00302036" w:rsidRPr="00DA75AA" w:rsidRDefault="00302036" w:rsidP="00302036">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Pr>
          <w:rFonts w:eastAsia="Calibri"/>
          <w:lang w:eastAsia="ar-SA"/>
        </w:rPr>
        <w:t>эверолимуса</w:t>
      </w:r>
      <w:r w:rsidRPr="00BA0F9F">
        <w:rPr>
          <w:bCs/>
          <w:lang w:eastAsia="ru-RU"/>
        </w:rPr>
        <w:t xml:space="preserve"> позволит снизить цену современной </w:t>
      </w:r>
      <w:r>
        <w:rPr>
          <w:bCs/>
          <w:lang w:eastAsia="ru-RU"/>
        </w:rPr>
        <w:t xml:space="preserve">иммуносупрессивной терапии для реципиентов трансплантатов почки, сердца и печени, </w:t>
      </w:r>
      <w:r w:rsidRPr="00BA0F9F">
        <w:rPr>
          <w:bCs/>
          <w:lang w:eastAsia="ru-RU"/>
        </w:rPr>
        <w:t>и повысить её доступность.</w:t>
      </w:r>
    </w:p>
    <w:p w14:paraId="4109A400" w14:textId="77777777" w:rsidR="00293DD4" w:rsidRDefault="00293DD4" w:rsidP="00707D60">
      <w:pPr>
        <w:pStyle w:val="ab"/>
        <w:shd w:val="clear" w:color="auto" w:fill="FFFFFF"/>
        <w:spacing w:before="0" w:beforeAutospacing="0" w:after="0" w:afterAutospacing="0"/>
        <w:ind w:firstLine="708"/>
        <w:jc w:val="both"/>
        <w:rPr>
          <w:color w:val="000000"/>
        </w:rPr>
      </w:pPr>
    </w:p>
    <w:p w14:paraId="26F5D8AB" w14:textId="77777777" w:rsidR="00293DD4" w:rsidRDefault="00293DD4" w:rsidP="00707D60">
      <w:pPr>
        <w:pStyle w:val="ab"/>
        <w:shd w:val="clear" w:color="auto" w:fill="FFFFFF"/>
        <w:spacing w:before="0" w:beforeAutospacing="0" w:after="0" w:afterAutospacing="0"/>
        <w:ind w:firstLine="708"/>
        <w:jc w:val="both"/>
        <w:rPr>
          <w:color w:val="000000"/>
        </w:rPr>
      </w:pPr>
    </w:p>
    <w:p w14:paraId="36CF447D" w14:textId="77777777" w:rsidR="00293DD4" w:rsidRDefault="00293DD4" w:rsidP="00707D60">
      <w:pPr>
        <w:pStyle w:val="ab"/>
        <w:shd w:val="clear" w:color="auto" w:fill="FFFFFF"/>
        <w:spacing w:before="0" w:beforeAutospacing="0" w:after="0" w:afterAutospacing="0"/>
        <w:ind w:firstLine="708"/>
        <w:jc w:val="both"/>
        <w:rPr>
          <w:color w:val="000000"/>
        </w:rPr>
      </w:pPr>
    </w:p>
    <w:p w14:paraId="796A699E" w14:textId="77777777" w:rsidR="00293DD4" w:rsidRDefault="00293DD4" w:rsidP="00707D60">
      <w:pPr>
        <w:pStyle w:val="ab"/>
        <w:shd w:val="clear" w:color="auto" w:fill="FFFFFF"/>
        <w:spacing w:before="0" w:beforeAutospacing="0" w:after="0" w:afterAutospacing="0"/>
        <w:ind w:firstLine="708"/>
        <w:jc w:val="both"/>
        <w:rPr>
          <w:color w:val="000000"/>
        </w:rPr>
      </w:pPr>
    </w:p>
    <w:p w14:paraId="11C33238" w14:textId="2F4630FF" w:rsidR="00293DD4" w:rsidRPr="00F8739E" w:rsidRDefault="00F8739E" w:rsidP="00F8739E">
      <w:pPr>
        <w:jc w:val="left"/>
        <w:rPr>
          <w:rFonts w:eastAsia="Times New Roman"/>
          <w:color w:val="000000"/>
          <w:lang w:eastAsia="ru-RU"/>
        </w:rPr>
      </w:pPr>
      <w:r>
        <w:rPr>
          <w:color w:val="000000"/>
        </w:rPr>
        <w:br w:type="page"/>
      </w:r>
    </w:p>
    <w:p w14:paraId="74105CC1" w14:textId="77777777" w:rsidR="00F8739E" w:rsidRPr="00284823" w:rsidRDefault="00F8739E" w:rsidP="00F8739E">
      <w:pPr>
        <w:keepNext/>
        <w:spacing w:before="240" w:after="240" w:line="240" w:lineRule="auto"/>
        <w:outlineLvl w:val="0"/>
        <w:rPr>
          <w:b/>
          <w:bCs/>
          <w:color w:val="000000" w:themeColor="text1"/>
          <w:kern w:val="32"/>
        </w:rPr>
      </w:pPr>
      <w:bookmarkStart w:id="422" w:name="_Toc112015005"/>
      <w:bookmarkStart w:id="423" w:name="_Toc115217996"/>
      <w:bookmarkStart w:id="424" w:name="_Toc118124240"/>
      <w:bookmarkStart w:id="425" w:name="_Toc119313804"/>
      <w:r w:rsidRPr="00284823">
        <w:rPr>
          <w:b/>
          <w:bCs/>
          <w:color w:val="000000" w:themeColor="text1"/>
          <w:kern w:val="32"/>
        </w:rPr>
        <w:t>ПРИЛОЖЕНИЯ</w:t>
      </w:r>
      <w:bookmarkEnd w:id="422"/>
      <w:bookmarkEnd w:id="423"/>
      <w:bookmarkEnd w:id="424"/>
      <w:bookmarkEnd w:id="425"/>
      <w:r w:rsidRPr="00284823">
        <w:rPr>
          <w:b/>
          <w:bCs/>
          <w:color w:val="000000" w:themeColor="text1"/>
          <w:kern w:val="32"/>
        </w:rPr>
        <w:t xml:space="preserve"> </w:t>
      </w:r>
    </w:p>
    <w:p w14:paraId="32C35698" w14:textId="77777777" w:rsidR="00F8739E" w:rsidRPr="00284823" w:rsidRDefault="00F8739E" w:rsidP="00F8739E">
      <w:pPr>
        <w:keepNext/>
        <w:spacing w:after="0" w:line="240" w:lineRule="auto"/>
        <w:ind w:firstLine="709"/>
        <w:rPr>
          <w:color w:val="000000" w:themeColor="text1"/>
        </w:rPr>
      </w:pPr>
      <w:r w:rsidRPr="00284823">
        <w:rPr>
          <w:bCs/>
          <w:color w:val="000000" w:themeColor="text1"/>
          <w:kern w:val="32"/>
        </w:rPr>
        <w:t>Не применимо.</w:t>
      </w:r>
    </w:p>
    <w:p w14:paraId="0BA20E9F" w14:textId="77777777" w:rsidR="00BC7E97" w:rsidRPr="00707D60" w:rsidRDefault="00BC7E97" w:rsidP="00707D60">
      <w:pPr>
        <w:spacing w:after="0" w:line="240" w:lineRule="auto"/>
        <w:ind w:firstLine="708"/>
        <w:rPr>
          <w:color w:val="000000"/>
        </w:rPr>
      </w:pPr>
    </w:p>
    <w:sectPr w:rsidR="00BC7E97" w:rsidRPr="00707D60" w:rsidSect="00AB01E2">
      <w:pgSz w:w="11906" w:h="16838"/>
      <w:pgMar w:top="1134" w:right="849" w:bottom="1134" w:left="1701" w:header="708"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072D8" w16cid:durableId="26D5609F"/>
  <w16cid:commentId w16cid:paraId="57FE7F4E" w16cid:durableId="26D56406"/>
  <w16cid:commentId w16cid:paraId="7531AB34" w16cid:durableId="26D560A0"/>
  <w16cid:commentId w16cid:paraId="49118721" w16cid:durableId="26D565D6"/>
  <w16cid:commentId w16cid:paraId="30F1D40D" w16cid:durableId="26D560A1"/>
  <w16cid:commentId w16cid:paraId="2DD7FB4E" w16cid:durableId="26D56694"/>
  <w16cid:commentId w16cid:paraId="6D418ED8" w16cid:durableId="26D560A2"/>
  <w16cid:commentId w16cid:paraId="6D59EB03" w16cid:durableId="26D5998B"/>
  <w16cid:commentId w16cid:paraId="5AA7E85C" w16cid:durableId="26D560A3"/>
  <w16cid:commentId w16cid:paraId="26CBBDAD" w16cid:durableId="26D56B74"/>
  <w16cid:commentId w16cid:paraId="1B04F98A" w16cid:durableId="26D560A4"/>
  <w16cid:commentId w16cid:paraId="6D8D4AD7" w16cid:durableId="26D56C8F"/>
  <w16cid:commentId w16cid:paraId="3F7A1126" w16cid:durableId="26D560A5"/>
  <w16cid:commentId w16cid:paraId="3555316E" w16cid:durableId="26D59998"/>
  <w16cid:commentId w16cid:paraId="3F42882D" w16cid:durableId="26D560A6"/>
  <w16cid:commentId w16cid:paraId="00968FDB" w16cid:durableId="26D56E6E"/>
  <w16cid:commentId w16cid:paraId="05A71547" w16cid:durableId="26D560A7"/>
  <w16cid:commentId w16cid:paraId="5B962C04" w16cid:durableId="26D56F82"/>
  <w16cid:commentId w16cid:paraId="0330D0B0" w16cid:durableId="26D560A8"/>
  <w16cid:commentId w16cid:paraId="392CB397" w16cid:durableId="26D5707F"/>
  <w16cid:commentId w16cid:paraId="19901B5D" w16cid:durableId="26D560A9"/>
  <w16cid:commentId w16cid:paraId="22059075" w16cid:durableId="26D599A7"/>
  <w16cid:commentId w16cid:paraId="02C92D77" w16cid:durableId="26D560AA"/>
  <w16cid:commentId w16cid:paraId="623DF7C9" w16cid:durableId="26D572D0"/>
  <w16cid:commentId w16cid:paraId="7D876FA3" w16cid:durableId="26D560AC"/>
  <w16cid:commentId w16cid:paraId="091C21CE" w16cid:durableId="26D599B0"/>
  <w16cid:commentId w16cid:paraId="3376893E" w16cid:durableId="26D560AD"/>
  <w16cid:commentId w16cid:paraId="14DD2BE4" w16cid:durableId="26D599BB"/>
  <w16cid:commentId w16cid:paraId="60DB7973" w16cid:durableId="26D560AE"/>
  <w16cid:commentId w16cid:paraId="613E930D" w16cid:durableId="26D57748"/>
  <w16cid:commentId w16cid:paraId="6F303055" w16cid:durableId="26D560AF"/>
  <w16cid:commentId w16cid:paraId="6DB9FDBB" w16cid:durableId="26D57827"/>
  <w16cid:commentId w16cid:paraId="67D7CB40" w16cid:durableId="26D560B0"/>
  <w16cid:commentId w16cid:paraId="0DA198D0" w16cid:durableId="26D58F3F"/>
  <w16cid:commentId w16cid:paraId="5CF384AF" w16cid:durableId="26D560B1"/>
  <w16cid:commentId w16cid:paraId="568AE3EC" w16cid:durableId="26D58F4B"/>
  <w16cid:commentId w16cid:paraId="23CA748C" w16cid:durableId="26D560B2"/>
  <w16cid:commentId w16cid:paraId="6603C7B0" w16cid:durableId="26D598CD"/>
  <w16cid:commentId w16cid:paraId="2B136B0C" w16cid:durableId="26D560B3"/>
  <w16cid:commentId w16cid:paraId="0843F844" w16cid:durableId="26D599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86D72" w14:textId="77777777" w:rsidR="003161A6" w:rsidRDefault="003161A6" w:rsidP="00E30437">
      <w:pPr>
        <w:spacing w:line="240" w:lineRule="auto"/>
      </w:pPr>
      <w:r>
        <w:separator/>
      </w:r>
    </w:p>
  </w:endnote>
  <w:endnote w:type="continuationSeparator" w:id="0">
    <w:p w14:paraId="72E1739B" w14:textId="77777777" w:rsidR="003161A6" w:rsidRDefault="003161A6"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PS-BoldMT">
    <w:altName w:val="MS Gothic"/>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8A7500" w:rsidRPr="00AB01E2" w:rsidRDefault="008A7500" w:rsidP="00BF01A9">
    <w:pPr>
      <w:spacing w:after="0"/>
      <w:rPr>
        <w:sz w:val="20"/>
      </w:rPr>
    </w:pPr>
  </w:p>
  <w:tbl>
    <w:tblPr>
      <w:tblW w:w="9532" w:type="dxa"/>
      <w:tblInd w:w="-34" w:type="dxa"/>
      <w:tblLook w:val="04A0" w:firstRow="1" w:lastRow="0" w:firstColumn="1" w:lastColumn="0" w:noHBand="0" w:noVBand="1"/>
    </w:tblPr>
    <w:tblGrid>
      <w:gridCol w:w="3297"/>
      <w:gridCol w:w="3258"/>
      <w:gridCol w:w="2977"/>
    </w:tblGrid>
    <w:tr w:rsidR="008A7500" w:rsidRPr="00A624A0" w14:paraId="48E32660" w14:textId="77777777" w:rsidTr="00D3026A">
      <w:trPr>
        <w:trHeight w:val="284"/>
      </w:trPr>
      <w:tc>
        <w:tcPr>
          <w:tcW w:w="3297" w:type="dxa"/>
          <w:hideMark/>
        </w:tcPr>
        <w:p w14:paraId="6463542A" w14:textId="77777777" w:rsidR="008A7500" w:rsidRPr="006A403D" w:rsidRDefault="008A7500"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258" w:type="dxa"/>
          <w:hideMark/>
        </w:tcPr>
        <w:p w14:paraId="51A0CE56" w14:textId="50898C79" w:rsidR="008A7500" w:rsidRPr="00E34EAC" w:rsidRDefault="008A7500" w:rsidP="00693820">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10-ноя-2022 г.</w:t>
          </w:r>
        </w:p>
      </w:tc>
      <w:tc>
        <w:tcPr>
          <w:tcW w:w="2977" w:type="dxa"/>
          <w:hideMark/>
        </w:tcPr>
        <w:p w14:paraId="2118A0F2" w14:textId="0D3AF555" w:rsidR="008A7500" w:rsidRPr="00A624A0" w:rsidRDefault="008A7500" w:rsidP="006A403D">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6650E3">
            <w:rPr>
              <w:rFonts w:eastAsia="Times New Roman"/>
              <w:noProof/>
              <w:lang w:eastAsia="en-US"/>
            </w:rPr>
            <w:t>1</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6650E3">
            <w:rPr>
              <w:rFonts w:eastAsia="Times New Roman"/>
              <w:noProof/>
              <w:lang w:eastAsia="en-US"/>
            </w:rPr>
            <w:t>31</w:t>
          </w:r>
          <w:r>
            <w:rPr>
              <w:rFonts w:eastAsia="Times New Roman"/>
              <w:lang w:eastAsia="en-US"/>
            </w:rPr>
            <w:fldChar w:fldCharType="end"/>
          </w:r>
        </w:p>
      </w:tc>
    </w:tr>
  </w:tbl>
  <w:p w14:paraId="09E6F73C" w14:textId="77777777" w:rsidR="008A7500" w:rsidRPr="006443FB" w:rsidRDefault="008A7500" w:rsidP="00AB01E2">
    <w:pPr>
      <w:pStyle w:val="a6"/>
      <w:tabs>
        <w:tab w:val="left" w:pos="2268"/>
      </w:tabs>
      <w:spacing w:after="0" w:line="240"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804B5" w14:textId="77777777" w:rsidR="008A7500" w:rsidRPr="00AB01E2" w:rsidRDefault="008A7500" w:rsidP="00BF01A9">
    <w:pPr>
      <w:spacing w:after="0"/>
      <w:rPr>
        <w:sz w:val="20"/>
      </w:rPr>
    </w:pPr>
  </w:p>
  <w:tbl>
    <w:tblPr>
      <w:tblW w:w="9390" w:type="dxa"/>
      <w:tblInd w:w="-34" w:type="dxa"/>
      <w:tblLook w:val="04A0" w:firstRow="1" w:lastRow="0" w:firstColumn="1" w:lastColumn="0" w:noHBand="0" w:noVBand="1"/>
    </w:tblPr>
    <w:tblGrid>
      <w:gridCol w:w="3297"/>
      <w:gridCol w:w="3258"/>
      <w:gridCol w:w="2835"/>
    </w:tblGrid>
    <w:tr w:rsidR="008A7500" w:rsidRPr="00A624A0" w14:paraId="223DE939" w14:textId="77777777" w:rsidTr="00D3026A">
      <w:trPr>
        <w:trHeight w:val="284"/>
      </w:trPr>
      <w:tc>
        <w:tcPr>
          <w:tcW w:w="3297" w:type="dxa"/>
          <w:hideMark/>
        </w:tcPr>
        <w:p w14:paraId="3FF94342" w14:textId="77777777" w:rsidR="008A7500" w:rsidRPr="006A403D" w:rsidRDefault="008A7500"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258" w:type="dxa"/>
          <w:hideMark/>
        </w:tcPr>
        <w:p w14:paraId="58961AF6" w14:textId="77777777" w:rsidR="008A7500" w:rsidRPr="00E34EAC" w:rsidRDefault="008A7500" w:rsidP="00693820">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10-ноя-2022 г.</w:t>
          </w:r>
        </w:p>
      </w:tc>
      <w:tc>
        <w:tcPr>
          <w:tcW w:w="2835" w:type="dxa"/>
          <w:hideMark/>
        </w:tcPr>
        <w:p w14:paraId="11952876" w14:textId="194DF23E" w:rsidR="008A7500" w:rsidRPr="00A624A0" w:rsidRDefault="008A7500" w:rsidP="006A403D">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6650E3">
            <w:rPr>
              <w:rFonts w:eastAsia="Times New Roman"/>
              <w:noProof/>
              <w:lang w:eastAsia="en-US"/>
            </w:rPr>
            <w:t>108</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6650E3">
            <w:rPr>
              <w:rFonts w:eastAsia="Times New Roman"/>
              <w:noProof/>
              <w:lang w:eastAsia="en-US"/>
            </w:rPr>
            <w:t>108</w:t>
          </w:r>
          <w:r>
            <w:rPr>
              <w:rFonts w:eastAsia="Times New Roman"/>
              <w:lang w:eastAsia="en-US"/>
            </w:rPr>
            <w:fldChar w:fldCharType="end"/>
          </w:r>
        </w:p>
      </w:tc>
    </w:tr>
  </w:tbl>
  <w:p w14:paraId="3C28E595" w14:textId="77777777" w:rsidR="008A7500" w:rsidRPr="006443FB" w:rsidRDefault="008A7500" w:rsidP="00AB01E2">
    <w:pPr>
      <w:pStyle w:val="a6"/>
      <w:tabs>
        <w:tab w:val="left" w:pos="2268"/>
      </w:tabs>
      <w:spacing w:after="0" w:line="240"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C374C" w14:textId="77777777" w:rsidR="003161A6" w:rsidRDefault="003161A6" w:rsidP="00E30437">
      <w:pPr>
        <w:spacing w:line="240" w:lineRule="auto"/>
      </w:pPr>
      <w:r>
        <w:separator/>
      </w:r>
    </w:p>
  </w:footnote>
  <w:footnote w:type="continuationSeparator" w:id="0">
    <w:p w14:paraId="2D4C5F73" w14:textId="77777777" w:rsidR="003161A6" w:rsidRDefault="003161A6" w:rsidP="00E3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606"/>
      <w:gridCol w:w="5034"/>
    </w:tblGrid>
    <w:tr w:rsidR="008A7500" w:rsidRPr="008C1807" w14:paraId="2042EAC4" w14:textId="77777777" w:rsidTr="008A7500">
      <w:trPr>
        <w:trHeight w:val="1120"/>
      </w:trPr>
      <w:tc>
        <w:tcPr>
          <w:tcW w:w="4606" w:type="dxa"/>
          <w:hideMark/>
        </w:tcPr>
        <w:p w14:paraId="2C841E81" w14:textId="77777777" w:rsidR="008A7500" w:rsidRDefault="008A7500" w:rsidP="0071249E">
          <w:pPr>
            <w:tabs>
              <w:tab w:val="center" w:pos="4677"/>
              <w:tab w:val="right" w:pos="9355"/>
            </w:tabs>
            <w:spacing w:after="0" w:line="240" w:lineRule="auto"/>
            <w:ind w:left="135"/>
            <w:jc w:val="left"/>
            <w:rPr>
              <w:rFonts w:eastAsia="Times New Roman"/>
              <w:lang w:eastAsia="en-US"/>
            </w:rPr>
          </w:pPr>
        </w:p>
        <w:p w14:paraId="7C3DA670" w14:textId="77777777" w:rsidR="008A7500" w:rsidRPr="008C1807" w:rsidRDefault="008A7500" w:rsidP="00D3026A">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31D806FB" w:rsidR="008A7500" w:rsidRDefault="008A7500" w:rsidP="00D3026A">
          <w:pPr>
            <w:tabs>
              <w:tab w:val="center" w:pos="4677"/>
              <w:tab w:val="right" w:pos="9355"/>
            </w:tabs>
            <w:spacing w:after="0" w:line="240" w:lineRule="auto"/>
            <w:jc w:val="left"/>
          </w:pPr>
          <w:r w:rsidRPr="00170502">
            <w:rPr>
              <w:rFonts w:eastAsia="Times New Roman"/>
              <w:lang w:eastAsia="en-US"/>
            </w:rPr>
            <w:t xml:space="preserve">Номер протокола: </w:t>
          </w:r>
          <w:r w:rsidRPr="00170502">
            <w:rPr>
              <w:rFonts w:eastAsia="Calibri"/>
              <w:lang w:eastAsia="ru-RU"/>
            </w:rPr>
            <w:t xml:space="preserve">№ </w:t>
          </w:r>
          <w:r>
            <w:t>CL04629119</w:t>
          </w:r>
        </w:p>
        <w:p w14:paraId="1A5208CD" w14:textId="0730652A" w:rsidR="008A7500" w:rsidRPr="00986AA3" w:rsidRDefault="008A7500" w:rsidP="00D3026A">
          <w:pPr>
            <w:tabs>
              <w:tab w:val="center" w:pos="4677"/>
              <w:tab w:val="right" w:pos="9355"/>
            </w:tabs>
            <w:spacing w:after="0" w:line="240" w:lineRule="auto"/>
            <w:jc w:val="left"/>
            <w:rPr>
              <w:rFonts w:eastAsia="Times New Roman"/>
              <w:lang w:eastAsia="en-US"/>
            </w:rPr>
          </w:pPr>
          <w:r>
            <w:t>Спонсор: АО «Р-Фарм», Россия</w:t>
          </w:r>
        </w:p>
      </w:tc>
      <w:tc>
        <w:tcPr>
          <w:tcW w:w="5034" w:type="dxa"/>
          <w:hideMark/>
        </w:tcPr>
        <w:p w14:paraId="582861F5" w14:textId="77777777" w:rsidR="008A7500" w:rsidRPr="008C1807" w:rsidRDefault="008A7500" w:rsidP="000108B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10"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8A7500" w:rsidRPr="00AB01E2" w:rsidRDefault="008A7500" w:rsidP="00A26EE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8A7500" w:rsidRDefault="008A7500" w:rsidP="008A1A8F">
    <w:pPr>
      <w:pStyle w:val="a4"/>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11" name="Рисунок 11"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8A7500" w:rsidRDefault="008A7500">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33" w:hanging="218"/>
      </w:pPr>
      <w:rPr>
        <w:rFonts w:ascii="Times New Roman" w:hAnsi="Times New Roman" w:cs="Times New Roman"/>
        <w:b w:val="0"/>
        <w:bCs w:val="0"/>
        <w:i w:val="0"/>
        <w:iCs w:val="0"/>
        <w:color w:val="2F2D2F"/>
        <w:w w:val="101"/>
        <w:sz w:val="21"/>
        <w:szCs w:val="21"/>
      </w:rPr>
    </w:lvl>
    <w:lvl w:ilvl="1">
      <w:numFmt w:val="bullet"/>
      <w:lvlText w:val="•"/>
      <w:lvlJc w:val="left"/>
      <w:pPr>
        <w:ind w:left="1030" w:hanging="218"/>
      </w:pPr>
    </w:lvl>
    <w:lvl w:ilvl="2">
      <w:numFmt w:val="bullet"/>
      <w:lvlText w:val="•"/>
      <w:lvlJc w:val="left"/>
      <w:pPr>
        <w:ind w:left="1920" w:hanging="218"/>
      </w:pPr>
    </w:lvl>
    <w:lvl w:ilvl="3">
      <w:numFmt w:val="bullet"/>
      <w:lvlText w:val="•"/>
      <w:lvlJc w:val="left"/>
      <w:pPr>
        <w:ind w:left="2810" w:hanging="218"/>
      </w:pPr>
    </w:lvl>
    <w:lvl w:ilvl="4">
      <w:numFmt w:val="bullet"/>
      <w:lvlText w:val="•"/>
      <w:lvlJc w:val="left"/>
      <w:pPr>
        <w:ind w:left="3700" w:hanging="218"/>
      </w:pPr>
    </w:lvl>
    <w:lvl w:ilvl="5">
      <w:numFmt w:val="bullet"/>
      <w:lvlText w:val="•"/>
      <w:lvlJc w:val="left"/>
      <w:pPr>
        <w:ind w:left="4590" w:hanging="218"/>
      </w:pPr>
    </w:lvl>
    <w:lvl w:ilvl="6">
      <w:numFmt w:val="bullet"/>
      <w:lvlText w:val="•"/>
      <w:lvlJc w:val="left"/>
      <w:pPr>
        <w:ind w:left="5480" w:hanging="218"/>
      </w:pPr>
    </w:lvl>
    <w:lvl w:ilvl="7">
      <w:numFmt w:val="bullet"/>
      <w:lvlText w:val="•"/>
      <w:lvlJc w:val="left"/>
      <w:pPr>
        <w:ind w:left="6370" w:hanging="218"/>
      </w:pPr>
    </w:lvl>
    <w:lvl w:ilvl="8">
      <w:numFmt w:val="bullet"/>
      <w:lvlText w:val="•"/>
      <w:lvlJc w:val="left"/>
      <w:pPr>
        <w:ind w:left="7260" w:hanging="218"/>
      </w:pPr>
    </w:lvl>
  </w:abstractNum>
  <w:abstractNum w:abstractNumId="1" w15:restartNumberingAfterBreak="0">
    <w:nsid w:val="076156CA"/>
    <w:multiLevelType w:val="hybridMultilevel"/>
    <w:tmpl w:val="BC5EF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8C42D9"/>
    <w:multiLevelType w:val="hybridMultilevel"/>
    <w:tmpl w:val="8294C84A"/>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274A3F"/>
    <w:multiLevelType w:val="hybridMultilevel"/>
    <w:tmpl w:val="3EBC3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B82F33"/>
    <w:multiLevelType w:val="hybridMultilevel"/>
    <w:tmpl w:val="7742B648"/>
    <w:lvl w:ilvl="0" w:tplc="3BE40868">
      <w:start w:val="1"/>
      <w:numFmt w:val="bullet"/>
      <w:lvlText w:val="‒"/>
      <w:lvlJc w:val="left"/>
      <w:pPr>
        <w:ind w:left="720" w:hanging="360"/>
      </w:pPr>
      <w:rPr>
        <w:rFonts w:ascii="Times New Roman" w:hAnsi="Times New Roman" w:cs="Times New Roman" w:hint="default"/>
      </w:rPr>
    </w:lvl>
    <w:lvl w:ilvl="1" w:tplc="54F0EE9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971531"/>
    <w:multiLevelType w:val="hybridMultilevel"/>
    <w:tmpl w:val="4560C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2C4465"/>
    <w:multiLevelType w:val="hybridMultilevel"/>
    <w:tmpl w:val="30348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BB0E25"/>
    <w:multiLevelType w:val="hybridMultilevel"/>
    <w:tmpl w:val="BC907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C7122F8"/>
    <w:multiLevelType w:val="hybridMultilevel"/>
    <w:tmpl w:val="9F864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5447EE"/>
    <w:multiLevelType w:val="multilevel"/>
    <w:tmpl w:val="901C05B0"/>
    <w:lvl w:ilvl="0">
      <w:start w:val="4"/>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3E4E77A4"/>
    <w:multiLevelType w:val="hybridMultilevel"/>
    <w:tmpl w:val="66B81D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1080B1A"/>
    <w:multiLevelType w:val="hybridMultilevel"/>
    <w:tmpl w:val="4BCC4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4A0031EE"/>
    <w:multiLevelType w:val="hybridMultilevel"/>
    <w:tmpl w:val="5B343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4F6A88"/>
    <w:multiLevelType w:val="hybridMultilevel"/>
    <w:tmpl w:val="9EA810C2"/>
    <w:lvl w:ilvl="0" w:tplc="0419000F">
      <w:start w:val="1"/>
      <w:numFmt w:val="decimal"/>
      <w:lvlText w:val="%1."/>
      <w:lvlJc w:val="left"/>
      <w:pPr>
        <w:ind w:left="720" w:hanging="360"/>
      </w:pPr>
    </w:lvl>
    <w:lvl w:ilvl="1" w:tplc="64385196">
      <w:numFmt w:val="bullet"/>
      <w:lvlText w:val="•"/>
      <w:lvlJc w:val="left"/>
      <w:pPr>
        <w:ind w:left="1440" w:hanging="360"/>
      </w:pPr>
      <w:rPr>
        <w:rFonts w:ascii="Times New Roman" w:eastAsia="MS Mincho"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40420B"/>
    <w:multiLevelType w:val="hybridMultilevel"/>
    <w:tmpl w:val="E5885620"/>
    <w:lvl w:ilvl="0" w:tplc="B9DCBD36">
      <w:start w:val="1"/>
      <w:numFmt w:val="bullet"/>
      <w:lvlText w:val=""/>
      <w:lvlJc w:val="left"/>
      <w:pPr>
        <w:ind w:left="720" w:hanging="360"/>
      </w:pPr>
      <w:rPr>
        <w:rFonts w:ascii="Symbol" w:hAnsi="Symbol" w:hint="default"/>
      </w:rPr>
    </w:lvl>
    <w:lvl w:ilvl="1" w:tplc="5B08CBB8" w:tentative="1">
      <w:start w:val="1"/>
      <w:numFmt w:val="bullet"/>
      <w:lvlText w:val="o"/>
      <w:lvlJc w:val="left"/>
      <w:pPr>
        <w:ind w:left="1440" w:hanging="360"/>
      </w:pPr>
      <w:rPr>
        <w:rFonts w:ascii="Courier New" w:hAnsi="Courier New" w:cs="Courier New" w:hint="default"/>
      </w:rPr>
    </w:lvl>
    <w:lvl w:ilvl="2" w:tplc="0A5855E8" w:tentative="1">
      <w:start w:val="1"/>
      <w:numFmt w:val="bullet"/>
      <w:lvlText w:val=""/>
      <w:lvlJc w:val="left"/>
      <w:pPr>
        <w:ind w:left="2160" w:hanging="360"/>
      </w:pPr>
      <w:rPr>
        <w:rFonts w:ascii="Wingdings" w:hAnsi="Wingdings" w:hint="default"/>
      </w:rPr>
    </w:lvl>
    <w:lvl w:ilvl="3" w:tplc="16C4AB22" w:tentative="1">
      <w:start w:val="1"/>
      <w:numFmt w:val="bullet"/>
      <w:lvlText w:val=""/>
      <w:lvlJc w:val="left"/>
      <w:pPr>
        <w:ind w:left="2880" w:hanging="360"/>
      </w:pPr>
      <w:rPr>
        <w:rFonts w:ascii="Symbol" w:hAnsi="Symbol" w:hint="default"/>
      </w:rPr>
    </w:lvl>
    <w:lvl w:ilvl="4" w:tplc="BCF47F30" w:tentative="1">
      <w:start w:val="1"/>
      <w:numFmt w:val="bullet"/>
      <w:lvlText w:val="o"/>
      <w:lvlJc w:val="left"/>
      <w:pPr>
        <w:ind w:left="3600" w:hanging="360"/>
      </w:pPr>
      <w:rPr>
        <w:rFonts w:ascii="Courier New" w:hAnsi="Courier New" w:cs="Courier New" w:hint="default"/>
      </w:rPr>
    </w:lvl>
    <w:lvl w:ilvl="5" w:tplc="F962B704" w:tentative="1">
      <w:start w:val="1"/>
      <w:numFmt w:val="bullet"/>
      <w:lvlText w:val=""/>
      <w:lvlJc w:val="left"/>
      <w:pPr>
        <w:ind w:left="4320" w:hanging="360"/>
      </w:pPr>
      <w:rPr>
        <w:rFonts w:ascii="Wingdings" w:hAnsi="Wingdings" w:hint="default"/>
      </w:rPr>
    </w:lvl>
    <w:lvl w:ilvl="6" w:tplc="8CE24748" w:tentative="1">
      <w:start w:val="1"/>
      <w:numFmt w:val="bullet"/>
      <w:lvlText w:val=""/>
      <w:lvlJc w:val="left"/>
      <w:pPr>
        <w:ind w:left="5040" w:hanging="360"/>
      </w:pPr>
      <w:rPr>
        <w:rFonts w:ascii="Symbol" w:hAnsi="Symbol" w:hint="default"/>
      </w:rPr>
    </w:lvl>
    <w:lvl w:ilvl="7" w:tplc="EE105F7A" w:tentative="1">
      <w:start w:val="1"/>
      <w:numFmt w:val="bullet"/>
      <w:lvlText w:val="o"/>
      <w:lvlJc w:val="left"/>
      <w:pPr>
        <w:ind w:left="5760" w:hanging="360"/>
      </w:pPr>
      <w:rPr>
        <w:rFonts w:ascii="Courier New" w:hAnsi="Courier New" w:cs="Courier New" w:hint="default"/>
      </w:rPr>
    </w:lvl>
    <w:lvl w:ilvl="8" w:tplc="3F7A80E6" w:tentative="1">
      <w:start w:val="1"/>
      <w:numFmt w:val="bullet"/>
      <w:lvlText w:val=""/>
      <w:lvlJc w:val="left"/>
      <w:pPr>
        <w:ind w:left="6480" w:hanging="360"/>
      </w:pPr>
      <w:rPr>
        <w:rFonts w:ascii="Wingdings" w:hAnsi="Wingdings" w:hint="default"/>
      </w:rPr>
    </w:lvl>
  </w:abstractNum>
  <w:abstractNum w:abstractNumId="19"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0" w15:restartNumberingAfterBreak="0">
    <w:nsid w:val="610D05B5"/>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2797E48"/>
    <w:multiLevelType w:val="hybridMultilevel"/>
    <w:tmpl w:val="C88666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4B68D7"/>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3B2D6D"/>
    <w:multiLevelType w:val="hybridMultilevel"/>
    <w:tmpl w:val="D6146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4"/>
  </w:num>
  <w:num w:numId="8">
    <w:abstractNumId w:val="20"/>
  </w:num>
  <w:num w:numId="9">
    <w:abstractNumId w:val="22"/>
  </w:num>
  <w:num w:numId="10">
    <w:abstractNumId w:val="0"/>
  </w:num>
  <w:num w:numId="11">
    <w:abstractNumId w:val="24"/>
  </w:num>
  <w:num w:numId="12">
    <w:abstractNumId w:val="12"/>
  </w:num>
  <w:num w:numId="13">
    <w:abstractNumId w:val="8"/>
  </w:num>
  <w:num w:numId="14">
    <w:abstractNumId w:val="7"/>
  </w:num>
  <w:num w:numId="15">
    <w:abstractNumId w:val="1"/>
  </w:num>
  <w:num w:numId="16">
    <w:abstractNumId w:val="11"/>
  </w:num>
  <w:num w:numId="17">
    <w:abstractNumId w:val="17"/>
  </w:num>
  <w:num w:numId="18">
    <w:abstractNumId w:val="16"/>
  </w:num>
  <w:num w:numId="19">
    <w:abstractNumId w:val="9"/>
  </w:num>
  <w:num w:numId="20">
    <w:abstractNumId w:val="4"/>
  </w:num>
  <w:num w:numId="21">
    <w:abstractNumId w:val="2"/>
  </w:num>
  <w:num w:numId="22">
    <w:abstractNumId w:val="3"/>
  </w:num>
  <w:num w:numId="23">
    <w:abstractNumId w:val="21"/>
  </w:num>
  <w:num w:numId="24">
    <w:abstractNumId w:val="13"/>
  </w:num>
  <w:num w:numId="2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hideSpelling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activeWritingStyle w:appName="MSWord" w:lang="de-DE" w:vendorID="64" w:dllVersion="131078" w:nlCheck="1" w:checkStyle="1"/>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0E31"/>
    <w:rsid w:val="00001212"/>
    <w:rsid w:val="00001690"/>
    <w:rsid w:val="00001B0B"/>
    <w:rsid w:val="00001BDB"/>
    <w:rsid w:val="00001C4E"/>
    <w:rsid w:val="000023C4"/>
    <w:rsid w:val="00002443"/>
    <w:rsid w:val="000027F0"/>
    <w:rsid w:val="00002B8B"/>
    <w:rsid w:val="000033BF"/>
    <w:rsid w:val="0000471C"/>
    <w:rsid w:val="000054E2"/>
    <w:rsid w:val="00005644"/>
    <w:rsid w:val="00005E88"/>
    <w:rsid w:val="00006DD4"/>
    <w:rsid w:val="00007348"/>
    <w:rsid w:val="000108BC"/>
    <w:rsid w:val="000125BA"/>
    <w:rsid w:val="0001273E"/>
    <w:rsid w:val="00014CAE"/>
    <w:rsid w:val="00014DB5"/>
    <w:rsid w:val="00015441"/>
    <w:rsid w:val="0001594F"/>
    <w:rsid w:val="00015DE8"/>
    <w:rsid w:val="00016423"/>
    <w:rsid w:val="0001750E"/>
    <w:rsid w:val="00017A2B"/>
    <w:rsid w:val="0002045C"/>
    <w:rsid w:val="000204DF"/>
    <w:rsid w:val="000222E6"/>
    <w:rsid w:val="0002347F"/>
    <w:rsid w:val="00023835"/>
    <w:rsid w:val="00023B50"/>
    <w:rsid w:val="00023CCD"/>
    <w:rsid w:val="0002540B"/>
    <w:rsid w:val="0002546E"/>
    <w:rsid w:val="00026755"/>
    <w:rsid w:val="00026CE6"/>
    <w:rsid w:val="00027209"/>
    <w:rsid w:val="000272B4"/>
    <w:rsid w:val="00032826"/>
    <w:rsid w:val="000335ED"/>
    <w:rsid w:val="00034136"/>
    <w:rsid w:val="00034298"/>
    <w:rsid w:val="0003513C"/>
    <w:rsid w:val="0003556A"/>
    <w:rsid w:val="000356E4"/>
    <w:rsid w:val="00035FD8"/>
    <w:rsid w:val="0003611D"/>
    <w:rsid w:val="00036506"/>
    <w:rsid w:val="000371C1"/>
    <w:rsid w:val="00037364"/>
    <w:rsid w:val="000379C5"/>
    <w:rsid w:val="00040485"/>
    <w:rsid w:val="000407C8"/>
    <w:rsid w:val="0004095C"/>
    <w:rsid w:val="00040AD6"/>
    <w:rsid w:val="00040BAF"/>
    <w:rsid w:val="00040BFF"/>
    <w:rsid w:val="00040F40"/>
    <w:rsid w:val="000418CA"/>
    <w:rsid w:val="00041FBD"/>
    <w:rsid w:val="0004213E"/>
    <w:rsid w:val="0004220D"/>
    <w:rsid w:val="00042226"/>
    <w:rsid w:val="0004273B"/>
    <w:rsid w:val="00042B37"/>
    <w:rsid w:val="00042E1D"/>
    <w:rsid w:val="0004378C"/>
    <w:rsid w:val="00043D31"/>
    <w:rsid w:val="00044D6C"/>
    <w:rsid w:val="00045CA8"/>
    <w:rsid w:val="00046160"/>
    <w:rsid w:val="00046717"/>
    <w:rsid w:val="00046FB8"/>
    <w:rsid w:val="00047FE3"/>
    <w:rsid w:val="0005124B"/>
    <w:rsid w:val="00051324"/>
    <w:rsid w:val="00051674"/>
    <w:rsid w:val="00052E18"/>
    <w:rsid w:val="00052E9A"/>
    <w:rsid w:val="00053099"/>
    <w:rsid w:val="000530A0"/>
    <w:rsid w:val="00054ACA"/>
    <w:rsid w:val="00054E11"/>
    <w:rsid w:val="00055192"/>
    <w:rsid w:val="00055713"/>
    <w:rsid w:val="00060944"/>
    <w:rsid w:val="0006163F"/>
    <w:rsid w:val="0006251A"/>
    <w:rsid w:val="00062C0D"/>
    <w:rsid w:val="000635FB"/>
    <w:rsid w:val="00063E7F"/>
    <w:rsid w:val="0006534B"/>
    <w:rsid w:val="00066301"/>
    <w:rsid w:val="00066B07"/>
    <w:rsid w:val="0006721D"/>
    <w:rsid w:val="00067FE5"/>
    <w:rsid w:val="000712C9"/>
    <w:rsid w:val="0007201B"/>
    <w:rsid w:val="00074723"/>
    <w:rsid w:val="00074753"/>
    <w:rsid w:val="00074C25"/>
    <w:rsid w:val="00075020"/>
    <w:rsid w:val="000750AC"/>
    <w:rsid w:val="00075C1F"/>
    <w:rsid w:val="00077C26"/>
    <w:rsid w:val="00077E57"/>
    <w:rsid w:val="00080229"/>
    <w:rsid w:val="000804A1"/>
    <w:rsid w:val="000808DC"/>
    <w:rsid w:val="000814C6"/>
    <w:rsid w:val="00081D65"/>
    <w:rsid w:val="0008216E"/>
    <w:rsid w:val="00082DE6"/>
    <w:rsid w:val="0008318B"/>
    <w:rsid w:val="00083F3F"/>
    <w:rsid w:val="0008437E"/>
    <w:rsid w:val="00085301"/>
    <w:rsid w:val="000859AF"/>
    <w:rsid w:val="00086396"/>
    <w:rsid w:val="00086B36"/>
    <w:rsid w:val="00087425"/>
    <w:rsid w:val="0008749E"/>
    <w:rsid w:val="000875C9"/>
    <w:rsid w:val="00087856"/>
    <w:rsid w:val="00087ADC"/>
    <w:rsid w:val="00087AE6"/>
    <w:rsid w:val="00087E16"/>
    <w:rsid w:val="000901F1"/>
    <w:rsid w:val="00092835"/>
    <w:rsid w:val="0009294A"/>
    <w:rsid w:val="00093197"/>
    <w:rsid w:val="00094508"/>
    <w:rsid w:val="0009455B"/>
    <w:rsid w:val="00094BA7"/>
    <w:rsid w:val="0009565A"/>
    <w:rsid w:val="000958E0"/>
    <w:rsid w:val="000958ED"/>
    <w:rsid w:val="00095D49"/>
    <w:rsid w:val="0009648F"/>
    <w:rsid w:val="00096CCC"/>
    <w:rsid w:val="00096D37"/>
    <w:rsid w:val="00097512"/>
    <w:rsid w:val="000977B3"/>
    <w:rsid w:val="00097A53"/>
    <w:rsid w:val="00097F8A"/>
    <w:rsid w:val="00097F8F"/>
    <w:rsid w:val="000A101A"/>
    <w:rsid w:val="000A2222"/>
    <w:rsid w:val="000A4403"/>
    <w:rsid w:val="000A51A1"/>
    <w:rsid w:val="000A52C5"/>
    <w:rsid w:val="000A57C9"/>
    <w:rsid w:val="000A5C9A"/>
    <w:rsid w:val="000A674F"/>
    <w:rsid w:val="000A71FC"/>
    <w:rsid w:val="000A74C0"/>
    <w:rsid w:val="000B065F"/>
    <w:rsid w:val="000B08BD"/>
    <w:rsid w:val="000B2916"/>
    <w:rsid w:val="000B3228"/>
    <w:rsid w:val="000B39E1"/>
    <w:rsid w:val="000B4C37"/>
    <w:rsid w:val="000B51C7"/>
    <w:rsid w:val="000B565E"/>
    <w:rsid w:val="000B60DF"/>
    <w:rsid w:val="000B640E"/>
    <w:rsid w:val="000B67D2"/>
    <w:rsid w:val="000B6B06"/>
    <w:rsid w:val="000B7983"/>
    <w:rsid w:val="000C12C8"/>
    <w:rsid w:val="000C2C6B"/>
    <w:rsid w:val="000C3608"/>
    <w:rsid w:val="000C37CF"/>
    <w:rsid w:val="000C43B5"/>
    <w:rsid w:val="000C4D7F"/>
    <w:rsid w:val="000C576B"/>
    <w:rsid w:val="000C6594"/>
    <w:rsid w:val="000C68EA"/>
    <w:rsid w:val="000C6E1B"/>
    <w:rsid w:val="000C71CB"/>
    <w:rsid w:val="000C732A"/>
    <w:rsid w:val="000D0199"/>
    <w:rsid w:val="000D022D"/>
    <w:rsid w:val="000D0844"/>
    <w:rsid w:val="000D0F05"/>
    <w:rsid w:val="000D30DC"/>
    <w:rsid w:val="000D3866"/>
    <w:rsid w:val="000D493D"/>
    <w:rsid w:val="000D54F4"/>
    <w:rsid w:val="000D5549"/>
    <w:rsid w:val="000D5EC2"/>
    <w:rsid w:val="000D665B"/>
    <w:rsid w:val="000D721D"/>
    <w:rsid w:val="000D72AF"/>
    <w:rsid w:val="000D7CCE"/>
    <w:rsid w:val="000D7DEA"/>
    <w:rsid w:val="000E07C1"/>
    <w:rsid w:val="000E2159"/>
    <w:rsid w:val="000E26AA"/>
    <w:rsid w:val="000E284F"/>
    <w:rsid w:val="000E2C49"/>
    <w:rsid w:val="000E30EF"/>
    <w:rsid w:val="000E35A5"/>
    <w:rsid w:val="000E3911"/>
    <w:rsid w:val="000E3A76"/>
    <w:rsid w:val="000E44D0"/>
    <w:rsid w:val="000E4F46"/>
    <w:rsid w:val="000E5281"/>
    <w:rsid w:val="000E53CB"/>
    <w:rsid w:val="000E53F8"/>
    <w:rsid w:val="000E5C4F"/>
    <w:rsid w:val="000E60F3"/>
    <w:rsid w:val="000E65D2"/>
    <w:rsid w:val="000E66E5"/>
    <w:rsid w:val="000E6803"/>
    <w:rsid w:val="000E68DC"/>
    <w:rsid w:val="000F033D"/>
    <w:rsid w:val="000F0542"/>
    <w:rsid w:val="000F0D35"/>
    <w:rsid w:val="000F29E4"/>
    <w:rsid w:val="000F4FE4"/>
    <w:rsid w:val="000F5D3C"/>
    <w:rsid w:val="000F6B1E"/>
    <w:rsid w:val="000F6F6E"/>
    <w:rsid w:val="000F77B8"/>
    <w:rsid w:val="00101165"/>
    <w:rsid w:val="00101B33"/>
    <w:rsid w:val="00103438"/>
    <w:rsid w:val="001035B4"/>
    <w:rsid w:val="0010366C"/>
    <w:rsid w:val="00103805"/>
    <w:rsid w:val="001047B1"/>
    <w:rsid w:val="001054EA"/>
    <w:rsid w:val="0010578D"/>
    <w:rsid w:val="0010671C"/>
    <w:rsid w:val="00106D33"/>
    <w:rsid w:val="0010702B"/>
    <w:rsid w:val="00110422"/>
    <w:rsid w:val="00110C51"/>
    <w:rsid w:val="001114E0"/>
    <w:rsid w:val="001117FB"/>
    <w:rsid w:val="00111928"/>
    <w:rsid w:val="00112BAF"/>
    <w:rsid w:val="00112FA0"/>
    <w:rsid w:val="00113100"/>
    <w:rsid w:val="0011373C"/>
    <w:rsid w:val="00113B7E"/>
    <w:rsid w:val="00113CFD"/>
    <w:rsid w:val="00114F2D"/>
    <w:rsid w:val="00115BA3"/>
    <w:rsid w:val="001162DD"/>
    <w:rsid w:val="0011678E"/>
    <w:rsid w:val="00116DE4"/>
    <w:rsid w:val="00116E77"/>
    <w:rsid w:val="0011725B"/>
    <w:rsid w:val="00117CD5"/>
    <w:rsid w:val="00117E3B"/>
    <w:rsid w:val="001207DC"/>
    <w:rsid w:val="00120C1C"/>
    <w:rsid w:val="0012125D"/>
    <w:rsid w:val="00121792"/>
    <w:rsid w:val="001217CC"/>
    <w:rsid w:val="0012234E"/>
    <w:rsid w:val="00123BF7"/>
    <w:rsid w:val="00125DA9"/>
    <w:rsid w:val="00125F01"/>
    <w:rsid w:val="00126037"/>
    <w:rsid w:val="0012629D"/>
    <w:rsid w:val="00126547"/>
    <w:rsid w:val="00126AC7"/>
    <w:rsid w:val="00126C54"/>
    <w:rsid w:val="001272F9"/>
    <w:rsid w:val="00130274"/>
    <w:rsid w:val="00130DF6"/>
    <w:rsid w:val="00131704"/>
    <w:rsid w:val="00131FB7"/>
    <w:rsid w:val="0013413F"/>
    <w:rsid w:val="00134469"/>
    <w:rsid w:val="001353FC"/>
    <w:rsid w:val="00135736"/>
    <w:rsid w:val="001357FF"/>
    <w:rsid w:val="00135B64"/>
    <w:rsid w:val="00135B70"/>
    <w:rsid w:val="00136DA7"/>
    <w:rsid w:val="0013791D"/>
    <w:rsid w:val="00140FF0"/>
    <w:rsid w:val="00141358"/>
    <w:rsid w:val="00141548"/>
    <w:rsid w:val="00141F58"/>
    <w:rsid w:val="00142421"/>
    <w:rsid w:val="00142DDD"/>
    <w:rsid w:val="00143E65"/>
    <w:rsid w:val="00144D33"/>
    <w:rsid w:val="00150014"/>
    <w:rsid w:val="00150890"/>
    <w:rsid w:val="00150DF0"/>
    <w:rsid w:val="001514E9"/>
    <w:rsid w:val="00152EA4"/>
    <w:rsid w:val="0015308C"/>
    <w:rsid w:val="00153177"/>
    <w:rsid w:val="00153C05"/>
    <w:rsid w:val="00154240"/>
    <w:rsid w:val="001546CC"/>
    <w:rsid w:val="001547B1"/>
    <w:rsid w:val="00155DDD"/>
    <w:rsid w:val="00156465"/>
    <w:rsid w:val="001564A1"/>
    <w:rsid w:val="001569DB"/>
    <w:rsid w:val="001579FF"/>
    <w:rsid w:val="00157A17"/>
    <w:rsid w:val="00157B2D"/>
    <w:rsid w:val="001601BE"/>
    <w:rsid w:val="0016119F"/>
    <w:rsid w:val="00161F13"/>
    <w:rsid w:val="00162B68"/>
    <w:rsid w:val="0016322C"/>
    <w:rsid w:val="00163389"/>
    <w:rsid w:val="00165908"/>
    <w:rsid w:val="00166B20"/>
    <w:rsid w:val="0016715F"/>
    <w:rsid w:val="0016723E"/>
    <w:rsid w:val="00167CD8"/>
    <w:rsid w:val="00170502"/>
    <w:rsid w:val="00170901"/>
    <w:rsid w:val="00171052"/>
    <w:rsid w:val="0017123D"/>
    <w:rsid w:val="001715A0"/>
    <w:rsid w:val="00171708"/>
    <w:rsid w:val="0017244F"/>
    <w:rsid w:val="001749A3"/>
    <w:rsid w:val="00174C26"/>
    <w:rsid w:val="00175830"/>
    <w:rsid w:val="0017715E"/>
    <w:rsid w:val="001809F2"/>
    <w:rsid w:val="00181305"/>
    <w:rsid w:val="001815DF"/>
    <w:rsid w:val="001818A3"/>
    <w:rsid w:val="0018352B"/>
    <w:rsid w:val="00183C16"/>
    <w:rsid w:val="00184102"/>
    <w:rsid w:val="00184815"/>
    <w:rsid w:val="00184A7E"/>
    <w:rsid w:val="00184AA4"/>
    <w:rsid w:val="00184AE7"/>
    <w:rsid w:val="00184D29"/>
    <w:rsid w:val="00185F94"/>
    <w:rsid w:val="00186D08"/>
    <w:rsid w:val="001874D4"/>
    <w:rsid w:val="00190C78"/>
    <w:rsid w:val="001913E6"/>
    <w:rsid w:val="001927FB"/>
    <w:rsid w:val="0019362C"/>
    <w:rsid w:val="00193A32"/>
    <w:rsid w:val="00193FF8"/>
    <w:rsid w:val="00195552"/>
    <w:rsid w:val="00195B2F"/>
    <w:rsid w:val="00195D1F"/>
    <w:rsid w:val="00195DD1"/>
    <w:rsid w:val="00196420"/>
    <w:rsid w:val="001A0CC2"/>
    <w:rsid w:val="001A1116"/>
    <w:rsid w:val="001A133E"/>
    <w:rsid w:val="001A17B2"/>
    <w:rsid w:val="001A1B3F"/>
    <w:rsid w:val="001A254C"/>
    <w:rsid w:val="001A255F"/>
    <w:rsid w:val="001A3FB8"/>
    <w:rsid w:val="001A4539"/>
    <w:rsid w:val="001A48B1"/>
    <w:rsid w:val="001A4CF3"/>
    <w:rsid w:val="001A4DB7"/>
    <w:rsid w:val="001A4E91"/>
    <w:rsid w:val="001A5136"/>
    <w:rsid w:val="001A63E9"/>
    <w:rsid w:val="001A694A"/>
    <w:rsid w:val="001A6C47"/>
    <w:rsid w:val="001A7035"/>
    <w:rsid w:val="001A7179"/>
    <w:rsid w:val="001A7516"/>
    <w:rsid w:val="001A7A1A"/>
    <w:rsid w:val="001B05F8"/>
    <w:rsid w:val="001B069B"/>
    <w:rsid w:val="001B087B"/>
    <w:rsid w:val="001B0C1F"/>
    <w:rsid w:val="001B0EDF"/>
    <w:rsid w:val="001B13AE"/>
    <w:rsid w:val="001B1959"/>
    <w:rsid w:val="001B1AB7"/>
    <w:rsid w:val="001B1D49"/>
    <w:rsid w:val="001B2117"/>
    <w:rsid w:val="001B3989"/>
    <w:rsid w:val="001B4661"/>
    <w:rsid w:val="001B4EAC"/>
    <w:rsid w:val="001B5BFC"/>
    <w:rsid w:val="001B5F59"/>
    <w:rsid w:val="001B6133"/>
    <w:rsid w:val="001B747B"/>
    <w:rsid w:val="001B7A03"/>
    <w:rsid w:val="001C1092"/>
    <w:rsid w:val="001C1333"/>
    <w:rsid w:val="001C2147"/>
    <w:rsid w:val="001C2804"/>
    <w:rsid w:val="001C303E"/>
    <w:rsid w:val="001C3CB5"/>
    <w:rsid w:val="001C3F73"/>
    <w:rsid w:val="001C3F8C"/>
    <w:rsid w:val="001C414F"/>
    <w:rsid w:val="001C54B1"/>
    <w:rsid w:val="001C6008"/>
    <w:rsid w:val="001C749C"/>
    <w:rsid w:val="001C7C81"/>
    <w:rsid w:val="001D01DC"/>
    <w:rsid w:val="001D0852"/>
    <w:rsid w:val="001D0E8D"/>
    <w:rsid w:val="001D1A0F"/>
    <w:rsid w:val="001D1B28"/>
    <w:rsid w:val="001D2376"/>
    <w:rsid w:val="001D2DA4"/>
    <w:rsid w:val="001D508E"/>
    <w:rsid w:val="001D5730"/>
    <w:rsid w:val="001D680F"/>
    <w:rsid w:val="001D6A8F"/>
    <w:rsid w:val="001D77AD"/>
    <w:rsid w:val="001E238B"/>
    <w:rsid w:val="001E24BF"/>
    <w:rsid w:val="001E3712"/>
    <w:rsid w:val="001E3E70"/>
    <w:rsid w:val="001E454C"/>
    <w:rsid w:val="001E4F6E"/>
    <w:rsid w:val="001E5C52"/>
    <w:rsid w:val="001E6191"/>
    <w:rsid w:val="001E7928"/>
    <w:rsid w:val="001E7B10"/>
    <w:rsid w:val="001F00C7"/>
    <w:rsid w:val="001F11A9"/>
    <w:rsid w:val="001F12C9"/>
    <w:rsid w:val="001F2019"/>
    <w:rsid w:val="001F226C"/>
    <w:rsid w:val="001F2527"/>
    <w:rsid w:val="001F2C91"/>
    <w:rsid w:val="001F320E"/>
    <w:rsid w:val="001F36E9"/>
    <w:rsid w:val="001F3AAE"/>
    <w:rsid w:val="001F5135"/>
    <w:rsid w:val="001F7441"/>
    <w:rsid w:val="001F74FE"/>
    <w:rsid w:val="001F7602"/>
    <w:rsid w:val="001F7A3C"/>
    <w:rsid w:val="002002E8"/>
    <w:rsid w:val="00201DAC"/>
    <w:rsid w:val="002023C0"/>
    <w:rsid w:val="00202EF1"/>
    <w:rsid w:val="0020316C"/>
    <w:rsid w:val="002033C5"/>
    <w:rsid w:val="002033D4"/>
    <w:rsid w:val="002036F0"/>
    <w:rsid w:val="00203B53"/>
    <w:rsid w:val="00203FF9"/>
    <w:rsid w:val="0020411B"/>
    <w:rsid w:val="00204926"/>
    <w:rsid w:val="00205515"/>
    <w:rsid w:val="00207789"/>
    <w:rsid w:val="00211456"/>
    <w:rsid w:val="002116C0"/>
    <w:rsid w:val="00214324"/>
    <w:rsid w:val="00214C68"/>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30027"/>
    <w:rsid w:val="00231F5C"/>
    <w:rsid w:val="00232045"/>
    <w:rsid w:val="00233C70"/>
    <w:rsid w:val="00233EAA"/>
    <w:rsid w:val="00234D97"/>
    <w:rsid w:val="00235A12"/>
    <w:rsid w:val="00236167"/>
    <w:rsid w:val="00237D1D"/>
    <w:rsid w:val="00237DD8"/>
    <w:rsid w:val="002400A7"/>
    <w:rsid w:val="00241247"/>
    <w:rsid w:val="00241C63"/>
    <w:rsid w:val="00242206"/>
    <w:rsid w:val="002424DB"/>
    <w:rsid w:val="00243623"/>
    <w:rsid w:val="00244713"/>
    <w:rsid w:val="00244EE7"/>
    <w:rsid w:val="002466F9"/>
    <w:rsid w:val="00246AA3"/>
    <w:rsid w:val="002473ED"/>
    <w:rsid w:val="00247B35"/>
    <w:rsid w:val="00250418"/>
    <w:rsid w:val="00251504"/>
    <w:rsid w:val="0025168A"/>
    <w:rsid w:val="00251BD4"/>
    <w:rsid w:val="002544AA"/>
    <w:rsid w:val="002547A0"/>
    <w:rsid w:val="00254CCD"/>
    <w:rsid w:val="00254F56"/>
    <w:rsid w:val="002550E3"/>
    <w:rsid w:val="00255C3D"/>
    <w:rsid w:val="002562A3"/>
    <w:rsid w:val="002568C3"/>
    <w:rsid w:val="002570EC"/>
    <w:rsid w:val="00257761"/>
    <w:rsid w:val="00257D64"/>
    <w:rsid w:val="00257E5F"/>
    <w:rsid w:val="002608A1"/>
    <w:rsid w:val="002609F2"/>
    <w:rsid w:val="002621AB"/>
    <w:rsid w:val="00262592"/>
    <w:rsid w:val="002643CF"/>
    <w:rsid w:val="00264DF7"/>
    <w:rsid w:val="002659E2"/>
    <w:rsid w:val="00265D41"/>
    <w:rsid w:val="00266931"/>
    <w:rsid w:val="00271FF1"/>
    <w:rsid w:val="002720AE"/>
    <w:rsid w:val="002721D4"/>
    <w:rsid w:val="00272958"/>
    <w:rsid w:val="002731E8"/>
    <w:rsid w:val="00273F38"/>
    <w:rsid w:val="002745F6"/>
    <w:rsid w:val="00275519"/>
    <w:rsid w:val="00275956"/>
    <w:rsid w:val="002761A3"/>
    <w:rsid w:val="00277934"/>
    <w:rsid w:val="00277AAC"/>
    <w:rsid w:val="00280A57"/>
    <w:rsid w:val="002817E3"/>
    <w:rsid w:val="00281D6A"/>
    <w:rsid w:val="00281DBF"/>
    <w:rsid w:val="002824E2"/>
    <w:rsid w:val="00282BBC"/>
    <w:rsid w:val="00283233"/>
    <w:rsid w:val="002836E7"/>
    <w:rsid w:val="002842C1"/>
    <w:rsid w:val="00284466"/>
    <w:rsid w:val="002847AC"/>
    <w:rsid w:val="00284823"/>
    <w:rsid w:val="00284BA8"/>
    <w:rsid w:val="00285433"/>
    <w:rsid w:val="00285651"/>
    <w:rsid w:val="00285A41"/>
    <w:rsid w:val="00287596"/>
    <w:rsid w:val="00287609"/>
    <w:rsid w:val="0028773E"/>
    <w:rsid w:val="00287F01"/>
    <w:rsid w:val="0029030A"/>
    <w:rsid w:val="00290BA1"/>
    <w:rsid w:val="0029180E"/>
    <w:rsid w:val="00291A15"/>
    <w:rsid w:val="00292A83"/>
    <w:rsid w:val="002932B6"/>
    <w:rsid w:val="00293DD4"/>
    <w:rsid w:val="00294554"/>
    <w:rsid w:val="002947DD"/>
    <w:rsid w:val="00294F5B"/>
    <w:rsid w:val="0029516E"/>
    <w:rsid w:val="0029697E"/>
    <w:rsid w:val="00296E16"/>
    <w:rsid w:val="00297C67"/>
    <w:rsid w:val="002A04AC"/>
    <w:rsid w:val="002A0C42"/>
    <w:rsid w:val="002A1826"/>
    <w:rsid w:val="002A1AAB"/>
    <w:rsid w:val="002A2854"/>
    <w:rsid w:val="002A29F7"/>
    <w:rsid w:val="002A3876"/>
    <w:rsid w:val="002A43A3"/>
    <w:rsid w:val="002A50E5"/>
    <w:rsid w:val="002A552C"/>
    <w:rsid w:val="002A5B93"/>
    <w:rsid w:val="002A6456"/>
    <w:rsid w:val="002A67C5"/>
    <w:rsid w:val="002A6D00"/>
    <w:rsid w:val="002A7722"/>
    <w:rsid w:val="002A797F"/>
    <w:rsid w:val="002A7B4A"/>
    <w:rsid w:val="002B0109"/>
    <w:rsid w:val="002B07AF"/>
    <w:rsid w:val="002B1106"/>
    <w:rsid w:val="002B1A87"/>
    <w:rsid w:val="002B216E"/>
    <w:rsid w:val="002B336C"/>
    <w:rsid w:val="002B4201"/>
    <w:rsid w:val="002B453E"/>
    <w:rsid w:val="002B47A2"/>
    <w:rsid w:val="002B51C6"/>
    <w:rsid w:val="002B5BC3"/>
    <w:rsid w:val="002B73D3"/>
    <w:rsid w:val="002B7BF8"/>
    <w:rsid w:val="002B7E2C"/>
    <w:rsid w:val="002C0881"/>
    <w:rsid w:val="002C1289"/>
    <w:rsid w:val="002C15ED"/>
    <w:rsid w:val="002C1C48"/>
    <w:rsid w:val="002C2154"/>
    <w:rsid w:val="002C2939"/>
    <w:rsid w:val="002C366F"/>
    <w:rsid w:val="002C3DDC"/>
    <w:rsid w:val="002C5F97"/>
    <w:rsid w:val="002C647D"/>
    <w:rsid w:val="002C74D1"/>
    <w:rsid w:val="002D0419"/>
    <w:rsid w:val="002D06D7"/>
    <w:rsid w:val="002D124C"/>
    <w:rsid w:val="002D12DC"/>
    <w:rsid w:val="002D186E"/>
    <w:rsid w:val="002D1F04"/>
    <w:rsid w:val="002D3BD1"/>
    <w:rsid w:val="002D4087"/>
    <w:rsid w:val="002D54CE"/>
    <w:rsid w:val="002D55BC"/>
    <w:rsid w:val="002D6490"/>
    <w:rsid w:val="002D67BB"/>
    <w:rsid w:val="002D6949"/>
    <w:rsid w:val="002E0885"/>
    <w:rsid w:val="002E24BD"/>
    <w:rsid w:val="002E25C3"/>
    <w:rsid w:val="002E32AF"/>
    <w:rsid w:val="002E35D0"/>
    <w:rsid w:val="002E38F3"/>
    <w:rsid w:val="002E392D"/>
    <w:rsid w:val="002E3E2F"/>
    <w:rsid w:val="002E4EB8"/>
    <w:rsid w:val="002E4EC2"/>
    <w:rsid w:val="002E4F02"/>
    <w:rsid w:val="002E52FB"/>
    <w:rsid w:val="002E6C14"/>
    <w:rsid w:val="002E6D71"/>
    <w:rsid w:val="002E7015"/>
    <w:rsid w:val="002E7351"/>
    <w:rsid w:val="002E7A13"/>
    <w:rsid w:val="002E7B18"/>
    <w:rsid w:val="002F0EC7"/>
    <w:rsid w:val="002F152D"/>
    <w:rsid w:val="002F18CF"/>
    <w:rsid w:val="002F1D05"/>
    <w:rsid w:val="002F21D3"/>
    <w:rsid w:val="002F25DA"/>
    <w:rsid w:val="002F2C48"/>
    <w:rsid w:val="002F31F0"/>
    <w:rsid w:val="002F38F1"/>
    <w:rsid w:val="002F4A02"/>
    <w:rsid w:val="002F5256"/>
    <w:rsid w:val="002F60BB"/>
    <w:rsid w:val="002F65D5"/>
    <w:rsid w:val="002F6F27"/>
    <w:rsid w:val="002F71EE"/>
    <w:rsid w:val="00300928"/>
    <w:rsid w:val="0030118B"/>
    <w:rsid w:val="00301E3F"/>
    <w:rsid w:val="00302036"/>
    <w:rsid w:val="003020BB"/>
    <w:rsid w:val="00302A80"/>
    <w:rsid w:val="0030301C"/>
    <w:rsid w:val="003031D3"/>
    <w:rsid w:val="00303247"/>
    <w:rsid w:val="00303670"/>
    <w:rsid w:val="003037FD"/>
    <w:rsid w:val="00303A5C"/>
    <w:rsid w:val="00304221"/>
    <w:rsid w:val="00304882"/>
    <w:rsid w:val="0030583F"/>
    <w:rsid w:val="0030688C"/>
    <w:rsid w:val="00306A17"/>
    <w:rsid w:val="00306A51"/>
    <w:rsid w:val="00307408"/>
    <w:rsid w:val="003079EC"/>
    <w:rsid w:val="00307ADB"/>
    <w:rsid w:val="00307EF7"/>
    <w:rsid w:val="0031013E"/>
    <w:rsid w:val="00310F23"/>
    <w:rsid w:val="0031139D"/>
    <w:rsid w:val="003120A3"/>
    <w:rsid w:val="00314A91"/>
    <w:rsid w:val="003161A6"/>
    <w:rsid w:val="00316D9B"/>
    <w:rsid w:val="003173F7"/>
    <w:rsid w:val="00317538"/>
    <w:rsid w:val="00317AD3"/>
    <w:rsid w:val="0032000C"/>
    <w:rsid w:val="0032006A"/>
    <w:rsid w:val="0032024D"/>
    <w:rsid w:val="00321B26"/>
    <w:rsid w:val="00321C7B"/>
    <w:rsid w:val="0032251E"/>
    <w:rsid w:val="00322B00"/>
    <w:rsid w:val="00323394"/>
    <w:rsid w:val="003241A3"/>
    <w:rsid w:val="0032423C"/>
    <w:rsid w:val="00324492"/>
    <w:rsid w:val="00326A2B"/>
    <w:rsid w:val="00327205"/>
    <w:rsid w:val="00327603"/>
    <w:rsid w:val="00327BA6"/>
    <w:rsid w:val="00330DDB"/>
    <w:rsid w:val="003317B3"/>
    <w:rsid w:val="00331A02"/>
    <w:rsid w:val="00331ACC"/>
    <w:rsid w:val="00331D76"/>
    <w:rsid w:val="003324B4"/>
    <w:rsid w:val="00332DCB"/>
    <w:rsid w:val="003346BB"/>
    <w:rsid w:val="003349FA"/>
    <w:rsid w:val="0033576A"/>
    <w:rsid w:val="00335D5B"/>
    <w:rsid w:val="00336187"/>
    <w:rsid w:val="0033628C"/>
    <w:rsid w:val="00336ACE"/>
    <w:rsid w:val="0033742B"/>
    <w:rsid w:val="00337987"/>
    <w:rsid w:val="003426D8"/>
    <w:rsid w:val="00344F7D"/>
    <w:rsid w:val="00344F87"/>
    <w:rsid w:val="00345348"/>
    <w:rsid w:val="003462CE"/>
    <w:rsid w:val="00346858"/>
    <w:rsid w:val="00346B04"/>
    <w:rsid w:val="00346ED4"/>
    <w:rsid w:val="0035201A"/>
    <w:rsid w:val="003520C2"/>
    <w:rsid w:val="003527AF"/>
    <w:rsid w:val="00353A5C"/>
    <w:rsid w:val="00355601"/>
    <w:rsid w:val="003557E4"/>
    <w:rsid w:val="00355A93"/>
    <w:rsid w:val="00357885"/>
    <w:rsid w:val="0036085D"/>
    <w:rsid w:val="00360E2C"/>
    <w:rsid w:val="0036133B"/>
    <w:rsid w:val="00361B55"/>
    <w:rsid w:val="00362664"/>
    <w:rsid w:val="00363A85"/>
    <w:rsid w:val="00363AB8"/>
    <w:rsid w:val="00363B12"/>
    <w:rsid w:val="00364319"/>
    <w:rsid w:val="00364A28"/>
    <w:rsid w:val="003663BD"/>
    <w:rsid w:val="00366994"/>
    <w:rsid w:val="00366EED"/>
    <w:rsid w:val="003670E9"/>
    <w:rsid w:val="00367DE5"/>
    <w:rsid w:val="00367E90"/>
    <w:rsid w:val="00371649"/>
    <w:rsid w:val="00371C08"/>
    <w:rsid w:val="00372AC1"/>
    <w:rsid w:val="00372B61"/>
    <w:rsid w:val="00372FFC"/>
    <w:rsid w:val="00373A54"/>
    <w:rsid w:val="00374019"/>
    <w:rsid w:val="00374F32"/>
    <w:rsid w:val="003751DD"/>
    <w:rsid w:val="003755E3"/>
    <w:rsid w:val="00376E87"/>
    <w:rsid w:val="00377F41"/>
    <w:rsid w:val="003807CD"/>
    <w:rsid w:val="00380EFF"/>
    <w:rsid w:val="003813AF"/>
    <w:rsid w:val="003822AB"/>
    <w:rsid w:val="00382401"/>
    <w:rsid w:val="003836A7"/>
    <w:rsid w:val="00383B2F"/>
    <w:rsid w:val="00383BB1"/>
    <w:rsid w:val="00383F50"/>
    <w:rsid w:val="0038491F"/>
    <w:rsid w:val="00386316"/>
    <w:rsid w:val="003879A4"/>
    <w:rsid w:val="00390353"/>
    <w:rsid w:val="003904D6"/>
    <w:rsid w:val="00390613"/>
    <w:rsid w:val="00390F4B"/>
    <w:rsid w:val="00391738"/>
    <w:rsid w:val="0039330B"/>
    <w:rsid w:val="00394A85"/>
    <w:rsid w:val="00394EEC"/>
    <w:rsid w:val="00395C9D"/>
    <w:rsid w:val="00396C9E"/>
    <w:rsid w:val="00396D74"/>
    <w:rsid w:val="00396F89"/>
    <w:rsid w:val="003A0C4A"/>
    <w:rsid w:val="003A1981"/>
    <w:rsid w:val="003A1BA3"/>
    <w:rsid w:val="003A2424"/>
    <w:rsid w:val="003A244C"/>
    <w:rsid w:val="003A2DB8"/>
    <w:rsid w:val="003A37D2"/>
    <w:rsid w:val="003A389F"/>
    <w:rsid w:val="003A3A27"/>
    <w:rsid w:val="003A41D1"/>
    <w:rsid w:val="003A42F8"/>
    <w:rsid w:val="003A5CCE"/>
    <w:rsid w:val="003A6916"/>
    <w:rsid w:val="003A70C4"/>
    <w:rsid w:val="003A72A3"/>
    <w:rsid w:val="003B05A3"/>
    <w:rsid w:val="003B0A33"/>
    <w:rsid w:val="003B10B9"/>
    <w:rsid w:val="003B15F3"/>
    <w:rsid w:val="003B1C02"/>
    <w:rsid w:val="003B1F86"/>
    <w:rsid w:val="003B3841"/>
    <w:rsid w:val="003B42A6"/>
    <w:rsid w:val="003B4E96"/>
    <w:rsid w:val="003B59FF"/>
    <w:rsid w:val="003B60E0"/>
    <w:rsid w:val="003B6194"/>
    <w:rsid w:val="003B6930"/>
    <w:rsid w:val="003B79A7"/>
    <w:rsid w:val="003C02BD"/>
    <w:rsid w:val="003C09CD"/>
    <w:rsid w:val="003C170E"/>
    <w:rsid w:val="003C1ECE"/>
    <w:rsid w:val="003C2034"/>
    <w:rsid w:val="003C273A"/>
    <w:rsid w:val="003C2A26"/>
    <w:rsid w:val="003C2C65"/>
    <w:rsid w:val="003C3091"/>
    <w:rsid w:val="003C45BA"/>
    <w:rsid w:val="003C5CA4"/>
    <w:rsid w:val="003C5D89"/>
    <w:rsid w:val="003C6251"/>
    <w:rsid w:val="003C63A1"/>
    <w:rsid w:val="003C6EC0"/>
    <w:rsid w:val="003C7690"/>
    <w:rsid w:val="003C7B04"/>
    <w:rsid w:val="003D0C91"/>
    <w:rsid w:val="003D0E6E"/>
    <w:rsid w:val="003D1DC6"/>
    <w:rsid w:val="003D258B"/>
    <w:rsid w:val="003D259F"/>
    <w:rsid w:val="003D28E4"/>
    <w:rsid w:val="003D2A24"/>
    <w:rsid w:val="003D2D21"/>
    <w:rsid w:val="003D2F77"/>
    <w:rsid w:val="003D31EB"/>
    <w:rsid w:val="003D3434"/>
    <w:rsid w:val="003D3B73"/>
    <w:rsid w:val="003D3CEA"/>
    <w:rsid w:val="003D4269"/>
    <w:rsid w:val="003D492A"/>
    <w:rsid w:val="003D4A3E"/>
    <w:rsid w:val="003D5FC1"/>
    <w:rsid w:val="003D6809"/>
    <w:rsid w:val="003D771E"/>
    <w:rsid w:val="003E020B"/>
    <w:rsid w:val="003E0B1C"/>
    <w:rsid w:val="003E1A0F"/>
    <w:rsid w:val="003E1B22"/>
    <w:rsid w:val="003E341D"/>
    <w:rsid w:val="003E3427"/>
    <w:rsid w:val="003E3484"/>
    <w:rsid w:val="003E35A0"/>
    <w:rsid w:val="003E369C"/>
    <w:rsid w:val="003E3743"/>
    <w:rsid w:val="003E45A9"/>
    <w:rsid w:val="003E5641"/>
    <w:rsid w:val="003E5B74"/>
    <w:rsid w:val="003E6794"/>
    <w:rsid w:val="003E7134"/>
    <w:rsid w:val="003E774F"/>
    <w:rsid w:val="003E7920"/>
    <w:rsid w:val="003E7D20"/>
    <w:rsid w:val="003F00D3"/>
    <w:rsid w:val="003F1060"/>
    <w:rsid w:val="003F1480"/>
    <w:rsid w:val="003F1CA1"/>
    <w:rsid w:val="003F2C1E"/>
    <w:rsid w:val="003F39AE"/>
    <w:rsid w:val="003F4DE5"/>
    <w:rsid w:val="003F4FD2"/>
    <w:rsid w:val="003F50EE"/>
    <w:rsid w:val="003F5887"/>
    <w:rsid w:val="003F7488"/>
    <w:rsid w:val="003F7BC9"/>
    <w:rsid w:val="004000F3"/>
    <w:rsid w:val="004008D1"/>
    <w:rsid w:val="004017DE"/>
    <w:rsid w:val="0040308A"/>
    <w:rsid w:val="00403D2A"/>
    <w:rsid w:val="004046BC"/>
    <w:rsid w:val="00404D1A"/>
    <w:rsid w:val="00405414"/>
    <w:rsid w:val="00406AA6"/>
    <w:rsid w:val="00406B2B"/>
    <w:rsid w:val="00407A74"/>
    <w:rsid w:val="00407B05"/>
    <w:rsid w:val="00410DB6"/>
    <w:rsid w:val="00411496"/>
    <w:rsid w:val="00411567"/>
    <w:rsid w:val="00413391"/>
    <w:rsid w:val="004135EB"/>
    <w:rsid w:val="00413AF7"/>
    <w:rsid w:val="004143E3"/>
    <w:rsid w:val="00415E5A"/>
    <w:rsid w:val="00416A44"/>
    <w:rsid w:val="00417394"/>
    <w:rsid w:val="00421212"/>
    <w:rsid w:val="00421AF0"/>
    <w:rsid w:val="004224E9"/>
    <w:rsid w:val="004226CA"/>
    <w:rsid w:val="00422EB4"/>
    <w:rsid w:val="0042322F"/>
    <w:rsid w:val="00424F6E"/>
    <w:rsid w:val="0042557E"/>
    <w:rsid w:val="004255A2"/>
    <w:rsid w:val="00425711"/>
    <w:rsid w:val="00425726"/>
    <w:rsid w:val="0042579C"/>
    <w:rsid w:val="00425C04"/>
    <w:rsid w:val="00425EFC"/>
    <w:rsid w:val="0042656B"/>
    <w:rsid w:val="00426744"/>
    <w:rsid w:val="004268F9"/>
    <w:rsid w:val="004272B5"/>
    <w:rsid w:val="004277BF"/>
    <w:rsid w:val="00430098"/>
    <w:rsid w:val="00430812"/>
    <w:rsid w:val="004309C1"/>
    <w:rsid w:val="00431451"/>
    <w:rsid w:val="004315C3"/>
    <w:rsid w:val="00431A97"/>
    <w:rsid w:val="00432160"/>
    <w:rsid w:val="004327EA"/>
    <w:rsid w:val="00433124"/>
    <w:rsid w:val="00433983"/>
    <w:rsid w:val="00434B3A"/>
    <w:rsid w:val="004353DB"/>
    <w:rsid w:val="00435C81"/>
    <w:rsid w:val="00435D7E"/>
    <w:rsid w:val="00436132"/>
    <w:rsid w:val="00436781"/>
    <w:rsid w:val="00436B9B"/>
    <w:rsid w:val="0043700A"/>
    <w:rsid w:val="004400FE"/>
    <w:rsid w:val="00440795"/>
    <w:rsid w:val="0044120A"/>
    <w:rsid w:val="004416B6"/>
    <w:rsid w:val="0044263F"/>
    <w:rsid w:val="00442F7F"/>
    <w:rsid w:val="00443D4D"/>
    <w:rsid w:val="004440D2"/>
    <w:rsid w:val="00444238"/>
    <w:rsid w:val="004443B4"/>
    <w:rsid w:val="00444517"/>
    <w:rsid w:val="0044453A"/>
    <w:rsid w:val="004458A4"/>
    <w:rsid w:val="00445F5A"/>
    <w:rsid w:val="00445FC3"/>
    <w:rsid w:val="004463F9"/>
    <w:rsid w:val="00446BB4"/>
    <w:rsid w:val="004471C9"/>
    <w:rsid w:val="004475E1"/>
    <w:rsid w:val="00447B3C"/>
    <w:rsid w:val="00447EA3"/>
    <w:rsid w:val="00447F84"/>
    <w:rsid w:val="0045072F"/>
    <w:rsid w:val="00450815"/>
    <w:rsid w:val="004509CB"/>
    <w:rsid w:val="004514A7"/>
    <w:rsid w:val="004517E4"/>
    <w:rsid w:val="00451B3F"/>
    <w:rsid w:val="00453479"/>
    <w:rsid w:val="00453F4A"/>
    <w:rsid w:val="004541CE"/>
    <w:rsid w:val="0045466C"/>
    <w:rsid w:val="004548F9"/>
    <w:rsid w:val="00454E44"/>
    <w:rsid w:val="00455FD1"/>
    <w:rsid w:val="00456682"/>
    <w:rsid w:val="0045707F"/>
    <w:rsid w:val="004579E5"/>
    <w:rsid w:val="004579EB"/>
    <w:rsid w:val="00457EED"/>
    <w:rsid w:val="00461A01"/>
    <w:rsid w:val="004627FF"/>
    <w:rsid w:val="00462A0D"/>
    <w:rsid w:val="00463151"/>
    <w:rsid w:val="004634EA"/>
    <w:rsid w:val="00463565"/>
    <w:rsid w:val="004636A1"/>
    <w:rsid w:val="004644D3"/>
    <w:rsid w:val="004658A7"/>
    <w:rsid w:val="00465B00"/>
    <w:rsid w:val="00466B14"/>
    <w:rsid w:val="004671B6"/>
    <w:rsid w:val="004708F5"/>
    <w:rsid w:val="0047172D"/>
    <w:rsid w:val="0047185A"/>
    <w:rsid w:val="004727A0"/>
    <w:rsid w:val="00474884"/>
    <w:rsid w:val="00474F0F"/>
    <w:rsid w:val="00475246"/>
    <w:rsid w:val="00475562"/>
    <w:rsid w:val="00475E8E"/>
    <w:rsid w:val="00475F2C"/>
    <w:rsid w:val="00476A48"/>
    <w:rsid w:val="00476CB9"/>
    <w:rsid w:val="00477C57"/>
    <w:rsid w:val="00481C1C"/>
    <w:rsid w:val="004821AD"/>
    <w:rsid w:val="00483842"/>
    <w:rsid w:val="0048403A"/>
    <w:rsid w:val="00484259"/>
    <w:rsid w:val="00484630"/>
    <w:rsid w:val="00484CB7"/>
    <w:rsid w:val="00485190"/>
    <w:rsid w:val="0048520D"/>
    <w:rsid w:val="00485AF8"/>
    <w:rsid w:val="00485BEB"/>
    <w:rsid w:val="00486436"/>
    <w:rsid w:val="0048709D"/>
    <w:rsid w:val="004903D2"/>
    <w:rsid w:val="004904AA"/>
    <w:rsid w:val="0049092B"/>
    <w:rsid w:val="00491384"/>
    <w:rsid w:val="00491837"/>
    <w:rsid w:val="00491CBF"/>
    <w:rsid w:val="00491E17"/>
    <w:rsid w:val="004920DD"/>
    <w:rsid w:val="004927FF"/>
    <w:rsid w:val="00492FFE"/>
    <w:rsid w:val="004949F1"/>
    <w:rsid w:val="00495DC8"/>
    <w:rsid w:val="004A053D"/>
    <w:rsid w:val="004A064E"/>
    <w:rsid w:val="004A0D4F"/>
    <w:rsid w:val="004A1E90"/>
    <w:rsid w:val="004A2007"/>
    <w:rsid w:val="004A20AF"/>
    <w:rsid w:val="004A294B"/>
    <w:rsid w:val="004A2E64"/>
    <w:rsid w:val="004A3748"/>
    <w:rsid w:val="004A4493"/>
    <w:rsid w:val="004A4930"/>
    <w:rsid w:val="004A5641"/>
    <w:rsid w:val="004A5A18"/>
    <w:rsid w:val="004A5A69"/>
    <w:rsid w:val="004A6EAE"/>
    <w:rsid w:val="004A76D5"/>
    <w:rsid w:val="004B06F2"/>
    <w:rsid w:val="004B0D5C"/>
    <w:rsid w:val="004B11BF"/>
    <w:rsid w:val="004B14CA"/>
    <w:rsid w:val="004B1F9F"/>
    <w:rsid w:val="004B4890"/>
    <w:rsid w:val="004B48BD"/>
    <w:rsid w:val="004B509D"/>
    <w:rsid w:val="004B552F"/>
    <w:rsid w:val="004B6AAA"/>
    <w:rsid w:val="004B78A1"/>
    <w:rsid w:val="004C0B23"/>
    <w:rsid w:val="004C18E9"/>
    <w:rsid w:val="004C29BD"/>
    <w:rsid w:val="004C3440"/>
    <w:rsid w:val="004C3C61"/>
    <w:rsid w:val="004C4120"/>
    <w:rsid w:val="004C4313"/>
    <w:rsid w:val="004C489F"/>
    <w:rsid w:val="004C4CAD"/>
    <w:rsid w:val="004C4CCF"/>
    <w:rsid w:val="004C505D"/>
    <w:rsid w:val="004C52D6"/>
    <w:rsid w:val="004C5682"/>
    <w:rsid w:val="004C5A6A"/>
    <w:rsid w:val="004D05C1"/>
    <w:rsid w:val="004D1235"/>
    <w:rsid w:val="004D1236"/>
    <w:rsid w:val="004D1426"/>
    <w:rsid w:val="004D193D"/>
    <w:rsid w:val="004D200D"/>
    <w:rsid w:val="004D22F4"/>
    <w:rsid w:val="004D2ADE"/>
    <w:rsid w:val="004D2CEC"/>
    <w:rsid w:val="004D30AE"/>
    <w:rsid w:val="004D37B6"/>
    <w:rsid w:val="004D39AB"/>
    <w:rsid w:val="004D3AC5"/>
    <w:rsid w:val="004D4837"/>
    <w:rsid w:val="004D4A96"/>
    <w:rsid w:val="004D4B9B"/>
    <w:rsid w:val="004D4CEB"/>
    <w:rsid w:val="004D52F2"/>
    <w:rsid w:val="004D540F"/>
    <w:rsid w:val="004E01CC"/>
    <w:rsid w:val="004E29AC"/>
    <w:rsid w:val="004E47F7"/>
    <w:rsid w:val="004E5169"/>
    <w:rsid w:val="004E5822"/>
    <w:rsid w:val="004E5A3A"/>
    <w:rsid w:val="004E5BC0"/>
    <w:rsid w:val="004E6D99"/>
    <w:rsid w:val="004E7552"/>
    <w:rsid w:val="004E78AE"/>
    <w:rsid w:val="004F0DE7"/>
    <w:rsid w:val="004F2104"/>
    <w:rsid w:val="004F328C"/>
    <w:rsid w:val="004F4616"/>
    <w:rsid w:val="004F4BA7"/>
    <w:rsid w:val="00500617"/>
    <w:rsid w:val="00501826"/>
    <w:rsid w:val="0050307F"/>
    <w:rsid w:val="005042F2"/>
    <w:rsid w:val="00504419"/>
    <w:rsid w:val="0050623D"/>
    <w:rsid w:val="00506392"/>
    <w:rsid w:val="005100ED"/>
    <w:rsid w:val="00512E56"/>
    <w:rsid w:val="00512F40"/>
    <w:rsid w:val="00512FE1"/>
    <w:rsid w:val="005134FA"/>
    <w:rsid w:val="00514993"/>
    <w:rsid w:val="00516063"/>
    <w:rsid w:val="00516F5F"/>
    <w:rsid w:val="00520493"/>
    <w:rsid w:val="00520C09"/>
    <w:rsid w:val="00520E23"/>
    <w:rsid w:val="0052103F"/>
    <w:rsid w:val="00521618"/>
    <w:rsid w:val="00521C21"/>
    <w:rsid w:val="00521CBF"/>
    <w:rsid w:val="0052291B"/>
    <w:rsid w:val="00522A10"/>
    <w:rsid w:val="00522A17"/>
    <w:rsid w:val="00523074"/>
    <w:rsid w:val="005237CB"/>
    <w:rsid w:val="00523B3B"/>
    <w:rsid w:val="005249A1"/>
    <w:rsid w:val="00524D90"/>
    <w:rsid w:val="0052608B"/>
    <w:rsid w:val="00526104"/>
    <w:rsid w:val="00526C80"/>
    <w:rsid w:val="005307EF"/>
    <w:rsid w:val="00530DFC"/>
    <w:rsid w:val="0053191A"/>
    <w:rsid w:val="00531FD4"/>
    <w:rsid w:val="00532AA2"/>
    <w:rsid w:val="00532DF4"/>
    <w:rsid w:val="0053515C"/>
    <w:rsid w:val="00535B9A"/>
    <w:rsid w:val="005369E8"/>
    <w:rsid w:val="00536B42"/>
    <w:rsid w:val="00536EB6"/>
    <w:rsid w:val="005370D7"/>
    <w:rsid w:val="005375BA"/>
    <w:rsid w:val="00537C24"/>
    <w:rsid w:val="00542E5D"/>
    <w:rsid w:val="00543258"/>
    <w:rsid w:val="005436BA"/>
    <w:rsid w:val="00543794"/>
    <w:rsid w:val="00544CC6"/>
    <w:rsid w:val="005456D4"/>
    <w:rsid w:val="005459C8"/>
    <w:rsid w:val="00545DE7"/>
    <w:rsid w:val="00546983"/>
    <w:rsid w:val="00547284"/>
    <w:rsid w:val="005474EA"/>
    <w:rsid w:val="005477D0"/>
    <w:rsid w:val="00550895"/>
    <w:rsid w:val="00551205"/>
    <w:rsid w:val="005512A9"/>
    <w:rsid w:val="00551FE9"/>
    <w:rsid w:val="00552632"/>
    <w:rsid w:val="00552641"/>
    <w:rsid w:val="00552A9D"/>
    <w:rsid w:val="00553821"/>
    <w:rsid w:val="00556C9C"/>
    <w:rsid w:val="00556E28"/>
    <w:rsid w:val="00556EE7"/>
    <w:rsid w:val="00557093"/>
    <w:rsid w:val="00557435"/>
    <w:rsid w:val="00557F15"/>
    <w:rsid w:val="00560339"/>
    <w:rsid w:val="005606FB"/>
    <w:rsid w:val="00560946"/>
    <w:rsid w:val="005616B3"/>
    <w:rsid w:val="00561FF9"/>
    <w:rsid w:val="00562401"/>
    <w:rsid w:val="005629D0"/>
    <w:rsid w:val="0056447E"/>
    <w:rsid w:val="005647BC"/>
    <w:rsid w:val="0056524D"/>
    <w:rsid w:val="00565B09"/>
    <w:rsid w:val="00565CB1"/>
    <w:rsid w:val="00565CFD"/>
    <w:rsid w:val="00566832"/>
    <w:rsid w:val="005672FC"/>
    <w:rsid w:val="00567406"/>
    <w:rsid w:val="00567BD3"/>
    <w:rsid w:val="00567F30"/>
    <w:rsid w:val="00570153"/>
    <w:rsid w:val="0057148A"/>
    <w:rsid w:val="00571C0C"/>
    <w:rsid w:val="005724DF"/>
    <w:rsid w:val="00572DC4"/>
    <w:rsid w:val="005731FC"/>
    <w:rsid w:val="00573AA4"/>
    <w:rsid w:val="00574324"/>
    <w:rsid w:val="005746DE"/>
    <w:rsid w:val="0057488E"/>
    <w:rsid w:val="0057499E"/>
    <w:rsid w:val="0057556B"/>
    <w:rsid w:val="0057627A"/>
    <w:rsid w:val="00576C5E"/>
    <w:rsid w:val="00577643"/>
    <w:rsid w:val="00577C2F"/>
    <w:rsid w:val="005810D3"/>
    <w:rsid w:val="00581D1D"/>
    <w:rsid w:val="00581D5E"/>
    <w:rsid w:val="0058201D"/>
    <w:rsid w:val="00582578"/>
    <w:rsid w:val="0058329E"/>
    <w:rsid w:val="00583D9C"/>
    <w:rsid w:val="00584C90"/>
    <w:rsid w:val="005854FF"/>
    <w:rsid w:val="0058556C"/>
    <w:rsid w:val="005858CA"/>
    <w:rsid w:val="00585D63"/>
    <w:rsid w:val="00586422"/>
    <w:rsid w:val="005865EB"/>
    <w:rsid w:val="00586710"/>
    <w:rsid w:val="00587D21"/>
    <w:rsid w:val="00591060"/>
    <w:rsid w:val="005913FF"/>
    <w:rsid w:val="00592564"/>
    <w:rsid w:val="00592A29"/>
    <w:rsid w:val="005930EE"/>
    <w:rsid w:val="00593B88"/>
    <w:rsid w:val="00594A9F"/>
    <w:rsid w:val="00595887"/>
    <w:rsid w:val="00595D69"/>
    <w:rsid w:val="00596C21"/>
    <w:rsid w:val="00597233"/>
    <w:rsid w:val="0059785C"/>
    <w:rsid w:val="005A0455"/>
    <w:rsid w:val="005A0BA7"/>
    <w:rsid w:val="005A11F4"/>
    <w:rsid w:val="005A1C03"/>
    <w:rsid w:val="005A1C51"/>
    <w:rsid w:val="005A25D8"/>
    <w:rsid w:val="005A346B"/>
    <w:rsid w:val="005A47F6"/>
    <w:rsid w:val="005A49C3"/>
    <w:rsid w:val="005A4A7E"/>
    <w:rsid w:val="005A52D8"/>
    <w:rsid w:val="005A5981"/>
    <w:rsid w:val="005A65BF"/>
    <w:rsid w:val="005A6649"/>
    <w:rsid w:val="005A6763"/>
    <w:rsid w:val="005A6C7C"/>
    <w:rsid w:val="005A6CCE"/>
    <w:rsid w:val="005A74C2"/>
    <w:rsid w:val="005A7A9E"/>
    <w:rsid w:val="005A7BCD"/>
    <w:rsid w:val="005B1025"/>
    <w:rsid w:val="005B10DF"/>
    <w:rsid w:val="005B2243"/>
    <w:rsid w:val="005B26BD"/>
    <w:rsid w:val="005B44EB"/>
    <w:rsid w:val="005B474E"/>
    <w:rsid w:val="005B4C01"/>
    <w:rsid w:val="005B4E49"/>
    <w:rsid w:val="005B4F19"/>
    <w:rsid w:val="005B62D1"/>
    <w:rsid w:val="005C0FA0"/>
    <w:rsid w:val="005C11EC"/>
    <w:rsid w:val="005C1B8A"/>
    <w:rsid w:val="005C33EE"/>
    <w:rsid w:val="005C3B17"/>
    <w:rsid w:val="005C3F89"/>
    <w:rsid w:val="005C478B"/>
    <w:rsid w:val="005C4ACA"/>
    <w:rsid w:val="005C51C2"/>
    <w:rsid w:val="005C5E71"/>
    <w:rsid w:val="005C605E"/>
    <w:rsid w:val="005C64E2"/>
    <w:rsid w:val="005C678A"/>
    <w:rsid w:val="005C7B44"/>
    <w:rsid w:val="005D02FB"/>
    <w:rsid w:val="005D0373"/>
    <w:rsid w:val="005D0A8D"/>
    <w:rsid w:val="005D0AAE"/>
    <w:rsid w:val="005D0F1C"/>
    <w:rsid w:val="005D0FAC"/>
    <w:rsid w:val="005D11AF"/>
    <w:rsid w:val="005D206E"/>
    <w:rsid w:val="005D2E5B"/>
    <w:rsid w:val="005D38A6"/>
    <w:rsid w:val="005D4CC0"/>
    <w:rsid w:val="005D5DBF"/>
    <w:rsid w:val="005D6130"/>
    <w:rsid w:val="005D6292"/>
    <w:rsid w:val="005D6E8A"/>
    <w:rsid w:val="005E0914"/>
    <w:rsid w:val="005E1B68"/>
    <w:rsid w:val="005E1BA1"/>
    <w:rsid w:val="005E24BB"/>
    <w:rsid w:val="005E2C67"/>
    <w:rsid w:val="005E3D03"/>
    <w:rsid w:val="005E44BE"/>
    <w:rsid w:val="005E48B7"/>
    <w:rsid w:val="005E56D8"/>
    <w:rsid w:val="005E5C45"/>
    <w:rsid w:val="005E6358"/>
    <w:rsid w:val="005E63C4"/>
    <w:rsid w:val="005E64A2"/>
    <w:rsid w:val="005E69A0"/>
    <w:rsid w:val="005E7410"/>
    <w:rsid w:val="005E7D42"/>
    <w:rsid w:val="005F0115"/>
    <w:rsid w:val="005F036B"/>
    <w:rsid w:val="005F2208"/>
    <w:rsid w:val="005F297D"/>
    <w:rsid w:val="005F29F7"/>
    <w:rsid w:val="005F38EF"/>
    <w:rsid w:val="005F3A6D"/>
    <w:rsid w:val="005F4584"/>
    <w:rsid w:val="005F6618"/>
    <w:rsid w:val="005F6AE7"/>
    <w:rsid w:val="005F7831"/>
    <w:rsid w:val="006007D4"/>
    <w:rsid w:val="006010BF"/>
    <w:rsid w:val="00601696"/>
    <w:rsid w:val="00601A8C"/>
    <w:rsid w:val="00602318"/>
    <w:rsid w:val="006024AF"/>
    <w:rsid w:val="00602EF0"/>
    <w:rsid w:val="0060373C"/>
    <w:rsid w:val="006041B4"/>
    <w:rsid w:val="00604D7D"/>
    <w:rsid w:val="006056EF"/>
    <w:rsid w:val="00606548"/>
    <w:rsid w:val="00606765"/>
    <w:rsid w:val="0060678D"/>
    <w:rsid w:val="0060723A"/>
    <w:rsid w:val="00607C2D"/>
    <w:rsid w:val="006102C1"/>
    <w:rsid w:val="006107AA"/>
    <w:rsid w:val="00610A2C"/>
    <w:rsid w:val="00610DAD"/>
    <w:rsid w:val="00610E65"/>
    <w:rsid w:val="006123B2"/>
    <w:rsid w:val="006125D2"/>
    <w:rsid w:val="00612816"/>
    <w:rsid w:val="00612C05"/>
    <w:rsid w:val="00612FCC"/>
    <w:rsid w:val="00613DA1"/>
    <w:rsid w:val="006148AF"/>
    <w:rsid w:val="006151D0"/>
    <w:rsid w:val="006153B0"/>
    <w:rsid w:val="00615BB3"/>
    <w:rsid w:val="00615DAD"/>
    <w:rsid w:val="006161F9"/>
    <w:rsid w:val="00616A00"/>
    <w:rsid w:val="006205C6"/>
    <w:rsid w:val="00620A2F"/>
    <w:rsid w:val="00624024"/>
    <w:rsid w:val="00624279"/>
    <w:rsid w:val="0062457C"/>
    <w:rsid w:val="00624885"/>
    <w:rsid w:val="00624A46"/>
    <w:rsid w:val="00624BF1"/>
    <w:rsid w:val="00624CC4"/>
    <w:rsid w:val="00624CE2"/>
    <w:rsid w:val="0062572B"/>
    <w:rsid w:val="006311B1"/>
    <w:rsid w:val="00631764"/>
    <w:rsid w:val="0063226D"/>
    <w:rsid w:val="006326B5"/>
    <w:rsid w:val="0063296B"/>
    <w:rsid w:val="00632E2F"/>
    <w:rsid w:val="00634D43"/>
    <w:rsid w:val="006359CF"/>
    <w:rsid w:val="00636158"/>
    <w:rsid w:val="0063645A"/>
    <w:rsid w:val="006365A3"/>
    <w:rsid w:val="006366BA"/>
    <w:rsid w:val="00636B9A"/>
    <w:rsid w:val="00636C1A"/>
    <w:rsid w:val="00636F03"/>
    <w:rsid w:val="006374D0"/>
    <w:rsid w:val="00637B55"/>
    <w:rsid w:val="006403AD"/>
    <w:rsid w:val="00640A9F"/>
    <w:rsid w:val="00641454"/>
    <w:rsid w:val="00641765"/>
    <w:rsid w:val="006425E2"/>
    <w:rsid w:val="006437EF"/>
    <w:rsid w:val="00643887"/>
    <w:rsid w:val="006443FB"/>
    <w:rsid w:val="00644707"/>
    <w:rsid w:val="00644839"/>
    <w:rsid w:val="00644904"/>
    <w:rsid w:val="00644A3F"/>
    <w:rsid w:val="00644BAE"/>
    <w:rsid w:val="00644F4B"/>
    <w:rsid w:val="006452E8"/>
    <w:rsid w:val="00645442"/>
    <w:rsid w:val="0064570B"/>
    <w:rsid w:val="0064683E"/>
    <w:rsid w:val="00646862"/>
    <w:rsid w:val="006475C6"/>
    <w:rsid w:val="006476A8"/>
    <w:rsid w:val="006477C1"/>
    <w:rsid w:val="006478F6"/>
    <w:rsid w:val="00650255"/>
    <w:rsid w:val="006505DE"/>
    <w:rsid w:val="0065140E"/>
    <w:rsid w:val="00651440"/>
    <w:rsid w:val="0065231D"/>
    <w:rsid w:val="00652395"/>
    <w:rsid w:val="006525B2"/>
    <w:rsid w:val="0065272C"/>
    <w:rsid w:val="006527AF"/>
    <w:rsid w:val="0065548C"/>
    <w:rsid w:val="00655800"/>
    <w:rsid w:val="0065607E"/>
    <w:rsid w:val="0065673F"/>
    <w:rsid w:val="00657AB1"/>
    <w:rsid w:val="006608D5"/>
    <w:rsid w:val="00660F86"/>
    <w:rsid w:val="00661BE8"/>
    <w:rsid w:val="006625D8"/>
    <w:rsid w:val="00662D2E"/>
    <w:rsid w:val="00663E7F"/>
    <w:rsid w:val="006647BB"/>
    <w:rsid w:val="006650E3"/>
    <w:rsid w:val="0066562E"/>
    <w:rsid w:val="00666F7A"/>
    <w:rsid w:val="006679BD"/>
    <w:rsid w:val="00667B27"/>
    <w:rsid w:val="00667D19"/>
    <w:rsid w:val="00670BD5"/>
    <w:rsid w:val="00670F65"/>
    <w:rsid w:val="00672C8A"/>
    <w:rsid w:val="0067300F"/>
    <w:rsid w:val="006743F8"/>
    <w:rsid w:val="0067533F"/>
    <w:rsid w:val="00675583"/>
    <w:rsid w:val="00675693"/>
    <w:rsid w:val="00676029"/>
    <w:rsid w:val="0067623B"/>
    <w:rsid w:val="00676705"/>
    <w:rsid w:val="00680B41"/>
    <w:rsid w:val="00681224"/>
    <w:rsid w:val="006819A5"/>
    <w:rsid w:val="00681AC1"/>
    <w:rsid w:val="006826A6"/>
    <w:rsid w:val="0068301B"/>
    <w:rsid w:val="0068393C"/>
    <w:rsid w:val="00683ED7"/>
    <w:rsid w:val="00684DE5"/>
    <w:rsid w:val="006856BF"/>
    <w:rsid w:val="00686B31"/>
    <w:rsid w:val="00686C6D"/>
    <w:rsid w:val="00690BDC"/>
    <w:rsid w:val="00691450"/>
    <w:rsid w:val="006916ED"/>
    <w:rsid w:val="00691918"/>
    <w:rsid w:val="00691B55"/>
    <w:rsid w:val="00691F22"/>
    <w:rsid w:val="0069279B"/>
    <w:rsid w:val="00692BB8"/>
    <w:rsid w:val="00693820"/>
    <w:rsid w:val="00695F0D"/>
    <w:rsid w:val="00696205"/>
    <w:rsid w:val="006967C7"/>
    <w:rsid w:val="00696E4D"/>
    <w:rsid w:val="00697158"/>
    <w:rsid w:val="006A1A39"/>
    <w:rsid w:val="006A1C00"/>
    <w:rsid w:val="006A21BF"/>
    <w:rsid w:val="006A2224"/>
    <w:rsid w:val="006A2678"/>
    <w:rsid w:val="006A2EBE"/>
    <w:rsid w:val="006A3734"/>
    <w:rsid w:val="006A3992"/>
    <w:rsid w:val="006A3AAE"/>
    <w:rsid w:val="006A3F1A"/>
    <w:rsid w:val="006A403D"/>
    <w:rsid w:val="006A6241"/>
    <w:rsid w:val="006A6C4C"/>
    <w:rsid w:val="006A7FF9"/>
    <w:rsid w:val="006B01CB"/>
    <w:rsid w:val="006B0460"/>
    <w:rsid w:val="006B0657"/>
    <w:rsid w:val="006B09AD"/>
    <w:rsid w:val="006B0E62"/>
    <w:rsid w:val="006B1DC9"/>
    <w:rsid w:val="006B26A2"/>
    <w:rsid w:val="006B300B"/>
    <w:rsid w:val="006B37AB"/>
    <w:rsid w:val="006B41FA"/>
    <w:rsid w:val="006B6517"/>
    <w:rsid w:val="006B68D7"/>
    <w:rsid w:val="006B69DD"/>
    <w:rsid w:val="006B6A0F"/>
    <w:rsid w:val="006C1121"/>
    <w:rsid w:val="006C1A23"/>
    <w:rsid w:val="006C1D21"/>
    <w:rsid w:val="006C20D3"/>
    <w:rsid w:val="006C3544"/>
    <w:rsid w:val="006C3A12"/>
    <w:rsid w:val="006C3D03"/>
    <w:rsid w:val="006C3DAD"/>
    <w:rsid w:val="006C53DA"/>
    <w:rsid w:val="006C66CF"/>
    <w:rsid w:val="006C78E5"/>
    <w:rsid w:val="006C7A44"/>
    <w:rsid w:val="006C7B84"/>
    <w:rsid w:val="006C7E6A"/>
    <w:rsid w:val="006C7EEC"/>
    <w:rsid w:val="006D142C"/>
    <w:rsid w:val="006D1668"/>
    <w:rsid w:val="006D2414"/>
    <w:rsid w:val="006D2782"/>
    <w:rsid w:val="006D2D86"/>
    <w:rsid w:val="006D308A"/>
    <w:rsid w:val="006D3570"/>
    <w:rsid w:val="006D35DB"/>
    <w:rsid w:val="006D382A"/>
    <w:rsid w:val="006D3CAE"/>
    <w:rsid w:val="006D576B"/>
    <w:rsid w:val="006D608F"/>
    <w:rsid w:val="006D618A"/>
    <w:rsid w:val="006D6500"/>
    <w:rsid w:val="006D7040"/>
    <w:rsid w:val="006D718A"/>
    <w:rsid w:val="006D7767"/>
    <w:rsid w:val="006D7B08"/>
    <w:rsid w:val="006E0C5B"/>
    <w:rsid w:val="006E0CB0"/>
    <w:rsid w:val="006E0DAC"/>
    <w:rsid w:val="006E1F31"/>
    <w:rsid w:val="006E4946"/>
    <w:rsid w:val="006E4F40"/>
    <w:rsid w:val="006E5315"/>
    <w:rsid w:val="006E62C3"/>
    <w:rsid w:val="006E63EA"/>
    <w:rsid w:val="006E6FFB"/>
    <w:rsid w:val="006E7872"/>
    <w:rsid w:val="006F04E2"/>
    <w:rsid w:val="006F0CFC"/>
    <w:rsid w:val="006F12E9"/>
    <w:rsid w:val="006F1840"/>
    <w:rsid w:val="006F19CA"/>
    <w:rsid w:val="006F1B09"/>
    <w:rsid w:val="006F3D4D"/>
    <w:rsid w:val="006F42FA"/>
    <w:rsid w:val="006F5583"/>
    <w:rsid w:val="006F7ED3"/>
    <w:rsid w:val="00700CCF"/>
    <w:rsid w:val="0070125A"/>
    <w:rsid w:val="00701CBA"/>
    <w:rsid w:val="00702112"/>
    <w:rsid w:val="00702491"/>
    <w:rsid w:val="0070362E"/>
    <w:rsid w:val="00703CB8"/>
    <w:rsid w:val="00705026"/>
    <w:rsid w:val="00705C2F"/>
    <w:rsid w:val="007070A2"/>
    <w:rsid w:val="00707512"/>
    <w:rsid w:val="00707745"/>
    <w:rsid w:val="00707857"/>
    <w:rsid w:val="00707900"/>
    <w:rsid w:val="00707D60"/>
    <w:rsid w:val="007107D4"/>
    <w:rsid w:val="00711874"/>
    <w:rsid w:val="007121F2"/>
    <w:rsid w:val="0071249E"/>
    <w:rsid w:val="00713C42"/>
    <w:rsid w:val="007142D7"/>
    <w:rsid w:val="00714493"/>
    <w:rsid w:val="007160F5"/>
    <w:rsid w:val="0071614B"/>
    <w:rsid w:val="00716B95"/>
    <w:rsid w:val="00716CDC"/>
    <w:rsid w:val="0071721E"/>
    <w:rsid w:val="00717FA5"/>
    <w:rsid w:val="0072149F"/>
    <w:rsid w:val="00721757"/>
    <w:rsid w:val="00722AF0"/>
    <w:rsid w:val="00723379"/>
    <w:rsid w:val="0072339E"/>
    <w:rsid w:val="00724344"/>
    <w:rsid w:val="007247D7"/>
    <w:rsid w:val="0072579A"/>
    <w:rsid w:val="0072582C"/>
    <w:rsid w:val="00725936"/>
    <w:rsid w:val="00725A3C"/>
    <w:rsid w:val="0072741F"/>
    <w:rsid w:val="00727BCA"/>
    <w:rsid w:val="00727F41"/>
    <w:rsid w:val="007304D0"/>
    <w:rsid w:val="00730C57"/>
    <w:rsid w:val="00730D3F"/>
    <w:rsid w:val="00730FFD"/>
    <w:rsid w:val="00731096"/>
    <w:rsid w:val="00731E21"/>
    <w:rsid w:val="00732404"/>
    <w:rsid w:val="0073267F"/>
    <w:rsid w:val="00733160"/>
    <w:rsid w:val="0073366F"/>
    <w:rsid w:val="00733D8E"/>
    <w:rsid w:val="00734395"/>
    <w:rsid w:val="00735585"/>
    <w:rsid w:val="007359C9"/>
    <w:rsid w:val="007367D8"/>
    <w:rsid w:val="00736A12"/>
    <w:rsid w:val="00737481"/>
    <w:rsid w:val="00737A56"/>
    <w:rsid w:val="00737D0A"/>
    <w:rsid w:val="00740289"/>
    <w:rsid w:val="007408A4"/>
    <w:rsid w:val="00740EE9"/>
    <w:rsid w:val="00740F58"/>
    <w:rsid w:val="00741E56"/>
    <w:rsid w:val="00742058"/>
    <w:rsid w:val="0074280D"/>
    <w:rsid w:val="0074337F"/>
    <w:rsid w:val="007436D4"/>
    <w:rsid w:val="0074421F"/>
    <w:rsid w:val="00745063"/>
    <w:rsid w:val="00745600"/>
    <w:rsid w:val="007456F5"/>
    <w:rsid w:val="00745AA0"/>
    <w:rsid w:val="007465FB"/>
    <w:rsid w:val="00746ADE"/>
    <w:rsid w:val="00746E6A"/>
    <w:rsid w:val="007477FE"/>
    <w:rsid w:val="00747F03"/>
    <w:rsid w:val="00750298"/>
    <w:rsid w:val="007502CA"/>
    <w:rsid w:val="00751B5A"/>
    <w:rsid w:val="0075344B"/>
    <w:rsid w:val="007537FD"/>
    <w:rsid w:val="00753F20"/>
    <w:rsid w:val="007541A7"/>
    <w:rsid w:val="00754591"/>
    <w:rsid w:val="00754911"/>
    <w:rsid w:val="00755022"/>
    <w:rsid w:val="007552E8"/>
    <w:rsid w:val="007556C5"/>
    <w:rsid w:val="00755B29"/>
    <w:rsid w:val="007562E3"/>
    <w:rsid w:val="007566D6"/>
    <w:rsid w:val="007569EC"/>
    <w:rsid w:val="00756BC6"/>
    <w:rsid w:val="007571F7"/>
    <w:rsid w:val="00757CE0"/>
    <w:rsid w:val="00760569"/>
    <w:rsid w:val="00760981"/>
    <w:rsid w:val="00760ADA"/>
    <w:rsid w:val="00760B37"/>
    <w:rsid w:val="00761113"/>
    <w:rsid w:val="007616E1"/>
    <w:rsid w:val="00762766"/>
    <w:rsid w:val="00763A80"/>
    <w:rsid w:val="007642FE"/>
    <w:rsid w:val="00765298"/>
    <w:rsid w:val="00765DD8"/>
    <w:rsid w:val="007661C5"/>
    <w:rsid w:val="0076709F"/>
    <w:rsid w:val="00767A82"/>
    <w:rsid w:val="00767F4A"/>
    <w:rsid w:val="00770B85"/>
    <w:rsid w:val="00770FA0"/>
    <w:rsid w:val="00771365"/>
    <w:rsid w:val="00771BCC"/>
    <w:rsid w:val="00772165"/>
    <w:rsid w:val="00772651"/>
    <w:rsid w:val="00772FA6"/>
    <w:rsid w:val="007736B0"/>
    <w:rsid w:val="00774631"/>
    <w:rsid w:val="0077567F"/>
    <w:rsid w:val="00775AAF"/>
    <w:rsid w:val="00776C38"/>
    <w:rsid w:val="00776F3F"/>
    <w:rsid w:val="007801BA"/>
    <w:rsid w:val="00780410"/>
    <w:rsid w:val="00780E12"/>
    <w:rsid w:val="00780E5A"/>
    <w:rsid w:val="00781215"/>
    <w:rsid w:val="00781AE0"/>
    <w:rsid w:val="0078213E"/>
    <w:rsid w:val="00782D2B"/>
    <w:rsid w:val="00783C29"/>
    <w:rsid w:val="00784F35"/>
    <w:rsid w:val="0078793B"/>
    <w:rsid w:val="00787C4B"/>
    <w:rsid w:val="0079018A"/>
    <w:rsid w:val="00790695"/>
    <w:rsid w:val="00791722"/>
    <w:rsid w:val="00791D2B"/>
    <w:rsid w:val="0079414A"/>
    <w:rsid w:val="007944E6"/>
    <w:rsid w:val="00794641"/>
    <w:rsid w:val="0079497E"/>
    <w:rsid w:val="0079526F"/>
    <w:rsid w:val="00796623"/>
    <w:rsid w:val="00797D34"/>
    <w:rsid w:val="007A08A9"/>
    <w:rsid w:val="007A1E7C"/>
    <w:rsid w:val="007A2314"/>
    <w:rsid w:val="007A2CED"/>
    <w:rsid w:val="007A4295"/>
    <w:rsid w:val="007A52EB"/>
    <w:rsid w:val="007A5A2E"/>
    <w:rsid w:val="007A5D34"/>
    <w:rsid w:val="007B0174"/>
    <w:rsid w:val="007B093B"/>
    <w:rsid w:val="007B0940"/>
    <w:rsid w:val="007B209B"/>
    <w:rsid w:val="007B218F"/>
    <w:rsid w:val="007B25ED"/>
    <w:rsid w:val="007B3515"/>
    <w:rsid w:val="007B35E5"/>
    <w:rsid w:val="007B3F9F"/>
    <w:rsid w:val="007B41F6"/>
    <w:rsid w:val="007B4627"/>
    <w:rsid w:val="007B4992"/>
    <w:rsid w:val="007B56FD"/>
    <w:rsid w:val="007B5BB5"/>
    <w:rsid w:val="007B7074"/>
    <w:rsid w:val="007B735B"/>
    <w:rsid w:val="007C0CE4"/>
    <w:rsid w:val="007C148A"/>
    <w:rsid w:val="007C254D"/>
    <w:rsid w:val="007C297E"/>
    <w:rsid w:val="007C2D80"/>
    <w:rsid w:val="007C3B84"/>
    <w:rsid w:val="007C4DE0"/>
    <w:rsid w:val="007C50C9"/>
    <w:rsid w:val="007C52DA"/>
    <w:rsid w:val="007C628D"/>
    <w:rsid w:val="007C7D21"/>
    <w:rsid w:val="007D0077"/>
    <w:rsid w:val="007D0873"/>
    <w:rsid w:val="007D10C1"/>
    <w:rsid w:val="007D1D0C"/>
    <w:rsid w:val="007D243C"/>
    <w:rsid w:val="007D3428"/>
    <w:rsid w:val="007D3ABA"/>
    <w:rsid w:val="007D3F37"/>
    <w:rsid w:val="007D5006"/>
    <w:rsid w:val="007D5132"/>
    <w:rsid w:val="007D5382"/>
    <w:rsid w:val="007D6476"/>
    <w:rsid w:val="007D65F7"/>
    <w:rsid w:val="007E00CC"/>
    <w:rsid w:val="007E0401"/>
    <w:rsid w:val="007E168C"/>
    <w:rsid w:val="007E1B43"/>
    <w:rsid w:val="007E1F59"/>
    <w:rsid w:val="007E29FC"/>
    <w:rsid w:val="007E2FB9"/>
    <w:rsid w:val="007E30E7"/>
    <w:rsid w:val="007E39A2"/>
    <w:rsid w:val="007E4440"/>
    <w:rsid w:val="007E4A77"/>
    <w:rsid w:val="007E5C23"/>
    <w:rsid w:val="007E5CF6"/>
    <w:rsid w:val="007E77E9"/>
    <w:rsid w:val="007E7E52"/>
    <w:rsid w:val="007F0446"/>
    <w:rsid w:val="007F0496"/>
    <w:rsid w:val="007F07A9"/>
    <w:rsid w:val="007F1535"/>
    <w:rsid w:val="007F1688"/>
    <w:rsid w:val="007F16CB"/>
    <w:rsid w:val="007F2320"/>
    <w:rsid w:val="007F2782"/>
    <w:rsid w:val="007F3829"/>
    <w:rsid w:val="007F4978"/>
    <w:rsid w:val="007F50AC"/>
    <w:rsid w:val="007F5597"/>
    <w:rsid w:val="007F62B6"/>
    <w:rsid w:val="007F68B9"/>
    <w:rsid w:val="007F6BCB"/>
    <w:rsid w:val="007F7191"/>
    <w:rsid w:val="007F7749"/>
    <w:rsid w:val="00800040"/>
    <w:rsid w:val="008000F1"/>
    <w:rsid w:val="008008C5"/>
    <w:rsid w:val="00802FFD"/>
    <w:rsid w:val="00804274"/>
    <w:rsid w:val="008046A7"/>
    <w:rsid w:val="0080567D"/>
    <w:rsid w:val="00806618"/>
    <w:rsid w:val="00806F9B"/>
    <w:rsid w:val="00807A58"/>
    <w:rsid w:val="0081007B"/>
    <w:rsid w:val="008100D3"/>
    <w:rsid w:val="0081221B"/>
    <w:rsid w:val="00812417"/>
    <w:rsid w:val="0081541C"/>
    <w:rsid w:val="00815CA2"/>
    <w:rsid w:val="0081670A"/>
    <w:rsid w:val="00816C03"/>
    <w:rsid w:val="00816F37"/>
    <w:rsid w:val="00817C86"/>
    <w:rsid w:val="00817D08"/>
    <w:rsid w:val="00817E85"/>
    <w:rsid w:val="0082224D"/>
    <w:rsid w:val="00823426"/>
    <w:rsid w:val="00823ABB"/>
    <w:rsid w:val="00825C65"/>
    <w:rsid w:val="00826400"/>
    <w:rsid w:val="00826BCB"/>
    <w:rsid w:val="00830775"/>
    <w:rsid w:val="00831D39"/>
    <w:rsid w:val="00832710"/>
    <w:rsid w:val="008333AD"/>
    <w:rsid w:val="0083363A"/>
    <w:rsid w:val="00833719"/>
    <w:rsid w:val="008337DF"/>
    <w:rsid w:val="0083419A"/>
    <w:rsid w:val="0083478B"/>
    <w:rsid w:val="008367F0"/>
    <w:rsid w:val="008374C9"/>
    <w:rsid w:val="0083760E"/>
    <w:rsid w:val="00837ED4"/>
    <w:rsid w:val="008401FF"/>
    <w:rsid w:val="008406A0"/>
    <w:rsid w:val="008411FE"/>
    <w:rsid w:val="00841EF8"/>
    <w:rsid w:val="00841FCA"/>
    <w:rsid w:val="00842F8A"/>
    <w:rsid w:val="00843074"/>
    <w:rsid w:val="00843A17"/>
    <w:rsid w:val="00845214"/>
    <w:rsid w:val="008458CD"/>
    <w:rsid w:val="008464A2"/>
    <w:rsid w:val="00847137"/>
    <w:rsid w:val="00847311"/>
    <w:rsid w:val="00850053"/>
    <w:rsid w:val="00850E0E"/>
    <w:rsid w:val="00850FC1"/>
    <w:rsid w:val="00852024"/>
    <w:rsid w:val="0085288D"/>
    <w:rsid w:val="00854A13"/>
    <w:rsid w:val="00855165"/>
    <w:rsid w:val="008551F2"/>
    <w:rsid w:val="0085541F"/>
    <w:rsid w:val="008557FE"/>
    <w:rsid w:val="00856172"/>
    <w:rsid w:val="0085687C"/>
    <w:rsid w:val="00856CA4"/>
    <w:rsid w:val="00857290"/>
    <w:rsid w:val="008572E1"/>
    <w:rsid w:val="00857C8F"/>
    <w:rsid w:val="008600FA"/>
    <w:rsid w:val="0086134D"/>
    <w:rsid w:val="00862640"/>
    <w:rsid w:val="00862A3D"/>
    <w:rsid w:val="008631E6"/>
    <w:rsid w:val="00863362"/>
    <w:rsid w:val="00863507"/>
    <w:rsid w:val="00863F8F"/>
    <w:rsid w:val="008653ED"/>
    <w:rsid w:val="008660D6"/>
    <w:rsid w:val="00867177"/>
    <w:rsid w:val="00867876"/>
    <w:rsid w:val="00867CB3"/>
    <w:rsid w:val="00867E24"/>
    <w:rsid w:val="00867E51"/>
    <w:rsid w:val="00867F41"/>
    <w:rsid w:val="00870E6B"/>
    <w:rsid w:val="0087161A"/>
    <w:rsid w:val="0087208F"/>
    <w:rsid w:val="008735F8"/>
    <w:rsid w:val="00873DAA"/>
    <w:rsid w:val="00874190"/>
    <w:rsid w:val="00875113"/>
    <w:rsid w:val="00875187"/>
    <w:rsid w:val="0087627E"/>
    <w:rsid w:val="00876695"/>
    <w:rsid w:val="00876EAD"/>
    <w:rsid w:val="008778E6"/>
    <w:rsid w:val="008812B3"/>
    <w:rsid w:val="008824F2"/>
    <w:rsid w:val="008826BB"/>
    <w:rsid w:val="008828C2"/>
    <w:rsid w:val="008829F9"/>
    <w:rsid w:val="0088457F"/>
    <w:rsid w:val="00884B05"/>
    <w:rsid w:val="00884B4D"/>
    <w:rsid w:val="00884C56"/>
    <w:rsid w:val="008852C2"/>
    <w:rsid w:val="00885843"/>
    <w:rsid w:val="00886341"/>
    <w:rsid w:val="008863C9"/>
    <w:rsid w:val="00886D14"/>
    <w:rsid w:val="008871D5"/>
    <w:rsid w:val="008878AB"/>
    <w:rsid w:val="00887B4E"/>
    <w:rsid w:val="00887C05"/>
    <w:rsid w:val="00887D27"/>
    <w:rsid w:val="008905AD"/>
    <w:rsid w:val="008918BE"/>
    <w:rsid w:val="00892622"/>
    <w:rsid w:val="008932AA"/>
    <w:rsid w:val="00894928"/>
    <w:rsid w:val="00895541"/>
    <w:rsid w:val="00895AFA"/>
    <w:rsid w:val="00895E20"/>
    <w:rsid w:val="00896D86"/>
    <w:rsid w:val="00897D29"/>
    <w:rsid w:val="00897F80"/>
    <w:rsid w:val="008A0209"/>
    <w:rsid w:val="008A0F15"/>
    <w:rsid w:val="008A1A8F"/>
    <w:rsid w:val="008A360D"/>
    <w:rsid w:val="008A3B5C"/>
    <w:rsid w:val="008A3CB0"/>
    <w:rsid w:val="008A53D0"/>
    <w:rsid w:val="008A7500"/>
    <w:rsid w:val="008A78EE"/>
    <w:rsid w:val="008B0D58"/>
    <w:rsid w:val="008B1215"/>
    <w:rsid w:val="008B17E4"/>
    <w:rsid w:val="008B21BD"/>
    <w:rsid w:val="008B23EE"/>
    <w:rsid w:val="008B29A7"/>
    <w:rsid w:val="008B4F00"/>
    <w:rsid w:val="008B5C68"/>
    <w:rsid w:val="008B5D58"/>
    <w:rsid w:val="008B63C1"/>
    <w:rsid w:val="008B7227"/>
    <w:rsid w:val="008B7237"/>
    <w:rsid w:val="008B7A24"/>
    <w:rsid w:val="008B7EEB"/>
    <w:rsid w:val="008B7EF8"/>
    <w:rsid w:val="008B7FBF"/>
    <w:rsid w:val="008C0EF9"/>
    <w:rsid w:val="008C1121"/>
    <w:rsid w:val="008C153E"/>
    <w:rsid w:val="008C1807"/>
    <w:rsid w:val="008C22B0"/>
    <w:rsid w:val="008C39C9"/>
    <w:rsid w:val="008C39CE"/>
    <w:rsid w:val="008C3A58"/>
    <w:rsid w:val="008C4014"/>
    <w:rsid w:val="008C5ACD"/>
    <w:rsid w:val="008C6714"/>
    <w:rsid w:val="008C6808"/>
    <w:rsid w:val="008C7267"/>
    <w:rsid w:val="008C7A05"/>
    <w:rsid w:val="008D0430"/>
    <w:rsid w:val="008D0BB1"/>
    <w:rsid w:val="008D16DA"/>
    <w:rsid w:val="008D2961"/>
    <w:rsid w:val="008D38E0"/>
    <w:rsid w:val="008D40EE"/>
    <w:rsid w:val="008E375E"/>
    <w:rsid w:val="008E39B8"/>
    <w:rsid w:val="008E4BAE"/>
    <w:rsid w:val="008E4F82"/>
    <w:rsid w:val="008E5EAF"/>
    <w:rsid w:val="008E6C1C"/>
    <w:rsid w:val="008E6CB9"/>
    <w:rsid w:val="008F0B67"/>
    <w:rsid w:val="008F0CEC"/>
    <w:rsid w:val="008F2D80"/>
    <w:rsid w:val="008F3511"/>
    <w:rsid w:val="008F3E9C"/>
    <w:rsid w:val="008F42EE"/>
    <w:rsid w:val="008F501F"/>
    <w:rsid w:val="008F50CC"/>
    <w:rsid w:val="008F510F"/>
    <w:rsid w:val="008F59AF"/>
    <w:rsid w:val="008F5C61"/>
    <w:rsid w:val="008F5D6B"/>
    <w:rsid w:val="008F5F27"/>
    <w:rsid w:val="008F6195"/>
    <w:rsid w:val="008F62B6"/>
    <w:rsid w:val="008F674C"/>
    <w:rsid w:val="008F76DB"/>
    <w:rsid w:val="008F7AF4"/>
    <w:rsid w:val="0090047C"/>
    <w:rsid w:val="0090050C"/>
    <w:rsid w:val="009008B3"/>
    <w:rsid w:val="00900CBF"/>
    <w:rsid w:val="00900F1F"/>
    <w:rsid w:val="00901289"/>
    <w:rsid w:val="009023BA"/>
    <w:rsid w:val="00902755"/>
    <w:rsid w:val="00902DE4"/>
    <w:rsid w:val="00903A48"/>
    <w:rsid w:val="00903E44"/>
    <w:rsid w:val="00904478"/>
    <w:rsid w:val="00904DC6"/>
    <w:rsid w:val="00905581"/>
    <w:rsid w:val="0090602D"/>
    <w:rsid w:val="00906AF6"/>
    <w:rsid w:val="00907C42"/>
    <w:rsid w:val="00910271"/>
    <w:rsid w:val="00910D14"/>
    <w:rsid w:val="009118AC"/>
    <w:rsid w:val="0091200D"/>
    <w:rsid w:val="0091224F"/>
    <w:rsid w:val="009126C6"/>
    <w:rsid w:val="00912F19"/>
    <w:rsid w:val="009133DC"/>
    <w:rsid w:val="0091347B"/>
    <w:rsid w:val="00913577"/>
    <w:rsid w:val="00913CC8"/>
    <w:rsid w:val="00913FDD"/>
    <w:rsid w:val="00914635"/>
    <w:rsid w:val="00915556"/>
    <w:rsid w:val="009164F0"/>
    <w:rsid w:val="0091664F"/>
    <w:rsid w:val="00916D90"/>
    <w:rsid w:val="00917CBF"/>
    <w:rsid w:val="00920850"/>
    <w:rsid w:val="00920973"/>
    <w:rsid w:val="00920BB0"/>
    <w:rsid w:val="00921282"/>
    <w:rsid w:val="00921B04"/>
    <w:rsid w:val="00922F2D"/>
    <w:rsid w:val="00923520"/>
    <w:rsid w:val="00923964"/>
    <w:rsid w:val="00923CD0"/>
    <w:rsid w:val="00924B31"/>
    <w:rsid w:val="00924B4C"/>
    <w:rsid w:val="009251DB"/>
    <w:rsid w:val="0092572B"/>
    <w:rsid w:val="00925E62"/>
    <w:rsid w:val="00925FFE"/>
    <w:rsid w:val="00926128"/>
    <w:rsid w:val="009262D5"/>
    <w:rsid w:val="00926AEF"/>
    <w:rsid w:val="00926F96"/>
    <w:rsid w:val="0093084F"/>
    <w:rsid w:val="00930C99"/>
    <w:rsid w:val="0093167F"/>
    <w:rsid w:val="00931C17"/>
    <w:rsid w:val="009323CF"/>
    <w:rsid w:val="009338E2"/>
    <w:rsid w:val="00933CA4"/>
    <w:rsid w:val="00934072"/>
    <w:rsid w:val="0093434C"/>
    <w:rsid w:val="0093489B"/>
    <w:rsid w:val="009348A6"/>
    <w:rsid w:val="009350D0"/>
    <w:rsid w:val="00935389"/>
    <w:rsid w:val="00935FAA"/>
    <w:rsid w:val="00936090"/>
    <w:rsid w:val="0093635F"/>
    <w:rsid w:val="009372D7"/>
    <w:rsid w:val="009378D0"/>
    <w:rsid w:val="00937D35"/>
    <w:rsid w:val="0094042B"/>
    <w:rsid w:val="009404D1"/>
    <w:rsid w:val="00941770"/>
    <w:rsid w:val="009417CA"/>
    <w:rsid w:val="00941872"/>
    <w:rsid w:val="009439BB"/>
    <w:rsid w:val="00943A7C"/>
    <w:rsid w:val="00943B3D"/>
    <w:rsid w:val="009441C2"/>
    <w:rsid w:val="009443EF"/>
    <w:rsid w:val="009447EC"/>
    <w:rsid w:val="00944BB9"/>
    <w:rsid w:val="00944DD5"/>
    <w:rsid w:val="00945010"/>
    <w:rsid w:val="00945343"/>
    <w:rsid w:val="0094572F"/>
    <w:rsid w:val="00945DB8"/>
    <w:rsid w:val="00945F1D"/>
    <w:rsid w:val="009461E8"/>
    <w:rsid w:val="009464D5"/>
    <w:rsid w:val="009468F6"/>
    <w:rsid w:val="0094787A"/>
    <w:rsid w:val="00947C0D"/>
    <w:rsid w:val="00947C4F"/>
    <w:rsid w:val="009508A6"/>
    <w:rsid w:val="00950E3B"/>
    <w:rsid w:val="009510AF"/>
    <w:rsid w:val="009531B9"/>
    <w:rsid w:val="00953B42"/>
    <w:rsid w:val="00954786"/>
    <w:rsid w:val="00955A79"/>
    <w:rsid w:val="00955AAA"/>
    <w:rsid w:val="0096083F"/>
    <w:rsid w:val="00960B93"/>
    <w:rsid w:val="00960CA8"/>
    <w:rsid w:val="00960CEB"/>
    <w:rsid w:val="00961899"/>
    <w:rsid w:val="00961F93"/>
    <w:rsid w:val="00962BF4"/>
    <w:rsid w:val="00964F3A"/>
    <w:rsid w:val="00965653"/>
    <w:rsid w:val="00966A9C"/>
    <w:rsid w:val="00966C60"/>
    <w:rsid w:val="00970D98"/>
    <w:rsid w:val="0097158A"/>
    <w:rsid w:val="0097167E"/>
    <w:rsid w:val="00971D85"/>
    <w:rsid w:val="009720A9"/>
    <w:rsid w:val="009728E5"/>
    <w:rsid w:val="00973C41"/>
    <w:rsid w:val="00975360"/>
    <w:rsid w:val="00975CCC"/>
    <w:rsid w:val="009761CA"/>
    <w:rsid w:val="00976F71"/>
    <w:rsid w:val="00980908"/>
    <w:rsid w:val="009813F2"/>
    <w:rsid w:val="00982034"/>
    <w:rsid w:val="0098226F"/>
    <w:rsid w:val="0098334C"/>
    <w:rsid w:val="00983B1B"/>
    <w:rsid w:val="00984A87"/>
    <w:rsid w:val="00984E51"/>
    <w:rsid w:val="0098627B"/>
    <w:rsid w:val="0098668F"/>
    <w:rsid w:val="00986AA3"/>
    <w:rsid w:val="00987061"/>
    <w:rsid w:val="00987755"/>
    <w:rsid w:val="00987925"/>
    <w:rsid w:val="00987937"/>
    <w:rsid w:val="00990A91"/>
    <w:rsid w:val="00991A3E"/>
    <w:rsid w:val="00991D3B"/>
    <w:rsid w:val="00993AAF"/>
    <w:rsid w:val="00995849"/>
    <w:rsid w:val="009959D9"/>
    <w:rsid w:val="00995CDD"/>
    <w:rsid w:val="0099638F"/>
    <w:rsid w:val="009969DD"/>
    <w:rsid w:val="00996A95"/>
    <w:rsid w:val="00997A0D"/>
    <w:rsid w:val="009A0C91"/>
    <w:rsid w:val="009A244D"/>
    <w:rsid w:val="009A33E3"/>
    <w:rsid w:val="009A35BE"/>
    <w:rsid w:val="009A4CA0"/>
    <w:rsid w:val="009A51FF"/>
    <w:rsid w:val="009A55BF"/>
    <w:rsid w:val="009A5D03"/>
    <w:rsid w:val="009A5E69"/>
    <w:rsid w:val="009A67ED"/>
    <w:rsid w:val="009B0091"/>
    <w:rsid w:val="009B012B"/>
    <w:rsid w:val="009B0335"/>
    <w:rsid w:val="009B0942"/>
    <w:rsid w:val="009B0BA3"/>
    <w:rsid w:val="009B344E"/>
    <w:rsid w:val="009B3CE1"/>
    <w:rsid w:val="009B3FC4"/>
    <w:rsid w:val="009B4E71"/>
    <w:rsid w:val="009B4EC7"/>
    <w:rsid w:val="009B5A4C"/>
    <w:rsid w:val="009B64EA"/>
    <w:rsid w:val="009B6949"/>
    <w:rsid w:val="009B6D32"/>
    <w:rsid w:val="009B7482"/>
    <w:rsid w:val="009C0506"/>
    <w:rsid w:val="009C0BC6"/>
    <w:rsid w:val="009C0E40"/>
    <w:rsid w:val="009C1835"/>
    <w:rsid w:val="009C2102"/>
    <w:rsid w:val="009C29AA"/>
    <w:rsid w:val="009C2A5D"/>
    <w:rsid w:val="009C354A"/>
    <w:rsid w:val="009C37D6"/>
    <w:rsid w:val="009C3C3E"/>
    <w:rsid w:val="009C3E76"/>
    <w:rsid w:val="009C3F3F"/>
    <w:rsid w:val="009C4174"/>
    <w:rsid w:val="009C50A2"/>
    <w:rsid w:val="009C6846"/>
    <w:rsid w:val="009C7F53"/>
    <w:rsid w:val="009D0D55"/>
    <w:rsid w:val="009D187A"/>
    <w:rsid w:val="009D1CA1"/>
    <w:rsid w:val="009D2912"/>
    <w:rsid w:val="009D3DC0"/>
    <w:rsid w:val="009D44C6"/>
    <w:rsid w:val="009D4D07"/>
    <w:rsid w:val="009D59E3"/>
    <w:rsid w:val="009D5FDA"/>
    <w:rsid w:val="009D61D3"/>
    <w:rsid w:val="009D6320"/>
    <w:rsid w:val="009D6BB4"/>
    <w:rsid w:val="009D6BFF"/>
    <w:rsid w:val="009D7034"/>
    <w:rsid w:val="009D7106"/>
    <w:rsid w:val="009D7472"/>
    <w:rsid w:val="009D7F42"/>
    <w:rsid w:val="009E1483"/>
    <w:rsid w:val="009E1AB8"/>
    <w:rsid w:val="009E1BD0"/>
    <w:rsid w:val="009E2288"/>
    <w:rsid w:val="009E2FC1"/>
    <w:rsid w:val="009E4030"/>
    <w:rsid w:val="009E4727"/>
    <w:rsid w:val="009E49FF"/>
    <w:rsid w:val="009E54F2"/>
    <w:rsid w:val="009E62E0"/>
    <w:rsid w:val="009E68EB"/>
    <w:rsid w:val="009E6D84"/>
    <w:rsid w:val="009E700E"/>
    <w:rsid w:val="009E7D0F"/>
    <w:rsid w:val="009F1F04"/>
    <w:rsid w:val="009F20FD"/>
    <w:rsid w:val="009F4E81"/>
    <w:rsid w:val="009F520F"/>
    <w:rsid w:val="009F530D"/>
    <w:rsid w:val="009F5A9E"/>
    <w:rsid w:val="009F602D"/>
    <w:rsid w:val="009F6377"/>
    <w:rsid w:val="009F6B98"/>
    <w:rsid w:val="009F701B"/>
    <w:rsid w:val="009F7255"/>
    <w:rsid w:val="009F7F2C"/>
    <w:rsid w:val="00A002F4"/>
    <w:rsid w:val="00A01528"/>
    <w:rsid w:val="00A019F9"/>
    <w:rsid w:val="00A02D7E"/>
    <w:rsid w:val="00A03280"/>
    <w:rsid w:val="00A03655"/>
    <w:rsid w:val="00A03954"/>
    <w:rsid w:val="00A03AC8"/>
    <w:rsid w:val="00A03B83"/>
    <w:rsid w:val="00A04022"/>
    <w:rsid w:val="00A051D7"/>
    <w:rsid w:val="00A05343"/>
    <w:rsid w:val="00A0574E"/>
    <w:rsid w:val="00A06BDB"/>
    <w:rsid w:val="00A105C7"/>
    <w:rsid w:val="00A1083A"/>
    <w:rsid w:val="00A10D80"/>
    <w:rsid w:val="00A111AA"/>
    <w:rsid w:val="00A124BB"/>
    <w:rsid w:val="00A12637"/>
    <w:rsid w:val="00A12C48"/>
    <w:rsid w:val="00A1318F"/>
    <w:rsid w:val="00A132E2"/>
    <w:rsid w:val="00A13694"/>
    <w:rsid w:val="00A13D87"/>
    <w:rsid w:val="00A14237"/>
    <w:rsid w:val="00A14800"/>
    <w:rsid w:val="00A14B42"/>
    <w:rsid w:val="00A1699B"/>
    <w:rsid w:val="00A16FFE"/>
    <w:rsid w:val="00A1727B"/>
    <w:rsid w:val="00A1732C"/>
    <w:rsid w:val="00A17362"/>
    <w:rsid w:val="00A17479"/>
    <w:rsid w:val="00A1748C"/>
    <w:rsid w:val="00A17925"/>
    <w:rsid w:val="00A17FDA"/>
    <w:rsid w:val="00A2026E"/>
    <w:rsid w:val="00A210BC"/>
    <w:rsid w:val="00A210C2"/>
    <w:rsid w:val="00A219C5"/>
    <w:rsid w:val="00A2306E"/>
    <w:rsid w:val="00A23D89"/>
    <w:rsid w:val="00A23FF6"/>
    <w:rsid w:val="00A24E94"/>
    <w:rsid w:val="00A259CE"/>
    <w:rsid w:val="00A25FF5"/>
    <w:rsid w:val="00A26EEC"/>
    <w:rsid w:val="00A30418"/>
    <w:rsid w:val="00A31748"/>
    <w:rsid w:val="00A32CDF"/>
    <w:rsid w:val="00A333AA"/>
    <w:rsid w:val="00A35577"/>
    <w:rsid w:val="00A3640D"/>
    <w:rsid w:val="00A36D56"/>
    <w:rsid w:val="00A36F81"/>
    <w:rsid w:val="00A37342"/>
    <w:rsid w:val="00A40902"/>
    <w:rsid w:val="00A410D7"/>
    <w:rsid w:val="00A41EEA"/>
    <w:rsid w:val="00A42DE3"/>
    <w:rsid w:val="00A448AD"/>
    <w:rsid w:val="00A44E96"/>
    <w:rsid w:val="00A468D9"/>
    <w:rsid w:val="00A4718B"/>
    <w:rsid w:val="00A50C40"/>
    <w:rsid w:val="00A50D34"/>
    <w:rsid w:val="00A5124B"/>
    <w:rsid w:val="00A516B8"/>
    <w:rsid w:val="00A52758"/>
    <w:rsid w:val="00A532ED"/>
    <w:rsid w:val="00A53959"/>
    <w:rsid w:val="00A5444D"/>
    <w:rsid w:val="00A54C14"/>
    <w:rsid w:val="00A54F2A"/>
    <w:rsid w:val="00A55198"/>
    <w:rsid w:val="00A552BE"/>
    <w:rsid w:val="00A556CC"/>
    <w:rsid w:val="00A56167"/>
    <w:rsid w:val="00A56BAA"/>
    <w:rsid w:val="00A56D59"/>
    <w:rsid w:val="00A57015"/>
    <w:rsid w:val="00A57A3D"/>
    <w:rsid w:val="00A6013F"/>
    <w:rsid w:val="00A61518"/>
    <w:rsid w:val="00A6151D"/>
    <w:rsid w:val="00A616F0"/>
    <w:rsid w:val="00A61901"/>
    <w:rsid w:val="00A61B23"/>
    <w:rsid w:val="00A624A0"/>
    <w:rsid w:val="00A62CA5"/>
    <w:rsid w:val="00A63966"/>
    <w:rsid w:val="00A644A5"/>
    <w:rsid w:val="00A644F7"/>
    <w:rsid w:val="00A647D7"/>
    <w:rsid w:val="00A6487B"/>
    <w:rsid w:val="00A64A4F"/>
    <w:rsid w:val="00A65001"/>
    <w:rsid w:val="00A650F3"/>
    <w:rsid w:val="00A6529B"/>
    <w:rsid w:val="00A659BF"/>
    <w:rsid w:val="00A65B71"/>
    <w:rsid w:val="00A66721"/>
    <w:rsid w:val="00A669D1"/>
    <w:rsid w:val="00A66A77"/>
    <w:rsid w:val="00A66A9C"/>
    <w:rsid w:val="00A67638"/>
    <w:rsid w:val="00A67700"/>
    <w:rsid w:val="00A67A52"/>
    <w:rsid w:val="00A7098B"/>
    <w:rsid w:val="00A71E4E"/>
    <w:rsid w:val="00A726FF"/>
    <w:rsid w:val="00A72CBF"/>
    <w:rsid w:val="00A73213"/>
    <w:rsid w:val="00A73AB9"/>
    <w:rsid w:val="00A74203"/>
    <w:rsid w:val="00A74229"/>
    <w:rsid w:val="00A74292"/>
    <w:rsid w:val="00A74456"/>
    <w:rsid w:val="00A74EB3"/>
    <w:rsid w:val="00A75234"/>
    <w:rsid w:val="00A75DCA"/>
    <w:rsid w:val="00A7619F"/>
    <w:rsid w:val="00A762D1"/>
    <w:rsid w:val="00A76728"/>
    <w:rsid w:val="00A76761"/>
    <w:rsid w:val="00A76E1D"/>
    <w:rsid w:val="00A7712B"/>
    <w:rsid w:val="00A80784"/>
    <w:rsid w:val="00A80974"/>
    <w:rsid w:val="00A81881"/>
    <w:rsid w:val="00A82044"/>
    <w:rsid w:val="00A820B6"/>
    <w:rsid w:val="00A82A58"/>
    <w:rsid w:val="00A82ED8"/>
    <w:rsid w:val="00A83172"/>
    <w:rsid w:val="00A83359"/>
    <w:rsid w:val="00A834C9"/>
    <w:rsid w:val="00A8487D"/>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C60"/>
    <w:rsid w:val="00A94D9A"/>
    <w:rsid w:val="00A96578"/>
    <w:rsid w:val="00A96900"/>
    <w:rsid w:val="00A96B38"/>
    <w:rsid w:val="00A9714F"/>
    <w:rsid w:val="00A97397"/>
    <w:rsid w:val="00A97F40"/>
    <w:rsid w:val="00AA133E"/>
    <w:rsid w:val="00AA15EE"/>
    <w:rsid w:val="00AA1784"/>
    <w:rsid w:val="00AA2187"/>
    <w:rsid w:val="00AA22BB"/>
    <w:rsid w:val="00AA2477"/>
    <w:rsid w:val="00AA322F"/>
    <w:rsid w:val="00AA3FB2"/>
    <w:rsid w:val="00AA5270"/>
    <w:rsid w:val="00AA599B"/>
    <w:rsid w:val="00AA6CC3"/>
    <w:rsid w:val="00AA6F20"/>
    <w:rsid w:val="00AA710E"/>
    <w:rsid w:val="00AA72DF"/>
    <w:rsid w:val="00AA7419"/>
    <w:rsid w:val="00AB01E2"/>
    <w:rsid w:val="00AB20DF"/>
    <w:rsid w:val="00AB21F4"/>
    <w:rsid w:val="00AB23F2"/>
    <w:rsid w:val="00AB4C17"/>
    <w:rsid w:val="00AB4C3C"/>
    <w:rsid w:val="00AB58D7"/>
    <w:rsid w:val="00AB753D"/>
    <w:rsid w:val="00AB75BD"/>
    <w:rsid w:val="00AB7A4E"/>
    <w:rsid w:val="00AB7EC0"/>
    <w:rsid w:val="00AC0309"/>
    <w:rsid w:val="00AC137C"/>
    <w:rsid w:val="00AC1669"/>
    <w:rsid w:val="00AC2F55"/>
    <w:rsid w:val="00AC42D4"/>
    <w:rsid w:val="00AC4FE7"/>
    <w:rsid w:val="00AC533D"/>
    <w:rsid w:val="00AC609D"/>
    <w:rsid w:val="00AC60DE"/>
    <w:rsid w:val="00AC7537"/>
    <w:rsid w:val="00AC756B"/>
    <w:rsid w:val="00AC7A0D"/>
    <w:rsid w:val="00AC7A9F"/>
    <w:rsid w:val="00AC7EDB"/>
    <w:rsid w:val="00AD058D"/>
    <w:rsid w:val="00AD07CF"/>
    <w:rsid w:val="00AD0E57"/>
    <w:rsid w:val="00AD0ED8"/>
    <w:rsid w:val="00AD301D"/>
    <w:rsid w:val="00AD5BFA"/>
    <w:rsid w:val="00AD5D5B"/>
    <w:rsid w:val="00AD62F6"/>
    <w:rsid w:val="00AD6BBA"/>
    <w:rsid w:val="00AD729A"/>
    <w:rsid w:val="00AD7C97"/>
    <w:rsid w:val="00AE08A8"/>
    <w:rsid w:val="00AE214C"/>
    <w:rsid w:val="00AE234E"/>
    <w:rsid w:val="00AE3660"/>
    <w:rsid w:val="00AE36E3"/>
    <w:rsid w:val="00AE396A"/>
    <w:rsid w:val="00AE42C4"/>
    <w:rsid w:val="00AE4621"/>
    <w:rsid w:val="00AE6488"/>
    <w:rsid w:val="00AE6917"/>
    <w:rsid w:val="00AE6ED4"/>
    <w:rsid w:val="00AE6FE4"/>
    <w:rsid w:val="00AE7DD1"/>
    <w:rsid w:val="00AE7E1A"/>
    <w:rsid w:val="00AF1568"/>
    <w:rsid w:val="00AF1F6B"/>
    <w:rsid w:val="00AF2F4F"/>
    <w:rsid w:val="00AF347E"/>
    <w:rsid w:val="00AF3CF3"/>
    <w:rsid w:val="00AF443C"/>
    <w:rsid w:val="00AF4630"/>
    <w:rsid w:val="00AF5822"/>
    <w:rsid w:val="00AF582F"/>
    <w:rsid w:val="00AF602C"/>
    <w:rsid w:val="00AF66C9"/>
    <w:rsid w:val="00AF6F15"/>
    <w:rsid w:val="00AF71E1"/>
    <w:rsid w:val="00AF71EE"/>
    <w:rsid w:val="00B00690"/>
    <w:rsid w:val="00B00902"/>
    <w:rsid w:val="00B011FB"/>
    <w:rsid w:val="00B02672"/>
    <w:rsid w:val="00B026EE"/>
    <w:rsid w:val="00B042F3"/>
    <w:rsid w:val="00B04F05"/>
    <w:rsid w:val="00B061A2"/>
    <w:rsid w:val="00B06F34"/>
    <w:rsid w:val="00B07303"/>
    <w:rsid w:val="00B07826"/>
    <w:rsid w:val="00B078BB"/>
    <w:rsid w:val="00B07A60"/>
    <w:rsid w:val="00B07BB4"/>
    <w:rsid w:val="00B10E43"/>
    <w:rsid w:val="00B1110B"/>
    <w:rsid w:val="00B112EB"/>
    <w:rsid w:val="00B11D9B"/>
    <w:rsid w:val="00B11EDA"/>
    <w:rsid w:val="00B12301"/>
    <w:rsid w:val="00B126F8"/>
    <w:rsid w:val="00B1290C"/>
    <w:rsid w:val="00B13949"/>
    <w:rsid w:val="00B13EDE"/>
    <w:rsid w:val="00B14743"/>
    <w:rsid w:val="00B15747"/>
    <w:rsid w:val="00B162BE"/>
    <w:rsid w:val="00B1699C"/>
    <w:rsid w:val="00B16F11"/>
    <w:rsid w:val="00B20A81"/>
    <w:rsid w:val="00B2107C"/>
    <w:rsid w:val="00B212B6"/>
    <w:rsid w:val="00B232F3"/>
    <w:rsid w:val="00B23B07"/>
    <w:rsid w:val="00B23B4F"/>
    <w:rsid w:val="00B24109"/>
    <w:rsid w:val="00B25142"/>
    <w:rsid w:val="00B25CE2"/>
    <w:rsid w:val="00B25F19"/>
    <w:rsid w:val="00B274B2"/>
    <w:rsid w:val="00B275E3"/>
    <w:rsid w:val="00B27E3F"/>
    <w:rsid w:val="00B30D48"/>
    <w:rsid w:val="00B30F15"/>
    <w:rsid w:val="00B312AE"/>
    <w:rsid w:val="00B31C0F"/>
    <w:rsid w:val="00B32654"/>
    <w:rsid w:val="00B336AB"/>
    <w:rsid w:val="00B34419"/>
    <w:rsid w:val="00B34904"/>
    <w:rsid w:val="00B34A1C"/>
    <w:rsid w:val="00B35869"/>
    <w:rsid w:val="00B35E86"/>
    <w:rsid w:val="00B35EB5"/>
    <w:rsid w:val="00B3600E"/>
    <w:rsid w:val="00B361FB"/>
    <w:rsid w:val="00B362B3"/>
    <w:rsid w:val="00B366B9"/>
    <w:rsid w:val="00B372A3"/>
    <w:rsid w:val="00B37535"/>
    <w:rsid w:val="00B40174"/>
    <w:rsid w:val="00B401D5"/>
    <w:rsid w:val="00B40CA6"/>
    <w:rsid w:val="00B41365"/>
    <w:rsid w:val="00B41933"/>
    <w:rsid w:val="00B42654"/>
    <w:rsid w:val="00B42A51"/>
    <w:rsid w:val="00B431F4"/>
    <w:rsid w:val="00B4342D"/>
    <w:rsid w:val="00B4388E"/>
    <w:rsid w:val="00B43952"/>
    <w:rsid w:val="00B444A1"/>
    <w:rsid w:val="00B4472D"/>
    <w:rsid w:val="00B454D2"/>
    <w:rsid w:val="00B46839"/>
    <w:rsid w:val="00B4701A"/>
    <w:rsid w:val="00B47726"/>
    <w:rsid w:val="00B47781"/>
    <w:rsid w:val="00B479A2"/>
    <w:rsid w:val="00B50B58"/>
    <w:rsid w:val="00B51340"/>
    <w:rsid w:val="00B52858"/>
    <w:rsid w:val="00B52F73"/>
    <w:rsid w:val="00B5358F"/>
    <w:rsid w:val="00B54118"/>
    <w:rsid w:val="00B56DD2"/>
    <w:rsid w:val="00B60205"/>
    <w:rsid w:val="00B6103A"/>
    <w:rsid w:val="00B61840"/>
    <w:rsid w:val="00B62B39"/>
    <w:rsid w:val="00B63440"/>
    <w:rsid w:val="00B634CF"/>
    <w:rsid w:val="00B63FDD"/>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395B"/>
    <w:rsid w:val="00B744B0"/>
    <w:rsid w:val="00B748A0"/>
    <w:rsid w:val="00B75645"/>
    <w:rsid w:val="00B75F4E"/>
    <w:rsid w:val="00B7656C"/>
    <w:rsid w:val="00B76B17"/>
    <w:rsid w:val="00B76CBA"/>
    <w:rsid w:val="00B76F77"/>
    <w:rsid w:val="00B76FAC"/>
    <w:rsid w:val="00B77B96"/>
    <w:rsid w:val="00B804A9"/>
    <w:rsid w:val="00B80894"/>
    <w:rsid w:val="00B83720"/>
    <w:rsid w:val="00B8484E"/>
    <w:rsid w:val="00B85084"/>
    <w:rsid w:val="00B85C2E"/>
    <w:rsid w:val="00B90A62"/>
    <w:rsid w:val="00B90E58"/>
    <w:rsid w:val="00B91072"/>
    <w:rsid w:val="00B92032"/>
    <w:rsid w:val="00B92C15"/>
    <w:rsid w:val="00B93177"/>
    <w:rsid w:val="00B936E6"/>
    <w:rsid w:val="00B93CFB"/>
    <w:rsid w:val="00B94388"/>
    <w:rsid w:val="00B94DD0"/>
    <w:rsid w:val="00B95870"/>
    <w:rsid w:val="00B96012"/>
    <w:rsid w:val="00B96067"/>
    <w:rsid w:val="00B960FE"/>
    <w:rsid w:val="00BA0418"/>
    <w:rsid w:val="00BA13CC"/>
    <w:rsid w:val="00BA1E06"/>
    <w:rsid w:val="00BA1F0E"/>
    <w:rsid w:val="00BA2057"/>
    <w:rsid w:val="00BA2D96"/>
    <w:rsid w:val="00BA396C"/>
    <w:rsid w:val="00BA44CE"/>
    <w:rsid w:val="00BA4563"/>
    <w:rsid w:val="00BA4793"/>
    <w:rsid w:val="00BA483F"/>
    <w:rsid w:val="00BA4C1A"/>
    <w:rsid w:val="00BA542F"/>
    <w:rsid w:val="00BA54DE"/>
    <w:rsid w:val="00BA5D70"/>
    <w:rsid w:val="00BA6243"/>
    <w:rsid w:val="00BA6CA6"/>
    <w:rsid w:val="00BA6F50"/>
    <w:rsid w:val="00BA7296"/>
    <w:rsid w:val="00BA765A"/>
    <w:rsid w:val="00BA7B38"/>
    <w:rsid w:val="00BA7E93"/>
    <w:rsid w:val="00BB0662"/>
    <w:rsid w:val="00BB0D52"/>
    <w:rsid w:val="00BB0F90"/>
    <w:rsid w:val="00BB3A14"/>
    <w:rsid w:val="00BB3B2A"/>
    <w:rsid w:val="00BB5104"/>
    <w:rsid w:val="00BB7194"/>
    <w:rsid w:val="00BB7858"/>
    <w:rsid w:val="00BB7EFD"/>
    <w:rsid w:val="00BC0151"/>
    <w:rsid w:val="00BC07B0"/>
    <w:rsid w:val="00BC09BB"/>
    <w:rsid w:val="00BC1305"/>
    <w:rsid w:val="00BC1647"/>
    <w:rsid w:val="00BC1815"/>
    <w:rsid w:val="00BC1BDE"/>
    <w:rsid w:val="00BC3642"/>
    <w:rsid w:val="00BC373B"/>
    <w:rsid w:val="00BC39DD"/>
    <w:rsid w:val="00BC3D2F"/>
    <w:rsid w:val="00BC4AE9"/>
    <w:rsid w:val="00BC589C"/>
    <w:rsid w:val="00BC59D1"/>
    <w:rsid w:val="00BC6448"/>
    <w:rsid w:val="00BC792B"/>
    <w:rsid w:val="00BC7E97"/>
    <w:rsid w:val="00BD068C"/>
    <w:rsid w:val="00BD0DB1"/>
    <w:rsid w:val="00BD21B7"/>
    <w:rsid w:val="00BD2E3F"/>
    <w:rsid w:val="00BD2ECE"/>
    <w:rsid w:val="00BD2FD9"/>
    <w:rsid w:val="00BD3DBA"/>
    <w:rsid w:val="00BD4279"/>
    <w:rsid w:val="00BD493B"/>
    <w:rsid w:val="00BD4C8F"/>
    <w:rsid w:val="00BD64BE"/>
    <w:rsid w:val="00BD64DE"/>
    <w:rsid w:val="00BD719A"/>
    <w:rsid w:val="00BD733F"/>
    <w:rsid w:val="00BD7388"/>
    <w:rsid w:val="00BE07A4"/>
    <w:rsid w:val="00BE0D80"/>
    <w:rsid w:val="00BE0F06"/>
    <w:rsid w:val="00BE27CF"/>
    <w:rsid w:val="00BE2CB8"/>
    <w:rsid w:val="00BE3D66"/>
    <w:rsid w:val="00BE4F25"/>
    <w:rsid w:val="00BE4F31"/>
    <w:rsid w:val="00BE5794"/>
    <w:rsid w:val="00BE5905"/>
    <w:rsid w:val="00BE764A"/>
    <w:rsid w:val="00BE7DE1"/>
    <w:rsid w:val="00BF01A9"/>
    <w:rsid w:val="00BF1649"/>
    <w:rsid w:val="00BF2565"/>
    <w:rsid w:val="00BF29B1"/>
    <w:rsid w:val="00BF2C08"/>
    <w:rsid w:val="00BF3450"/>
    <w:rsid w:val="00BF3BBC"/>
    <w:rsid w:val="00BF407C"/>
    <w:rsid w:val="00BF5814"/>
    <w:rsid w:val="00BF61D8"/>
    <w:rsid w:val="00BF6A49"/>
    <w:rsid w:val="00BF6D93"/>
    <w:rsid w:val="00BF6DD4"/>
    <w:rsid w:val="00BF7E7E"/>
    <w:rsid w:val="00BF7F4A"/>
    <w:rsid w:val="00C00D4E"/>
    <w:rsid w:val="00C00E9D"/>
    <w:rsid w:val="00C01452"/>
    <w:rsid w:val="00C01A2B"/>
    <w:rsid w:val="00C01DEE"/>
    <w:rsid w:val="00C024ED"/>
    <w:rsid w:val="00C026DA"/>
    <w:rsid w:val="00C02AFB"/>
    <w:rsid w:val="00C02F93"/>
    <w:rsid w:val="00C03F1D"/>
    <w:rsid w:val="00C0440F"/>
    <w:rsid w:val="00C0510B"/>
    <w:rsid w:val="00C055E4"/>
    <w:rsid w:val="00C0584F"/>
    <w:rsid w:val="00C05FB9"/>
    <w:rsid w:val="00C06500"/>
    <w:rsid w:val="00C06847"/>
    <w:rsid w:val="00C0737B"/>
    <w:rsid w:val="00C0798B"/>
    <w:rsid w:val="00C07B18"/>
    <w:rsid w:val="00C101FC"/>
    <w:rsid w:val="00C10388"/>
    <w:rsid w:val="00C10641"/>
    <w:rsid w:val="00C10E04"/>
    <w:rsid w:val="00C11A74"/>
    <w:rsid w:val="00C11DD4"/>
    <w:rsid w:val="00C12DE5"/>
    <w:rsid w:val="00C139C9"/>
    <w:rsid w:val="00C1412D"/>
    <w:rsid w:val="00C14C46"/>
    <w:rsid w:val="00C1503A"/>
    <w:rsid w:val="00C16708"/>
    <w:rsid w:val="00C16B7A"/>
    <w:rsid w:val="00C16F21"/>
    <w:rsid w:val="00C2158C"/>
    <w:rsid w:val="00C22627"/>
    <w:rsid w:val="00C2339C"/>
    <w:rsid w:val="00C23B01"/>
    <w:rsid w:val="00C24817"/>
    <w:rsid w:val="00C25BA6"/>
    <w:rsid w:val="00C25ECB"/>
    <w:rsid w:val="00C26801"/>
    <w:rsid w:val="00C26D66"/>
    <w:rsid w:val="00C27A43"/>
    <w:rsid w:val="00C305C0"/>
    <w:rsid w:val="00C309D1"/>
    <w:rsid w:val="00C310D6"/>
    <w:rsid w:val="00C3154C"/>
    <w:rsid w:val="00C31947"/>
    <w:rsid w:val="00C328A8"/>
    <w:rsid w:val="00C33B0A"/>
    <w:rsid w:val="00C33E53"/>
    <w:rsid w:val="00C33EE1"/>
    <w:rsid w:val="00C33F0B"/>
    <w:rsid w:val="00C3427D"/>
    <w:rsid w:val="00C343E3"/>
    <w:rsid w:val="00C351F1"/>
    <w:rsid w:val="00C351F6"/>
    <w:rsid w:val="00C35DD8"/>
    <w:rsid w:val="00C36CCC"/>
    <w:rsid w:val="00C36F21"/>
    <w:rsid w:val="00C40040"/>
    <w:rsid w:val="00C401FE"/>
    <w:rsid w:val="00C411E4"/>
    <w:rsid w:val="00C41655"/>
    <w:rsid w:val="00C41E20"/>
    <w:rsid w:val="00C42547"/>
    <w:rsid w:val="00C432C4"/>
    <w:rsid w:val="00C437E7"/>
    <w:rsid w:val="00C44690"/>
    <w:rsid w:val="00C44771"/>
    <w:rsid w:val="00C44951"/>
    <w:rsid w:val="00C4512A"/>
    <w:rsid w:val="00C45CB2"/>
    <w:rsid w:val="00C4651C"/>
    <w:rsid w:val="00C500F3"/>
    <w:rsid w:val="00C508B1"/>
    <w:rsid w:val="00C512F4"/>
    <w:rsid w:val="00C51717"/>
    <w:rsid w:val="00C51AAE"/>
    <w:rsid w:val="00C51BD8"/>
    <w:rsid w:val="00C52754"/>
    <w:rsid w:val="00C5351E"/>
    <w:rsid w:val="00C54343"/>
    <w:rsid w:val="00C54428"/>
    <w:rsid w:val="00C547DD"/>
    <w:rsid w:val="00C54A24"/>
    <w:rsid w:val="00C54FD9"/>
    <w:rsid w:val="00C556CE"/>
    <w:rsid w:val="00C568E1"/>
    <w:rsid w:val="00C57890"/>
    <w:rsid w:val="00C61148"/>
    <w:rsid w:val="00C612AB"/>
    <w:rsid w:val="00C6142C"/>
    <w:rsid w:val="00C62A22"/>
    <w:rsid w:val="00C62C2B"/>
    <w:rsid w:val="00C634BE"/>
    <w:rsid w:val="00C63CDF"/>
    <w:rsid w:val="00C6423D"/>
    <w:rsid w:val="00C64C8E"/>
    <w:rsid w:val="00C65A2B"/>
    <w:rsid w:val="00C65A43"/>
    <w:rsid w:val="00C66CB7"/>
    <w:rsid w:val="00C67784"/>
    <w:rsid w:val="00C67A82"/>
    <w:rsid w:val="00C706D1"/>
    <w:rsid w:val="00C7093B"/>
    <w:rsid w:val="00C724B4"/>
    <w:rsid w:val="00C7266F"/>
    <w:rsid w:val="00C73E06"/>
    <w:rsid w:val="00C7506B"/>
    <w:rsid w:val="00C75355"/>
    <w:rsid w:val="00C75577"/>
    <w:rsid w:val="00C75951"/>
    <w:rsid w:val="00C75B60"/>
    <w:rsid w:val="00C75F91"/>
    <w:rsid w:val="00C76CE1"/>
    <w:rsid w:val="00C77055"/>
    <w:rsid w:val="00C77A0F"/>
    <w:rsid w:val="00C80240"/>
    <w:rsid w:val="00C80505"/>
    <w:rsid w:val="00C814A3"/>
    <w:rsid w:val="00C81AA5"/>
    <w:rsid w:val="00C81D97"/>
    <w:rsid w:val="00C82860"/>
    <w:rsid w:val="00C83565"/>
    <w:rsid w:val="00C842FC"/>
    <w:rsid w:val="00C8536A"/>
    <w:rsid w:val="00C8586A"/>
    <w:rsid w:val="00C86F0C"/>
    <w:rsid w:val="00C87266"/>
    <w:rsid w:val="00C87344"/>
    <w:rsid w:val="00C8786A"/>
    <w:rsid w:val="00C87A01"/>
    <w:rsid w:val="00C90AD7"/>
    <w:rsid w:val="00C9128E"/>
    <w:rsid w:val="00C9130C"/>
    <w:rsid w:val="00C913D9"/>
    <w:rsid w:val="00C914D0"/>
    <w:rsid w:val="00C916DE"/>
    <w:rsid w:val="00C91A3C"/>
    <w:rsid w:val="00C93721"/>
    <w:rsid w:val="00C946FE"/>
    <w:rsid w:val="00C95081"/>
    <w:rsid w:val="00C95450"/>
    <w:rsid w:val="00C96D04"/>
    <w:rsid w:val="00C96E71"/>
    <w:rsid w:val="00C97348"/>
    <w:rsid w:val="00C9749C"/>
    <w:rsid w:val="00C974A2"/>
    <w:rsid w:val="00C977F9"/>
    <w:rsid w:val="00C97CB0"/>
    <w:rsid w:val="00CA0ACA"/>
    <w:rsid w:val="00CA1011"/>
    <w:rsid w:val="00CA2776"/>
    <w:rsid w:val="00CA36B9"/>
    <w:rsid w:val="00CA54F4"/>
    <w:rsid w:val="00CA59FF"/>
    <w:rsid w:val="00CA6941"/>
    <w:rsid w:val="00CA7404"/>
    <w:rsid w:val="00CA7E84"/>
    <w:rsid w:val="00CB0B7B"/>
    <w:rsid w:val="00CB0C2D"/>
    <w:rsid w:val="00CB1951"/>
    <w:rsid w:val="00CB2E11"/>
    <w:rsid w:val="00CB380A"/>
    <w:rsid w:val="00CB3850"/>
    <w:rsid w:val="00CB4CC1"/>
    <w:rsid w:val="00CB6360"/>
    <w:rsid w:val="00CB6404"/>
    <w:rsid w:val="00CB6543"/>
    <w:rsid w:val="00CB743A"/>
    <w:rsid w:val="00CB77F1"/>
    <w:rsid w:val="00CB7F26"/>
    <w:rsid w:val="00CC03AB"/>
    <w:rsid w:val="00CC1751"/>
    <w:rsid w:val="00CC17E8"/>
    <w:rsid w:val="00CC1922"/>
    <w:rsid w:val="00CC22CB"/>
    <w:rsid w:val="00CC29A8"/>
    <w:rsid w:val="00CC2B30"/>
    <w:rsid w:val="00CC2BE2"/>
    <w:rsid w:val="00CC2D09"/>
    <w:rsid w:val="00CC2E5D"/>
    <w:rsid w:val="00CC3B27"/>
    <w:rsid w:val="00CC405E"/>
    <w:rsid w:val="00CC560C"/>
    <w:rsid w:val="00CC651B"/>
    <w:rsid w:val="00CC6671"/>
    <w:rsid w:val="00CD03E3"/>
    <w:rsid w:val="00CD060E"/>
    <w:rsid w:val="00CD10DA"/>
    <w:rsid w:val="00CD1730"/>
    <w:rsid w:val="00CD19CA"/>
    <w:rsid w:val="00CD490C"/>
    <w:rsid w:val="00CD55C0"/>
    <w:rsid w:val="00CD583A"/>
    <w:rsid w:val="00CD618A"/>
    <w:rsid w:val="00CD6DF5"/>
    <w:rsid w:val="00CE0D86"/>
    <w:rsid w:val="00CE1B54"/>
    <w:rsid w:val="00CE2609"/>
    <w:rsid w:val="00CE2FCC"/>
    <w:rsid w:val="00CE31F4"/>
    <w:rsid w:val="00CE39AF"/>
    <w:rsid w:val="00CE446F"/>
    <w:rsid w:val="00CE57A3"/>
    <w:rsid w:val="00CE5E8A"/>
    <w:rsid w:val="00CE775D"/>
    <w:rsid w:val="00CE78C3"/>
    <w:rsid w:val="00CF182D"/>
    <w:rsid w:val="00CF1DDF"/>
    <w:rsid w:val="00CF21AC"/>
    <w:rsid w:val="00CF2256"/>
    <w:rsid w:val="00CF4ACA"/>
    <w:rsid w:val="00CF67FE"/>
    <w:rsid w:val="00CF6A7F"/>
    <w:rsid w:val="00CF6EBF"/>
    <w:rsid w:val="00CF712A"/>
    <w:rsid w:val="00D00C6E"/>
    <w:rsid w:val="00D011EC"/>
    <w:rsid w:val="00D0120A"/>
    <w:rsid w:val="00D0135A"/>
    <w:rsid w:val="00D01AE9"/>
    <w:rsid w:val="00D02274"/>
    <w:rsid w:val="00D0349B"/>
    <w:rsid w:val="00D03847"/>
    <w:rsid w:val="00D03EC3"/>
    <w:rsid w:val="00D0418F"/>
    <w:rsid w:val="00D041D2"/>
    <w:rsid w:val="00D049AD"/>
    <w:rsid w:val="00D05498"/>
    <w:rsid w:val="00D05C97"/>
    <w:rsid w:val="00D07073"/>
    <w:rsid w:val="00D070EA"/>
    <w:rsid w:val="00D077E1"/>
    <w:rsid w:val="00D07A87"/>
    <w:rsid w:val="00D104E5"/>
    <w:rsid w:val="00D10A30"/>
    <w:rsid w:val="00D11B37"/>
    <w:rsid w:val="00D11E47"/>
    <w:rsid w:val="00D1202C"/>
    <w:rsid w:val="00D1244F"/>
    <w:rsid w:val="00D133AE"/>
    <w:rsid w:val="00D14DDE"/>
    <w:rsid w:val="00D15102"/>
    <w:rsid w:val="00D152BC"/>
    <w:rsid w:val="00D17F25"/>
    <w:rsid w:val="00D20844"/>
    <w:rsid w:val="00D21406"/>
    <w:rsid w:val="00D21850"/>
    <w:rsid w:val="00D21DDE"/>
    <w:rsid w:val="00D21FCC"/>
    <w:rsid w:val="00D22BE3"/>
    <w:rsid w:val="00D231CF"/>
    <w:rsid w:val="00D241EE"/>
    <w:rsid w:val="00D2472B"/>
    <w:rsid w:val="00D2480E"/>
    <w:rsid w:val="00D24C55"/>
    <w:rsid w:val="00D25CA4"/>
    <w:rsid w:val="00D264A5"/>
    <w:rsid w:val="00D3026A"/>
    <w:rsid w:val="00D30341"/>
    <w:rsid w:val="00D30D3F"/>
    <w:rsid w:val="00D314BC"/>
    <w:rsid w:val="00D32883"/>
    <w:rsid w:val="00D32FF7"/>
    <w:rsid w:val="00D3338C"/>
    <w:rsid w:val="00D34251"/>
    <w:rsid w:val="00D35B00"/>
    <w:rsid w:val="00D35D87"/>
    <w:rsid w:val="00D36F2F"/>
    <w:rsid w:val="00D3768E"/>
    <w:rsid w:val="00D40BD9"/>
    <w:rsid w:val="00D41167"/>
    <w:rsid w:val="00D41B8E"/>
    <w:rsid w:val="00D41BC2"/>
    <w:rsid w:val="00D4286A"/>
    <w:rsid w:val="00D430D6"/>
    <w:rsid w:val="00D45868"/>
    <w:rsid w:val="00D45CA4"/>
    <w:rsid w:val="00D45F45"/>
    <w:rsid w:val="00D50852"/>
    <w:rsid w:val="00D50938"/>
    <w:rsid w:val="00D50B6D"/>
    <w:rsid w:val="00D51953"/>
    <w:rsid w:val="00D51F28"/>
    <w:rsid w:val="00D52034"/>
    <w:rsid w:val="00D52120"/>
    <w:rsid w:val="00D54FAF"/>
    <w:rsid w:val="00D559A0"/>
    <w:rsid w:val="00D560EB"/>
    <w:rsid w:val="00D563F7"/>
    <w:rsid w:val="00D56C45"/>
    <w:rsid w:val="00D56EDF"/>
    <w:rsid w:val="00D60096"/>
    <w:rsid w:val="00D63333"/>
    <w:rsid w:val="00D63442"/>
    <w:rsid w:val="00D63B78"/>
    <w:rsid w:val="00D64B2E"/>
    <w:rsid w:val="00D665EA"/>
    <w:rsid w:val="00D66EF1"/>
    <w:rsid w:val="00D678A0"/>
    <w:rsid w:val="00D702E8"/>
    <w:rsid w:val="00D7091E"/>
    <w:rsid w:val="00D70D82"/>
    <w:rsid w:val="00D70E63"/>
    <w:rsid w:val="00D731D8"/>
    <w:rsid w:val="00D74B4F"/>
    <w:rsid w:val="00D74F7D"/>
    <w:rsid w:val="00D76932"/>
    <w:rsid w:val="00D77D49"/>
    <w:rsid w:val="00D800C2"/>
    <w:rsid w:val="00D80F15"/>
    <w:rsid w:val="00D80F77"/>
    <w:rsid w:val="00D82FD6"/>
    <w:rsid w:val="00D8457A"/>
    <w:rsid w:val="00D84713"/>
    <w:rsid w:val="00D84D5A"/>
    <w:rsid w:val="00D84DC4"/>
    <w:rsid w:val="00D853E6"/>
    <w:rsid w:val="00D8576B"/>
    <w:rsid w:val="00D85FD0"/>
    <w:rsid w:val="00D86359"/>
    <w:rsid w:val="00D8686B"/>
    <w:rsid w:val="00D86CE7"/>
    <w:rsid w:val="00D906B3"/>
    <w:rsid w:val="00D91750"/>
    <w:rsid w:val="00D91961"/>
    <w:rsid w:val="00D927FE"/>
    <w:rsid w:val="00D92B33"/>
    <w:rsid w:val="00D92F71"/>
    <w:rsid w:val="00D93756"/>
    <w:rsid w:val="00D93A3D"/>
    <w:rsid w:val="00D93BE9"/>
    <w:rsid w:val="00D95C53"/>
    <w:rsid w:val="00D96A35"/>
    <w:rsid w:val="00DA01B0"/>
    <w:rsid w:val="00DA02D4"/>
    <w:rsid w:val="00DA10CF"/>
    <w:rsid w:val="00DA2947"/>
    <w:rsid w:val="00DA3C37"/>
    <w:rsid w:val="00DA4061"/>
    <w:rsid w:val="00DA452D"/>
    <w:rsid w:val="00DA4E43"/>
    <w:rsid w:val="00DA53CA"/>
    <w:rsid w:val="00DA5660"/>
    <w:rsid w:val="00DA5FF8"/>
    <w:rsid w:val="00DA7C43"/>
    <w:rsid w:val="00DB0172"/>
    <w:rsid w:val="00DB044B"/>
    <w:rsid w:val="00DB0548"/>
    <w:rsid w:val="00DB25F1"/>
    <w:rsid w:val="00DB3554"/>
    <w:rsid w:val="00DB3E42"/>
    <w:rsid w:val="00DB3E60"/>
    <w:rsid w:val="00DB436D"/>
    <w:rsid w:val="00DB6076"/>
    <w:rsid w:val="00DB7D06"/>
    <w:rsid w:val="00DC05FC"/>
    <w:rsid w:val="00DC0C91"/>
    <w:rsid w:val="00DC1C80"/>
    <w:rsid w:val="00DC4AFF"/>
    <w:rsid w:val="00DC57AA"/>
    <w:rsid w:val="00DC5C68"/>
    <w:rsid w:val="00DC5E11"/>
    <w:rsid w:val="00DC6B79"/>
    <w:rsid w:val="00DD166B"/>
    <w:rsid w:val="00DD18D0"/>
    <w:rsid w:val="00DD1EB7"/>
    <w:rsid w:val="00DD32C7"/>
    <w:rsid w:val="00DD3600"/>
    <w:rsid w:val="00DD566E"/>
    <w:rsid w:val="00DD678C"/>
    <w:rsid w:val="00DD6E57"/>
    <w:rsid w:val="00DD6F71"/>
    <w:rsid w:val="00DD7260"/>
    <w:rsid w:val="00DD78AF"/>
    <w:rsid w:val="00DE0133"/>
    <w:rsid w:val="00DE05F6"/>
    <w:rsid w:val="00DE0812"/>
    <w:rsid w:val="00DE087D"/>
    <w:rsid w:val="00DE0CB7"/>
    <w:rsid w:val="00DE1BAD"/>
    <w:rsid w:val="00DE1DE9"/>
    <w:rsid w:val="00DE1ED9"/>
    <w:rsid w:val="00DE40B9"/>
    <w:rsid w:val="00DE4DE1"/>
    <w:rsid w:val="00DE5067"/>
    <w:rsid w:val="00DE53D8"/>
    <w:rsid w:val="00DE5959"/>
    <w:rsid w:val="00DE5A2A"/>
    <w:rsid w:val="00DE62A0"/>
    <w:rsid w:val="00DE6BE8"/>
    <w:rsid w:val="00DE7A4C"/>
    <w:rsid w:val="00DF0806"/>
    <w:rsid w:val="00DF08DC"/>
    <w:rsid w:val="00DF0A45"/>
    <w:rsid w:val="00DF0D53"/>
    <w:rsid w:val="00DF0F18"/>
    <w:rsid w:val="00DF1D27"/>
    <w:rsid w:val="00DF1DE7"/>
    <w:rsid w:val="00DF269D"/>
    <w:rsid w:val="00DF26B6"/>
    <w:rsid w:val="00DF3093"/>
    <w:rsid w:val="00DF3CDD"/>
    <w:rsid w:val="00DF4E25"/>
    <w:rsid w:val="00DF4F0A"/>
    <w:rsid w:val="00DF5B23"/>
    <w:rsid w:val="00DF66A8"/>
    <w:rsid w:val="00DF6932"/>
    <w:rsid w:val="00DF6BAF"/>
    <w:rsid w:val="00DF6D1C"/>
    <w:rsid w:val="00DF7760"/>
    <w:rsid w:val="00E00636"/>
    <w:rsid w:val="00E00B80"/>
    <w:rsid w:val="00E00EDC"/>
    <w:rsid w:val="00E0160B"/>
    <w:rsid w:val="00E01C50"/>
    <w:rsid w:val="00E02330"/>
    <w:rsid w:val="00E024AC"/>
    <w:rsid w:val="00E02553"/>
    <w:rsid w:val="00E03121"/>
    <w:rsid w:val="00E03130"/>
    <w:rsid w:val="00E0339C"/>
    <w:rsid w:val="00E03C6D"/>
    <w:rsid w:val="00E04FBA"/>
    <w:rsid w:val="00E06345"/>
    <w:rsid w:val="00E0652D"/>
    <w:rsid w:val="00E07616"/>
    <w:rsid w:val="00E105A1"/>
    <w:rsid w:val="00E10AF0"/>
    <w:rsid w:val="00E10FB9"/>
    <w:rsid w:val="00E1183F"/>
    <w:rsid w:val="00E11A66"/>
    <w:rsid w:val="00E12CB4"/>
    <w:rsid w:val="00E12D25"/>
    <w:rsid w:val="00E13ECB"/>
    <w:rsid w:val="00E1407B"/>
    <w:rsid w:val="00E14755"/>
    <w:rsid w:val="00E1515C"/>
    <w:rsid w:val="00E15762"/>
    <w:rsid w:val="00E15855"/>
    <w:rsid w:val="00E16C0D"/>
    <w:rsid w:val="00E176F4"/>
    <w:rsid w:val="00E2007F"/>
    <w:rsid w:val="00E20388"/>
    <w:rsid w:val="00E2055A"/>
    <w:rsid w:val="00E21E9B"/>
    <w:rsid w:val="00E22061"/>
    <w:rsid w:val="00E22231"/>
    <w:rsid w:val="00E222C8"/>
    <w:rsid w:val="00E22D84"/>
    <w:rsid w:val="00E22EED"/>
    <w:rsid w:val="00E23A4D"/>
    <w:rsid w:val="00E23F78"/>
    <w:rsid w:val="00E244EA"/>
    <w:rsid w:val="00E24A1B"/>
    <w:rsid w:val="00E27591"/>
    <w:rsid w:val="00E275FB"/>
    <w:rsid w:val="00E27F4D"/>
    <w:rsid w:val="00E30437"/>
    <w:rsid w:val="00E30A15"/>
    <w:rsid w:val="00E30BFE"/>
    <w:rsid w:val="00E32B6E"/>
    <w:rsid w:val="00E32D04"/>
    <w:rsid w:val="00E335CC"/>
    <w:rsid w:val="00E33A1A"/>
    <w:rsid w:val="00E34EAC"/>
    <w:rsid w:val="00E35882"/>
    <w:rsid w:val="00E358BF"/>
    <w:rsid w:val="00E35D53"/>
    <w:rsid w:val="00E36028"/>
    <w:rsid w:val="00E368D3"/>
    <w:rsid w:val="00E3692B"/>
    <w:rsid w:val="00E4083E"/>
    <w:rsid w:val="00E40F23"/>
    <w:rsid w:val="00E41097"/>
    <w:rsid w:val="00E4254A"/>
    <w:rsid w:val="00E43008"/>
    <w:rsid w:val="00E43B9B"/>
    <w:rsid w:val="00E443C1"/>
    <w:rsid w:val="00E44445"/>
    <w:rsid w:val="00E44764"/>
    <w:rsid w:val="00E4647C"/>
    <w:rsid w:val="00E4671B"/>
    <w:rsid w:val="00E47397"/>
    <w:rsid w:val="00E47CB9"/>
    <w:rsid w:val="00E50E99"/>
    <w:rsid w:val="00E513F1"/>
    <w:rsid w:val="00E52B32"/>
    <w:rsid w:val="00E52CDB"/>
    <w:rsid w:val="00E53813"/>
    <w:rsid w:val="00E53909"/>
    <w:rsid w:val="00E53A69"/>
    <w:rsid w:val="00E53B41"/>
    <w:rsid w:val="00E53F81"/>
    <w:rsid w:val="00E55C7B"/>
    <w:rsid w:val="00E56361"/>
    <w:rsid w:val="00E576CB"/>
    <w:rsid w:val="00E60D21"/>
    <w:rsid w:val="00E610E9"/>
    <w:rsid w:val="00E622D4"/>
    <w:rsid w:val="00E62C75"/>
    <w:rsid w:val="00E62EB2"/>
    <w:rsid w:val="00E63AF4"/>
    <w:rsid w:val="00E64CE8"/>
    <w:rsid w:val="00E65227"/>
    <w:rsid w:val="00E65813"/>
    <w:rsid w:val="00E66370"/>
    <w:rsid w:val="00E66716"/>
    <w:rsid w:val="00E66B40"/>
    <w:rsid w:val="00E66F41"/>
    <w:rsid w:val="00E67C64"/>
    <w:rsid w:val="00E7049F"/>
    <w:rsid w:val="00E71965"/>
    <w:rsid w:val="00E72CB8"/>
    <w:rsid w:val="00E72D5A"/>
    <w:rsid w:val="00E73881"/>
    <w:rsid w:val="00E73BEE"/>
    <w:rsid w:val="00E74BD1"/>
    <w:rsid w:val="00E755E6"/>
    <w:rsid w:val="00E75618"/>
    <w:rsid w:val="00E75A3B"/>
    <w:rsid w:val="00E76364"/>
    <w:rsid w:val="00E7696B"/>
    <w:rsid w:val="00E76FEC"/>
    <w:rsid w:val="00E77297"/>
    <w:rsid w:val="00E773EE"/>
    <w:rsid w:val="00E77F48"/>
    <w:rsid w:val="00E80C51"/>
    <w:rsid w:val="00E80CDF"/>
    <w:rsid w:val="00E810EB"/>
    <w:rsid w:val="00E8162F"/>
    <w:rsid w:val="00E816BA"/>
    <w:rsid w:val="00E81B10"/>
    <w:rsid w:val="00E81C6F"/>
    <w:rsid w:val="00E8210D"/>
    <w:rsid w:val="00E82F18"/>
    <w:rsid w:val="00E832A1"/>
    <w:rsid w:val="00E83AD0"/>
    <w:rsid w:val="00E84234"/>
    <w:rsid w:val="00E848F1"/>
    <w:rsid w:val="00E84C1C"/>
    <w:rsid w:val="00E85287"/>
    <w:rsid w:val="00E855AC"/>
    <w:rsid w:val="00E85908"/>
    <w:rsid w:val="00E85C37"/>
    <w:rsid w:val="00E85C54"/>
    <w:rsid w:val="00E8689A"/>
    <w:rsid w:val="00E87F22"/>
    <w:rsid w:val="00E90351"/>
    <w:rsid w:val="00E91385"/>
    <w:rsid w:val="00E91449"/>
    <w:rsid w:val="00E91613"/>
    <w:rsid w:val="00E9194F"/>
    <w:rsid w:val="00E92097"/>
    <w:rsid w:val="00E924A9"/>
    <w:rsid w:val="00E92AF5"/>
    <w:rsid w:val="00E93874"/>
    <w:rsid w:val="00E93D13"/>
    <w:rsid w:val="00E93EA4"/>
    <w:rsid w:val="00E95327"/>
    <w:rsid w:val="00E95EC3"/>
    <w:rsid w:val="00E97B62"/>
    <w:rsid w:val="00EA0341"/>
    <w:rsid w:val="00EA179F"/>
    <w:rsid w:val="00EA1880"/>
    <w:rsid w:val="00EA18F0"/>
    <w:rsid w:val="00EA20CD"/>
    <w:rsid w:val="00EA22BB"/>
    <w:rsid w:val="00EA23EB"/>
    <w:rsid w:val="00EA285F"/>
    <w:rsid w:val="00EA2CB6"/>
    <w:rsid w:val="00EA4288"/>
    <w:rsid w:val="00EA491F"/>
    <w:rsid w:val="00EA5197"/>
    <w:rsid w:val="00EA5D20"/>
    <w:rsid w:val="00EA6359"/>
    <w:rsid w:val="00EA7926"/>
    <w:rsid w:val="00EB0167"/>
    <w:rsid w:val="00EB0650"/>
    <w:rsid w:val="00EB0C40"/>
    <w:rsid w:val="00EB145C"/>
    <w:rsid w:val="00EB1841"/>
    <w:rsid w:val="00EB189A"/>
    <w:rsid w:val="00EB3051"/>
    <w:rsid w:val="00EB3923"/>
    <w:rsid w:val="00EB399B"/>
    <w:rsid w:val="00EB42CF"/>
    <w:rsid w:val="00EB43AF"/>
    <w:rsid w:val="00EB5122"/>
    <w:rsid w:val="00EB51D9"/>
    <w:rsid w:val="00EB5415"/>
    <w:rsid w:val="00EB70ED"/>
    <w:rsid w:val="00EB72B0"/>
    <w:rsid w:val="00EB73C7"/>
    <w:rsid w:val="00EB753D"/>
    <w:rsid w:val="00EB7A8C"/>
    <w:rsid w:val="00EC0826"/>
    <w:rsid w:val="00EC0D10"/>
    <w:rsid w:val="00EC20DD"/>
    <w:rsid w:val="00EC2DB0"/>
    <w:rsid w:val="00EC34FD"/>
    <w:rsid w:val="00EC3F1C"/>
    <w:rsid w:val="00EC4909"/>
    <w:rsid w:val="00EC58C6"/>
    <w:rsid w:val="00EC5E03"/>
    <w:rsid w:val="00EC7281"/>
    <w:rsid w:val="00EC764E"/>
    <w:rsid w:val="00EC7F2A"/>
    <w:rsid w:val="00ED0533"/>
    <w:rsid w:val="00ED11EE"/>
    <w:rsid w:val="00ED1A8E"/>
    <w:rsid w:val="00ED24DF"/>
    <w:rsid w:val="00ED26F3"/>
    <w:rsid w:val="00ED31D2"/>
    <w:rsid w:val="00ED3BE9"/>
    <w:rsid w:val="00ED4DC1"/>
    <w:rsid w:val="00ED4DC4"/>
    <w:rsid w:val="00ED6509"/>
    <w:rsid w:val="00ED7268"/>
    <w:rsid w:val="00ED7B50"/>
    <w:rsid w:val="00EE1170"/>
    <w:rsid w:val="00EE2A52"/>
    <w:rsid w:val="00EE38AE"/>
    <w:rsid w:val="00EE4A89"/>
    <w:rsid w:val="00EE5932"/>
    <w:rsid w:val="00EE5BB3"/>
    <w:rsid w:val="00EE5F05"/>
    <w:rsid w:val="00EE64FC"/>
    <w:rsid w:val="00EF12F8"/>
    <w:rsid w:val="00EF1D38"/>
    <w:rsid w:val="00EF2349"/>
    <w:rsid w:val="00EF4063"/>
    <w:rsid w:val="00EF5984"/>
    <w:rsid w:val="00EF5BE7"/>
    <w:rsid w:val="00EF6F78"/>
    <w:rsid w:val="00EF78FE"/>
    <w:rsid w:val="00EF7983"/>
    <w:rsid w:val="00F003D2"/>
    <w:rsid w:val="00F00E1C"/>
    <w:rsid w:val="00F01357"/>
    <w:rsid w:val="00F0147A"/>
    <w:rsid w:val="00F01B37"/>
    <w:rsid w:val="00F02CC4"/>
    <w:rsid w:val="00F02CF8"/>
    <w:rsid w:val="00F03D33"/>
    <w:rsid w:val="00F04037"/>
    <w:rsid w:val="00F04FF3"/>
    <w:rsid w:val="00F051A1"/>
    <w:rsid w:val="00F0558B"/>
    <w:rsid w:val="00F06EE0"/>
    <w:rsid w:val="00F071E4"/>
    <w:rsid w:val="00F10DC1"/>
    <w:rsid w:val="00F11051"/>
    <w:rsid w:val="00F11157"/>
    <w:rsid w:val="00F113C9"/>
    <w:rsid w:val="00F114CE"/>
    <w:rsid w:val="00F1184E"/>
    <w:rsid w:val="00F12794"/>
    <w:rsid w:val="00F13915"/>
    <w:rsid w:val="00F13C5A"/>
    <w:rsid w:val="00F13E13"/>
    <w:rsid w:val="00F13FF4"/>
    <w:rsid w:val="00F16C5A"/>
    <w:rsid w:val="00F1711C"/>
    <w:rsid w:val="00F1783B"/>
    <w:rsid w:val="00F17A5B"/>
    <w:rsid w:val="00F200EB"/>
    <w:rsid w:val="00F20729"/>
    <w:rsid w:val="00F20A73"/>
    <w:rsid w:val="00F222D9"/>
    <w:rsid w:val="00F23E58"/>
    <w:rsid w:val="00F2447F"/>
    <w:rsid w:val="00F24765"/>
    <w:rsid w:val="00F2478F"/>
    <w:rsid w:val="00F2483E"/>
    <w:rsid w:val="00F24964"/>
    <w:rsid w:val="00F24D8D"/>
    <w:rsid w:val="00F25A75"/>
    <w:rsid w:val="00F25BBB"/>
    <w:rsid w:val="00F2628E"/>
    <w:rsid w:val="00F26440"/>
    <w:rsid w:val="00F27802"/>
    <w:rsid w:val="00F27CF2"/>
    <w:rsid w:val="00F302A3"/>
    <w:rsid w:val="00F3038E"/>
    <w:rsid w:val="00F312A8"/>
    <w:rsid w:val="00F31380"/>
    <w:rsid w:val="00F319BA"/>
    <w:rsid w:val="00F322AB"/>
    <w:rsid w:val="00F323CF"/>
    <w:rsid w:val="00F33033"/>
    <w:rsid w:val="00F33AA4"/>
    <w:rsid w:val="00F3566A"/>
    <w:rsid w:val="00F35E64"/>
    <w:rsid w:val="00F365B5"/>
    <w:rsid w:val="00F3706B"/>
    <w:rsid w:val="00F37EE0"/>
    <w:rsid w:val="00F40A01"/>
    <w:rsid w:val="00F41238"/>
    <w:rsid w:val="00F41430"/>
    <w:rsid w:val="00F417CF"/>
    <w:rsid w:val="00F42215"/>
    <w:rsid w:val="00F42555"/>
    <w:rsid w:val="00F445FE"/>
    <w:rsid w:val="00F446EA"/>
    <w:rsid w:val="00F44728"/>
    <w:rsid w:val="00F450DA"/>
    <w:rsid w:val="00F45102"/>
    <w:rsid w:val="00F45561"/>
    <w:rsid w:val="00F45B74"/>
    <w:rsid w:val="00F46C57"/>
    <w:rsid w:val="00F471FA"/>
    <w:rsid w:val="00F47F45"/>
    <w:rsid w:val="00F50A7C"/>
    <w:rsid w:val="00F5118A"/>
    <w:rsid w:val="00F51B74"/>
    <w:rsid w:val="00F5214E"/>
    <w:rsid w:val="00F52213"/>
    <w:rsid w:val="00F52C23"/>
    <w:rsid w:val="00F531CA"/>
    <w:rsid w:val="00F531ED"/>
    <w:rsid w:val="00F538AE"/>
    <w:rsid w:val="00F546CB"/>
    <w:rsid w:val="00F54C09"/>
    <w:rsid w:val="00F54F75"/>
    <w:rsid w:val="00F55444"/>
    <w:rsid w:val="00F56A6C"/>
    <w:rsid w:val="00F5707A"/>
    <w:rsid w:val="00F57550"/>
    <w:rsid w:val="00F57B6B"/>
    <w:rsid w:val="00F614A9"/>
    <w:rsid w:val="00F615F7"/>
    <w:rsid w:val="00F633A3"/>
    <w:rsid w:val="00F6406E"/>
    <w:rsid w:val="00F64282"/>
    <w:rsid w:val="00F64999"/>
    <w:rsid w:val="00F651CD"/>
    <w:rsid w:val="00F6639A"/>
    <w:rsid w:val="00F668F6"/>
    <w:rsid w:val="00F66A90"/>
    <w:rsid w:val="00F708F8"/>
    <w:rsid w:val="00F71303"/>
    <w:rsid w:val="00F7184B"/>
    <w:rsid w:val="00F726D3"/>
    <w:rsid w:val="00F73F8B"/>
    <w:rsid w:val="00F74AC7"/>
    <w:rsid w:val="00F74D10"/>
    <w:rsid w:val="00F76C55"/>
    <w:rsid w:val="00F76EAC"/>
    <w:rsid w:val="00F82781"/>
    <w:rsid w:val="00F83E7F"/>
    <w:rsid w:val="00F84437"/>
    <w:rsid w:val="00F8554A"/>
    <w:rsid w:val="00F85A72"/>
    <w:rsid w:val="00F861E0"/>
    <w:rsid w:val="00F8739E"/>
    <w:rsid w:val="00F879DF"/>
    <w:rsid w:val="00F90D78"/>
    <w:rsid w:val="00F91047"/>
    <w:rsid w:val="00F92815"/>
    <w:rsid w:val="00F937D2"/>
    <w:rsid w:val="00F9381A"/>
    <w:rsid w:val="00F93D34"/>
    <w:rsid w:val="00F9403B"/>
    <w:rsid w:val="00F9408D"/>
    <w:rsid w:val="00F941B2"/>
    <w:rsid w:val="00F94230"/>
    <w:rsid w:val="00F95B63"/>
    <w:rsid w:val="00F95F29"/>
    <w:rsid w:val="00F96A0A"/>
    <w:rsid w:val="00F96F44"/>
    <w:rsid w:val="00F971FD"/>
    <w:rsid w:val="00F97531"/>
    <w:rsid w:val="00FA0539"/>
    <w:rsid w:val="00FA066F"/>
    <w:rsid w:val="00FA10B0"/>
    <w:rsid w:val="00FA2DBA"/>
    <w:rsid w:val="00FA2E86"/>
    <w:rsid w:val="00FA3699"/>
    <w:rsid w:val="00FA454E"/>
    <w:rsid w:val="00FA5608"/>
    <w:rsid w:val="00FA568B"/>
    <w:rsid w:val="00FA674D"/>
    <w:rsid w:val="00FA7F41"/>
    <w:rsid w:val="00FB0659"/>
    <w:rsid w:val="00FB1045"/>
    <w:rsid w:val="00FB10EE"/>
    <w:rsid w:val="00FB1211"/>
    <w:rsid w:val="00FB167E"/>
    <w:rsid w:val="00FB20C4"/>
    <w:rsid w:val="00FB23DC"/>
    <w:rsid w:val="00FB271E"/>
    <w:rsid w:val="00FB2AA0"/>
    <w:rsid w:val="00FB3043"/>
    <w:rsid w:val="00FB36D5"/>
    <w:rsid w:val="00FB37C4"/>
    <w:rsid w:val="00FB39B8"/>
    <w:rsid w:val="00FB50E9"/>
    <w:rsid w:val="00FB6355"/>
    <w:rsid w:val="00FB67FF"/>
    <w:rsid w:val="00FB7B26"/>
    <w:rsid w:val="00FC0BA6"/>
    <w:rsid w:val="00FC0F48"/>
    <w:rsid w:val="00FC120E"/>
    <w:rsid w:val="00FC212D"/>
    <w:rsid w:val="00FC3668"/>
    <w:rsid w:val="00FC3968"/>
    <w:rsid w:val="00FC4322"/>
    <w:rsid w:val="00FC4673"/>
    <w:rsid w:val="00FC4D18"/>
    <w:rsid w:val="00FC4FA1"/>
    <w:rsid w:val="00FC593E"/>
    <w:rsid w:val="00FC6539"/>
    <w:rsid w:val="00FC67DA"/>
    <w:rsid w:val="00FC737F"/>
    <w:rsid w:val="00FC76D9"/>
    <w:rsid w:val="00FC7ACE"/>
    <w:rsid w:val="00FC7D02"/>
    <w:rsid w:val="00FC7E5B"/>
    <w:rsid w:val="00FD05EF"/>
    <w:rsid w:val="00FD07BF"/>
    <w:rsid w:val="00FD0B41"/>
    <w:rsid w:val="00FD0FCB"/>
    <w:rsid w:val="00FD1007"/>
    <w:rsid w:val="00FD16BE"/>
    <w:rsid w:val="00FD2ADA"/>
    <w:rsid w:val="00FD3EF8"/>
    <w:rsid w:val="00FD494D"/>
    <w:rsid w:val="00FD4E78"/>
    <w:rsid w:val="00FD5935"/>
    <w:rsid w:val="00FD73FF"/>
    <w:rsid w:val="00FD7F27"/>
    <w:rsid w:val="00FD7F42"/>
    <w:rsid w:val="00FE0099"/>
    <w:rsid w:val="00FE0313"/>
    <w:rsid w:val="00FE0781"/>
    <w:rsid w:val="00FE097C"/>
    <w:rsid w:val="00FE28B3"/>
    <w:rsid w:val="00FE3033"/>
    <w:rsid w:val="00FE49AC"/>
    <w:rsid w:val="00FE4AA3"/>
    <w:rsid w:val="00FE52AD"/>
    <w:rsid w:val="00FE5CFA"/>
    <w:rsid w:val="00FE6B0A"/>
    <w:rsid w:val="00FE71D1"/>
    <w:rsid w:val="00FE7B35"/>
    <w:rsid w:val="00FF18B7"/>
    <w:rsid w:val="00FF2210"/>
    <w:rsid w:val="00FF23E2"/>
    <w:rsid w:val="00FF2776"/>
    <w:rsid w:val="00FF441E"/>
    <w:rsid w:val="00FF491C"/>
    <w:rsid w:val="00FF4FD8"/>
    <w:rsid w:val="00FF54A8"/>
    <w:rsid w:val="00FF6006"/>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03C88"/>
  <w15:docId w15:val="{47BEB011-2839-4957-BEE9-113C5D89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C7E97"/>
    <w:pPr>
      <w:jc w:val="both"/>
    </w:pPr>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iPriority w:val="9"/>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uiPriority w:val="9"/>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qFormat/>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spacing w:after="0" w:line="240" w:lineRule="auto"/>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aliases w:val="webb"/>
    <w:basedOn w:val="a0"/>
    <w:uiPriority w:val="99"/>
    <w:qFormat/>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3755E3"/>
    <w:pPr>
      <w:tabs>
        <w:tab w:val="left" w:pos="1100"/>
        <w:tab w:val="right" w:leader="dot" w:pos="9345"/>
      </w:tabs>
      <w:spacing w:after="0" w:line="240" w:lineRule="auto"/>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uiPriority w:val="99"/>
    <w:rsid w:val="00E30437"/>
    <w:rPr>
      <w:rFonts w:ascii="Times New Roman" w:eastAsia="Times New Roman" w:hAnsi="Times New Roman" w:cs="Times New Roman"/>
      <w:sz w:val="20"/>
      <w:szCs w:val="20"/>
      <w:lang w:eastAsia="ru-RU"/>
    </w:rPr>
  </w:style>
  <w:style w:type="character" w:styleId="af">
    <w:name w:val="footnote reference"/>
    <w:uiPriority w:val="99"/>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uiPriority w:val="99"/>
    <w:rsid w:val="00E30437"/>
    <w:pPr>
      <w:spacing w:line="240" w:lineRule="auto"/>
    </w:pPr>
    <w:rPr>
      <w:rFonts w:ascii="Tahoma" w:hAnsi="Tahoma"/>
      <w:sz w:val="16"/>
      <w:szCs w:val="16"/>
    </w:rPr>
  </w:style>
  <w:style w:type="character" w:customStyle="1" w:styleId="af2">
    <w:name w:val="Текст выноски Знак"/>
    <w:basedOn w:val="a1"/>
    <w:link w:val="af1"/>
    <w:uiPriority w:val="99"/>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7E4A77"/>
    <w:pPr>
      <w:tabs>
        <w:tab w:val="right" w:leader="dot" w:pos="9346"/>
      </w:tabs>
      <w:spacing w:after="0" w:line="240" w:lineRule="auto"/>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numbering" w:customStyle="1" w:styleId="18">
    <w:name w:val="Нет списка1"/>
    <w:next w:val="a3"/>
    <w:uiPriority w:val="99"/>
    <w:semiHidden/>
    <w:unhideWhenUsed/>
    <w:rsid w:val="004D2ADE"/>
  </w:style>
  <w:style w:type="character" w:customStyle="1" w:styleId="19">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after="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a">
    <w:name w:val="Заголовок1"/>
    <w:basedOn w:val="a0"/>
    <w:link w:val="affd"/>
    <w:qFormat/>
    <w:rsid w:val="009E62E0"/>
    <w:pPr>
      <w:spacing w:before="120" w:after="0" w:line="360" w:lineRule="auto"/>
      <w:jc w:val="center"/>
    </w:pPr>
    <w:rPr>
      <w:rFonts w:eastAsiaTheme="minorHAnsi"/>
      <w:b/>
      <w:caps/>
      <w:color w:val="000000"/>
      <w:lang w:eastAsia="en-US"/>
    </w:rPr>
  </w:style>
  <w:style w:type="character" w:customStyle="1" w:styleId="affd">
    <w:name w:val="Заголовок Знак"/>
    <w:basedOn w:val="a1"/>
    <w:link w:val="1a"/>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b">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c">
    <w:name w:val="Таблица1"/>
    <w:basedOn w:val="aff1"/>
    <w:link w:val="1d"/>
    <w:qFormat/>
    <w:rsid w:val="009E62E0"/>
    <w:pPr>
      <w:keepNext/>
      <w:spacing w:after="120" w:line="240" w:lineRule="auto"/>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d">
    <w:name w:val="Таблица1 Знак"/>
    <w:basedOn w:val="aff2"/>
    <w:link w:val="1c"/>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e">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a0"/>
    <w:rsid w:val="00184AA4"/>
    <w:pPr>
      <w:spacing w:before="100" w:beforeAutospacing="1" w:after="100" w:afterAutospacing="1" w:line="240" w:lineRule="auto"/>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hl">
    <w:name w:val="hl"/>
    <w:basedOn w:val="a1"/>
    <w:rsid w:val="00D21FCC"/>
  </w:style>
  <w:style w:type="paragraph" w:customStyle="1" w:styleId="body10-10-85">
    <w:name w:val="body10-10-85"/>
    <w:basedOn w:val="a0"/>
    <w:rsid w:val="009C37D6"/>
    <w:pPr>
      <w:spacing w:before="100" w:beforeAutospacing="1" w:after="100" w:afterAutospacing="1" w:line="240" w:lineRule="auto"/>
      <w:jc w:val="left"/>
    </w:pPr>
    <w:rPr>
      <w:rFonts w:eastAsia="Times New Roman"/>
      <w:lang w:eastAsia="ru-RU"/>
    </w:rPr>
  </w:style>
  <w:style w:type="character" w:customStyle="1" w:styleId="markedcontent">
    <w:name w:val="markedcontent"/>
    <w:basedOn w:val="a1"/>
    <w:rsid w:val="00B1290C"/>
  </w:style>
  <w:style w:type="character" w:customStyle="1" w:styleId="2c">
    <w:name w:val="Неразрешенное упоминание2"/>
    <w:basedOn w:val="a1"/>
    <w:uiPriority w:val="99"/>
    <w:semiHidden/>
    <w:unhideWhenUsed/>
    <w:rsid w:val="005C4ACA"/>
    <w:rPr>
      <w:color w:val="605E5C"/>
      <w:shd w:val="clear" w:color="auto" w:fill="E1DFDD"/>
    </w:rPr>
  </w:style>
  <w:style w:type="paragraph" w:styleId="afff7">
    <w:name w:val="Title"/>
    <w:basedOn w:val="a0"/>
    <w:next w:val="a0"/>
    <w:link w:val="2d"/>
    <w:uiPriority w:val="1"/>
    <w:qFormat/>
    <w:rsid w:val="001815DF"/>
    <w:pPr>
      <w:autoSpaceDE w:val="0"/>
      <w:autoSpaceDN w:val="0"/>
      <w:adjustRightInd w:val="0"/>
      <w:spacing w:before="9" w:after="0" w:line="240" w:lineRule="auto"/>
      <w:jc w:val="left"/>
    </w:pPr>
    <w:rPr>
      <w:lang w:eastAsia="en-US"/>
    </w:rPr>
  </w:style>
  <w:style w:type="character" w:customStyle="1" w:styleId="1f">
    <w:name w:val="Заголовок Знак1"/>
    <w:basedOn w:val="a1"/>
    <w:uiPriority w:val="10"/>
    <w:rsid w:val="001815DF"/>
    <w:rPr>
      <w:rFonts w:asciiTheme="majorHAnsi" w:eastAsiaTheme="majorEastAsia" w:hAnsiTheme="majorHAnsi" w:cstheme="majorBidi"/>
      <w:spacing w:val="-10"/>
      <w:kern w:val="28"/>
      <w:sz w:val="56"/>
      <w:szCs w:val="56"/>
      <w:lang w:eastAsia="ja-JP"/>
    </w:rPr>
  </w:style>
  <w:style w:type="table" w:customStyle="1" w:styleId="TableNormal">
    <w:name w:val="Table Normal"/>
    <w:uiPriority w:val="2"/>
    <w:semiHidden/>
    <w:unhideWhenUsed/>
    <w:qFormat/>
    <w:rsid w:val="00DF7760"/>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character" w:customStyle="1" w:styleId="UnresolvedMention">
    <w:name w:val="Unresolved Mention"/>
    <w:basedOn w:val="a1"/>
    <w:uiPriority w:val="99"/>
    <w:semiHidden/>
    <w:unhideWhenUsed/>
    <w:rsid w:val="007F62B6"/>
    <w:rPr>
      <w:color w:val="605E5C"/>
      <w:shd w:val="clear" w:color="auto" w:fill="E1DFDD"/>
    </w:rPr>
  </w:style>
  <w:style w:type="character" w:customStyle="1" w:styleId="39">
    <w:name w:val="Текст сноски Знак3"/>
    <w:uiPriority w:val="9"/>
    <w:qFormat/>
    <w:rsid w:val="0085687C"/>
    <w:rPr>
      <w:rFonts w:ascii="Cambria" w:eastAsia="Times New Roman" w:hAnsi="Cambria" w:cs="Times New Roman"/>
      <w:b/>
      <w:bCs/>
      <w:color w:val="4F81BD"/>
      <w:sz w:val="26"/>
      <w:szCs w:val="26"/>
    </w:rPr>
  </w:style>
  <w:style w:type="character" w:customStyle="1" w:styleId="afff8">
    <w:name w:val="Привязка сноски"/>
    <w:rsid w:val="0085687C"/>
    <w:rPr>
      <w:rFonts w:ascii="Times New Roman" w:hAnsi="Times New Roman" w:cs="Times New Roman"/>
      <w:vertAlign w:val="superscript"/>
    </w:rPr>
  </w:style>
  <w:style w:type="character" w:customStyle="1" w:styleId="afff9">
    <w:name w:val="Символ сноски"/>
    <w:qFormat/>
    <w:rsid w:val="0085687C"/>
  </w:style>
  <w:style w:type="character" w:customStyle="1" w:styleId="2d">
    <w:name w:val="Заголовок Знак2"/>
    <w:basedOn w:val="a1"/>
    <w:link w:val="afff7"/>
    <w:uiPriority w:val="1"/>
    <w:rsid w:val="000859AF"/>
    <w:rPr>
      <w:rFonts w:ascii="Times New Roman" w:hAnsi="Times New Roman" w:cs="Times New Roman"/>
      <w:sz w:val="24"/>
      <w:szCs w:val="24"/>
    </w:rPr>
  </w:style>
  <w:style w:type="character" w:customStyle="1" w:styleId="highwire-citation-author">
    <w:name w:val="highwire-citation-author"/>
    <w:basedOn w:val="a1"/>
    <w:rsid w:val="000859AF"/>
  </w:style>
  <w:style w:type="character" w:customStyle="1" w:styleId="comma">
    <w:name w:val="comma"/>
    <w:basedOn w:val="a1"/>
    <w:rsid w:val="00736A12"/>
  </w:style>
  <w:style w:type="character" w:customStyle="1" w:styleId="period">
    <w:name w:val="period"/>
    <w:basedOn w:val="a1"/>
    <w:rsid w:val="00736A12"/>
  </w:style>
  <w:style w:type="character" w:customStyle="1" w:styleId="cit">
    <w:name w:val="cit"/>
    <w:basedOn w:val="a1"/>
    <w:rsid w:val="00736A12"/>
  </w:style>
  <w:style w:type="character" w:customStyle="1" w:styleId="author-sup-separator">
    <w:name w:val="author-sup-separator"/>
    <w:basedOn w:val="a1"/>
    <w:rsid w:val="00736A12"/>
  </w:style>
  <w:style w:type="paragraph" w:customStyle="1" w:styleId="afffa">
    <w:name w:val="СФ_Таблица"/>
    <w:basedOn w:val="affb"/>
    <w:uiPriority w:val="11"/>
    <w:qFormat/>
    <w:rsid w:val="00711874"/>
    <w:pPr>
      <w:spacing w:before="0" w:after="0" w:line="240" w:lineRule="auto"/>
    </w:pPr>
    <w:rPr>
      <w:sz w:val="20"/>
    </w:rPr>
  </w:style>
  <w:style w:type="paragraph" w:styleId="afffb">
    <w:name w:val="TOC Heading"/>
    <w:basedOn w:val="12"/>
    <w:next w:val="a0"/>
    <w:uiPriority w:val="39"/>
    <w:unhideWhenUsed/>
    <w:qFormat/>
    <w:rsid w:val="00D3026A"/>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2865255">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1653475">
      <w:bodyDiv w:val="1"/>
      <w:marLeft w:val="0"/>
      <w:marRight w:val="0"/>
      <w:marTop w:val="0"/>
      <w:marBottom w:val="0"/>
      <w:divBdr>
        <w:top w:val="none" w:sz="0" w:space="0" w:color="auto"/>
        <w:left w:val="none" w:sz="0" w:space="0" w:color="auto"/>
        <w:bottom w:val="none" w:sz="0" w:space="0" w:color="auto"/>
        <w:right w:val="none" w:sz="0" w:space="0" w:color="auto"/>
      </w:divBdr>
      <w:divsChild>
        <w:div w:id="1373534480">
          <w:marLeft w:val="0"/>
          <w:marRight w:val="0"/>
          <w:marTop w:val="240"/>
          <w:marBottom w:val="0"/>
          <w:divBdr>
            <w:top w:val="single" w:sz="6" w:space="1" w:color="D4D4D4"/>
            <w:left w:val="none" w:sz="0" w:space="0" w:color="auto"/>
            <w:bottom w:val="none" w:sz="0" w:space="0" w:color="auto"/>
            <w:right w:val="none" w:sz="0" w:space="0" w:color="auto"/>
          </w:divBdr>
          <w:divsChild>
            <w:div w:id="1341349516">
              <w:marLeft w:val="0"/>
              <w:marRight w:val="0"/>
              <w:marTop w:val="180"/>
              <w:marBottom w:val="0"/>
              <w:divBdr>
                <w:top w:val="none" w:sz="0" w:space="0" w:color="auto"/>
                <w:left w:val="none" w:sz="0" w:space="0" w:color="auto"/>
                <w:bottom w:val="none" w:sz="0" w:space="0" w:color="auto"/>
                <w:right w:val="none" w:sz="0" w:space="0" w:color="auto"/>
              </w:divBdr>
              <w:divsChild>
                <w:div w:id="194117931">
                  <w:marLeft w:val="0"/>
                  <w:marRight w:val="0"/>
                  <w:marTop w:val="0"/>
                  <w:marBottom w:val="0"/>
                  <w:divBdr>
                    <w:top w:val="none" w:sz="0" w:space="0" w:color="auto"/>
                    <w:left w:val="none" w:sz="0" w:space="0" w:color="auto"/>
                    <w:bottom w:val="single" w:sz="6" w:space="8" w:color="DDDCCF"/>
                    <w:right w:val="none" w:sz="0" w:space="0" w:color="auto"/>
                  </w:divBdr>
                  <w:divsChild>
                    <w:div w:id="1723095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228059">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66884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214">
          <w:marLeft w:val="0"/>
          <w:marRight w:val="0"/>
          <w:marTop w:val="240"/>
          <w:marBottom w:val="0"/>
          <w:divBdr>
            <w:top w:val="single" w:sz="6" w:space="1" w:color="D4D4D4"/>
            <w:left w:val="none" w:sz="0" w:space="0" w:color="auto"/>
            <w:bottom w:val="none" w:sz="0" w:space="0" w:color="auto"/>
            <w:right w:val="none" w:sz="0" w:space="0" w:color="auto"/>
          </w:divBdr>
          <w:divsChild>
            <w:div w:id="921527192">
              <w:marLeft w:val="0"/>
              <w:marRight w:val="0"/>
              <w:marTop w:val="180"/>
              <w:marBottom w:val="0"/>
              <w:divBdr>
                <w:top w:val="none" w:sz="0" w:space="0" w:color="auto"/>
                <w:left w:val="none" w:sz="0" w:space="0" w:color="auto"/>
                <w:bottom w:val="none" w:sz="0" w:space="0" w:color="auto"/>
                <w:right w:val="none" w:sz="0" w:space="0" w:color="auto"/>
              </w:divBdr>
              <w:divsChild>
                <w:div w:id="1243757514">
                  <w:marLeft w:val="0"/>
                  <w:marRight w:val="0"/>
                  <w:marTop w:val="0"/>
                  <w:marBottom w:val="0"/>
                  <w:divBdr>
                    <w:top w:val="none" w:sz="0" w:space="0" w:color="auto"/>
                    <w:left w:val="none" w:sz="0" w:space="0" w:color="auto"/>
                    <w:bottom w:val="single" w:sz="6" w:space="8" w:color="DDDCCF"/>
                    <w:right w:val="none" w:sz="0" w:space="0" w:color="auto"/>
                  </w:divBdr>
                  <w:divsChild>
                    <w:div w:id="774590698">
                      <w:marLeft w:val="0"/>
                      <w:marRight w:val="0"/>
                      <w:marTop w:val="225"/>
                      <w:marBottom w:val="0"/>
                      <w:divBdr>
                        <w:top w:val="none" w:sz="0" w:space="0" w:color="auto"/>
                        <w:left w:val="none" w:sz="0" w:space="0" w:color="auto"/>
                        <w:bottom w:val="none" w:sz="0" w:space="0" w:color="auto"/>
                        <w:right w:val="none" w:sz="0" w:space="0" w:color="auto"/>
                      </w:divBdr>
                    </w:div>
                  </w:divsChild>
                </w:div>
                <w:div w:id="1229347002">
                  <w:marLeft w:val="0"/>
                  <w:marRight w:val="0"/>
                  <w:marTop w:val="0"/>
                  <w:marBottom w:val="0"/>
                  <w:divBdr>
                    <w:top w:val="none" w:sz="0" w:space="0" w:color="auto"/>
                    <w:left w:val="none" w:sz="0" w:space="0" w:color="auto"/>
                    <w:bottom w:val="single" w:sz="6" w:space="8" w:color="DDDCCF"/>
                    <w:right w:val="none" w:sz="0" w:space="0" w:color="auto"/>
                  </w:divBdr>
                  <w:divsChild>
                    <w:div w:id="1171531844">
                      <w:marLeft w:val="0"/>
                      <w:marRight w:val="0"/>
                      <w:marTop w:val="225"/>
                      <w:marBottom w:val="0"/>
                      <w:divBdr>
                        <w:top w:val="none" w:sz="0" w:space="0" w:color="auto"/>
                        <w:left w:val="none" w:sz="0" w:space="0" w:color="auto"/>
                        <w:bottom w:val="none" w:sz="0" w:space="0" w:color="auto"/>
                        <w:right w:val="none" w:sz="0" w:space="0" w:color="auto"/>
                      </w:divBdr>
                    </w:div>
                  </w:divsChild>
                </w:div>
                <w:div w:id="1540164170">
                  <w:marLeft w:val="0"/>
                  <w:marRight w:val="0"/>
                  <w:marTop w:val="0"/>
                  <w:marBottom w:val="0"/>
                  <w:divBdr>
                    <w:top w:val="none" w:sz="0" w:space="0" w:color="auto"/>
                    <w:left w:val="none" w:sz="0" w:space="0" w:color="auto"/>
                    <w:bottom w:val="single" w:sz="6" w:space="8" w:color="DDDCCF"/>
                    <w:right w:val="none" w:sz="0" w:space="0" w:color="auto"/>
                  </w:divBdr>
                  <w:divsChild>
                    <w:div w:id="1870029636">
                      <w:marLeft w:val="0"/>
                      <w:marRight w:val="0"/>
                      <w:marTop w:val="225"/>
                      <w:marBottom w:val="0"/>
                      <w:divBdr>
                        <w:top w:val="none" w:sz="0" w:space="0" w:color="auto"/>
                        <w:left w:val="none" w:sz="0" w:space="0" w:color="auto"/>
                        <w:bottom w:val="none" w:sz="0" w:space="0" w:color="auto"/>
                        <w:right w:val="none" w:sz="0" w:space="0" w:color="auto"/>
                      </w:divBdr>
                    </w:div>
                  </w:divsChild>
                </w:div>
                <w:div w:id="297229029">
                  <w:marLeft w:val="0"/>
                  <w:marRight w:val="0"/>
                  <w:marTop w:val="0"/>
                  <w:marBottom w:val="0"/>
                  <w:divBdr>
                    <w:top w:val="none" w:sz="0" w:space="0" w:color="auto"/>
                    <w:left w:val="none" w:sz="0" w:space="0" w:color="auto"/>
                    <w:bottom w:val="single" w:sz="6" w:space="8" w:color="DDDCCF"/>
                    <w:right w:val="none" w:sz="0" w:space="0" w:color="auto"/>
                  </w:divBdr>
                  <w:divsChild>
                    <w:div w:id="920220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221482">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598877325">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38918375">
      <w:bodyDiv w:val="1"/>
      <w:marLeft w:val="0"/>
      <w:marRight w:val="0"/>
      <w:marTop w:val="0"/>
      <w:marBottom w:val="0"/>
      <w:divBdr>
        <w:top w:val="none" w:sz="0" w:space="0" w:color="auto"/>
        <w:left w:val="none" w:sz="0" w:space="0" w:color="auto"/>
        <w:bottom w:val="none" w:sz="0" w:space="0" w:color="auto"/>
        <w:right w:val="none" w:sz="0" w:space="0" w:color="auto"/>
      </w:divBdr>
      <w:divsChild>
        <w:div w:id="1667399505">
          <w:marLeft w:val="0"/>
          <w:marRight w:val="0"/>
          <w:marTop w:val="225"/>
          <w:marBottom w:val="225"/>
          <w:divBdr>
            <w:top w:val="none" w:sz="0" w:space="0" w:color="auto"/>
            <w:left w:val="none" w:sz="0" w:space="0" w:color="auto"/>
            <w:bottom w:val="none" w:sz="0" w:space="0" w:color="auto"/>
            <w:right w:val="none" w:sz="0" w:space="0" w:color="auto"/>
          </w:divBdr>
        </w:div>
        <w:div w:id="759982997">
          <w:marLeft w:val="0"/>
          <w:marRight w:val="0"/>
          <w:marTop w:val="150"/>
          <w:marBottom w:val="150"/>
          <w:divBdr>
            <w:top w:val="none" w:sz="0" w:space="0" w:color="auto"/>
            <w:left w:val="none" w:sz="0" w:space="0" w:color="auto"/>
            <w:bottom w:val="none" w:sz="0" w:space="0" w:color="auto"/>
            <w:right w:val="none" w:sz="0" w:space="0" w:color="auto"/>
          </w:divBdr>
          <w:divsChild>
            <w:div w:id="18072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4505162">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5856522">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1469920">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3361830">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4587215">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0013335">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7252034">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320751">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yperlink" Target="https://pubmed.ncbi.nlm.nih.gov/?term=Margreiter+R&amp;cauthor_id=16162203" TargetMode="External"/><Relationship Id="rId26" Type="http://schemas.openxmlformats.org/officeDocument/2006/relationships/hyperlink" Target="https://pubmed.ncbi.nlm.nih.gov/?term=Carmellini+M&amp;cauthor_id=2570891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med.ncbi.nlm.nih.gov/?term=Mulgaonkar+S&amp;cauthor_id=16041270" TargetMode="External"/><Relationship Id="rId34" Type="http://schemas.openxmlformats.org/officeDocument/2006/relationships/hyperlink" Target="https://pubmed.ncbi.nlm.nih.gov/?term=Mattei+MF&amp;cauthor_id=1974428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med.ncbi.nlm.nih.gov/?term=V%C3%ADtko+S&amp;cauthor_id=16162203" TargetMode="External"/><Relationship Id="rId25" Type="http://schemas.openxmlformats.org/officeDocument/2006/relationships/hyperlink" Target="https://pubmed.ncbi.nlm.nih.gov/?term=Eris+J&amp;cauthor_id=15023156" TargetMode="External"/><Relationship Id="rId33" Type="http://schemas.openxmlformats.org/officeDocument/2006/relationships/hyperlink" Target="https://pubmed.ncbi.nlm.nih.gov/?term=Dengler+T&amp;cauthor_id=1974428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pubmed.ncbi.nlm.nih.gov/?term=Lorber+MI&amp;cauthor_id=16041270" TargetMode="External"/><Relationship Id="rId29" Type="http://schemas.openxmlformats.org/officeDocument/2006/relationships/hyperlink" Target="https://pubmed.ncbi.nlm.nih.gov/?term=Eisen+HJ&amp;cauthor_id=12944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ubmed.ncbi.nlm.nih.gov/?term=Tedesco+H&amp;cauthor_id=15023156" TargetMode="External"/><Relationship Id="rId32" Type="http://schemas.openxmlformats.org/officeDocument/2006/relationships/hyperlink" Target="https://pubmed.ncbi.nlm.nih.gov/?term=Vigan%C3%B2+M&amp;cauthor_id=19744284" TargetMode="External"/><Relationship Id="rId37" Type="http://schemas.openxmlformats.org/officeDocument/2006/relationships/hyperlink" Target="https://pubmed.ncbi.nlm.nih.gov/?term=De+Carlis+L&amp;cauthor_id=22882750"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ubmed.ncbi.nlm.nih.gov/?term=Vitko+S&amp;cauthor_id=15023156" TargetMode="External"/><Relationship Id="rId28" Type="http://schemas.openxmlformats.org/officeDocument/2006/relationships/hyperlink" Target="https://pubmed.ncbi.nlm.nih.gov/?term=Wang+Z&amp;cauthor_id=25708913" TargetMode="External"/><Relationship Id="rId36" Type="http://schemas.openxmlformats.org/officeDocument/2006/relationships/hyperlink" Target="https://pubmed.ncbi.nlm.nih.gov/?term=Nevens+F&amp;cauthor_id=22882750" TargetMode="External"/><Relationship Id="rId10" Type="http://schemas.openxmlformats.org/officeDocument/2006/relationships/header" Target="header2.xml"/><Relationship Id="rId19" Type="http://schemas.openxmlformats.org/officeDocument/2006/relationships/hyperlink" Target="https://pubmed.ncbi.nlm.nih.gov/?term=Weimar+W&amp;cauthor_id=16162203" TargetMode="External"/><Relationship Id="rId31" Type="http://schemas.openxmlformats.org/officeDocument/2006/relationships/hyperlink" Target="https://pubmed.ncbi.nlm.nih.gov/?term=Dorent+R&amp;cauthor_id=12944570"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s://pubmed.ncbi.nlm.nih.gov/?term=Butt+KM&amp;cauthor_id=16041270" TargetMode="External"/><Relationship Id="rId27" Type="http://schemas.openxmlformats.org/officeDocument/2006/relationships/hyperlink" Target="https://pubmed.ncbi.nlm.nih.gov/?term=Garcia+V&amp;cauthor_id=25708913" TargetMode="External"/><Relationship Id="rId30" Type="http://schemas.openxmlformats.org/officeDocument/2006/relationships/hyperlink" Target="https://pubmed.ncbi.nlm.nih.gov/?term=Tuzcu+EM&amp;cauthor_id=12944570" TargetMode="External"/><Relationship Id="rId35" Type="http://schemas.openxmlformats.org/officeDocument/2006/relationships/hyperlink" Target="https://pubmed.ncbi.nlm.nih.gov/?term=De+Simone+P&amp;cauthor_id=2288275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1;&#1072;&#1073;&#1080;&#1095;&#1077;&#1085;&#1082;&#1086;\&#1087;&#1088;&#1086;&#1077;&#1082;&#1090;&#1099;\&#1069;&#1074;&#1077;&#1088;&#1086;&#1083;&#1080;&#1084;&#1091;&#1089;\&#1086;&#1090;&#1095;&#1077;&#1090;\&#1089;&#1088;&#1072;&#1074;&#1085;&#1077;&#1085;&#1080;&#107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1;&#1072;&#1073;&#1080;&#1095;&#1077;&#1085;&#1082;&#1086;\&#1087;&#1088;&#1086;&#1077;&#1082;&#1090;&#1099;\&#1069;&#1074;&#1077;&#1088;&#1086;&#1083;&#1080;&#1084;&#1091;&#1089;\&#1086;&#1090;&#1095;&#1077;&#1090;\&#1089;&#1088;&#1072;&#1074;&#1085;&#1077;&#1085;&#1080;&#1077;.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1;&#1072;&#1073;&#1080;&#1095;&#1077;&#1085;&#1082;&#1086;\&#1087;&#1088;&#1086;&#1077;&#1082;&#1090;&#1099;\&#1069;&#1074;&#1077;&#1088;&#1086;&#1083;&#1080;&#1084;&#1091;&#1089;\&#1086;&#1090;&#1095;&#1077;&#1090;\&#1089;&#1088;&#1072;&#1074;&#1085;&#1077;&#1085;&#1080;&#1077;.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1;&#1072;&#1073;&#1080;&#1095;&#1077;&#1085;&#1082;&#1086;\&#1087;&#1088;&#1086;&#1077;&#1082;&#1090;&#1099;\&#1069;&#1074;&#1077;&#1088;&#1086;&#1083;&#1080;&#1084;&#1091;&#1089;\&#1086;&#1090;&#1095;&#1077;&#1090;\&#1089;&#1088;&#1072;&#1074;&#1085;&#1077;&#1085;&#1080;&#1077;.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43127424559502"/>
          <c:y val="6.2875954513925914E-2"/>
          <c:w val="0.83534665241414607"/>
          <c:h val="0.77834699738459712"/>
        </c:manualLayout>
      </c:layout>
      <c:scatterChart>
        <c:scatterStyle val="smoothMarker"/>
        <c:varyColors val="0"/>
        <c:ser>
          <c:idx val="0"/>
          <c:order val="0"/>
          <c:tx>
            <c:strRef>
              <c:f>Лист1!$B$21</c:f>
              <c:strCache>
                <c:ptCount val="1"/>
                <c:pt idx="0">
                  <c:v>LV18901221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vert="horz"/>
              <a:lstStyle/>
              <a:p>
                <a:pPr>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Лист1!$B$2:$B$7</c:f>
              <c:numCache>
                <c:formatCode>General</c:formatCode>
                <c:ptCount val="6"/>
                <c:pt idx="0">
                  <c:v>0</c:v>
                </c:pt>
                <c:pt idx="1">
                  <c:v>89</c:v>
                </c:pt>
                <c:pt idx="2">
                  <c:v>95</c:v>
                </c:pt>
                <c:pt idx="3">
                  <c:v>97</c:v>
                </c:pt>
                <c:pt idx="4">
                  <c:v>98</c:v>
                </c:pt>
                <c:pt idx="5">
                  <c:v>99</c:v>
                </c:pt>
              </c:numCache>
            </c:numRef>
          </c:yVal>
          <c:smooth val="1"/>
          <c:extLst>
            <c:ext xmlns:c16="http://schemas.microsoft.com/office/drawing/2014/chart" uri="{C3380CC4-5D6E-409C-BE32-E72D297353CC}">
              <c16:uniqueId val="{00000000-BA13-41B0-841E-486ED203C40E}"/>
            </c:ext>
          </c:extLst>
        </c:ser>
        <c:ser>
          <c:idx val="1"/>
          <c:order val="1"/>
          <c:tx>
            <c:strRef>
              <c:f>Лист1!$B$22</c:f>
              <c:strCache>
                <c:ptCount val="1"/>
                <c:pt idx="0">
                  <c:v>011022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vert="horz"/>
              <a:lstStyle/>
              <a:p>
                <a:pPr>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Лист1!$C$2:$C$7</c:f>
              <c:numCache>
                <c:formatCode>0</c:formatCode>
                <c:ptCount val="6"/>
                <c:pt idx="0" formatCode="General">
                  <c:v>0</c:v>
                </c:pt>
                <c:pt idx="1">
                  <c:v>96.7</c:v>
                </c:pt>
                <c:pt idx="2">
                  <c:v>96.7</c:v>
                </c:pt>
                <c:pt idx="3">
                  <c:v>97.3</c:v>
                </c:pt>
                <c:pt idx="4">
                  <c:v>97.1</c:v>
                </c:pt>
                <c:pt idx="5">
                  <c:v>98</c:v>
                </c:pt>
              </c:numCache>
            </c:numRef>
          </c:yVal>
          <c:smooth val="1"/>
          <c:extLst>
            <c:ext xmlns:c16="http://schemas.microsoft.com/office/drawing/2014/chart" uri="{C3380CC4-5D6E-409C-BE32-E72D297353CC}">
              <c16:uniqueId val="{00000001-BA13-41B0-841E-486ED203C40E}"/>
            </c:ext>
          </c:extLst>
        </c:ser>
        <c:dLbls>
          <c:dLblPos val="t"/>
          <c:showLegendKey val="0"/>
          <c:showVal val="1"/>
          <c:showCatName val="0"/>
          <c:showSerName val="0"/>
          <c:showPercent val="0"/>
          <c:showBubbleSize val="0"/>
        </c:dLbls>
        <c:axId val="177627520"/>
        <c:axId val="357824000"/>
      </c:scatterChart>
      <c:valAx>
        <c:axId val="177627520"/>
        <c:scaling>
          <c:orientation val="minMax"/>
          <c:max val="45"/>
        </c:scaling>
        <c:delete val="0"/>
        <c:axPos val="b"/>
        <c:title>
          <c:tx>
            <c:rich>
              <a:bodyPr rot="0" vert="horz"/>
              <a:lstStyle/>
              <a:p>
                <a:pPr>
                  <a:defRPr/>
                </a:pPr>
                <a:r>
                  <a:rPr lang="ru-RU"/>
                  <a:t>Время, мин</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357824000"/>
        <c:crosses val="autoZero"/>
        <c:crossBetween val="midCat"/>
        <c:majorUnit val="5"/>
        <c:minorUnit val="1"/>
      </c:valAx>
      <c:valAx>
        <c:axId val="357824000"/>
        <c:scaling>
          <c:orientation val="minMax"/>
          <c:max val="115"/>
          <c:min val="0"/>
        </c:scaling>
        <c:delete val="0"/>
        <c:axPos val="l"/>
        <c:title>
          <c:tx>
            <c:rich>
              <a:bodyPr rot="-5400000" vert="horz"/>
              <a:lstStyle/>
              <a:p>
                <a:pPr>
                  <a:defRPr/>
                </a:pPr>
                <a:r>
                  <a:rPr lang="ru-RU"/>
                  <a:t>Высвобождение, %</a:t>
                </a:r>
              </a:p>
            </c:rich>
          </c:tx>
          <c:overlay val="0"/>
          <c:spPr>
            <a:noFill/>
            <a:ln>
              <a:noFill/>
            </a:ln>
            <a:effectLst/>
          </c:sp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77627520"/>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7494686384589164"/>
          <c:y val="0.47707093739979334"/>
          <c:w val="0.22386710132190196"/>
          <c:h val="0.17768055011223144"/>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43127424559502"/>
          <c:y val="6.2875954513925914E-2"/>
          <c:w val="0.83534665241414607"/>
          <c:h val="0.77834699738459712"/>
        </c:manualLayout>
      </c:layout>
      <c:scatterChart>
        <c:scatterStyle val="smoothMarker"/>
        <c:varyColors val="0"/>
        <c:ser>
          <c:idx val="0"/>
          <c:order val="0"/>
          <c:tx>
            <c:strRef>
              <c:f>Лист1!$B$21</c:f>
              <c:strCache>
                <c:ptCount val="1"/>
                <c:pt idx="0">
                  <c:v>LV18901221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vert="horz"/>
              <a:lstStyle/>
              <a:p>
                <a:pPr>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Лист1!$D$2:$D$7</c:f>
              <c:numCache>
                <c:formatCode>General</c:formatCode>
                <c:ptCount val="6"/>
                <c:pt idx="0">
                  <c:v>0</c:v>
                </c:pt>
                <c:pt idx="1">
                  <c:v>15</c:v>
                </c:pt>
                <c:pt idx="2">
                  <c:v>10</c:v>
                </c:pt>
                <c:pt idx="3">
                  <c:v>7</c:v>
                </c:pt>
                <c:pt idx="4">
                  <c:v>3</c:v>
                </c:pt>
                <c:pt idx="5">
                  <c:v>1</c:v>
                </c:pt>
              </c:numCache>
            </c:numRef>
          </c:yVal>
          <c:smooth val="1"/>
          <c:extLst>
            <c:ext xmlns:c16="http://schemas.microsoft.com/office/drawing/2014/chart" uri="{C3380CC4-5D6E-409C-BE32-E72D297353CC}">
              <c16:uniqueId val="{00000000-BA13-41B0-841E-486ED203C40E}"/>
            </c:ext>
          </c:extLst>
        </c:ser>
        <c:ser>
          <c:idx val="1"/>
          <c:order val="1"/>
          <c:tx>
            <c:strRef>
              <c:f>Лист1!$B$22</c:f>
              <c:strCache>
                <c:ptCount val="1"/>
                <c:pt idx="0">
                  <c:v>011022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2.3809523809523808E-2"/>
                  <c:y val="5.17928286852589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7B1-4398-BDBE-5FAE1F076563}"/>
                </c:ext>
              </c:extLst>
            </c:dLbl>
            <c:dLbl>
              <c:idx val="4"/>
              <c:layout>
                <c:manualLayout>
                  <c:x val="-3.6796536796536876E-2"/>
                  <c:y val="4.64807436918990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7B1-4398-BDBE-5FAE1F076563}"/>
                </c:ext>
              </c:extLst>
            </c:dLbl>
            <c:spPr>
              <a:noFill/>
              <a:ln>
                <a:noFill/>
              </a:ln>
              <a:effectLst/>
            </c:spPr>
            <c:txPr>
              <a:bodyPr rot="0" vert="horz"/>
              <a:lstStyle/>
              <a:p>
                <a:pPr>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Лист1!$E$2:$E$7</c:f>
              <c:numCache>
                <c:formatCode>General</c:formatCode>
                <c:ptCount val="6"/>
                <c:pt idx="0">
                  <c:v>0</c:v>
                </c:pt>
                <c:pt idx="1">
                  <c:v>13</c:v>
                </c:pt>
                <c:pt idx="2">
                  <c:v>9</c:v>
                </c:pt>
                <c:pt idx="3">
                  <c:v>6</c:v>
                </c:pt>
                <c:pt idx="4">
                  <c:v>3</c:v>
                </c:pt>
                <c:pt idx="5">
                  <c:v>1</c:v>
                </c:pt>
              </c:numCache>
            </c:numRef>
          </c:yVal>
          <c:smooth val="1"/>
          <c:extLst>
            <c:ext xmlns:c16="http://schemas.microsoft.com/office/drawing/2014/chart" uri="{C3380CC4-5D6E-409C-BE32-E72D297353CC}">
              <c16:uniqueId val="{00000001-BA13-41B0-841E-486ED203C40E}"/>
            </c:ext>
          </c:extLst>
        </c:ser>
        <c:dLbls>
          <c:dLblPos val="t"/>
          <c:showLegendKey val="0"/>
          <c:showVal val="1"/>
          <c:showCatName val="0"/>
          <c:showSerName val="0"/>
          <c:showPercent val="0"/>
          <c:showBubbleSize val="0"/>
        </c:dLbls>
        <c:axId val="162024832"/>
        <c:axId val="162043392"/>
      </c:scatterChart>
      <c:valAx>
        <c:axId val="162024832"/>
        <c:scaling>
          <c:orientation val="minMax"/>
          <c:max val="45"/>
        </c:scaling>
        <c:delete val="0"/>
        <c:axPos val="b"/>
        <c:title>
          <c:tx>
            <c:rich>
              <a:bodyPr rot="0" vert="horz"/>
              <a:lstStyle/>
              <a:p>
                <a:pPr>
                  <a:defRPr/>
                </a:pPr>
                <a:r>
                  <a:rPr lang="ru-RU"/>
                  <a:t>Время, мин</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043392"/>
        <c:crosses val="autoZero"/>
        <c:crossBetween val="midCat"/>
        <c:majorUnit val="5"/>
        <c:minorUnit val="1"/>
      </c:valAx>
      <c:valAx>
        <c:axId val="162043392"/>
        <c:scaling>
          <c:orientation val="minMax"/>
          <c:max val="115"/>
          <c:min val="0"/>
        </c:scaling>
        <c:delete val="0"/>
        <c:axPos val="l"/>
        <c:title>
          <c:tx>
            <c:rich>
              <a:bodyPr rot="-5400000" vert="horz"/>
              <a:lstStyle/>
              <a:p>
                <a:pPr>
                  <a:defRPr/>
                </a:pPr>
                <a:r>
                  <a:rPr lang="ru-RU"/>
                  <a:t>Высвобождение, %</a:t>
                </a:r>
              </a:p>
            </c:rich>
          </c:tx>
          <c:overlay val="0"/>
          <c:spPr>
            <a:noFill/>
            <a:ln>
              <a:noFill/>
            </a:ln>
            <a:effectLst/>
          </c:sp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024832"/>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56244382250299707"/>
          <c:y val="0.24165248190706068"/>
          <c:w val="0.29403910231554059"/>
          <c:h val="0.23727440335559657"/>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43127424559502"/>
          <c:y val="6.2875954513925914E-2"/>
          <c:w val="0.83534665241414607"/>
          <c:h val="0.77834699738459712"/>
        </c:manualLayout>
      </c:layout>
      <c:scatterChart>
        <c:scatterStyle val="smoothMarker"/>
        <c:varyColors val="0"/>
        <c:ser>
          <c:idx val="0"/>
          <c:order val="0"/>
          <c:tx>
            <c:strRef>
              <c:f>Лист1!$B$21</c:f>
              <c:strCache>
                <c:ptCount val="1"/>
                <c:pt idx="0">
                  <c:v>LV18901221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vert="horz"/>
              <a:lstStyle/>
              <a:p>
                <a:pPr>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Лист1!$F$2:$F$7</c:f>
              <c:numCache>
                <c:formatCode>General</c:formatCode>
                <c:ptCount val="6"/>
                <c:pt idx="0">
                  <c:v>0</c:v>
                </c:pt>
                <c:pt idx="1">
                  <c:v>89</c:v>
                </c:pt>
                <c:pt idx="2">
                  <c:v>92</c:v>
                </c:pt>
                <c:pt idx="3">
                  <c:v>93</c:v>
                </c:pt>
                <c:pt idx="4">
                  <c:v>90</c:v>
                </c:pt>
                <c:pt idx="5">
                  <c:v>94</c:v>
                </c:pt>
              </c:numCache>
            </c:numRef>
          </c:yVal>
          <c:smooth val="1"/>
          <c:extLst>
            <c:ext xmlns:c16="http://schemas.microsoft.com/office/drawing/2014/chart" uri="{C3380CC4-5D6E-409C-BE32-E72D297353CC}">
              <c16:uniqueId val="{00000000-BA13-41B0-841E-486ED203C40E}"/>
            </c:ext>
          </c:extLst>
        </c:ser>
        <c:ser>
          <c:idx val="1"/>
          <c:order val="1"/>
          <c:tx>
            <c:strRef>
              <c:f>Лист1!$B$22</c:f>
              <c:strCache>
                <c:ptCount val="1"/>
                <c:pt idx="0">
                  <c:v>011022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vert="horz"/>
              <a:lstStyle/>
              <a:p>
                <a:pPr>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Лист1!$G$2:$G$7</c:f>
              <c:numCache>
                <c:formatCode>General</c:formatCode>
                <c:ptCount val="6"/>
                <c:pt idx="0">
                  <c:v>0</c:v>
                </c:pt>
                <c:pt idx="1">
                  <c:v>88</c:v>
                </c:pt>
                <c:pt idx="2">
                  <c:v>92</c:v>
                </c:pt>
                <c:pt idx="3">
                  <c:v>93</c:v>
                </c:pt>
                <c:pt idx="4">
                  <c:v>91</c:v>
                </c:pt>
                <c:pt idx="5">
                  <c:v>94</c:v>
                </c:pt>
              </c:numCache>
            </c:numRef>
          </c:yVal>
          <c:smooth val="1"/>
          <c:extLst>
            <c:ext xmlns:c16="http://schemas.microsoft.com/office/drawing/2014/chart" uri="{C3380CC4-5D6E-409C-BE32-E72D297353CC}">
              <c16:uniqueId val="{00000001-BA13-41B0-841E-486ED203C40E}"/>
            </c:ext>
          </c:extLst>
        </c:ser>
        <c:dLbls>
          <c:dLblPos val="t"/>
          <c:showLegendKey val="0"/>
          <c:showVal val="1"/>
          <c:showCatName val="0"/>
          <c:showSerName val="0"/>
          <c:showPercent val="0"/>
          <c:showBubbleSize val="0"/>
        </c:dLbls>
        <c:axId val="162086912"/>
        <c:axId val="162088832"/>
      </c:scatterChart>
      <c:valAx>
        <c:axId val="162086912"/>
        <c:scaling>
          <c:orientation val="minMax"/>
          <c:max val="45"/>
        </c:scaling>
        <c:delete val="0"/>
        <c:axPos val="b"/>
        <c:title>
          <c:tx>
            <c:rich>
              <a:bodyPr rot="0" vert="horz"/>
              <a:lstStyle/>
              <a:p>
                <a:pPr>
                  <a:defRPr/>
                </a:pPr>
                <a:r>
                  <a:rPr lang="ru-RU"/>
                  <a:t>Время, мин</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088832"/>
        <c:crosses val="autoZero"/>
        <c:crossBetween val="midCat"/>
        <c:majorUnit val="5"/>
        <c:minorUnit val="1"/>
      </c:valAx>
      <c:valAx>
        <c:axId val="162088832"/>
        <c:scaling>
          <c:orientation val="minMax"/>
          <c:max val="115"/>
          <c:min val="0"/>
        </c:scaling>
        <c:delete val="0"/>
        <c:axPos val="l"/>
        <c:title>
          <c:tx>
            <c:rich>
              <a:bodyPr rot="-5400000" vert="horz"/>
              <a:lstStyle/>
              <a:p>
                <a:pPr>
                  <a:defRPr/>
                </a:pPr>
                <a:r>
                  <a:rPr lang="ru-RU"/>
                  <a:t>Высвобождение, %</a:t>
                </a:r>
              </a:p>
            </c:rich>
          </c:tx>
          <c:overlay val="0"/>
          <c:spPr>
            <a:noFill/>
            <a:ln>
              <a:noFill/>
            </a:ln>
            <a:effectLst/>
          </c:sp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086912"/>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3751391308226846"/>
          <c:y val="0.45554652315031835"/>
          <c:w val="0.25024572978536591"/>
          <c:h val="0.2027658939015442"/>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43127424559502"/>
          <c:y val="6.2875954513925914E-2"/>
          <c:w val="0.83534665241414607"/>
          <c:h val="0.77834699738459712"/>
        </c:manualLayout>
      </c:layout>
      <c:scatterChart>
        <c:scatterStyle val="smoothMarker"/>
        <c:varyColors val="0"/>
        <c:ser>
          <c:idx val="0"/>
          <c:order val="0"/>
          <c:tx>
            <c:strRef>
              <c:f>Лист1!$B$21</c:f>
              <c:strCache>
                <c:ptCount val="1"/>
                <c:pt idx="0">
                  <c:v>LV18901221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vert="horz"/>
              <a:lstStyle/>
              <a:p>
                <a:pPr>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Лист1!$H$2:$H$7</c:f>
              <c:numCache>
                <c:formatCode>General</c:formatCode>
                <c:ptCount val="6"/>
                <c:pt idx="0">
                  <c:v>0</c:v>
                </c:pt>
                <c:pt idx="1">
                  <c:v>87</c:v>
                </c:pt>
                <c:pt idx="2">
                  <c:v>91</c:v>
                </c:pt>
                <c:pt idx="3">
                  <c:v>92</c:v>
                </c:pt>
                <c:pt idx="4">
                  <c:v>91</c:v>
                </c:pt>
                <c:pt idx="5">
                  <c:v>91</c:v>
                </c:pt>
              </c:numCache>
            </c:numRef>
          </c:yVal>
          <c:smooth val="1"/>
          <c:extLst>
            <c:ext xmlns:c16="http://schemas.microsoft.com/office/drawing/2014/chart" uri="{C3380CC4-5D6E-409C-BE32-E72D297353CC}">
              <c16:uniqueId val="{00000000-BA13-41B0-841E-486ED203C40E}"/>
            </c:ext>
          </c:extLst>
        </c:ser>
        <c:ser>
          <c:idx val="1"/>
          <c:order val="1"/>
          <c:tx>
            <c:strRef>
              <c:f>Лист1!$B$22</c:f>
              <c:strCache>
                <c:ptCount val="1"/>
                <c:pt idx="0">
                  <c:v>011022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vert="horz"/>
              <a:lstStyle/>
              <a:p>
                <a:pPr>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Лист1!$A$2:$A$7</c:f>
              <c:numCache>
                <c:formatCode>General</c:formatCode>
                <c:ptCount val="6"/>
                <c:pt idx="0">
                  <c:v>0</c:v>
                </c:pt>
                <c:pt idx="1">
                  <c:v>10</c:v>
                </c:pt>
                <c:pt idx="2">
                  <c:v>15</c:v>
                </c:pt>
                <c:pt idx="3">
                  <c:v>20</c:v>
                </c:pt>
                <c:pt idx="4">
                  <c:v>30</c:v>
                </c:pt>
                <c:pt idx="5">
                  <c:v>45</c:v>
                </c:pt>
              </c:numCache>
            </c:numRef>
          </c:xVal>
          <c:yVal>
            <c:numRef>
              <c:f>Лист1!$I$2:$I$7</c:f>
              <c:numCache>
                <c:formatCode>General</c:formatCode>
                <c:ptCount val="6"/>
                <c:pt idx="0">
                  <c:v>0</c:v>
                </c:pt>
                <c:pt idx="1">
                  <c:v>96</c:v>
                </c:pt>
                <c:pt idx="2">
                  <c:v>98</c:v>
                </c:pt>
                <c:pt idx="3">
                  <c:v>98</c:v>
                </c:pt>
                <c:pt idx="4">
                  <c:v>95</c:v>
                </c:pt>
                <c:pt idx="5">
                  <c:v>98</c:v>
                </c:pt>
              </c:numCache>
            </c:numRef>
          </c:yVal>
          <c:smooth val="1"/>
          <c:extLst>
            <c:ext xmlns:c16="http://schemas.microsoft.com/office/drawing/2014/chart" uri="{C3380CC4-5D6E-409C-BE32-E72D297353CC}">
              <c16:uniqueId val="{00000001-BA13-41B0-841E-486ED203C40E}"/>
            </c:ext>
          </c:extLst>
        </c:ser>
        <c:dLbls>
          <c:dLblPos val="t"/>
          <c:showLegendKey val="0"/>
          <c:showVal val="1"/>
          <c:showCatName val="0"/>
          <c:showSerName val="0"/>
          <c:showPercent val="0"/>
          <c:showBubbleSize val="0"/>
        </c:dLbls>
        <c:axId val="162357632"/>
        <c:axId val="162359552"/>
      </c:scatterChart>
      <c:valAx>
        <c:axId val="162357632"/>
        <c:scaling>
          <c:orientation val="minMax"/>
          <c:max val="45"/>
        </c:scaling>
        <c:delete val="0"/>
        <c:axPos val="b"/>
        <c:title>
          <c:tx>
            <c:rich>
              <a:bodyPr rot="0" vert="horz"/>
              <a:lstStyle/>
              <a:p>
                <a:pPr>
                  <a:defRPr/>
                </a:pPr>
                <a:r>
                  <a:rPr lang="ru-RU"/>
                  <a:t>Время, мин</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359552"/>
        <c:crosses val="autoZero"/>
        <c:crossBetween val="midCat"/>
        <c:majorUnit val="5"/>
        <c:minorUnit val="1"/>
      </c:valAx>
      <c:valAx>
        <c:axId val="162359552"/>
        <c:scaling>
          <c:orientation val="minMax"/>
          <c:max val="115"/>
          <c:min val="0"/>
        </c:scaling>
        <c:delete val="0"/>
        <c:axPos val="l"/>
        <c:title>
          <c:tx>
            <c:rich>
              <a:bodyPr rot="-5400000" vert="horz"/>
              <a:lstStyle/>
              <a:p>
                <a:pPr>
                  <a:defRPr/>
                </a:pPr>
                <a:r>
                  <a:rPr lang="ru-RU"/>
                  <a:t>Высвобождение, %</a:t>
                </a:r>
              </a:p>
            </c:rich>
          </c:tx>
          <c:overlay val="0"/>
          <c:spPr>
            <a:noFill/>
            <a:ln>
              <a:noFill/>
            </a:ln>
            <a:effectLst/>
          </c:sp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162357632"/>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527614885778984"/>
          <c:y val="0.48806591148183265"/>
          <c:w val="0.226823888331108"/>
          <c:h val="0.18284878439060737"/>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BC42FC60-A579-42DD-A754-7C0FFCD9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38627</Words>
  <Characters>220178</Characters>
  <Application>Microsoft Office Word</Application>
  <DocSecurity>4</DocSecurity>
  <Lines>1834</Lines>
  <Paragraphs>516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Fedorkin, Oleg</cp:lastModifiedBy>
  <cp:revision>2</cp:revision>
  <cp:lastPrinted>2018-02-02T15:14:00Z</cp:lastPrinted>
  <dcterms:created xsi:type="dcterms:W3CDTF">2022-11-14T07:28:00Z</dcterms:created>
  <dcterms:modified xsi:type="dcterms:W3CDTF">2022-11-14T07:28:00Z</dcterms:modified>
</cp:coreProperties>
</file>